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ADA5F" w14:textId="471B60E7" w:rsidR="002B03F0" w:rsidRPr="00CA0C56" w:rsidRDefault="001E1A84" w:rsidP="00CA0C56">
      <w:pPr>
        <w:spacing w:line="360" w:lineRule="auto"/>
        <w:rPr>
          <w:rFonts w:ascii="Arial" w:hAnsi="Arial" w:cs="Arial"/>
          <w:b/>
          <w:bCs/>
          <w:sz w:val="24"/>
          <w:szCs w:val="24"/>
        </w:rPr>
      </w:pPr>
      <w:r w:rsidRPr="00CA0C56">
        <w:rPr>
          <w:rFonts w:ascii="Arial" w:hAnsi="Arial" w:cs="Arial"/>
          <w:b/>
          <w:bCs/>
          <w:sz w:val="24"/>
          <w:szCs w:val="24"/>
        </w:rPr>
        <w:t>Multi-agency working in safeguarding Children, Young People and Families</w:t>
      </w:r>
    </w:p>
    <w:p w14:paraId="00614807" w14:textId="2F14DA4F" w:rsidR="005D722E" w:rsidRPr="00CA0C56" w:rsidRDefault="005D722E" w:rsidP="00CA0C56">
      <w:pPr>
        <w:spacing w:line="360" w:lineRule="auto"/>
        <w:rPr>
          <w:rFonts w:ascii="Arial" w:hAnsi="Arial" w:cs="Arial"/>
          <w:b/>
          <w:bCs/>
          <w:sz w:val="24"/>
          <w:szCs w:val="24"/>
        </w:rPr>
      </w:pPr>
    </w:p>
    <w:p w14:paraId="4E07D128" w14:textId="37402FD0" w:rsidR="005D722E" w:rsidRPr="00CA0C56" w:rsidRDefault="001E1A84" w:rsidP="00CA0C56">
      <w:pPr>
        <w:spacing w:line="360" w:lineRule="auto"/>
        <w:rPr>
          <w:rFonts w:ascii="Arial" w:hAnsi="Arial" w:cs="Arial"/>
          <w:b/>
          <w:bCs/>
          <w:i/>
          <w:iCs/>
          <w:sz w:val="24"/>
          <w:szCs w:val="24"/>
        </w:rPr>
      </w:pPr>
      <w:r w:rsidRPr="00CA0C56">
        <w:rPr>
          <w:rFonts w:ascii="Arial" w:hAnsi="Arial" w:cs="Arial"/>
          <w:b/>
          <w:bCs/>
          <w:i/>
          <w:iCs/>
          <w:sz w:val="24"/>
          <w:szCs w:val="24"/>
        </w:rPr>
        <w:t>Introduction</w:t>
      </w:r>
    </w:p>
    <w:p w14:paraId="64874D3F" w14:textId="77777777" w:rsidR="000B3DE8" w:rsidRPr="00CA0C56" w:rsidRDefault="001E1A84" w:rsidP="000B3DE8">
      <w:pPr>
        <w:spacing w:line="360" w:lineRule="auto"/>
        <w:rPr>
          <w:rFonts w:ascii="Arial" w:hAnsi="Arial" w:cs="Arial"/>
          <w:sz w:val="24"/>
          <w:szCs w:val="24"/>
        </w:rPr>
      </w:pPr>
      <w:r w:rsidRPr="00CA0C56">
        <w:rPr>
          <w:rFonts w:ascii="Arial" w:hAnsi="Arial" w:cs="Arial"/>
          <w:sz w:val="24"/>
          <w:szCs w:val="24"/>
        </w:rPr>
        <w:t>Multi-agency collaboration entails several services, agencies, and teams of experts and other employees working together to offer services that completely fulfil the requirements of children, young people, and their parents or caregivers. To operate well in a multi-agency setting, you must understand your position and the duties of other experts. You must be confident in your standards and objectives while also respecting those that apply to other services. You must actively seek and appreciate the information and feedback that others may provide to provide the most significant outcomes for children and young people (DfES, 2004).</w:t>
      </w:r>
    </w:p>
    <w:p w14:paraId="66CD84E1" w14:textId="77777777" w:rsidR="00337B42" w:rsidRDefault="001E1A84" w:rsidP="00337B42">
      <w:pPr>
        <w:spacing w:line="360" w:lineRule="auto"/>
        <w:rPr>
          <w:rFonts w:ascii="Arial" w:hAnsi="Arial" w:cs="Arial"/>
          <w:sz w:val="24"/>
          <w:szCs w:val="24"/>
        </w:rPr>
      </w:pPr>
      <w:r w:rsidRPr="00CA0C56">
        <w:rPr>
          <w:rFonts w:ascii="Arial" w:hAnsi="Arial" w:cs="Arial"/>
          <w:sz w:val="24"/>
          <w:szCs w:val="24"/>
        </w:rPr>
        <w:t>The Children Act (2004) established laws in England and Wales that required multi-agency collaboration. In addition to law, several government programmes, such as Education Action Zones, Health Action Zones, and New Deal, have taken an inter-agency approach to address social exclusion since 1997 (Gillen,2011).</w:t>
      </w:r>
    </w:p>
    <w:p w14:paraId="46E8A9F9" w14:textId="77777777" w:rsidR="00337B42" w:rsidRDefault="00337B42" w:rsidP="00CA0C56">
      <w:pPr>
        <w:spacing w:line="360" w:lineRule="auto"/>
        <w:rPr>
          <w:rFonts w:ascii="Arial" w:hAnsi="Arial" w:cs="Arial"/>
          <w:b/>
          <w:bCs/>
          <w:i/>
          <w:iCs/>
          <w:sz w:val="24"/>
          <w:szCs w:val="24"/>
        </w:rPr>
      </w:pPr>
    </w:p>
    <w:p w14:paraId="7A205398" w14:textId="71A674FA" w:rsidR="00015F03" w:rsidRDefault="001E1A84" w:rsidP="00CA0C56">
      <w:pPr>
        <w:spacing w:line="360" w:lineRule="auto"/>
        <w:rPr>
          <w:rFonts w:ascii="Arial" w:hAnsi="Arial" w:cs="Arial"/>
          <w:b/>
          <w:bCs/>
          <w:i/>
          <w:iCs/>
          <w:sz w:val="24"/>
          <w:szCs w:val="24"/>
        </w:rPr>
      </w:pPr>
      <w:r>
        <w:rPr>
          <w:rFonts w:ascii="Arial" w:hAnsi="Arial" w:cs="Arial"/>
          <w:b/>
          <w:bCs/>
          <w:i/>
          <w:iCs/>
          <w:sz w:val="24"/>
          <w:szCs w:val="24"/>
        </w:rPr>
        <w:t>Emergence of childhood</w:t>
      </w:r>
    </w:p>
    <w:p w14:paraId="34770226" w14:textId="410F3A3D" w:rsidR="004E6F96" w:rsidRPr="001C3152" w:rsidRDefault="001E1A84" w:rsidP="00CA0C56">
      <w:pPr>
        <w:spacing w:line="360" w:lineRule="auto"/>
        <w:rPr>
          <w:rFonts w:ascii="Arial" w:hAnsi="Arial" w:cs="Arial"/>
          <w:sz w:val="24"/>
          <w:szCs w:val="24"/>
        </w:rPr>
      </w:pPr>
      <w:r w:rsidRPr="001C3152">
        <w:rPr>
          <w:rFonts w:ascii="Arial" w:hAnsi="Arial" w:cs="Arial"/>
          <w:sz w:val="24"/>
          <w:szCs w:val="24"/>
        </w:rPr>
        <w:t xml:space="preserve">Recognising childhood as a socially created reality has been followed by a challenge to traditional approaches to child research, emphasising the socialisation of children at various stages of development </w:t>
      </w:r>
      <w:r w:rsidR="00FD4455">
        <w:rPr>
          <w:rFonts w:ascii="Arial" w:hAnsi="Arial" w:cs="Arial"/>
          <w:sz w:val="24"/>
          <w:szCs w:val="24"/>
        </w:rPr>
        <w:t>(Prout, 200</w:t>
      </w:r>
      <w:r w:rsidRPr="001C3152">
        <w:rPr>
          <w:rFonts w:ascii="Arial" w:hAnsi="Arial" w:cs="Arial"/>
          <w:sz w:val="24"/>
          <w:szCs w:val="24"/>
        </w:rPr>
        <w:t>4).</w:t>
      </w:r>
    </w:p>
    <w:p w14:paraId="2BB65C6C" w14:textId="3039F0C9" w:rsidR="007304F3" w:rsidRPr="001C3152" w:rsidRDefault="001E1A84" w:rsidP="00CA0C56">
      <w:pPr>
        <w:spacing w:line="360" w:lineRule="auto"/>
        <w:rPr>
          <w:rFonts w:ascii="Arial" w:hAnsi="Arial" w:cs="Arial"/>
          <w:sz w:val="24"/>
          <w:szCs w:val="24"/>
        </w:rPr>
      </w:pPr>
      <w:r w:rsidRPr="001C3152">
        <w:rPr>
          <w:rFonts w:ascii="Arial" w:hAnsi="Arial" w:cs="Arial"/>
          <w:sz w:val="24"/>
          <w:szCs w:val="24"/>
        </w:rPr>
        <w:t>New social studies of childhood researchers provide a double response to the relative absence of children from the sociological study agenda</w:t>
      </w:r>
      <w:r w:rsidR="007F40C9" w:rsidRPr="001C3152">
        <w:rPr>
          <w:rFonts w:ascii="Arial" w:hAnsi="Arial" w:cs="Arial"/>
          <w:sz w:val="24"/>
          <w:szCs w:val="24"/>
        </w:rPr>
        <w:t>. They contend that childhood is a social construction that changes with time and location. A sit articulates with social variations offers the framework for a research programme that emphasises the social construction of diverse childhoods.</w:t>
      </w:r>
    </w:p>
    <w:p w14:paraId="39D71381" w14:textId="6CE9EB8B" w:rsidR="00F824D1" w:rsidRPr="001C3152" w:rsidRDefault="001E1A84" w:rsidP="00CA0C56">
      <w:pPr>
        <w:spacing w:line="360" w:lineRule="auto"/>
        <w:rPr>
          <w:rFonts w:ascii="Arial" w:hAnsi="Arial" w:cs="Arial"/>
          <w:sz w:val="24"/>
          <w:szCs w:val="24"/>
        </w:rPr>
      </w:pPr>
      <w:r w:rsidRPr="001C3152">
        <w:rPr>
          <w:rFonts w:ascii="Arial" w:hAnsi="Arial" w:cs="Arial"/>
          <w:sz w:val="24"/>
          <w:szCs w:val="24"/>
        </w:rPr>
        <w:t xml:space="preserve">If childhood is a social rather than a biological </w:t>
      </w:r>
      <w:r w:rsidR="001C3152" w:rsidRPr="001C3152">
        <w:rPr>
          <w:rFonts w:ascii="Arial" w:hAnsi="Arial" w:cs="Arial"/>
          <w:sz w:val="24"/>
          <w:szCs w:val="24"/>
        </w:rPr>
        <w:t>phenomenon</w:t>
      </w:r>
      <w:r w:rsidRPr="001C3152">
        <w:rPr>
          <w:rFonts w:ascii="Arial" w:hAnsi="Arial" w:cs="Arial"/>
          <w:sz w:val="24"/>
          <w:szCs w:val="24"/>
        </w:rPr>
        <w:t xml:space="preserve"> that differs between social groups, societies, and historical times, then its production, contestation, and repercussions need academic study. The new social studies of childhood differ epistemologically from past sociological work. They examine children as social </w:t>
      </w:r>
      <w:r w:rsidRPr="001C3152">
        <w:rPr>
          <w:rFonts w:ascii="Arial" w:hAnsi="Arial" w:cs="Arial"/>
          <w:sz w:val="24"/>
          <w:szCs w:val="24"/>
        </w:rPr>
        <w:lastRenderedPageBreak/>
        <w:t xml:space="preserve">agents and persons in their own right rather than as </w:t>
      </w:r>
      <w:r w:rsidR="00176ACA" w:rsidRPr="001C3152">
        <w:rPr>
          <w:rFonts w:ascii="Arial" w:hAnsi="Arial" w:cs="Arial"/>
          <w:sz w:val="24"/>
          <w:szCs w:val="24"/>
        </w:rPr>
        <w:t>em</w:t>
      </w:r>
      <w:r w:rsidR="00315EEE" w:rsidRPr="001C3152">
        <w:rPr>
          <w:rFonts w:ascii="Arial" w:hAnsi="Arial" w:cs="Arial"/>
          <w:sz w:val="24"/>
          <w:szCs w:val="24"/>
        </w:rPr>
        <w:t>e</w:t>
      </w:r>
      <w:r w:rsidR="00176ACA" w:rsidRPr="001C3152">
        <w:rPr>
          <w:rFonts w:ascii="Arial" w:hAnsi="Arial" w:cs="Arial"/>
          <w:sz w:val="24"/>
          <w:szCs w:val="24"/>
        </w:rPr>
        <w:t>rging adol</w:t>
      </w:r>
      <w:r w:rsidR="00315EEE" w:rsidRPr="001C3152">
        <w:rPr>
          <w:rFonts w:ascii="Arial" w:hAnsi="Arial" w:cs="Arial"/>
          <w:sz w:val="24"/>
          <w:szCs w:val="24"/>
        </w:rPr>
        <w:t>escents maturing (</w:t>
      </w:r>
      <w:r w:rsidR="00447035" w:rsidRPr="001C3152">
        <w:rPr>
          <w:rFonts w:ascii="Arial" w:hAnsi="Arial" w:cs="Arial"/>
          <w:sz w:val="24"/>
          <w:szCs w:val="24"/>
        </w:rPr>
        <w:t>James et al., 1998)</w:t>
      </w:r>
      <w:r w:rsidR="00315EEE" w:rsidRPr="001C3152">
        <w:rPr>
          <w:rFonts w:ascii="Arial" w:hAnsi="Arial" w:cs="Arial"/>
          <w:sz w:val="24"/>
          <w:szCs w:val="24"/>
        </w:rPr>
        <w:t>.</w:t>
      </w:r>
    </w:p>
    <w:p w14:paraId="4E193CF4" w14:textId="7D811039" w:rsidR="00B83917" w:rsidRPr="001C3152" w:rsidRDefault="001E1A84" w:rsidP="00CA0C56">
      <w:pPr>
        <w:spacing w:line="360" w:lineRule="auto"/>
        <w:rPr>
          <w:rFonts w:ascii="Arial" w:hAnsi="Arial" w:cs="Arial"/>
          <w:sz w:val="24"/>
          <w:szCs w:val="24"/>
        </w:rPr>
      </w:pPr>
      <w:r w:rsidRPr="001C3152">
        <w:rPr>
          <w:rFonts w:ascii="Arial" w:hAnsi="Arial" w:cs="Arial"/>
          <w:sz w:val="24"/>
          <w:szCs w:val="24"/>
        </w:rPr>
        <w:t>During the 1980s and 1990s, debates concerning identity and difference were an essential topic of attention in the social sciences. A recurring theme in these works has been the rejection of essentialist assumptions about identity in favour of examining how our broken identities are socially created</w:t>
      </w:r>
      <w:r w:rsidR="00D7203C" w:rsidRPr="001C3152">
        <w:rPr>
          <w:rFonts w:ascii="Arial" w:hAnsi="Arial" w:cs="Arial"/>
          <w:sz w:val="24"/>
          <w:szCs w:val="24"/>
        </w:rPr>
        <w:t xml:space="preserve"> (Holloway and Valentine,</w:t>
      </w:r>
      <w:r w:rsidR="001F08B6" w:rsidRPr="001C3152">
        <w:rPr>
          <w:rFonts w:ascii="Arial" w:hAnsi="Arial" w:cs="Arial"/>
          <w:sz w:val="24"/>
          <w:szCs w:val="24"/>
        </w:rPr>
        <w:t xml:space="preserve"> 2009</w:t>
      </w:r>
      <w:r w:rsidR="001C3152" w:rsidRPr="001C3152">
        <w:rPr>
          <w:rFonts w:ascii="Arial" w:hAnsi="Arial" w:cs="Arial"/>
          <w:sz w:val="24"/>
          <w:szCs w:val="24"/>
        </w:rPr>
        <w:t>)</w:t>
      </w:r>
      <w:r w:rsidRPr="001C3152">
        <w:rPr>
          <w:rFonts w:ascii="Arial" w:hAnsi="Arial" w:cs="Arial"/>
          <w:sz w:val="24"/>
          <w:szCs w:val="24"/>
        </w:rPr>
        <w:t>.</w:t>
      </w:r>
    </w:p>
    <w:p w14:paraId="089518DA" w14:textId="2B2F4A26" w:rsidR="00F01638" w:rsidRPr="001C3152" w:rsidRDefault="001E1A84" w:rsidP="00CA0C56">
      <w:pPr>
        <w:spacing w:line="360" w:lineRule="auto"/>
        <w:rPr>
          <w:rFonts w:ascii="Arial" w:hAnsi="Arial" w:cs="Arial"/>
          <w:sz w:val="24"/>
          <w:szCs w:val="24"/>
        </w:rPr>
      </w:pPr>
      <w:r w:rsidRPr="001C3152">
        <w:rPr>
          <w:rFonts w:ascii="Arial" w:hAnsi="Arial" w:cs="Arial"/>
          <w:sz w:val="24"/>
          <w:szCs w:val="24"/>
        </w:rPr>
        <w:t xml:space="preserve">Children are believed to be beings who have not reached biological and social adulthood. Childhood is when children are </w:t>
      </w:r>
      <w:r w:rsidR="001F08B6" w:rsidRPr="001C3152">
        <w:rPr>
          <w:rFonts w:ascii="Arial" w:hAnsi="Arial" w:cs="Arial"/>
          <w:sz w:val="24"/>
          <w:szCs w:val="24"/>
        </w:rPr>
        <w:t>moulded</w:t>
      </w:r>
      <w:r w:rsidRPr="001C3152">
        <w:rPr>
          <w:rFonts w:ascii="Arial" w:hAnsi="Arial" w:cs="Arial"/>
          <w:sz w:val="24"/>
          <w:szCs w:val="24"/>
        </w:rPr>
        <w:t xml:space="preserve"> and prepared for their future adult responsibilities, most prominently via the institution of schools and through the family and broader social and civic life.</w:t>
      </w:r>
    </w:p>
    <w:p w14:paraId="5F8DF124" w14:textId="765F0BE5" w:rsidR="0056559B" w:rsidRPr="00CA0C56" w:rsidRDefault="001E1A84" w:rsidP="00CA0C56">
      <w:pPr>
        <w:spacing w:line="360" w:lineRule="auto"/>
        <w:rPr>
          <w:rFonts w:ascii="Arial" w:hAnsi="Arial" w:cs="Arial"/>
          <w:sz w:val="24"/>
          <w:szCs w:val="24"/>
        </w:rPr>
      </w:pPr>
      <w:r w:rsidRPr="00CA0C56">
        <w:rPr>
          <w:rFonts w:ascii="Arial" w:hAnsi="Arial" w:cs="Arial"/>
          <w:sz w:val="24"/>
          <w:szCs w:val="24"/>
        </w:rPr>
        <w:t xml:space="preserve">The process of protecting children from abuse or neglect, preventing impairment of their health and development. Ensuring they are growing up in the circumstances </w:t>
      </w:r>
      <w:r w:rsidR="003C5803" w:rsidRPr="00CA0C56">
        <w:rPr>
          <w:rFonts w:ascii="Arial" w:hAnsi="Arial" w:cs="Arial"/>
          <w:sz w:val="24"/>
          <w:szCs w:val="24"/>
        </w:rPr>
        <w:t>consistent</w:t>
      </w:r>
      <w:r w:rsidRPr="00CA0C56">
        <w:rPr>
          <w:rFonts w:ascii="Arial" w:hAnsi="Arial" w:cs="Arial"/>
          <w:sz w:val="24"/>
          <w:szCs w:val="24"/>
        </w:rPr>
        <w:t xml:space="preserve"> </w:t>
      </w:r>
      <w:r w:rsidR="003C5803" w:rsidRPr="00CA0C56">
        <w:rPr>
          <w:rFonts w:ascii="Arial" w:hAnsi="Arial" w:cs="Arial"/>
          <w:sz w:val="24"/>
          <w:szCs w:val="24"/>
        </w:rPr>
        <w:t>with</w:t>
      </w:r>
      <w:r w:rsidRPr="00CA0C56">
        <w:rPr>
          <w:rFonts w:ascii="Arial" w:hAnsi="Arial" w:cs="Arial"/>
          <w:sz w:val="24"/>
          <w:szCs w:val="24"/>
        </w:rPr>
        <w:t xml:space="preserve"> providing safe and effective care enables children to have optimum life chances and enter </w:t>
      </w:r>
      <w:r w:rsidR="003C5803" w:rsidRPr="00CA0C56">
        <w:rPr>
          <w:rFonts w:ascii="Arial" w:hAnsi="Arial" w:cs="Arial"/>
          <w:sz w:val="24"/>
          <w:szCs w:val="24"/>
        </w:rPr>
        <w:t>adulthood</w:t>
      </w:r>
      <w:r w:rsidRPr="00CA0C56">
        <w:rPr>
          <w:rFonts w:ascii="Arial" w:hAnsi="Arial" w:cs="Arial"/>
          <w:sz w:val="24"/>
          <w:szCs w:val="24"/>
        </w:rPr>
        <w:t xml:space="preserve"> successfully.</w:t>
      </w:r>
    </w:p>
    <w:p w14:paraId="4CC60A55" w14:textId="77777777" w:rsidR="000B3DE8" w:rsidRPr="00CA0C56" w:rsidRDefault="000B3DE8" w:rsidP="00CA0C56">
      <w:pPr>
        <w:spacing w:line="360" w:lineRule="auto"/>
        <w:rPr>
          <w:rFonts w:ascii="Arial" w:hAnsi="Arial" w:cs="Arial"/>
          <w:sz w:val="24"/>
          <w:szCs w:val="24"/>
        </w:rPr>
      </w:pPr>
    </w:p>
    <w:p w14:paraId="12F8CBDC" w14:textId="0B72B31D" w:rsidR="00F97D59" w:rsidRDefault="001E1A84" w:rsidP="00CA0C56">
      <w:pPr>
        <w:spacing w:line="360" w:lineRule="auto"/>
        <w:rPr>
          <w:rFonts w:ascii="Arial" w:hAnsi="Arial" w:cs="Arial"/>
          <w:b/>
          <w:bCs/>
          <w:i/>
          <w:iCs/>
          <w:sz w:val="24"/>
          <w:szCs w:val="24"/>
        </w:rPr>
      </w:pPr>
      <w:r w:rsidRPr="00B12310">
        <w:rPr>
          <w:rFonts w:ascii="Arial" w:hAnsi="Arial" w:cs="Arial"/>
          <w:b/>
          <w:bCs/>
          <w:i/>
          <w:iCs/>
          <w:sz w:val="24"/>
          <w:szCs w:val="24"/>
        </w:rPr>
        <w:t xml:space="preserve">Multi-agency </w:t>
      </w:r>
      <w:r w:rsidR="00B12310" w:rsidRPr="00B12310">
        <w:rPr>
          <w:rFonts w:ascii="Arial" w:hAnsi="Arial" w:cs="Arial"/>
          <w:b/>
          <w:bCs/>
          <w:i/>
          <w:iCs/>
          <w:sz w:val="24"/>
          <w:szCs w:val="24"/>
        </w:rPr>
        <w:t>collaboration</w:t>
      </w:r>
    </w:p>
    <w:p w14:paraId="4A4E2152" w14:textId="77777777" w:rsidR="00B12310" w:rsidRPr="00B12310" w:rsidRDefault="00B12310" w:rsidP="00CA0C56">
      <w:pPr>
        <w:spacing w:line="360" w:lineRule="auto"/>
        <w:rPr>
          <w:rFonts w:ascii="Arial" w:hAnsi="Arial" w:cs="Arial"/>
          <w:b/>
          <w:bCs/>
          <w:i/>
          <w:iCs/>
          <w:sz w:val="24"/>
          <w:szCs w:val="24"/>
        </w:rPr>
      </w:pPr>
    </w:p>
    <w:p w14:paraId="705A99D6" w14:textId="0F3E689D" w:rsidR="000B359F" w:rsidRPr="00CA0C56" w:rsidRDefault="001E1A84" w:rsidP="00CA0C56">
      <w:pPr>
        <w:spacing w:line="360" w:lineRule="auto"/>
        <w:rPr>
          <w:rFonts w:ascii="Arial" w:hAnsi="Arial" w:cs="Arial"/>
          <w:sz w:val="24"/>
          <w:szCs w:val="24"/>
        </w:rPr>
      </w:pPr>
      <w:r w:rsidRPr="00CA0C56">
        <w:rPr>
          <w:rFonts w:ascii="Arial" w:hAnsi="Arial" w:cs="Arial"/>
          <w:sz w:val="24"/>
          <w:szCs w:val="24"/>
        </w:rPr>
        <w:t>Collaboration across agencies has become a political necessity. There is inconclusive evidence as to whether the government's hopes for how it would work in practice have materialised. Mutual respect and some degree of shared values and goals are required for effective partnership</w:t>
      </w:r>
      <w:r w:rsidR="003D1465" w:rsidRPr="00CA0C56">
        <w:rPr>
          <w:rFonts w:ascii="Arial" w:hAnsi="Arial" w:cs="Arial"/>
          <w:sz w:val="24"/>
          <w:szCs w:val="24"/>
        </w:rPr>
        <w:t>,</w:t>
      </w:r>
      <w:r w:rsidR="007518E0" w:rsidRPr="00CA0C56">
        <w:rPr>
          <w:rFonts w:ascii="Arial" w:hAnsi="Arial" w:cs="Arial"/>
          <w:sz w:val="24"/>
          <w:szCs w:val="24"/>
        </w:rPr>
        <w:t xml:space="preserve"> </w:t>
      </w:r>
      <w:r w:rsidR="00184981" w:rsidRPr="00CA0C56">
        <w:rPr>
          <w:rFonts w:ascii="Arial" w:hAnsi="Arial" w:cs="Arial"/>
          <w:sz w:val="24"/>
          <w:szCs w:val="24"/>
        </w:rPr>
        <w:t xml:space="preserve">this is a long term process, so </w:t>
      </w:r>
      <w:r w:rsidR="00631E95" w:rsidRPr="00CA0C56">
        <w:rPr>
          <w:rFonts w:ascii="Arial" w:hAnsi="Arial" w:cs="Arial"/>
          <w:sz w:val="24"/>
          <w:szCs w:val="24"/>
        </w:rPr>
        <w:t xml:space="preserve">it is both time-consuming and cultivating. </w:t>
      </w:r>
      <w:r w:rsidR="003F449C" w:rsidRPr="00CA0C56">
        <w:rPr>
          <w:rFonts w:ascii="Arial" w:hAnsi="Arial" w:cs="Arial"/>
          <w:sz w:val="24"/>
          <w:szCs w:val="24"/>
        </w:rPr>
        <w:t>It is debatable whether the principles underlying multi-agency collaboration have value when implemented in the best interests of young people rather than political or agency initiatives</w:t>
      </w:r>
      <w:r w:rsidR="000A7DA7" w:rsidRPr="00CA0C56">
        <w:rPr>
          <w:rFonts w:ascii="Arial" w:hAnsi="Arial" w:cs="Arial"/>
          <w:sz w:val="24"/>
          <w:szCs w:val="24"/>
        </w:rPr>
        <w:t xml:space="preserve"> </w:t>
      </w:r>
      <w:r w:rsidR="00DF3C54" w:rsidRPr="00CA0C56">
        <w:rPr>
          <w:rFonts w:ascii="Arial" w:hAnsi="Arial" w:cs="Arial"/>
          <w:sz w:val="24"/>
          <w:szCs w:val="24"/>
        </w:rPr>
        <w:t>(</w:t>
      </w:r>
      <w:r w:rsidR="000A7DA7" w:rsidRPr="00CA0C56">
        <w:rPr>
          <w:rFonts w:ascii="Arial" w:hAnsi="Arial" w:cs="Arial"/>
          <w:sz w:val="24"/>
          <w:szCs w:val="24"/>
        </w:rPr>
        <w:t>Hogan, Dogra and Kitchen</w:t>
      </w:r>
      <w:r w:rsidR="00DF3C54" w:rsidRPr="00CA0C56">
        <w:rPr>
          <w:rFonts w:ascii="Arial" w:hAnsi="Arial" w:cs="Arial"/>
          <w:sz w:val="24"/>
          <w:szCs w:val="24"/>
        </w:rPr>
        <w:t>, 2009)</w:t>
      </w:r>
      <w:r w:rsidR="003F449C" w:rsidRPr="00CA0C56">
        <w:rPr>
          <w:rFonts w:ascii="Arial" w:hAnsi="Arial" w:cs="Arial"/>
          <w:sz w:val="24"/>
          <w:szCs w:val="24"/>
        </w:rPr>
        <w:t>.</w:t>
      </w:r>
    </w:p>
    <w:p w14:paraId="44756EA9" w14:textId="3BD5F40B" w:rsidR="0056559B" w:rsidRPr="00CA0C56" w:rsidRDefault="001E1A84" w:rsidP="00CA0C56">
      <w:pPr>
        <w:spacing w:line="360" w:lineRule="auto"/>
        <w:rPr>
          <w:rFonts w:ascii="Arial" w:hAnsi="Arial" w:cs="Arial"/>
          <w:sz w:val="24"/>
          <w:szCs w:val="24"/>
        </w:rPr>
      </w:pPr>
      <w:r w:rsidRPr="00CA0C56">
        <w:rPr>
          <w:rFonts w:ascii="Arial" w:hAnsi="Arial" w:cs="Arial"/>
          <w:sz w:val="24"/>
          <w:szCs w:val="24"/>
        </w:rPr>
        <w:t>The government has made a significant investment to improve educational attainment and placement stability for looked after children. However, gains have been disappointing, and children in care are still achieving below their peers. It is suggested (Conway</w:t>
      </w:r>
      <w:r w:rsidR="00406934">
        <w:rPr>
          <w:rFonts w:ascii="Arial" w:hAnsi="Arial" w:cs="Arial"/>
          <w:sz w:val="24"/>
          <w:szCs w:val="24"/>
        </w:rPr>
        <w:t>, 2009</w:t>
      </w:r>
      <w:r w:rsidR="004C695C">
        <w:rPr>
          <w:rFonts w:ascii="Arial" w:hAnsi="Arial" w:cs="Arial"/>
          <w:sz w:val="24"/>
          <w:szCs w:val="24"/>
        </w:rPr>
        <w:t>)</w:t>
      </w:r>
      <w:r w:rsidRPr="00CA0C56">
        <w:rPr>
          <w:rFonts w:ascii="Arial" w:hAnsi="Arial" w:cs="Arial"/>
          <w:sz w:val="24"/>
          <w:szCs w:val="24"/>
        </w:rPr>
        <w:t xml:space="preserve"> that for the project of multi-agency work to be effective in </w:t>
      </w:r>
      <w:r w:rsidRPr="00CA0C56">
        <w:rPr>
          <w:rFonts w:ascii="Arial" w:hAnsi="Arial" w:cs="Arial"/>
          <w:sz w:val="24"/>
          <w:szCs w:val="24"/>
        </w:rPr>
        <w:lastRenderedPageBreak/>
        <w:t>improving outcomes for looked after children, the psychoanalytic concepts of splitting and projection need to be integrated and applied at all levels of policy development and service provision.</w:t>
      </w:r>
    </w:p>
    <w:p w14:paraId="0AACE0AA" w14:textId="5103E3F7" w:rsidR="007B6FA7" w:rsidRPr="00CA0C56" w:rsidRDefault="001E1A84" w:rsidP="00CA0C56">
      <w:pPr>
        <w:spacing w:line="360" w:lineRule="auto"/>
        <w:rPr>
          <w:rFonts w:ascii="Arial" w:hAnsi="Arial" w:cs="Arial"/>
          <w:sz w:val="24"/>
          <w:szCs w:val="24"/>
        </w:rPr>
      </w:pPr>
      <w:r w:rsidRPr="00CA0C56">
        <w:rPr>
          <w:rFonts w:ascii="Arial" w:hAnsi="Arial" w:cs="Arial"/>
          <w:sz w:val="24"/>
          <w:szCs w:val="24"/>
        </w:rPr>
        <w:t>The fundamental issue upon which the process is based in the child's right not to be mistreated and the parent's right not to be interfered with by governmental officials. Similar criticism was made twenty years earlier when there were worries about the government's childcare agents using too much coercive force and often not doing incompetently enough. As a result, there is a need for law and policy to aim to enhance child and patent protection (H</w:t>
      </w:r>
      <w:r w:rsidR="005A0C2B">
        <w:rPr>
          <w:rFonts w:ascii="Arial" w:hAnsi="Arial" w:cs="Arial"/>
          <w:sz w:val="24"/>
          <w:szCs w:val="24"/>
        </w:rPr>
        <w:t>arding, 2014).</w:t>
      </w:r>
    </w:p>
    <w:p w14:paraId="3ABF74B7" w14:textId="4B1EB9E0" w:rsidR="00592342" w:rsidRDefault="001E1A84" w:rsidP="009C7EC6">
      <w:pPr>
        <w:spacing w:line="360" w:lineRule="auto"/>
        <w:rPr>
          <w:rFonts w:ascii="Arial" w:hAnsi="Arial" w:cs="Arial"/>
          <w:sz w:val="24"/>
          <w:szCs w:val="24"/>
        </w:rPr>
      </w:pPr>
      <w:r w:rsidRPr="009C7EC6">
        <w:rPr>
          <w:rFonts w:ascii="Arial" w:hAnsi="Arial" w:cs="Arial"/>
          <w:sz w:val="24"/>
          <w:szCs w:val="24"/>
        </w:rPr>
        <w:t xml:space="preserve">The child welfare teams work with children and families to implement the core principles of the 2004 Children Act. Respondents to the Every Child Matters consultation paper emphasised the importance of encompassing the entire spectrum of people and organisations that improve children's lives (Every </w:t>
      </w:r>
      <w:r w:rsidR="007D7B5F">
        <w:rPr>
          <w:rFonts w:ascii="Arial" w:hAnsi="Arial" w:cs="Arial"/>
          <w:sz w:val="24"/>
          <w:szCs w:val="24"/>
        </w:rPr>
        <w:t>Child Ma</w:t>
      </w:r>
      <w:r w:rsidRPr="009C7EC6">
        <w:rPr>
          <w:rFonts w:ascii="Arial" w:hAnsi="Arial" w:cs="Arial"/>
          <w:sz w:val="24"/>
          <w:szCs w:val="24"/>
        </w:rPr>
        <w:t>tters, 2004)</w:t>
      </w:r>
      <w:r w:rsidR="00966A84">
        <w:rPr>
          <w:rFonts w:ascii="Arial" w:hAnsi="Arial" w:cs="Arial"/>
          <w:sz w:val="24"/>
          <w:szCs w:val="24"/>
        </w:rPr>
        <w:t>.</w:t>
      </w:r>
    </w:p>
    <w:p w14:paraId="29DD0840" w14:textId="1852F569" w:rsidR="00676199" w:rsidRPr="009C7EC6" w:rsidRDefault="001E1A84" w:rsidP="009C7EC6">
      <w:pPr>
        <w:spacing w:line="360" w:lineRule="auto"/>
        <w:divId w:val="788352566"/>
        <w:rPr>
          <w:rFonts w:ascii="Arial" w:hAnsi="Arial" w:cs="Arial"/>
          <w:sz w:val="24"/>
          <w:szCs w:val="24"/>
        </w:rPr>
      </w:pPr>
      <w:r w:rsidRPr="009C7EC6">
        <w:rPr>
          <w:rFonts w:ascii="Arial" w:hAnsi="Arial" w:cs="Arial"/>
          <w:sz w:val="24"/>
          <w:szCs w:val="24"/>
        </w:rPr>
        <w:t xml:space="preserve">According to Frost and Lloyd (2006), implementing the Children Act to enable integrated functioning is a difficult task that necessitates strong leadership </w:t>
      </w:r>
      <w:r w:rsidR="001F3CD1">
        <w:rPr>
          <w:rFonts w:ascii="Arial" w:hAnsi="Arial" w:cs="Arial"/>
          <w:sz w:val="24"/>
          <w:szCs w:val="24"/>
        </w:rPr>
        <w:t>and administration</w:t>
      </w:r>
      <w:r w:rsidR="00BF0FBF">
        <w:rPr>
          <w:rFonts w:ascii="Arial" w:hAnsi="Arial" w:cs="Arial"/>
          <w:sz w:val="24"/>
          <w:szCs w:val="24"/>
        </w:rPr>
        <w:t>. All</w:t>
      </w:r>
      <w:r w:rsidRPr="009C7EC6">
        <w:rPr>
          <w:rFonts w:ascii="Arial" w:hAnsi="Arial" w:cs="Arial"/>
          <w:sz w:val="24"/>
          <w:szCs w:val="24"/>
        </w:rPr>
        <w:t xml:space="preserve"> professionals, whether they work within or outside of organisations, must use precise communication methods. The danger of collaborative work is that these communication channels will be disrupted.</w:t>
      </w:r>
    </w:p>
    <w:p w14:paraId="318C2525" w14:textId="55911BE4" w:rsidR="00447E69" w:rsidRDefault="001E1A84" w:rsidP="00CA0C56">
      <w:pPr>
        <w:spacing w:line="360" w:lineRule="auto"/>
        <w:rPr>
          <w:rFonts w:ascii="Arial" w:hAnsi="Arial" w:cs="Arial"/>
          <w:sz w:val="24"/>
          <w:szCs w:val="24"/>
        </w:rPr>
      </w:pPr>
      <w:r w:rsidRPr="00CA0C56">
        <w:rPr>
          <w:rFonts w:ascii="Arial" w:hAnsi="Arial" w:cs="Arial"/>
          <w:sz w:val="24"/>
          <w:szCs w:val="24"/>
        </w:rPr>
        <w:t>There are several cases of current UK government policies that attempt to place children and their families at the centre of care planning, with agencies collaborating to offer care around them. The public inquiry following the death of Victoria Climbie (Laming, 2003) and other official complaints of the present child safety system have been landmarks in recent policy</w:t>
      </w:r>
      <w:r w:rsidR="00DB1DD6">
        <w:rPr>
          <w:rFonts w:ascii="Arial" w:hAnsi="Arial" w:cs="Arial"/>
          <w:sz w:val="24"/>
          <w:szCs w:val="24"/>
        </w:rPr>
        <w:t xml:space="preserve"> change</w:t>
      </w:r>
      <w:r w:rsidRPr="00CA0C56">
        <w:rPr>
          <w:rFonts w:ascii="Arial" w:hAnsi="Arial" w:cs="Arial"/>
          <w:sz w:val="24"/>
          <w:szCs w:val="24"/>
        </w:rPr>
        <w:t>. Following proposals include forming children's trusts, consolidating social, health, and education services for children, and establishing an independent children's commissioner in England to supplement comparable appointments in the other UK nations.</w:t>
      </w:r>
    </w:p>
    <w:p w14:paraId="54958F96" w14:textId="0B181970" w:rsidR="001B273C" w:rsidRDefault="001E1A84" w:rsidP="00CA0C56">
      <w:pPr>
        <w:spacing w:line="360" w:lineRule="auto"/>
        <w:rPr>
          <w:rFonts w:ascii="Arial" w:hAnsi="Arial" w:cs="Arial"/>
          <w:b/>
          <w:i/>
          <w:sz w:val="24"/>
          <w:szCs w:val="24"/>
        </w:rPr>
      </w:pPr>
      <w:r w:rsidRPr="00CA0C56">
        <w:rPr>
          <w:rFonts w:ascii="Arial" w:hAnsi="Arial" w:cs="Arial"/>
          <w:b/>
          <w:bCs/>
          <w:i/>
          <w:iCs/>
          <w:sz w:val="24"/>
          <w:szCs w:val="24"/>
        </w:rPr>
        <w:t>Disadvantages</w:t>
      </w:r>
      <w:r w:rsidR="00F853FD">
        <w:rPr>
          <w:rFonts w:ascii="Arial" w:hAnsi="Arial" w:cs="Arial"/>
          <w:b/>
          <w:bCs/>
          <w:i/>
          <w:iCs/>
          <w:sz w:val="24"/>
          <w:szCs w:val="24"/>
        </w:rPr>
        <w:t xml:space="preserve"> </w:t>
      </w:r>
      <w:r w:rsidR="00531E0E">
        <w:rPr>
          <w:rFonts w:ascii="Arial" w:hAnsi="Arial" w:cs="Arial"/>
          <w:b/>
          <w:bCs/>
          <w:i/>
          <w:iCs/>
          <w:sz w:val="24"/>
          <w:szCs w:val="24"/>
        </w:rPr>
        <w:t>&amp; Advantages</w:t>
      </w:r>
    </w:p>
    <w:p w14:paraId="5CCB4D98" w14:textId="77777777" w:rsidR="00531E0E" w:rsidRPr="00CA0C56" w:rsidRDefault="00531E0E" w:rsidP="00CA0C56">
      <w:pPr>
        <w:spacing w:line="360" w:lineRule="auto"/>
        <w:rPr>
          <w:rFonts w:ascii="Arial" w:hAnsi="Arial" w:cs="Arial"/>
          <w:sz w:val="24"/>
          <w:szCs w:val="24"/>
        </w:rPr>
      </w:pPr>
    </w:p>
    <w:p w14:paraId="3FA580F7" w14:textId="77777777" w:rsidR="009F4A18" w:rsidRPr="00CA0C56" w:rsidRDefault="001E1A84" w:rsidP="006C66C6">
      <w:pPr>
        <w:spacing w:line="360" w:lineRule="auto"/>
        <w:rPr>
          <w:rFonts w:ascii="Arial" w:hAnsi="Arial" w:cs="Arial"/>
          <w:sz w:val="24"/>
          <w:szCs w:val="24"/>
        </w:rPr>
      </w:pPr>
      <w:r w:rsidRPr="00CA0C56">
        <w:rPr>
          <w:rFonts w:ascii="Arial" w:hAnsi="Arial" w:cs="Arial"/>
          <w:sz w:val="24"/>
          <w:szCs w:val="24"/>
        </w:rPr>
        <w:t>The Green paper published after the math of the inquiry into the death of Victoria Climbie proposes a range of measures to reform and improve children's care. Fifty-</w:t>
      </w:r>
      <w:r w:rsidRPr="00CA0C56">
        <w:rPr>
          <w:rFonts w:ascii="Arial" w:hAnsi="Arial" w:cs="Arial"/>
          <w:sz w:val="24"/>
          <w:szCs w:val="24"/>
        </w:rPr>
        <w:lastRenderedPageBreak/>
        <w:t>Seven professionals in multiple services across different parts of the country failed to communicate sufficiently to protect Victoria from cultural and ethical differences.</w:t>
      </w:r>
    </w:p>
    <w:p w14:paraId="4B5159D3" w14:textId="77777777" w:rsidR="009F4A18" w:rsidRPr="00CA0C56" w:rsidRDefault="001E1A84" w:rsidP="006C66C6">
      <w:pPr>
        <w:spacing w:line="360" w:lineRule="auto"/>
        <w:rPr>
          <w:rFonts w:ascii="Arial" w:hAnsi="Arial" w:cs="Arial"/>
          <w:sz w:val="24"/>
          <w:szCs w:val="24"/>
        </w:rPr>
      </w:pPr>
      <w:r w:rsidRPr="00CA0C56">
        <w:rPr>
          <w:rFonts w:ascii="Arial" w:hAnsi="Arial" w:cs="Arial"/>
          <w:sz w:val="24"/>
          <w:szCs w:val="24"/>
        </w:rPr>
        <w:t>Numbers alone cannot explain the repeated inquiry finding that something had gone fatally wrong in the communication between professionals. However, recommendations for better communication between professionals were not prevented. The same finding emerged again in November 2008, following the death of baby P. Ofsted reported that across the county, there were still failings by several agencies working with children to communicate with each other, despite the Laming review.</w:t>
      </w:r>
    </w:p>
    <w:p w14:paraId="653C4680" w14:textId="77777777" w:rsidR="00531E0E" w:rsidRDefault="001E1A84" w:rsidP="00CA0C56">
      <w:pPr>
        <w:spacing w:line="360" w:lineRule="auto"/>
        <w:rPr>
          <w:rFonts w:ascii="Arial" w:hAnsi="Arial" w:cs="Arial"/>
          <w:sz w:val="24"/>
          <w:szCs w:val="24"/>
        </w:rPr>
      </w:pPr>
      <w:r w:rsidRPr="00CA0C56">
        <w:rPr>
          <w:rFonts w:ascii="Arial" w:hAnsi="Arial" w:cs="Arial"/>
          <w:sz w:val="24"/>
          <w:szCs w:val="24"/>
        </w:rPr>
        <w:t xml:space="preserve">The government has also committed to ending child poverty. It has placed a duty on local authorities to promote the well-being of all children and young people under the Children Act, 2004, and funding community programmes like Sure Start and the Children's Fund. </w:t>
      </w:r>
    </w:p>
    <w:p w14:paraId="68231A64" w14:textId="2B73ABB9" w:rsidR="0056559B" w:rsidRPr="00CA0C56" w:rsidRDefault="001E1A84" w:rsidP="00CA0C56">
      <w:pPr>
        <w:spacing w:line="360" w:lineRule="auto"/>
        <w:rPr>
          <w:rFonts w:ascii="Arial" w:hAnsi="Arial" w:cs="Arial"/>
          <w:sz w:val="24"/>
          <w:szCs w:val="24"/>
        </w:rPr>
      </w:pPr>
      <w:r w:rsidRPr="00CA0C56">
        <w:rPr>
          <w:rFonts w:ascii="Arial" w:hAnsi="Arial" w:cs="Arial"/>
          <w:sz w:val="24"/>
          <w:szCs w:val="24"/>
        </w:rPr>
        <w:t>Multi-agency working and better communications often result in splits, divisions and a failure to communicate within and between services for vulnerable children with sometimes devastating consequences. Complaints abound as a culture of blame is endemic.</w:t>
      </w:r>
    </w:p>
    <w:p w14:paraId="22BE99B1" w14:textId="77777777" w:rsidR="00660686" w:rsidRDefault="001E1A84" w:rsidP="00CA0C56">
      <w:pPr>
        <w:spacing w:line="360" w:lineRule="auto"/>
        <w:rPr>
          <w:rFonts w:ascii="Arial" w:hAnsi="Arial" w:cs="Arial"/>
          <w:sz w:val="24"/>
          <w:szCs w:val="24"/>
        </w:rPr>
      </w:pPr>
      <w:r w:rsidRPr="00CA0C56">
        <w:rPr>
          <w:rFonts w:ascii="Arial" w:hAnsi="Arial" w:cs="Arial"/>
          <w:sz w:val="24"/>
          <w:szCs w:val="24"/>
        </w:rPr>
        <w:t>The primary explanation for interagency communication failures is that one critical member within that system failed to fulfil their part of the process, failing protective intervention. It is not the individual within the critical system but the system's structure itself.</w:t>
      </w:r>
      <w:r w:rsidR="00241040" w:rsidRPr="00CA0C56">
        <w:rPr>
          <w:rFonts w:ascii="Arial" w:hAnsi="Arial" w:cs="Arial"/>
          <w:sz w:val="24"/>
          <w:szCs w:val="24"/>
        </w:rPr>
        <w:t xml:space="preserve"> </w:t>
      </w:r>
    </w:p>
    <w:p w14:paraId="0F8FA397" w14:textId="1F30FABB" w:rsidR="0056559B" w:rsidRPr="00CA0C56" w:rsidRDefault="001E1A84" w:rsidP="00CA0C56">
      <w:pPr>
        <w:spacing w:line="360" w:lineRule="auto"/>
        <w:rPr>
          <w:rFonts w:ascii="Arial" w:hAnsi="Arial" w:cs="Arial"/>
          <w:sz w:val="24"/>
          <w:szCs w:val="24"/>
        </w:rPr>
      </w:pPr>
      <w:r w:rsidRPr="00CA0C56">
        <w:rPr>
          <w:rFonts w:ascii="Arial" w:hAnsi="Arial" w:cs="Arial"/>
          <w:sz w:val="24"/>
          <w:szCs w:val="24"/>
        </w:rPr>
        <w:t xml:space="preserve">The fact that one person within a system may be held responsible for a child's damage undermines the entire idea of collective interagency decision-making and responsibility. Agencies may fall into the easy tendency of looking for a scapegoat that reflects a social individualism culture and the adversarial legal system. When things go wrong in the UK, the system fosters the blame of </w:t>
      </w:r>
      <w:r w:rsidR="003B77CA" w:rsidRPr="00CA0C56">
        <w:rPr>
          <w:rFonts w:ascii="Arial" w:hAnsi="Arial" w:cs="Arial"/>
          <w:sz w:val="24"/>
          <w:szCs w:val="24"/>
        </w:rPr>
        <w:t>authorities</w:t>
      </w:r>
      <w:r w:rsidR="00DF658C" w:rsidRPr="00CA0C56">
        <w:rPr>
          <w:rFonts w:ascii="Arial" w:hAnsi="Arial" w:cs="Arial"/>
          <w:sz w:val="24"/>
          <w:szCs w:val="24"/>
        </w:rPr>
        <w:t xml:space="preserve"> and individuals</w:t>
      </w:r>
      <w:r w:rsidR="00EC2FFA" w:rsidRPr="00CA0C56">
        <w:rPr>
          <w:rFonts w:ascii="Arial" w:hAnsi="Arial" w:cs="Arial"/>
          <w:sz w:val="24"/>
          <w:szCs w:val="24"/>
        </w:rPr>
        <w:t xml:space="preserve"> (Murphy</w:t>
      </w:r>
      <w:r w:rsidR="0068316A">
        <w:rPr>
          <w:rFonts w:ascii="Arial" w:hAnsi="Arial" w:cs="Arial"/>
          <w:sz w:val="24"/>
          <w:szCs w:val="24"/>
        </w:rPr>
        <w:t xml:space="preserve"> and Faulkner,</w:t>
      </w:r>
      <w:r w:rsidR="00EC2FFA" w:rsidRPr="00CA0C56">
        <w:rPr>
          <w:rFonts w:ascii="Arial" w:hAnsi="Arial" w:cs="Arial"/>
          <w:sz w:val="24"/>
          <w:szCs w:val="24"/>
        </w:rPr>
        <w:t xml:space="preserve"> 2000).</w:t>
      </w:r>
    </w:p>
    <w:p w14:paraId="52BCC784" w14:textId="77777777" w:rsidR="00910C84" w:rsidRDefault="001E1A84" w:rsidP="00CA0C56">
      <w:pPr>
        <w:spacing w:line="360" w:lineRule="auto"/>
        <w:rPr>
          <w:rFonts w:ascii="Arial" w:hAnsi="Arial" w:cs="Arial"/>
          <w:sz w:val="24"/>
          <w:szCs w:val="24"/>
        </w:rPr>
      </w:pPr>
      <w:r w:rsidRPr="00CA0C56">
        <w:rPr>
          <w:rFonts w:ascii="Arial" w:hAnsi="Arial" w:cs="Arial"/>
          <w:sz w:val="24"/>
          <w:szCs w:val="24"/>
        </w:rPr>
        <w:t xml:space="preserve">The common assessment process does not address structural barriers to effective multi-agency collaboration. Unified service workers lack the relevant specialised training and background to address some of the complex social problems they may undergo confidently and effectively (Walker, 2018). </w:t>
      </w:r>
    </w:p>
    <w:p w14:paraId="7CF33EE0" w14:textId="669A9115" w:rsidR="00B95DCC" w:rsidRPr="00CA0C56" w:rsidRDefault="001E1A84" w:rsidP="00CA0C56">
      <w:pPr>
        <w:spacing w:line="360" w:lineRule="auto"/>
        <w:rPr>
          <w:rFonts w:ascii="Arial" w:hAnsi="Arial" w:cs="Arial"/>
          <w:sz w:val="24"/>
          <w:szCs w:val="24"/>
        </w:rPr>
      </w:pPr>
      <w:r w:rsidRPr="00CA0C56">
        <w:rPr>
          <w:rFonts w:ascii="Arial" w:hAnsi="Arial" w:cs="Arial"/>
          <w:sz w:val="24"/>
          <w:szCs w:val="24"/>
        </w:rPr>
        <w:lastRenderedPageBreak/>
        <w:t>Different perspectives of staff members on the child's team will also influence how they understand, interpret, and carry out their work. When employees disagree because there are effectively two managers, it can lead to confusion about who has the final say, leading to resentment, conflict, and ongoing issues, all of which can affect existing and future work quality.</w:t>
      </w:r>
    </w:p>
    <w:p w14:paraId="0B82D55B" w14:textId="77777777" w:rsidR="00B95DCC" w:rsidRPr="00CA0C56" w:rsidRDefault="00B95DCC" w:rsidP="00CA0C56">
      <w:pPr>
        <w:spacing w:line="360" w:lineRule="auto"/>
        <w:rPr>
          <w:rFonts w:ascii="Arial" w:hAnsi="Arial" w:cs="Arial"/>
          <w:sz w:val="24"/>
          <w:szCs w:val="24"/>
        </w:rPr>
      </w:pPr>
    </w:p>
    <w:p w14:paraId="07B3B190" w14:textId="2726B7EF" w:rsidR="00412D89" w:rsidRPr="00CA0C56" w:rsidRDefault="001E1A84" w:rsidP="00412D89">
      <w:pPr>
        <w:spacing w:line="360" w:lineRule="auto"/>
        <w:rPr>
          <w:rFonts w:ascii="Arial" w:hAnsi="Arial" w:cs="Arial"/>
          <w:sz w:val="24"/>
          <w:szCs w:val="24"/>
        </w:rPr>
      </w:pPr>
      <w:r>
        <w:rPr>
          <w:rFonts w:ascii="Arial" w:hAnsi="Arial" w:cs="Arial"/>
          <w:sz w:val="24"/>
          <w:szCs w:val="24"/>
        </w:rPr>
        <w:t>Non the less, m</w:t>
      </w:r>
      <w:r w:rsidRPr="00CA0C56">
        <w:rPr>
          <w:rFonts w:ascii="Arial" w:hAnsi="Arial" w:cs="Arial"/>
          <w:sz w:val="24"/>
          <w:szCs w:val="24"/>
        </w:rPr>
        <w:t>ulti-agency collaboration is essential for effective safeguarding and child protection (Sidebotham et al., 2016). Throughout a child's life, they and their families will have access to a variety of services. Practitioners must collaborate to acquire a comprehensive understanding of a child's condition and to provide coordinated care. Case studies in each of the United Kingdom's nations emphasise the significance of information exchange and collaboration among agencies so that experts may fully understand any threats a child may be exposed to and take necessary action to keep them safe (NSPCC, 2019).</w:t>
      </w:r>
    </w:p>
    <w:p w14:paraId="44EC850B" w14:textId="14097E33" w:rsidR="00950046" w:rsidRDefault="001E1A84" w:rsidP="00CA0C56">
      <w:pPr>
        <w:spacing w:line="360" w:lineRule="auto"/>
        <w:rPr>
          <w:rFonts w:ascii="Arial" w:hAnsi="Arial" w:cs="Arial"/>
          <w:sz w:val="24"/>
          <w:szCs w:val="24"/>
        </w:rPr>
      </w:pPr>
      <w:r w:rsidRPr="00CA0C56">
        <w:rPr>
          <w:rFonts w:ascii="Arial" w:hAnsi="Arial" w:cs="Arial"/>
          <w:sz w:val="24"/>
          <w:szCs w:val="24"/>
        </w:rPr>
        <w:t xml:space="preserve">Police officers, doctors, nurses, teachers, teaching assistants, learning mentors, nursery staff, social workers, therapists, youth workers, leisure and recreational workers, housing staff, and practitioners working in criminal/youth justice, mental health, or drug and alcohol services are all part of the larger children's workforce. These professionals collaborate to offer services that adequately fulfil the requirements of children, youth, and their parents or caregivers. Practitioners </w:t>
      </w:r>
      <w:r w:rsidR="00776D90" w:rsidRPr="00CA0C56">
        <w:rPr>
          <w:rFonts w:ascii="Arial" w:hAnsi="Arial" w:cs="Arial"/>
          <w:sz w:val="24"/>
          <w:szCs w:val="24"/>
        </w:rPr>
        <w:t xml:space="preserve">and </w:t>
      </w:r>
      <w:r w:rsidRPr="00CA0C56">
        <w:rPr>
          <w:rFonts w:ascii="Arial" w:hAnsi="Arial" w:cs="Arial"/>
          <w:sz w:val="24"/>
          <w:szCs w:val="24"/>
        </w:rPr>
        <w:t>colleagues from the public, private, and volunteer sectors must fulfil a common core of skills and knowledge necessary for efficient multi-agency collaboration.</w:t>
      </w:r>
    </w:p>
    <w:p w14:paraId="504D15BA" w14:textId="36C64442" w:rsidR="005A0145" w:rsidRPr="006A44F2" w:rsidRDefault="001E1A84" w:rsidP="006A44F2">
      <w:pPr>
        <w:spacing w:line="360" w:lineRule="auto"/>
        <w:rPr>
          <w:rFonts w:ascii="Arial" w:hAnsi="Arial" w:cs="Arial"/>
          <w:sz w:val="24"/>
          <w:szCs w:val="24"/>
        </w:rPr>
      </w:pPr>
      <w:r w:rsidRPr="005A0145">
        <w:rPr>
          <w:rFonts w:ascii="Arial" w:hAnsi="Arial" w:cs="Arial"/>
          <w:sz w:val="24"/>
          <w:szCs w:val="24"/>
        </w:rPr>
        <w:t>Collaboration among multiple agencies is a prominent feature of emerging policy and practice in various social care settings. Although this challenging task places significant demands on both practice and policy, service users agree that it improves service provision when performed well.</w:t>
      </w:r>
    </w:p>
    <w:p w14:paraId="372629EF" w14:textId="40F074B7" w:rsidR="00B306C4" w:rsidRPr="00CA0C56" w:rsidRDefault="001E1A84" w:rsidP="00CA0C56">
      <w:pPr>
        <w:spacing w:line="360" w:lineRule="auto"/>
        <w:rPr>
          <w:rFonts w:ascii="Arial" w:hAnsi="Arial" w:cs="Arial"/>
          <w:sz w:val="24"/>
          <w:szCs w:val="24"/>
        </w:rPr>
      </w:pPr>
      <w:r w:rsidRPr="00B306C4">
        <w:rPr>
          <w:rFonts w:ascii="Arial" w:hAnsi="Arial" w:cs="Arial"/>
          <w:sz w:val="24"/>
          <w:szCs w:val="24"/>
        </w:rPr>
        <w:t xml:space="preserve">Schools and other educational settings are already helping to improve the overall well-being of children and young people in various ways, but </w:t>
      </w:r>
      <w:r w:rsidR="00874BAC">
        <w:rPr>
          <w:rFonts w:ascii="Arial" w:hAnsi="Arial" w:cs="Arial"/>
          <w:sz w:val="24"/>
          <w:szCs w:val="24"/>
        </w:rPr>
        <w:t>they need external help.</w:t>
      </w:r>
      <w:r w:rsidRPr="00B306C4">
        <w:rPr>
          <w:rFonts w:ascii="Arial" w:hAnsi="Arial" w:cs="Arial"/>
          <w:sz w:val="24"/>
          <w:szCs w:val="24"/>
        </w:rPr>
        <w:t xml:space="preserve"> Every Child Matters fosters and encourages collaboration with external agency practitioners who recognise the school or other educational setting as a valuable source of assistance</w:t>
      </w:r>
      <w:r w:rsidR="00C31DB2">
        <w:rPr>
          <w:rFonts w:ascii="Arial" w:hAnsi="Arial" w:cs="Arial"/>
          <w:sz w:val="24"/>
          <w:szCs w:val="24"/>
        </w:rPr>
        <w:t xml:space="preserve"> (</w:t>
      </w:r>
      <w:r w:rsidR="0019564C">
        <w:rPr>
          <w:rFonts w:ascii="Arial" w:hAnsi="Arial" w:cs="Arial"/>
          <w:sz w:val="24"/>
          <w:szCs w:val="24"/>
        </w:rPr>
        <w:t>Chemais, 2009).</w:t>
      </w:r>
    </w:p>
    <w:p w14:paraId="4CE3E450" w14:textId="15F18F20" w:rsidR="00804B14" w:rsidRPr="00CA0C56" w:rsidRDefault="001E1A84" w:rsidP="00CA0C56">
      <w:pPr>
        <w:spacing w:line="360" w:lineRule="auto"/>
        <w:rPr>
          <w:rFonts w:ascii="Arial" w:hAnsi="Arial" w:cs="Arial"/>
          <w:sz w:val="24"/>
          <w:szCs w:val="24"/>
        </w:rPr>
      </w:pPr>
      <w:r w:rsidRPr="00B80CB1">
        <w:rPr>
          <w:rFonts w:ascii="Arial" w:hAnsi="Arial" w:cs="Arial"/>
          <w:sz w:val="24"/>
          <w:szCs w:val="24"/>
        </w:rPr>
        <w:lastRenderedPageBreak/>
        <w:t xml:space="preserve">Schools and children's </w:t>
      </w:r>
      <w:r w:rsidR="001165CB" w:rsidRPr="00B80CB1">
        <w:rPr>
          <w:rFonts w:ascii="Arial" w:hAnsi="Arial" w:cs="Arial"/>
          <w:sz w:val="24"/>
          <w:szCs w:val="24"/>
        </w:rPr>
        <w:t>centres</w:t>
      </w:r>
      <w:r w:rsidRPr="00B80CB1">
        <w:rPr>
          <w:rFonts w:ascii="Arial" w:hAnsi="Arial" w:cs="Arial"/>
          <w:sz w:val="24"/>
          <w:szCs w:val="24"/>
        </w:rPr>
        <w:t xml:space="preserve"> that have successfully implemented Every Child Matters and multi-agency partnership work have followed the development stages. However, other specific vital factors have successfully supported moving forward in terms of multi-agency partnership working</w:t>
      </w:r>
      <w:r w:rsidR="00C9475C" w:rsidRPr="00C9475C">
        <w:rPr>
          <w:rFonts w:ascii="Arial" w:hAnsi="Arial" w:cs="Arial"/>
          <w:sz w:val="24"/>
          <w:szCs w:val="24"/>
        </w:rPr>
        <w:t>. The principle of community and the educational setting is inextricably linked to improving children's educational, health, and social opportunities</w:t>
      </w:r>
      <w:r w:rsidR="00034874">
        <w:rPr>
          <w:rFonts w:ascii="Arial" w:hAnsi="Arial" w:cs="Arial"/>
          <w:sz w:val="24"/>
          <w:szCs w:val="24"/>
        </w:rPr>
        <w:t xml:space="preserve"> (</w:t>
      </w:r>
      <w:r w:rsidR="00141A7F">
        <w:rPr>
          <w:rFonts w:ascii="Arial" w:hAnsi="Arial" w:cs="Arial"/>
          <w:sz w:val="24"/>
          <w:szCs w:val="24"/>
        </w:rPr>
        <w:t xml:space="preserve">Harris </w:t>
      </w:r>
      <w:r w:rsidR="00BD2F8F">
        <w:rPr>
          <w:rFonts w:ascii="Arial" w:hAnsi="Arial" w:cs="Arial"/>
          <w:sz w:val="24"/>
          <w:szCs w:val="24"/>
        </w:rPr>
        <w:t>and Allen, 2</w:t>
      </w:r>
      <w:r w:rsidR="00BF4707">
        <w:rPr>
          <w:rFonts w:ascii="Arial" w:hAnsi="Arial" w:cs="Arial"/>
          <w:sz w:val="24"/>
          <w:szCs w:val="24"/>
        </w:rPr>
        <w:t>00</w:t>
      </w:r>
      <w:r w:rsidR="00175DA4">
        <w:rPr>
          <w:rFonts w:ascii="Arial" w:hAnsi="Arial" w:cs="Arial"/>
          <w:sz w:val="24"/>
          <w:szCs w:val="24"/>
        </w:rPr>
        <w:t>9)</w:t>
      </w:r>
      <w:r w:rsidR="00126AA2">
        <w:rPr>
          <w:rFonts w:ascii="Arial" w:hAnsi="Arial" w:cs="Arial"/>
          <w:sz w:val="24"/>
          <w:szCs w:val="24"/>
        </w:rPr>
        <w:t>.</w:t>
      </w:r>
    </w:p>
    <w:p w14:paraId="5BF2618E" w14:textId="5CF30223" w:rsidR="006D15B3" w:rsidRPr="00CA0C56" w:rsidRDefault="001E1A84" w:rsidP="00CA0C56">
      <w:pPr>
        <w:spacing w:line="360" w:lineRule="auto"/>
        <w:rPr>
          <w:rFonts w:ascii="Arial" w:hAnsi="Arial" w:cs="Arial"/>
          <w:sz w:val="24"/>
          <w:szCs w:val="24"/>
        </w:rPr>
      </w:pPr>
      <w:r w:rsidRPr="00CA0C56">
        <w:rPr>
          <w:rFonts w:ascii="Arial" w:hAnsi="Arial" w:cs="Arial"/>
          <w:sz w:val="24"/>
          <w:szCs w:val="24"/>
        </w:rPr>
        <w:t>A study</w:t>
      </w:r>
      <w:r w:rsidR="006703AB">
        <w:rPr>
          <w:rFonts w:ascii="Arial" w:hAnsi="Arial" w:cs="Arial"/>
          <w:sz w:val="24"/>
          <w:szCs w:val="24"/>
        </w:rPr>
        <w:t xml:space="preserve"> </w:t>
      </w:r>
      <w:r w:rsidR="00077658">
        <w:rPr>
          <w:rFonts w:ascii="Arial" w:hAnsi="Arial" w:cs="Arial"/>
          <w:sz w:val="24"/>
          <w:szCs w:val="24"/>
        </w:rPr>
        <w:t>(Driscoll et al.,</w:t>
      </w:r>
      <w:r w:rsidR="00A87F98">
        <w:rPr>
          <w:rFonts w:ascii="Arial" w:hAnsi="Arial" w:cs="Arial"/>
          <w:sz w:val="24"/>
          <w:szCs w:val="24"/>
        </w:rPr>
        <w:t xml:space="preserve"> 2020</w:t>
      </w:r>
      <w:r w:rsidRPr="00CA0C56">
        <w:rPr>
          <w:rFonts w:ascii="Arial" w:hAnsi="Arial" w:cs="Arial"/>
          <w:sz w:val="24"/>
          <w:szCs w:val="24"/>
        </w:rPr>
        <w:t>) found that collaboration between authorities aiming to protect children has resulted in an "unprecedented" concentration on problem resolution during the coronavirus epidemic</w:t>
      </w:r>
      <w:r w:rsidR="00BE35E1" w:rsidRPr="00CA0C56">
        <w:rPr>
          <w:rFonts w:ascii="Arial" w:hAnsi="Arial" w:cs="Arial"/>
          <w:sz w:val="24"/>
          <w:szCs w:val="24"/>
        </w:rPr>
        <w:t>. Based on in-depth interviews with top officials from 15 local governments, the study found that the "intensity and pace" of working under pandemic conditions had expedited the formation of working relationships across agencies.</w:t>
      </w:r>
    </w:p>
    <w:p w14:paraId="6579D5DC" w14:textId="3EB2C908" w:rsidR="00776D90" w:rsidRPr="00CA0C56" w:rsidRDefault="001E1A84" w:rsidP="00CA0C56">
      <w:pPr>
        <w:spacing w:line="360" w:lineRule="auto"/>
        <w:rPr>
          <w:rFonts w:ascii="Arial" w:hAnsi="Arial" w:cs="Arial"/>
          <w:sz w:val="24"/>
          <w:szCs w:val="24"/>
        </w:rPr>
      </w:pPr>
      <w:r w:rsidRPr="00CA0C56">
        <w:rPr>
          <w:rFonts w:ascii="Arial" w:hAnsi="Arial" w:cs="Arial"/>
          <w:sz w:val="24"/>
          <w:szCs w:val="24"/>
        </w:rPr>
        <w:t>The study produced several other significant results, many of which reinforced the findings of previous recent studies. The complexity and severity of new cases had increased in some regions, even as referral numbers had decreased, partly due to increased domestic violence incidents during the lockdown. The divergent practice existed across and within local governments on PPE use when dealing with children and an incredible number in the proportion of families seen face-to-face.</w:t>
      </w:r>
      <w:r w:rsidR="00266330" w:rsidRPr="00CA0C56">
        <w:rPr>
          <w:rFonts w:ascii="Arial" w:hAnsi="Arial" w:cs="Arial"/>
          <w:sz w:val="24"/>
          <w:szCs w:val="24"/>
        </w:rPr>
        <w:t xml:space="preserve"> The use of technology has contributed to the maintenance and advancement of relationships with specific young people who felt more comfortable engaging via FaceTime or WhatsApp than they would during a formal visit.</w:t>
      </w:r>
    </w:p>
    <w:p w14:paraId="42971A47" w14:textId="75FAFC2B" w:rsidR="005D5B28" w:rsidRPr="00CA0C56" w:rsidRDefault="001E1A84" w:rsidP="00CA0C56">
      <w:pPr>
        <w:spacing w:line="360" w:lineRule="auto"/>
        <w:rPr>
          <w:rFonts w:ascii="Arial" w:hAnsi="Arial" w:cs="Arial"/>
          <w:sz w:val="24"/>
          <w:szCs w:val="24"/>
        </w:rPr>
      </w:pPr>
      <w:r w:rsidRPr="00CA0C56">
        <w:rPr>
          <w:rFonts w:ascii="Arial" w:hAnsi="Arial" w:cs="Arial"/>
          <w:sz w:val="24"/>
          <w:szCs w:val="24"/>
        </w:rPr>
        <w:t>Local Safeguarding Children Boards in England provide a joint training for interagency collaboration to encourage successful local partnerships to safeguard and promote the welfare of children.</w:t>
      </w:r>
      <w:r w:rsidR="00A15C8A" w:rsidRPr="00CA0C56">
        <w:rPr>
          <w:rFonts w:ascii="Arial" w:hAnsi="Arial" w:cs="Arial"/>
          <w:sz w:val="24"/>
          <w:szCs w:val="24"/>
        </w:rPr>
        <w:t xml:space="preserve"> </w:t>
      </w:r>
      <w:r w:rsidR="009928F4" w:rsidRPr="00CA0C56">
        <w:rPr>
          <w:rFonts w:ascii="Arial" w:hAnsi="Arial" w:cs="Arial"/>
          <w:sz w:val="24"/>
          <w:szCs w:val="24"/>
        </w:rPr>
        <w:t>The compulsory collaboration placed by the government on Local Safeguarding Children Boards left little choice but for partner agencies to collaborate to offer joint training, which in turn impacted the dynamics of working relationships across the different sites. The efficacy of the training subgroup determined the organisation's success and the delivery of joint working training</w:t>
      </w:r>
      <w:r w:rsidR="00524512" w:rsidRPr="00CA0C56">
        <w:rPr>
          <w:rFonts w:ascii="Arial" w:hAnsi="Arial" w:cs="Arial"/>
          <w:sz w:val="24"/>
          <w:szCs w:val="24"/>
        </w:rPr>
        <w:t xml:space="preserve"> </w:t>
      </w:r>
      <w:r w:rsidR="00646C35" w:rsidRPr="00CA0C56">
        <w:rPr>
          <w:rFonts w:ascii="Arial" w:hAnsi="Arial" w:cs="Arial"/>
          <w:sz w:val="24"/>
          <w:szCs w:val="24"/>
        </w:rPr>
        <w:t>(P</w:t>
      </w:r>
      <w:r w:rsidR="00524512" w:rsidRPr="00CA0C56">
        <w:rPr>
          <w:rFonts w:ascii="Arial" w:hAnsi="Arial" w:cs="Arial"/>
          <w:sz w:val="24"/>
          <w:szCs w:val="24"/>
        </w:rPr>
        <w:t xml:space="preserve">atsios and Carpenter, </w:t>
      </w:r>
      <w:r w:rsidR="00646C35" w:rsidRPr="00CA0C56">
        <w:rPr>
          <w:rFonts w:ascii="Arial" w:hAnsi="Arial" w:cs="Arial"/>
          <w:sz w:val="24"/>
          <w:szCs w:val="24"/>
        </w:rPr>
        <w:t>2010)</w:t>
      </w:r>
      <w:r w:rsidR="009928F4" w:rsidRPr="00CA0C56">
        <w:rPr>
          <w:rFonts w:ascii="Arial" w:hAnsi="Arial" w:cs="Arial"/>
          <w:sz w:val="24"/>
          <w:szCs w:val="24"/>
        </w:rPr>
        <w:t>.</w:t>
      </w:r>
    </w:p>
    <w:p w14:paraId="4E1302C6" w14:textId="061C487E" w:rsidR="001A3D2C" w:rsidRPr="00CA0C56" w:rsidRDefault="001E1A84" w:rsidP="00CA0C56">
      <w:pPr>
        <w:spacing w:line="360" w:lineRule="auto"/>
        <w:rPr>
          <w:rFonts w:ascii="Arial" w:hAnsi="Arial" w:cs="Arial"/>
          <w:b/>
          <w:bCs/>
          <w:i/>
          <w:iCs/>
          <w:sz w:val="24"/>
          <w:szCs w:val="24"/>
        </w:rPr>
      </w:pPr>
      <w:r w:rsidRPr="00CA0C56">
        <w:rPr>
          <w:rFonts w:ascii="Arial" w:hAnsi="Arial" w:cs="Arial"/>
          <w:b/>
          <w:bCs/>
          <w:i/>
          <w:iCs/>
          <w:sz w:val="24"/>
          <w:szCs w:val="24"/>
        </w:rPr>
        <w:t>Recommendations and Conclusion</w:t>
      </w:r>
    </w:p>
    <w:p w14:paraId="7939A28E" w14:textId="77777777" w:rsidR="00660686" w:rsidRPr="00CA0C56" w:rsidRDefault="00660686" w:rsidP="00CA0C56">
      <w:pPr>
        <w:spacing w:line="360" w:lineRule="auto"/>
        <w:rPr>
          <w:rFonts w:ascii="Arial" w:hAnsi="Arial" w:cs="Arial"/>
          <w:b/>
          <w:bCs/>
          <w:i/>
          <w:iCs/>
          <w:sz w:val="24"/>
          <w:szCs w:val="24"/>
        </w:rPr>
      </w:pPr>
    </w:p>
    <w:p w14:paraId="2CFCC1A9" w14:textId="190F098F" w:rsidR="001E1B22" w:rsidRPr="00CA0C56" w:rsidRDefault="001E1A84" w:rsidP="00CA0C56">
      <w:pPr>
        <w:spacing w:line="360" w:lineRule="auto"/>
        <w:rPr>
          <w:rFonts w:ascii="Arial" w:hAnsi="Arial" w:cs="Arial"/>
          <w:sz w:val="24"/>
          <w:szCs w:val="24"/>
        </w:rPr>
      </w:pPr>
      <w:r w:rsidRPr="00CA0C56">
        <w:rPr>
          <w:rFonts w:ascii="Arial" w:hAnsi="Arial" w:cs="Arial"/>
          <w:sz w:val="24"/>
          <w:szCs w:val="24"/>
        </w:rPr>
        <w:lastRenderedPageBreak/>
        <w:t>One area worthy of further consideration is that of universal service personnel undertaking the joint assessment. Several factors, including their enthusiasm and good intentions, can effectively impact their ability to carry out this role</w:t>
      </w:r>
      <w:r w:rsidR="00904DF2" w:rsidRPr="00CA0C56">
        <w:rPr>
          <w:rFonts w:ascii="Arial" w:hAnsi="Arial" w:cs="Arial"/>
          <w:sz w:val="24"/>
          <w:szCs w:val="24"/>
        </w:rPr>
        <w:t>.</w:t>
      </w:r>
      <w:r w:rsidR="007813FB" w:rsidRPr="00CA0C56">
        <w:rPr>
          <w:rFonts w:ascii="Arial" w:hAnsi="Arial" w:cs="Arial"/>
          <w:sz w:val="24"/>
          <w:szCs w:val="24"/>
        </w:rPr>
        <w:t xml:space="preserve"> </w:t>
      </w:r>
      <w:r w:rsidR="00904DF2" w:rsidRPr="00CA0C56">
        <w:rPr>
          <w:rFonts w:ascii="Arial" w:hAnsi="Arial" w:cs="Arial"/>
          <w:sz w:val="24"/>
          <w:szCs w:val="24"/>
        </w:rPr>
        <w:t xml:space="preserve">The development and use of a standard template for the assessment form of joint team meetings and systematic procedure are unlikely to result in shared practice, especially given that agencies are under no legal obligation to accept art or respond to requests for assistance (Pithouse and Broadhurst, 2009). </w:t>
      </w:r>
      <w:r w:rsidR="00CC338A" w:rsidRPr="00CA0C56">
        <w:rPr>
          <w:rFonts w:ascii="Arial" w:hAnsi="Arial" w:cs="Arial"/>
          <w:sz w:val="24"/>
          <w:szCs w:val="24"/>
        </w:rPr>
        <w:t>Besides this, work performed under the common assessment framework is performed in addition to their core function, implying that busy people are attempting to fit the work into their schedules. According to the</w:t>
      </w:r>
      <w:r w:rsidR="00453CFF">
        <w:rPr>
          <w:rFonts w:ascii="Arial" w:hAnsi="Arial" w:cs="Arial"/>
          <w:sz w:val="24"/>
          <w:szCs w:val="24"/>
        </w:rPr>
        <w:t xml:space="preserve"> Ofsted</w:t>
      </w:r>
      <w:r w:rsidR="00CC338A" w:rsidRPr="00CA0C56">
        <w:rPr>
          <w:rFonts w:ascii="Arial" w:hAnsi="Arial" w:cs="Arial"/>
          <w:sz w:val="24"/>
          <w:szCs w:val="24"/>
        </w:rPr>
        <w:t xml:space="preserve"> findings</w:t>
      </w:r>
      <w:r w:rsidR="00704180">
        <w:rPr>
          <w:rFonts w:ascii="Arial" w:hAnsi="Arial" w:cs="Arial"/>
          <w:sz w:val="24"/>
          <w:szCs w:val="24"/>
        </w:rPr>
        <w:t xml:space="preserve"> (</w:t>
      </w:r>
      <w:r w:rsidR="00F23725">
        <w:rPr>
          <w:rFonts w:ascii="Arial" w:hAnsi="Arial" w:cs="Arial"/>
          <w:sz w:val="24"/>
          <w:szCs w:val="24"/>
        </w:rPr>
        <w:t>Hood,</w:t>
      </w:r>
      <w:r w:rsidR="002A68F1">
        <w:rPr>
          <w:rFonts w:ascii="Arial" w:hAnsi="Arial" w:cs="Arial"/>
          <w:sz w:val="24"/>
          <w:szCs w:val="24"/>
        </w:rPr>
        <w:t xml:space="preserve"> </w:t>
      </w:r>
      <w:r w:rsidR="00F23725">
        <w:rPr>
          <w:rFonts w:ascii="Arial" w:hAnsi="Arial" w:cs="Arial"/>
          <w:sz w:val="24"/>
          <w:szCs w:val="24"/>
        </w:rPr>
        <w:t>Nilson</w:t>
      </w:r>
      <w:r w:rsidR="00072B2C">
        <w:rPr>
          <w:rFonts w:ascii="Arial" w:hAnsi="Arial" w:cs="Arial"/>
          <w:sz w:val="24"/>
          <w:szCs w:val="24"/>
        </w:rPr>
        <w:t xml:space="preserve"> and Habbi, 2019)</w:t>
      </w:r>
      <w:r w:rsidR="00F805E0">
        <w:rPr>
          <w:rFonts w:ascii="Arial" w:hAnsi="Arial" w:cs="Arial"/>
          <w:sz w:val="24"/>
          <w:szCs w:val="24"/>
        </w:rPr>
        <w:t>,</w:t>
      </w:r>
      <w:r w:rsidR="00F23725">
        <w:rPr>
          <w:rFonts w:ascii="Arial" w:hAnsi="Arial" w:cs="Arial"/>
          <w:sz w:val="24"/>
          <w:szCs w:val="24"/>
        </w:rPr>
        <w:t xml:space="preserve"> </w:t>
      </w:r>
      <w:r w:rsidR="00CC338A" w:rsidRPr="00CA0C56">
        <w:rPr>
          <w:rFonts w:ascii="Arial" w:hAnsi="Arial" w:cs="Arial"/>
          <w:sz w:val="24"/>
          <w:szCs w:val="24"/>
        </w:rPr>
        <w:t xml:space="preserve"> they may not have enough time to complete the precise and complicated work to a high standard.</w:t>
      </w:r>
    </w:p>
    <w:p w14:paraId="663AFF91" w14:textId="2DFCB627" w:rsidR="00402E00" w:rsidRPr="00CA0C56" w:rsidRDefault="001E1A84" w:rsidP="00CA0C56">
      <w:pPr>
        <w:spacing w:line="360" w:lineRule="auto"/>
        <w:rPr>
          <w:rFonts w:ascii="Arial" w:hAnsi="Arial" w:cs="Arial"/>
          <w:sz w:val="24"/>
          <w:szCs w:val="24"/>
        </w:rPr>
      </w:pPr>
      <w:r w:rsidRPr="00CA0C56">
        <w:rPr>
          <w:rFonts w:ascii="Arial" w:hAnsi="Arial" w:cs="Arial"/>
          <w:sz w:val="24"/>
          <w:szCs w:val="24"/>
        </w:rPr>
        <w:t>Previous tragic cases, such as the deaths of Victoria Climb</w:t>
      </w:r>
      <w:r w:rsidR="007F6A9C">
        <w:rPr>
          <w:rFonts w:ascii="Arial" w:hAnsi="Arial" w:cs="Arial"/>
          <w:sz w:val="24"/>
          <w:szCs w:val="24"/>
        </w:rPr>
        <w:t>ie a</w:t>
      </w:r>
      <w:r w:rsidRPr="00CA0C56">
        <w:rPr>
          <w:rFonts w:ascii="Arial" w:hAnsi="Arial" w:cs="Arial"/>
          <w:sz w:val="24"/>
          <w:szCs w:val="24"/>
        </w:rPr>
        <w:t>nd Baby P, demonstrate how the concept of effective multi-agency collaboration in practice has very different outcomes than might be expected and how to practise can differ significantly from propaganda. Appropriate referral systems both into and out of multi-agency services ensure that they do not become a fill-in for individual agencies. It is critical that they add value and do not duplicate a function performed by one of the home agencies. However, care should be taken to ensure that the child and their family do not become abandoned on 'completion of the work.</w:t>
      </w:r>
    </w:p>
    <w:p w14:paraId="76B704AB" w14:textId="77777777" w:rsidR="00402E00" w:rsidRPr="00CA0C56" w:rsidRDefault="00402E00" w:rsidP="00CA0C56">
      <w:pPr>
        <w:spacing w:line="360" w:lineRule="auto"/>
        <w:rPr>
          <w:rFonts w:ascii="Arial" w:hAnsi="Arial" w:cs="Arial"/>
          <w:sz w:val="24"/>
          <w:szCs w:val="24"/>
        </w:rPr>
      </w:pPr>
    </w:p>
    <w:p w14:paraId="3B240B20" w14:textId="77777777" w:rsidR="00C15522" w:rsidRPr="00CA0C56" w:rsidRDefault="001E1A84" w:rsidP="00CA0C56">
      <w:pPr>
        <w:spacing w:line="360" w:lineRule="auto"/>
        <w:rPr>
          <w:rFonts w:ascii="Arial" w:hAnsi="Arial" w:cs="Arial"/>
          <w:sz w:val="24"/>
          <w:szCs w:val="24"/>
        </w:rPr>
      </w:pPr>
      <w:r w:rsidRPr="00CA0C56">
        <w:rPr>
          <w:rFonts w:ascii="Arial" w:hAnsi="Arial" w:cs="Arial"/>
          <w:sz w:val="24"/>
          <w:szCs w:val="24"/>
        </w:rPr>
        <w:br w:type="page"/>
      </w:r>
    </w:p>
    <w:p w14:paraId="24BDEA09" w14:textId="73561F61" w:rsidR="00551B53" w:rsidRPr="00CC4622" w:rsidRDefault="00CC4622" w:rsidP="00E565A7">
      <w:pPr>
        <w:spacing w:line="360" w:lineRule="auto"/>
        <w:rPr>
          <w:rFonts w:ascii="Arial" w:hAnsi="Arial" w:cs="Arial"/>
          <w:b/>
          <w:i/>
          <w:color w:val="222222"/>
          <w:sz w:val="24"/>
          <w:szCs w:val="24"/>
          <w:shd w:val="clear" w:color="auto" w:fill="FFFFFF"/>
        </w:rPr>
      </w:pPr>
      <w:r>
        <w:rPr>
          <w:rFonts w:ascii="Arial" w:hAnsi="Arial" w:cs="Arial"/>
          <w:b/>
          <w:i/>
          <w:color w:val="222222"/>
          <w:sz w:val="24"/>
          <w:szCs w:val="24"/>
          <w:shd w:val="clear" w:color="auto" w:fill="FFFFFF"/>
        </w:rPr>
        <w:lastRenderedPageBreak/>
        <w:t>References</w:t>
      </w:r>
    </w:p>
    <w:p w14:paraId="2BBF11FB" w14:textId="77777777" w:rsidR="00551B53" w:rsidRPr="00E565A7" w:rsidRDefault="00551B53" w:rsidP="00E565A7">
      <w:pPr>
        <w:spacing w:line="360" w:lineRule="auto"/>
        <w:rPr>
          <w:rFonts w:ascii="Arial" w:hAnsi="Arial" w:cs="Arial"/>
          <w:sz w:val="24"/>
          <w:szCs w:val="24"/>
        </w:rPr>
      </w:pPr>
    </w:p>
    <w:p w14:paraId="11C0D36B" w14:textId="7256C9E0" w:rsidR="003247C8" w:rsidRDefault="001E1A84" w:rsidP="00E565A7">
      <w:pPr>
        <w:spacing w:line="360" w:lineRule="auto"/>
        <w:rPr>
          <w:rFonts w:ascii="Arial" w:hAnsi="Arial" w:cs="Arial"/>
          <w:sz w:val="24"/>
          <w:szCs w:val="24"/>
        </w:rPr>
      </w:pPr>
      <w:r w:rsidRPr="00E565A7">
        <w:rPr>
          <w:rFonts w:ascii="Arial" w:hAnsi="Arial" w:cs="Arial"/>
          <w:sz w:val="24"/>
          <w:szCs w:val="24"/>
        </w:rPr>
        <w:t>Cheminais, R., 2009. Effective multi-agency partnerships: Putting every child matters into practice. Sage.</w:t>
      </w:r>
    </w:p>
    <w:p w14:paraId="068B84C0" w14:textId="77777777" w:rsidR="00CC4622" w:rsidRDefault="00CC4622" w:rsidP="00E565A7">
      <w:pPr>
        <w:spacing w:line="360" w:lineRule="auto"/>
        <w:rPr>
          <w:rFonts w:ascii="Arial" w:hAnsi="Arial" w:cs="Arial"/>
          <w:sz w:val="24"/>
          <w:szCs w:val="24"/>
        </w:rPr>
      </w:pPr>
    </w:p>
    <w:p w14:paraId="69B9DEA2" w14:textId="77777777" w:rsidR="00CC4622" w:rsidRPr="00E565A7" w:rsidRDefault="00CC4622" w:rsidP="00BD7ECE">
      <w:pPr>
        <w:spacing w:line="360" w:lineRule="auto"/>
        <w:rPr>
          <w:rFonts w:ascii="Arial" w:hAnsi="Arial" w:cs="Arial"/>
          <w:sz w:val="24"/>
          <w:szCs w:val="24"/>
        </w:rPr>
      </w:pPr>
      <w:r w:rsidRPr="00E565A7">
        <w:rPr>
          <w:rFonts w:ascii="Arial" w:hAnsi="Arial" w:cs="Arial"/>
          <w:sz w:val="24"/>
          <w:szCs w:val="24"/>
        </w:rPr>
        <w:t>Conway, P., 2009. Falling between minds: The effects of unbearable experiences on multi-agency communication in the care system. Adoption &amp; Fostering, 33(1), pp.18-29.</w:t>
      </w:r>
    </w:p>
    <w:p w14:paraId="27F54ACF" w14:textId="0843C23E" w:rsidR="00D6117E" w:rsidRDefault="00D6117E" w:rsidP="00E565A7">
      <w:pPr>
        <w:spacing w:line="360" w:lineRule="auto"/>
        <w:rPr>
          <w:rFonts w:ascii="Arial" w:hAnsi="Arial" w:cs="Arial"/>
          <w:sz w:val="24"/>
          <w:szCs w:val="24"/>
        </w:rPr>
      </w:pPr>
    </w:p>
    <w:p w14:paraId="2A7F6C3D" w14:textId="7EE83C59" w:rsidR="00D6117E" w:rsidRPr="00E565A7" w:rsidRDefault="001E1A84" w:rsidP="00E565A7">
      <w:pPr>
        <w:spacing w:line="360" w:lineRule="auto"/>
        <w:rPr>
          <w:rFonts w:ascii="Arial" w:hAnsi="Arial" w:cs="Arial"/>
          <w:sz w:val="24"/>
          <w:szCs w:val="24"/>
        </w:rPr>
      </w:pPr>
      <w:r>
        <w:rPr>
          <w:rFonts w:ascii="Arial" w:hAnsi="Arial" w:cs="Arial"/>
          <w:sz w:val="24"/>
          <w:szCs w:val="24"/>
        </w:rPr>
        <w:t>DfES (Department for Education and Skills) (200</w:t>
      </w:r>
      <w:r w:rsidR="00CA02CD">
        <w:rPr>
          <w:rFonts w:ascii="Arial" w:hAnsi="Arial" w:cs="Arial"/>
          <w:sz w:val="24"/>
          <w:szCs w:val="24"/>
        </w:rPr>
        <w:t xml:space="preserve">4) </w:t>
      </w:r>
      <w:r>
        <w:rPr>
          <w:rFonts w:ascii="Arial" w:hAnsi="Arial" w:cs="Arial"/>
          <w:sz w:val="24"/>
          <w:szCs w:val="24"/>
        </w:rPr>
        <w:t xml:space="preserve">Every Child Matters. Green Paper, Cm. 5860. London: The Stationery Office </w:t>
      </w:r>
    </w:p>
    <w:p w14:paraId="160D7AC7" w14:textId="1E2BD7B2" w:rsidR="003D3256" w:rsidRPr="00E565A7" w:rsidRDefault="003D3256" w:rsidP="00E565A7">
      <w:pPr>
        <w:spacing w:line="360" w:lineRule="auto"/>
        <w:rPr>
          <w:rFonts w:ascii="Arial" w:hAnsi="Arial" w:cs="Arial"/>
          <w:sz w:val="24"/>
          <w:szCs w:val="24"/>
        </w:rPr>
      </w:pPr>
    </w:p>
    <w:p w14:paraId="12FE925F" w14:textId="2BCBC986" w:rsidR="003D3256" w:rsidRPr="00E565A7" w:rsidRDefault="001E1A84" w:rsidP="00E565A7">
      <w:pPr>
        <w:spacing w:line="360" w:lineRule="auto"/>
        <w:rPr>
          <w:rFonts w:ascii="Arial" w:hAnsi="Arial" w:cs="Arial"/>
          <w:sz w:val="24"/>
          <w:szCs w:val="24"/>
        </w:rPr>
      </w:pPr>
      <w:r w:rsidRPr="00E565A7">
        <w:rPr>
          <w:rFonts w:ascii="Arial" w:hAnsi="Arial" w:cs="Arial"/>
          <w:sz w:val="24"/>
          <w:szCs w:val="24"/>
        </w:rPr>
        <w:t>Driscoll, J., Lorek, A., Kinnear, E. and Hutchinson, A., 2020. Multi-agency safeguarding arrangements: overcoming the challenges of Covid-19 measures. Journal of Children's Services.</w:t>
      </w:r>
    </w:p>
    <w:p w14:paraId="60047469" w14:textId="77777777" w:rsidR="00B60463" w:rsidRPr="00E565A7" w:rsidRDefault="00B60463" w:rsidP="00E565A7">
      <w:pPr>
        <w:spacing w:line="360" w:lineRule="auto"/>
        <w:rPr>
          <w:rFonts w:ascii="Arial" w:hAnsi="Arial" w:cs="Arial"/>
          <w:sz w:val="24"/>
          <w:szCs w:val="24"/>
        </w:rPr>
      </w:pPr>
    </w:p>
    <w:p w14:paraId="6BECC92F" w14:textId="56DC2454" w:rsidR="00B60463" w:rsidRPr="00E565A7" w:rsidRDefault="001E1A84" w:rsidP="00E565A7">
      <w:pPr>
        <w:spacing w:line="360" w:lineRule="auto"/>
        <w:rPr>
          <w:rFonts w:ascii="Arial" w:hAnsi="Arial" w:cs="Arial"/>
          <w:sz w:val="24"/>
          <w:szCs w:val="24"/>
        </w:rPr>
      </w:pPr>
      <w:r w:rsidRPr="00E565A7">
        <w:rPr>
          <w:rFonts w:ascii="Arial" w:hAnsi="Arial" w:cs="Arial"/>
          <w:sz w:val="24"/>
          <w:szCs w:val="24"/>
        </w:rPr>
        <w:t>Frost, N. And Lloyd, A., 2006. Implementing multi</w:t>
      </w:r>
      <w:r w:rsidRPr="00E565A7">
        <w:rPr>
          <w:rFonts w:ascii="Cambria Math" w:hAnsi="Cambria Math" w:cs="Cambria Math"/>
          <w:sz w:val="24"/>
          <w:szCs w:val="24"/>
        </w:rPr>
        <w:t>‐</w:t>
      </w:r>
      <w:r w:rsidRPr="00E565A7">
        <w:rPr>
          <w:rFonts w:ascii="Arial" w:hAnsi="Arial" w:cs="Arial"/>
          <w:sz w:val="24"/>
          <w:szCs w:val="24"/>
        </w:rPr>
        <w:t>disciplinary teamwork in the new child welfare policy environment. Journal of Integrated Care.</w:t>
      </w:r>
    </w:p>
    <w:p w14:paraId="06925DB5" w14:textId="77777777" w:rsidR="009C0A23" w:rsidRPr="00E565A7" w:rsidRDefault="009C0A23" w:rsidP="00E565A7">
      <w:pPr>
        <w:spacing w:line="360" w:lineRule="auto"/>
        <w:rPr>
          <w:rFonts w:ascii="Arial" w:hAnsi="Arial" w:cs="Arial"/>
          <w:sz w:val="24"/>
          <w:szCs w:val="24"/>
        </w:rPr>
      </w:pPr>
    </w:p>
    <w:p w14:paraId="5968C207" w14:textId="79CAF8C2" w:rsidR="00112909" w:rsidRPr="00E565A7" w:rsidRDefault="001E1A84" w:rsidP="00E565A7">
      <w:pPr>
        <w:spacing w:line="360" w:lineRule="auto"/>
        <w:rPr>
          <w:rFonts w:ascii="Arial" w:hAnsi="Arial" w:cs="Arial"/>
          <w:sz w:val="24"/>
          <w:szCs w:val="24"/>
        </w:rPr>
      </w:pPr>
      <w:r w:rsidRPr="00E565A7">
        <w:rPr>
          <w:rFonts w:ascii="Arial" w:hAnsi="Arial" w:cs="Arial"/>
          <w:sz w:val="24"/>
          <w:szCs w:val="24"/>
        </w:rPr>
        <w:t>Gillen, A., 2011. Multi-agency working with children and families: focusing on facilitators and using activity theory principles to explore this topic area (Doctoral dissertation, Newcastle University).</w:t>
      </w:r>
    </w:p>
    <w:p w14:paraId="5EDEEBA8" w14:textId="77777777" w:rsidR="009C0A23" w:rsidRPr="00E565A7" w:rsidRDefault="009C0A23" w:rsidP="00E565A7">
      <w:pPr>
        <w:spacing w:line="360" w:lineRule="auto"/>
        <w:rPr>
          <w:rFonts w:ascii="Arial" w:hAnsi="Arial" w:cs="Arial"/>
          <w:sz w:val="24"/>
          <w:szCs w:val="24"/>
        </w:rPr>
      </w:pPr>
    </w:p>
    <w:p w14:paraId="781416CE" w14:textId="55F90AF3" w:rsidR="008613AF" w:rsidRPr="00E565A7" w:rsidRDefault="001E1A84" w:rsidP="00E565A7">
      <w:pPr>
        <w:spacing w:line="360" w:lineRule="auto"/>
        <w:rPr>
          <w:rFonts w:ascii="Arial" w:hAnsi="Arial" w:cs="Arial"/>
          <w:sz w:val="24"/>
          <w:szCs w:val="24"/>
        </w:rPr>
      </w:pPr>
      <w:r w:rsidRPr="00E565A7">
        <w:rPr>
          <w:rFonts w:ascii="Arial" w:hAnsi="Arial" w:cs="Arial"/>
          <w:sz w:val="24"/>
          <w:szCs w:val="24"/>
        </w:rPr>
        <w:t>Matters, E.C., 200</w:t>
      </w:r>
      <w:r w:rsidR="003D7509" w:rsidRPr="00E565A7">
        <w:rPr>
          <w:rFonts w:ascii="Arial" w:hAnsi="Arial" w:cs="Arial"/>
          <w:sz w:val="24"/>
          <w:szCs w:val="24"/>
        </w:rPr>
        <w:t>4</w:t>
      </w:r>
      <w:r w:rsidRPr="00E565A7">
        <w:rPr>
          <w:rFonts w:ascii="Arial" w:hAnsi="Arial" w:cs="Arial"/>
          <w:sz w:val="24"/>
          <w:szCs w:val="24"/>
        </w:rPr>
        <w:t>. Working together to safeguard children. London: The Stationery Office.</w:t>
      </w:r>
    </w:p>
    <w:p w14:paraId="78B53457" w14:textId="5F9E765B" w:rsidR="00AE55A3" w:rsidRPr="00E565A7" w:rsidRDefault="00AE55A3" w:rsidP="00E565A7">
      <w:pPr>
        <w:spacing w:line="360" w:lineRule="auto"/>
        <w:rPr>
          <w:rFonts w:ascii="Arial" w:hAnsi="Arial" w:cs="Arial"/>
          <w:sz w:val="24"/>
          <w:szCs w:val="24"/>
        </w:rPr>
      </w:pPr>
    </w:p>
    <w:p w14:paraId="5D2F75DF" w14:textId="43F26996" w:rsidR="006E5204" w:rsidRPr="00E565A7" w:rsidRDefault="001E1A84" w:rsidP="00E565A7">
      <w:pPr>
        <w:spacing w:line="360" w:lineRule="auto"/>
        <w:rPr>
          <w:rFonts w:ascii="Arial" w:hAnsi="Arial" w:cs="Arial"/>
          <w:sz w:val="24"/>
          <w:szCs w:val="24"/>
        </w:rPr>
      </w:pPr>
      <w:r w:rsidRPr="00E565A7">
        <w:rPr>
          <w:rFonts w:ascii="Arial" w:hAnsi="Arial" w:cs="Arial"/>
          <w:sz w:val="24"/>
          <w:szCs w:val="24"/>
        </w:rPr>
        <w:t>Harding, L.F., 2014. Perspectives in child care policy. Routledge.</w:t>
      </w:r>
    </w:p>
    <w:p w14:paraId="45C96E8B" w14:textId="77777777" w:rsidR="00F622A0" w:rsidRPr="00E565A7" w:rsidRDefault="00F622A0" w:rsidP="00E565A7">
      <w:pPr>
        <w:spacing w:line="360" w:lineRule="auto"/>
        <w:rPr>
          <w:rFonts w:ascii="Arial" w:hAnsi="Arial" w:cs="Arial"/>
          <w:sz w:val="24"/>
          <w:szCs w:val="24"/>
        </w:rPr>
      </w:pPr>
    </w:p>
    <w:p w14:paraId="3ABEEC9B" w14:textId="5391132E" w:rsidR="00EC0DB4" w:rsidRPr="00E565A7" w:rsidRDefault="001E1A84" w:rsidP="00E565A7">
      <w:pPr>
        <w:spacing w:line="360" w:lineRule="auto"/>
        <w:rPr>
          <w:rFonts w:ascii="Arial" w:hAnsi="Arial" w:cs="Arial"/>
          <w:sz w:val="24"/>
          <w:szCs w:val="24"/>
        </w:rPr>
      </w:pPr>
      <w:r w:rsidRPr="00E565A7">
        <w:rPr>
          <w:rFonts w:ascii="Arial" w:hAnsi="Arial" w:cs="Arial"/>
          <w:sz w:val="24"/>
          <w:szCs w:val="24"/>
        </w:rPr>
        <w:t>Harris, A. and Allen, T., 2009. Ensuring every child matters: issues and implications for school leadership. School Leadership and Management, 29(4), pp.337-352.</w:t>
      </w:r>
    </w:p>
    <w:p w14:paraId="7F99A240" w14:textId="77777777" w:rsidR="00F622A0" w:rsidRPr="00E565A7" w:rsidRDefault="00F622A0" w:rsidP="00E565A7">
      <w:pPr>
        <w:spacing w:line="360" w:lineRule="auto"/>
        <w:rPr>
          <w:rFonts w:ascii="Arial" w:hAnsi="Arial" w:cs="Arial"/>
          <w:sz w:val="24"/>
          <w:szCs w:val="24"/>
        </w:rPr>
      </w:pPr>
    </w:p>
    <w:p w14:paraId="55840450" w14:textId="6BEBC902" w:rsidR="0056559B" w:rsidRPr="00E565A7" w:rsidRDefault="001E1A84" w:rsidP="00E565A7">
      <w:pPr>
        <w:spacing w:line="360" w:lineRule="auto"/>
        <w:rPr>
          <w:rFonts w:ascii="Arial" w:hAnsi="Arial" w:cs="Arial"/>
          <w:sz w:val="24"/>
          <w:szCs w:val="24"/>
        </w:rPr>
      </w:pPr>
      <w:r w:rsidRPr="00E565A7">
        <w:rPr>
          <w:rFonts w:ascii="Arial" w:hAnsi="Arial" w:cs="Arial"/>
          <w:sz w:val="24"/>
          <w:szCs w:val="24"/>
        </w:rPr>
        <w:t>Hogan, S., Dogra, N. and Kitchen, C., 2009. Multi-agency working. Nursing in Child and Adolescent Mental Health, pp.134-144.</w:t>
      </w:r>
    </w:p>
    <w:p w14:paraId="4F8B5467" w14:textId="77777777" w:rsidR="00D7203C" w:rsidRPr="00E565A7" w:rsidRDefault="00D7203C" w:rsidP="00E565A7">
      <w:pPr>
        <w:spacing w:line="360" w:lineRule="auto"/>
        <w:rPr>
          <w:rFonts w:ascii="Arial" w:hAnsi="Arial" w:cs="Arial"/>
          <w:sz w:val="24"/>
          <w:szCs w:val="24"/>
        </w:rPr>
      </w:pPr>
    </w:p>
    <w:p w14:paraId="7FC0494B" w14:textId="2E71999C" w:rsidR="00D7203C" w:rsidRPr="00E565A7" w:rsidRDefault="001E1A84" w:rsidP="00E565A7">
      <w:pPr>
        <w:spacing w:line="360" w:lineRule="auto"/>
        <w:rPr>
          <w:rFonts w:ascii="Arial" w:hAnsi="Arial" w:cs="Arial"/>
          <w:sz w:val="24"/>
          <w:szCs w:val="24"/>
        </w:rPr>
      </w:pPr>
      <w:r w:rsidRPr="00E565A7">
        <w:rPr>
          <w:rFonts w:ascii="Arial" w:hAnsi="Arial" w:cs="Arial"/>
          <w:sz w:val="24"/>
          <w:szCs w:val="24"/>
        </w:rPr>
        <w:t>Holloway, S.L. and Valentine, G., 2000. Children’s geographies and the new social studies of childhood. Children’s geographies: Playing, living, learning, pp.1-26.</w:t>
      </w:r>
    </w:p>
    <w:p w14:paraId="571EC877" w14:textId="5DC3B413" w:rsidR="00B75AAA" w:rsidRPr="00E565A7" w:rsidRDefault="001E1A84" w:rsidP="00E565A7">
      <w:pPr>
        <w:spacing w:line="360" w:lineRule="auto"/>
        <w:rPr>
          <w:rFonts w:ascii="Arial" w:hAnsi="Arial" w:cs="Arial"/>
          <w:sz w:val="24"/>
          <w:szCs w:val="24"/>
        </w:rPr>
      </w:pPr>
      <w:r w:rsidRPr="00E565A7">
        <w:rPr>
          <w:rFonts w:ascii="Arial" w:hAnsi="Arial" w:cs="Arial"/>
          <w:sz w:val="24"/>
          <w:szCs w:val="24"/>
        </w:rPr>
        <w:t>Hood, R., Nilsson, D. And Habibi, R., 2019. An analysis of Ofsted inspection reports for children’s social care services in England. Child &amp; Family Social Work, 24(2), pp.227-237.</w:t>
      </w:r>
    </w:p>
    <w:p w14:paraId="470A4AAF" w14:textId="77777777" w:rsidR="00B3742A" w:rsidRPr="00E565A7" w:rsidRDefault="00B3742A" w:rsidP="00E565A7">
      <w:pPr>
        <w:spacing w:line="360" w:lineRule="auto"/>
        <w:rPr>
          <w:rFonts w:ascii="Arial" w:hAnsi="Arial" w:cs="Arial"/>
          <w:sz w:val="24"/>
          <w:szCs w:val="24"/>
        </w:rPr>
      </w:pPr>
    </w:p>
    <w:p w14:paraId="135E3B52" w14:textId="7692988E" w:rsidR="00AC0906" w:rsidRPr="00E565A7" w:rsidRDefault="001E1A84" w:rsidP="00E565A7">
      <w:pPr>
        <w:spacing w:line="360" w:lineRule="auto"/>
        <w:rPr>
          <w:rFonts w:ascii="Arial" w:hAnsi="Arial" w:cs="Arial"/>
          <w:sz w:val="24"/>
          <w:szCs w:val="24"/>
        </w:rPr>
      </w:pPr>
      <w:r w:rsidRPr="00E565A7">
        <w:rPr>
          <w:rFonts w:ascii="Arial" w:hAnsi="Arial" w:cs="Arial"/>
          <w:sz w:val="24"/>
          <w:szCs w:val="24"/>
        </w:rPr>
        <w:t>James, A., Jenks, C. And Prout, A., 1998. Theorising childhood. New York, pp.81-104.</w:t>
      </w:r>
    </w:p>
    <w:p w14:paraId="4A4AE01E" w14:textId="77777777" w:rsidR="004F7ABE" w:rsidRDefault="004F7ABE" w:rsidP="00E565A7">
      <w:pPr>
        <w:spacing w:line="360" w:lineRule="auto"/>
        <w:rPr>
          <w:rFonts w:ascii="Arial" w:hAnsi="Arial" w:cs="Arial"/>
          <w:sz w:val="24"/>
          <w:szCs w:val="24"/>
        </w:rPr>
      </w:pPr>
    </w:p>
    <w:p w14:paraId="3E2EAA6B" w14:textId="0BE77A48" w:rsidR="00D96CBB" w:rsidRPr="00E565A7" w:rsidRDefault="001E1A84" w:rsidP="00E565A7">
      <w:pPr>
        <w:spacing w:line="360" w:lineRule="auto"/>
        <w:rPr>
          <w:rFonts w:ascii="Arial" w:hAnsi="Arial" w:cs="Arial"/>
          <w:sz w:val="24"/>
          <w:szCs w:val="24"/>
        </w:rPr>
      </w:pPr>
      <w:r w:rsidRPr="00E565A7">
        <w:rPr>
          <w:rFonts w:ascii="Arial" w:hAnsi="Arial" w:cs="Arial"/>
          <w:sz w:val="24"/>
          <w:szCs w:val="24"/>
        </w:rPr>
        <w:t>Laming, H., 2003. The Victoria Climbie inquiry.</w:t>
      </w:r>
    </w:p>
    <w:p w14:paraId="2C2FC9F7" w14:textId="64F94006" w:rsidR="003234A2" w:rsidRDefault="003234A2" w:rsidP="00E565A7">
      <w:pPr>
        <w:spacing w:line="360" w:lineRule="auto"/>
        <w:rPr>
          <w:rFonts w:ascii="Arial" w:hAnsi="Arial" w:cs="Arial"/>
          <w:sz w:val="24"/>
          <w:szCs w:val="24"/>
        </w:rPr>
      </w:pPr>
    </w:p>
    <w:p w14:paraId="76F8BAF6" w14:textId="3AAFCAF2" w:rsidR="00CC4622" w:rsidRDefault="00CC4622" w:rsidP="00E565A7">
      <w:pPr>
        <w:spacing w:line="360" w:lineRule="auto"/>
        <w:rPr>
          <w:rFonts w:ascii="Arial" w:hAnsi="Arial" w:cs="Arial"/>
          <w:sz w:val="24"/>
          <w:szCs w:val="24"/>
        </w:rPr>
      </w:pPr>
      <w:r>
        <w:rPr>
          <w:rFonts w:ascii="Arial" w:hAnsi="Arial" w:cs="Arial"/>
          <w:sz w:val="24"/>
          <w:szCs w:val="24"/>
        </w:rPr>
        <w:t xml:space="preserve">Legislation.gov.uk. 2021. Children Act 2004. [online] Available at: </w:t>
      </w:r>
      <w:hyperlink r:id="rId9" w:history="1">
        <w:r w:rsidRPr="006A7C9A">
          <w:rPr>
            <w:rStyle w:val="Hyperlink"/>
            <w:rFonts w:ascii="Arial" w:hAnsi="Arial" w:cs="Arial"/>
            <w:sz w:val="24"/>
            <w:szCs w:val="24"/>
          </w:rPr>
          <w:t>https://www.legislation.gov.uk/ukpga/2004/31/contents</w:t>
        </w:r>
      </w:hyperlink>
      <w:r>
        <w:rPr>
          <w:rFonts w:ascii="Arial" w:hAnsi="Arial" w:cs="Arial"/>
          <w:sz w:val="24"/>
          <w:szCs w:val="24"/>
        </w:rPr>
        <w:t xml:space="preserve"> </w:t>
      </w:r>
    </w:p>
    <w:p w14:paraId="3439BF52" w14:textId="77777777" w:rsidR="00CC4622" w:rsidRPr="00E565A7" w:rsidRDefault="00CC4622" w:rsidP="00E565A7">
      <w:pPr>
        <w:spacing w:line="360" w:lineRule="auto"/>
        <w:rPr>
          <w:rFonts w:ascii="Arial" w:hAnsi="Arial" w:cs="Arial"/>
          <w:sz w:val="24"/>
          <w:szCs w:val="24"/>
        </w:rPr>
      </w:pPr>
    </w:p>
    <w:p w14:paraId="38068227" w14:textId="77777777" w:rsidR="003234A2" w:rsidRPr="00E565A7" w:rsidRDefault="001E1A84" w:rsidP="00E565A7">
      <w:pPr>
        <w:spacing w:line="360" w:lineRule="auto"/>
        <w:rPr>
          <w:rFonts w:ascii="Arial" w:hAnsi="Arial" w:cs="Arial"/>
          <w:sz w:val="24"/>
          <w:szCs w:val="24"/>
        </w:rPr>
      </w:pPr>
      <w:r w:rsidRPr="00E565A7">
        <w:rPr>
          <w:rFonts w:ascii="Arial" w:hAnsi="Arial" w:cs="Arial"/>
          <w:sz w:val="24"/>
          <w:szCs w:val="24"/>
        </w:rPr>
        <w:t>Murphy, S. And Faulkner, D., 2000. Learning to collaborate: Can young children develop better communication strategies through collaboration with a more popular peer. European Journal of Psychology of Education, 15(4), pp.389-404.</w:t>
      </w:r>
    </w:p>
    <w:p w14:paraId="6CBBF30C" w14:textId="77777777" w:rsidR="003234A2" w:rsidRPr="00E565A7" w:rsidRDefault="003234A2" w:rsidP="00E565A7">
      <w:pPr>
        <w:spacing w:line="360" w:lineRule="auto"/>
        <w:rPr>
          <w:rFonts w:ascii="Arial" w:hAnsi="Arial" w:cs="Arial"/>
          <w:sz w:val="24"/>
          <w:szCs w:val="24"/>
        </w:rPr>
      </w:pPr>
    </w:p>
    <w:p w14:paraId="01680E3F" w14:textId="2EA0977C" w:rsidR="003234A2" w:rsidRPr="00E565A7" w:rsidRDefault="001E1A84" w:rsidP="00E565A7">
      <w:pPr>
        <w:spacing w:line="360" w:lineRule="auto"/>
        <w:rPr>
          <w:rFonts w:ascii="Arial" w:hAnsi="Arial" w:cs="Arial"/>
          <w:sz w:val="24"/>
          <w:szCs w:val="24"/>
        </w:rPr>
      </w:pPr>
      <w:r w:rsidRPr="00E565A7">
        <w:rPr>
          <w:rFonts w:ascii="Arial" w:hAnsi="Arial" w:cs="Arial"/>
          <w:sz w:val="24"/>
          <w:szCs w:val="24"/>
        </w:rPr>
        <w:lastRenderedPageBreak/>
        <w:t xml:space="preserve">NSPCC Learning. 2019. Multi-agency and interdisciplinary working | NSPCC Learning. [online] Available at: </w:t>
      </w:r>
      <w:hyperlink r:id="rId10" w:history="1">
        <w:r w:rsidRPr="00E565A7">
          <w:rPr>
            <w:rStyle w:val="Hyperlink"/>
            <w:rFonts w:ascii="Arial" w:hAnsi="Arial" w:cs="Arial"/>
            <w:sz w:val="24"/>
            <w:szCs w:val="24"/>
          </w:rPr>
          <w:t>https://learning.nspcc.org.uk/child-protection-system/multi-agency-working-child-protection</w:t>
        </w:r>
      </w:hyperlink>
      <w:r w:rsidRPr="00E565A7">
        <w:rPr>
          <w:rFonts w:ascii="Arial" w:hAnsi="Arial" w:cs="Arial"/>
          <w:sz w:val="24"/>
          <w:szCs w:val="24"/>
        </w:rPr>
        <w:t xml:space="preserve"> </w:t>
      </w:r>
    </w:p>
    <w:p w14:paraId="0FF7362B" w14:textId="77777777" w:rsidR="003234A2" w:rsidRPr="00E565A7" w:rsidRDefault="003234A2" w:rsidP="00E565A7">
      <w:pPr>
        <w:spacing w:line="360" w:lineRule="auto"/>
        <w:rPr>
          <w:rFonts w:ascii="Arial" w:hAnsi="Arial" w:cs="Arial"/>
          <w:sz w:val="24"/>
          <w:szCs w:val="24"/>
        </w:rPr>
      </w:pPr>
    </w:p>
    <w:p w14:paraId="004181BC" w14:textId="0ECE1367" w:rsidR="00AC0906" w:rsidRPr="00E565A7" w:rsidRDefault="001E1A84" w:rsidP="00E565A7">
      <w:pPr>
        <w:spacing w:line="360" w:lineRule="auto"/>
        <w:rPr>
          <w:rFonts w:ascii="Arial" w:hAnsi="Arial" w:cs="Arial"/>
          <w:sz w:val="24"/>
          <w:szCs w:val="24"/>
        </w:rPr>
      </w:pPr>
      <w:r w:rsidRPr="00E565A7">
        <w:rPr>
          <w:rFonts w:ascii="Arial" w:hAnsi="Arial" w:cs="Arial"/>
          <w:sz w:val="24"/>
          <w:szCs w:val="24"/>
        </w:rPr>
        <w:t>Patsios, D. And Carpenter, J., 2010. The organisation of interagency training to safeguard children in England: a case study using realistic evaluation. International Journal of Integrated Care, 10.</w:t>
      </w:r>
    </w:p>
    <w:p w14:paraId="05054F94" w14:textId="37CA9105" w:rsidR="0006590F" w:rsidRPr="00E565A7" w:rsidRDefault="0006590F" w:rsidP="00E565A7">
      <w:pPr>
        <w:spacing w:line="360" w:lineRule="auto"/>
        <w:rPr>
          <w:rFonts w:ascii="Arial" w:hAnsi="Arial" w:cs="Arial"/>
          <w:sz w:val="24"/>
          <w:szCs w:val="24"/>
        </w:rPr>
      </w:pPr>
    </w:p>
    <w:p w14:paraId="7CE9F33C" w14:textId="3E245DA6" w:rsidR="0006590F" w:rsidRPr="00E565A7" w:rsidRDefault="001E1A84" w:rsidP="00E565A7">
      <w:pPr>
        <w:spacing w:line="360" w:lineRule="auto"/>
        <w:rPr>
          <w:rFonts w:ascii="Arial" w:hAnsi="Arial" w:cs="Arial"/>
          <w:sz w:val="24"/>
          <w:szCs w:val="24"/>
        </w:rPr>
      </w:pPr>
      <w:r w:rsidRPr="00E565A7">
        <w:rPr>
          <w:rFonts w:ascii="Arial" w:hAnsi="Arial" w:cs="Arial"/>
          <w:sz w:val="24"/>
          <w:szCs w:val="24"/>
        </w:rPr>
        <w:t>Pithouse, A. And Broadhurst, K., 2009. The Common Assessment Framework: practical innovation for children and young people with 'additional needs' or simply more technical hype. Broadhurst, K. Grover, C. And Jamieson, J, pp.73-92.</w:t>
      </w:r>
    </w:p>
    <w:p w14:paraId="1429877E" w14:textId="4FA5AF4C" w:rsidR="00BF42A0" w:rsidRPr="00E565A7" w:rsidRDefault="00BF42A0" w:rsidP="00E565A7">
      <w:pPr>
        <w:spacing w:line="360" w:lineRule="auto"/>
        <w:rPr>
          <w:rFonts w:ascii="Arial" w:hAnsi="Arial" w:cs="Arial"/>
          <w:sz w:val="24"/>
          <w:szCs w:val="24"/>
        </w:rPr>
      </w:pPr>
    </w:p>
    <w:p w14:paraId="5DCDD395" w14:textId="4DCCDC04" w:rsidR="00BF42A0" w:rsidRPr="00E565A7" w:rsidRDefault="001E1A84" w:rsidP="00E565A7">
      <w:pPr>
        <w:spacing w:line="360" w:lineRule="auto"/>
        <w:rPr>
          <w:rFonts w:ascii="Arial" w:hAnsi="Arial" w:cs="Arial"/>
          <w:sz w:val="24"/>
          <w:szCs w:val="24"/>
        </w:rPr>
      </w:pPr>
      <w:r w:rsidRPr="00E565A7">
        <w:rPr>
          <w:rFonts w:ascii="Arial" w:hAnsi="Arial" w:cs="Arial"/>
          <w:sz w:val="24"/>
          <w:szCs w:val="24"/>
        </w:rPr>
        <w:t>Prout, A., 2004. The future of childhood. Routledge.</w:t>
      </w:r>
    </w:p>
    <w:p w14:paraId="47216DFA" w14:textId="60AB6E02" w:rsidR="00B172D3" w:rsidRPr="00E565A7" w:rsidRDefault="00B172D3" w:rsidP="00E565A7">
      <w:pPr>
        <w:spacing w:line="360" w:lineRule="auto"/>
        <w:rPr>
          <w:rFonts w:ascii="Arial" w:hAnsi="Arial" w:cs="Arial"/>
          <w:sz w:val="24"/>
          <w:szCs w:val="24"/>
        </w:rPr>
      </w:pPr>
    </w:p>
    <w:p w14:paraId="121FE77C" w14:textId="7862A37D" w:rsidR="00444532" w:rsidRPr="00E565A7" w:rsidRDefault="001E1A84" w:rsidP="00E565A7">
      <w:pPr>
        <w:spacing w:line="360" w:lineRule="auto"/>
        <w:rPr>
          <w:rFonts w:ascii="Arial" w:hAnsi="Arial" w:cs="Arial"/>
          <w:sz w:val="24"/>
          <w:szCs w:val="24"/>
        </w:rPr>
      </w:pPr>
      <w:r w:rsidRPr="00E565A7">
        <w:rPr>
          <w:rFonts w:ascii="Arial" w:hAnsi="Arial" w:cs="Arial"/>
          <w:sz w:val="24"/>
          <w:szCs w:val="24"/>
        </w:rPr>
        <w:t>Sidebotham, P., Brandon, M., Bailey, S., Balderson, P., Dodsworth, J., Garstang, J., Harrison, E., Retzer, A. And Sorensen, P., 2016. Pathways to harm, pathways to protection: a triennial analysis of serious case reviews 2011 to 2014. Department for Education.</w:t>
      </w:r>
    </w:p>
    <w:p w14:paraId="669B748A" w14:textId="54CB7112" w:rsidR="003D3256" w:rsidRPr="00E565A7" w:rsidRDefault="003D3256" w:rsidP="00E565A7">
      <w:pPr>
        <w:spacing w:line="360" w:lineRule="auto"/>
        <w:rPr>
          <w:rFonts w:ascii="Arial" w:hAnsi="Arial" w:cs="Arial"/>
          <w:sz w:val="24"/>
          <w:szCs w:val="24"/>
        </w:rPr>
      </w:pPr>
    </w:p>
    <w:p w14:paraId="1BBDAECF" w14:textId="37D5E15F" w:rsidR="0056559B" w:rsidRPr="00E565A7" w:rsidRDefault="001E1A84" w:rsidP="00E565A7">
      <w:pPr>
        <w:spacing w:line="360" w:lineRule="auto"/>
        <w:rPr>
          <w:rFonts w:ascii="Arial" w:hAnsi="Arial" w:cs="Arial"/>
          <w:sz w:val="24"/>
          <w:szCs w:val="24"/>
        </w:rPr>
      </w:pPr>
      <w:r w:rsidRPr="00E565A7">
        <w:rPr>
          <w:rFonts w:ascii="Arial" w:hAnsi="Arial" w:cs="Arial"/>
          <w:sz w:val="24"/>
          <w:szCs w:val="24"/>
        </w:rPr>
        <w:t>Walker, G., 2018. Working together for children: A critical introduction to multi-agency working. Bloomsbury Publishing.</w:t>
      </w:r>
    </w:p>
    <w:sectPr w:rsidR="0056559B" w:rsidRPr="00E565A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195587" w14:textId="77777777" w:rsidR="00513FD1" w:rsidRDefault="00513FD1">
      <w:pPr>
        <w:spacing w:after="0" w:line="240" w:lineRule="auto"/>
      </w:pPr>
      <w:r>
        <w:separator/>
      </w:r>
    </w:p>
  </w:endnote>
  <w:endnote w:type="continuationSeparator" w:id="0">
    <w:p w14:paraId="1990481C" w14:textId="77777777" w:rsidR="00513FD1" w:rsidRDefault="0051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8A5D3" w14:textId="77777777" w:rsidR="00FD7D4D" w:rsidRDefault="00FD7D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E35BA" w14:textId="77777777" w:rsidR="00FD7D4D" w:rsidRDefault="00FD7D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35758" w14:textId="77777777" w:rsidR="00FD7D4D" w:rsidRDefault="00FD7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ECE3A9" w14:textId="77777777" w:rsidR="00513FD1" w:rsidRDefault="00513FD1">
      <w:pPr>
        <w:spacing w:after="0" w:line="240" w:lineRule="auto"/>
      </w:pPr>
      <w:r>
        <w:separator/>
      </w:r>
    </w:p>
  </w:footnote>
  <w:footnote w:type="continuationSeparator" w:id="0">
    <w:p w14:paraId="6F9D8688" w14:textId="77777777" w:rsidR="00513FD1" w:rsidRDefault="00513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F1024" w14:textId="77777777" w:rsidR="00FD7D4D" w:rsidRDefault="00FD7D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5311534"/>
      <w:docPartObj>
        <w:docPartGallery w:val="Page Numbers (Top of Page)"/>
        <w:docPartUnique/>
      </w:docPartObj>
    </w:sdtPr>
    <w:sdtEndPr>
      <w:rPr>
        <w:noProof/>
      </w:rPr>
    </w:sdtEndPr>
    <w:sdtContent>
      <w:p w14:paraId="33422342" w14:textId="7EC62FAF" w:rsidR="00E4372B" w:rsidRDefault="001E1A8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35A2EF" w14:textId="77777777" w:rsidR="00962C07" w:rsidRDefault="00962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C4F79" w14:textId="77777777" w:rsidR="00FD7D4D" w:rsidRDefault="00FD7D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7E4"/>
    <w:rsid w:val="00001DAB"/>
    <w:rsid w:val="00015F03"/>
    <w:rsid w:val="00034874"/>
    <w:rsid w:val="000475B7"/>
    <w:rsid w:val="0006590F"/>
    <w:rsid w:val="00067B10"/>
    <w:rsid w:val="00072B2C"/>
    <w:rsid w:val="00077658"/>
    <w:rsid w:val="00077796"/>
    <w:rsid w:val="000A226F"/>
    <w:rsid w:val="000A32DC"/>
    <w:rsid w:val="000A7DA7"/>
    <w:rsid w:val="000B1208"/>
    <w:rsid w:val="000B359F"/>
    <w:rsid w:val="000B3DE8"/>
    <w:rsid w:val="00112909"/>
    <w:rsid w:val="001165CB"/>
    <w:rsid w:val="00126AA2"/>
    <w:rsid w:val="00141A7F"/>
    <w:rsid w:val="00175DA4"/>
    <w:rsid w:val="00176ACA"/>
    <w:rsid w:val="00184981"/>
    <w:rsid w:val="00192EE3"/>
    <w:rsid w:val="0019564C"/>
    <w:rsid w:val="001A3D2C"/>
    <w:rsid w:val="001A4648"/>
    <w:rsid w:val="001A5EC1"/>
    <w:rsid w:val="001B273C"/>
    <w:rsid w:val="001C3152"/>
    <w:rsid w:val="001E1A84"/>
    <w:rsid w:val="001E1B22"/>
    <w:rsid w:val="001F08B6"/>
    <w:rsid w:val="001F3CD1"/>
    <w:rsid w:val="00204722"/>
    <w:rsid w:val="00234662"/>
    <w:rsid w:val="0023558D"/>
    <w:rsid w:val="00236B89"/>
    <w:rsid w:val="00241040"/>
    <w:rsid w:val="00251F28"/>
    <w:rsid w:val="002532D0"/>
    <w:rsid w:val="002650A6"/>
    <w:rsid w:val="00265764"/>
    <w:rsid w:val="00266330"/>
    <w:rsid w:val="00283A0F"/>
    <w:rsid w:val="00290A20"/>
    <w:rsid w:val="002A68F1"/>
    <w:rsid w:val="002B03F0"/>
    <w:rsid w:val="002B4A69"/>
    <w:rsid w:val="002B7972"/>
    <w:rsid w:val="002D4980"/>
    <w:rsid w:val="00315EEE"/>
    <w:rsid w:val="003171E0"/>
    <w:rsid w:val="00320658"/>
    <w:rsid w:val="003234A2"/>
    <w:rsid w:val="003247C8"/>
    <w:rsid w:val="0033371B"/>
    <w:rsid w:val="00334449"/>
    <w:rsid w:val="00337B42"/>
    <w:rsid w:val="00367446"/>
    <w:rsid w:val="0037110F"/>
    <w:rsid w:val="003B1B00"/>
    <w:rsid w:val="003B3891"/>
    <w:rsid w:val="003B77CA"/>
    <w:rsid w:val="003C5803"/>
    <w:rsid w:val="003D050E"/>
    <w:rsid w:val="003D1465"/>
    <w:rsid w:val="003D3256"/>
    <w:rsid w:val="003D7509"/>
    <w:rsid w:val="003F449C"/>
    <w:rsid w:val="00402E00"/>
    <w:rsid w:val="00406934"/>
    <w:rsid w:val="00412D89"/>
    <w:rsid w:val="00422487"/>
    <w:rsid w:val="00425B9C"/>
    <w:rsid w:val="00444532"/>
    <w:rsid w:val="00447035"/>
    <w:rsid w:val="00447604"/>
    <w:rsid w:val="00447E69"/>
    <w:rsid w:val="00453CFF"/>
    <w:rsid w:val="004566FC"/>
    <w:rsid w:val="00464305"/>
    <w:rsid w:val="004955DD"/>
    <w:rsid w:val="004A268B"/>
    <w:rsid w:val="004B5D8F"/>
    <w:rsid w:val="004B6443"/>
    <w:rsid w:val="004C695C"/>
    <w:rsid w:val="004E47E4"/>
    <w:rsid w:val="004E6F96"/>
    <w:rsid w:val="004F7ABE"/>
    <w:rsid w:val="00513FD1"/>
    <w:rsid w:val="00517084"/>
    <w:rsid w:val="00524512"/>
    <w:rsid w:val="00524825"/>
    <w:rsid w:val="00531E0E"/>
    <w:rsid w:val="00545519"/>
    <w:rsid w:val="00546421"/>
    <w:rsid w:val="00551B53"/>
    <w:rsid w:val="00554C73"/>
    <w:rsid w:val="00555C89"/>
    <w:rsid w:val="00556AF1"/>
    <w:rsid w:val="0056559B"/>
    <w:rsid w:val="00581A7F"/>
    <w:rsid w:val="00592342"/>
    <w:rsid w:val="005A0145"/>
    <w:rsid w:val="005A0C2B"/>
    <w:rsid w:val="005B27A1"/>
    <w:rsid w:val="005B7BE9"/>
    <w:rsid w:val="005C5419"/>
    <w:rsid w:val="005D5B28"/>
    <w:rsid w:val="005D722E"/>
    <w:rsid w:val="005E02FB"/>
    <w:rsid w:val="005F2E92"/>
    <w:rsid w:val="0060474A"/>
    <w:rsid w:val="00617C1B"/>
    <w:rsid w:val="00627C66"/>
    <w:rsid w:val="00631E95"/>
    <w:rsid w:val="0063342A"/>
    <w:rsid w:val="00646C35"/>
    <w:rsid w:val="00660686"/>
    <w:rsid w:val="00661CD4"/>
    <w:rsid w:val="00663B8C"/>
    <w:rsid w:val="006703AB"/>
    <w:rsid w:val="00676199"/>
    <w:rsid w:val="0068316A"/>
    <w:rsid w:val="00694B29"/>
    <w:rsid w:val="006A0638"/>
    <w:rsid w:val="006A25A4"/>
    <w:rsid w:val="006A3D35"/>
    <w:rsid w:val="006A44F2"/>
    <w:rsid w:val="006B65FC"/>
    <w:rsid w:val="006C66C6"/>
    <w:rsid w:val="006D15B3"/>
    <w:rsid w:val="006D3745"/>
    <w:rsid w:val="006E5204"/>
    <w:rsid w:val="00704180"/>
    <w:rsid w:val="00705CED"/>
    <w:rsid w:val="00714DD2"/>
    <w:rsid w:val="007304F3"/>
    <w:rsid w:val="007433F0"/>
    <w:rsid w:val="007518E0"/>
    <w:rsid w:val="007550FF"/>
    <w:rsid w:val="00764F62"/>
    <w:rsid w:val="00776D90"/>
    <w:rsid w:val="007813FB"/>
    <w:rsid w:val="00785A6F"/>
    <w:rsid w:val="007B445C"/>
    <w:rsid w:val="007B6FA7"/>
    <w:rsid w:val="007D7B5F"/>
    <w:rsid w:val="007F40C9"/>
    <w:rsid w:val="007F6A9C"/>
    <w:rsid w:val="008009C8"/>
    <w:rsid w:val="00804848"/>
    <w:rsid w:val="00804B14"/>
    <w:rsid w:val="008221C3"/>
    <w:rsid w:val="00855D3A"/>
    <w:rsid w:val="008613AF"/>
    <w:rsid w:val="00874BAC"/>
    <w:rsid w:val="00882D80"/>
    <w:rsid w:val="0088766F"/>
    <w:rsid w:val="00896B72"/>
    <w:rsid w:val="008D046E"/>
    <w:rsid w:val="008E0021"/>
    <w:rsid w:val="008E5293"/>
    <w:rsid w:val="008E70C0"/>
    <w:rsid w:val="008F0765"/>
    <w:rsid w:val="008F250D"/>
    <w:rsid w:val="00904DF2"/>
    <w:rsid w:val="00910C84"/>
    <w:rsid w:val="009179DA"/>
    <w:rsid w:val="009313E4"/>
    <w:rsid w:val="0093749C"/>
    <w:rsid w:val="009471EF"/>
    <w:rsid w:val="00950046"/>
    <w:rsid w:val="00962C07"/>
    <w:rsid w:val="00966A84"/>
    <w:rsid w:val="009675E0"/>
    <w:rsid w:val="009928F4"/>
    <w:rsid w:val="009A00C7"/>
    <w:rsid w:val="009A4C92"/>
    <w:rsid w:val="009C0A23"/>
    <w:rsid w:val="009C7EC6"/>
    <w:rsid w:val="009D43C2"/>
    <w:rsid w:val="009F4A18"/>
    <w:rsid w:val="00A10051"/>
    <w:rsid w:val="00A15C8A"/>
    <w:rsid w:val="00A21986"/>
    <w:rsid w:val="00A27DD0"/>
    <w:rsid w:val="00A44D38"/>
    <w:rsid w:val="00A61EBB"/>
    <w:rsid w:val="00A74523"/>
    <w:rsid w:val="00A87F98"/>
    <w:rsid w:val="00AB5AD4"/>
    <w:rsid w:val="00AC0906"/>
    <w:rsid w:val="00AC5A99"/>
    <w:rsid w:val="00AC75BB"/>
    <w:rsid w:val="00AE55A3"/>
    <w:rsid w:val="00AE61B5"/>
    <w:rsid w:val="00AE644B"/>
    <w:rsid w:val="00AF0FE3"/>
    <w:rsid w:val="00B055CD"/>
    <w:rsid w:val="00B12310"/>
    <w:rsid w:val="00B12A8E"/>
    <w:rsid w:val="00B172D3"/>
    <w:rsid w:val="00B306C4"/>
    <w:rsid w:val="00B3742A"/>
    <w:rsid w:val="00B60463"/>
    <w:rsid w:val="00B61A68"/>
    <w:rsid w:val="00B75AAA"/>
    <w:rsid w:val="00B75F85"/>
    <w:rsid w:val="00B80CB1"/>
    <w:rsid w:val="00B83917"/>
    <w:rsid w:val="00B95DCC"/>
    <w:rsid w:val="00BA1611"/>
    <w:rsid w:val="00BB3FF7"/>
    <w:rsid w:val="00BC7E03"/>
    <w:rsid w:val="00BD2F8F"/>
    <w:rsid w:val="00BE35E1"/>
    <w:rsid w:val="00BF0FBF"/>
    <w:rsid w:val="00BF42A0"/>
    <w:rsid w:val="00BF4707"/>
    <w:rsid w:val="00C15522"/>
    <w:rsid w:val="00C26A94"/>
    <w:rsid w:val="00C31DB2"/>
    <w:rsid w:val="00C52304"/>
    <w:rsid w:val="00C84098"/>
    <w:rsid w:val="00C9475C"/>
    <w:rsid w:val="00CA02CD"/>
    <w:rsid w:val="00CA0C56"/>
    <w:rsid w:val="00CC338A"/>
    <w:rsid w:val="00CC4622"/>
    <w:rsid w:val="00D108B8"/>
    <w:rsid w:val="00D554EE"/>
    <w:rsid w:val="00D6117E"/>
    <w:rsid w:val="00D7203C"/>
    <w:rsid w:val="00D813A2"/>
    <w:rsid w:val="00D96CBB"/>
    <w:rsid w:val="00DB1DD6"/>
    <w:rsid w:val="00DB3E41"/>
    <w:rsid w:val="00DC49E5"/>
    <w:rsid w:val="00DD5BFE"/>
    <w:rsid w:val="00DF0E6B"/>
    <w:rsid w:val="00DF1A62"/>
    <w:rsid w:val="00DF3C54"/>
    <w:rsid w:val="00DF658C"/>
    <w:rsid w:val="00E25FCD"/>
    <w:rsid w:val="00E42AF0"/>
    <w:rsid w:val="00E4372B"/>
    <w:rsid w:val="00E4503B"/>
    <w:rsid w:val="00E455B3"/>
    <w:rsid w:val="00E565A7"/>
    <w:rsid w:val="00EA1E76"/>
    <w:rsid w:val="00EB3F2D"/>
    <w:rsid w:val="00EC0CF4"/>
    <w:rsid w:val="00EC0DB4"/>
    <w:rsid w:val="00EC2FFA"/>
    <w:rsid w:val="00EC36F5"/>
    <w:rsid w:val="00F01638"/>
    <w:rsid w:val="00F16194"/>
    <w:rsid w:val="00F23725"/>
    <w:rsid w:val="00F245A7"/>
    <w:rsid w:val="00F25E72"/>
    <w:rsid w:val="00F622A0"/>
    <w:rsid w:val="00F805E0"/>
    <w:rsid w:val="00F824D1"/>
    <w:rsid w:val="00F853FD"/>
    <w:rsid w:val="00F91388"/>
    <w:rsid w:val="00F9338C"/>
    <w:rsid w:val="00F95C15"/>
    <w:rsid w:val="00F97D59"/>
    <w:rsid w:val="00FD4455"/>
    <w:rsid w:val="00FD7D4D"/>
    <w:rsid w:val="00FE3189"/>
    <w:rsid w:val="00FF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D7CA"/>
  <w15:chartTrackingRefBased/>
  <w15:docId w15:val="{511DC87B-99DC-432B-99A3-9220376CD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C07"/>
  </w:style>
  <w:style w:type="paragraph" w:styleId="Footer">
    <w:name w:val="footer"/>
    <w:basedOn w:val="Normal"/>
    <w:link w:val="FooterChar"/>
    <w:uiPriority w:val="99"/>
    <w:unhideWhenUsed/>
    <w:rsid w:val="00962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C07"/>
  </w:style>
  <w:style w:type="character" w:customStyle="1" w:styleId="jss2178">
    <w:name w:val="jss2178"/>
    <w:basedOn w:val="DefaultParagraphFont"/>
    <w:rsid w:val="0093749C"/>
  </w:style>
  <w:style w:type="character" w:customStyle="1" w:styleId="jss3063">
    <w:name w:val="jss3063"/>
    <w:basedOn w:val="DefaultParagraphFont"/>
    <w:rsid w:val="00676199"/>
  </w:style>
  <w:style w:type="character" w:styleId="Hyperlink">
    <w:name w:val="Hyperlink"/>
    <w:basedOn w:val="DefaultParagraphFont"/>
    <w:uiPriority w:val="99"/>
    <w:unhideWhenUsed/>
    <w:rsid w:val="003234A2"/>
    <w:rPr>
      <w:color w:val="0563C1" w:themeColor="hyperlink"/>
      <w:u w:val="single"/>
    </w:rPr>
  </w:style>
  <w:style w:type="character" w:customStyle="1" w:styleId="UnresolvedMention1">
    <w:name w:val="Unresolved Mention1"/>
    <w:basedOn w:val="DefaultParagraphFont"/>
    <w:uiPriority w:val="99"/>
    <w:semiHidden/>
    <w:unhideWhenUsed/>
    <w:rsid w:val="003234A2"/>
    <w:rPr>
      <w:color w:val="605E5C"/>
      <w:shd w:val="clear" w:color="auto" w:fill="E1DFDD"/>
    </w:rPr>
  </w:style>
  <w:style w:type="character" w:styleId="UnresolvedMention">
    <w:name w:val="Unresolved Mention"/>
    <w:basedOn w:val="DefaultParagraphFont"/>
    <w:uiPriority w:val="99"/>
    <w:rsid w:val="00CC4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2114757">
      <w:bodyDiv w:val="1"/>
      <w:marLeft w:val="0"/>
      <w:marRight w:val="0"/>
      <w:marTop w:val="0"/>
      <w:marBottom w:val="0"/>
      <w:divBdr>
        <w:top w:val="none" w:sz="0" w:space="0" w:color="auto"/>
        <w:left w:val="none" w:sz="0" w:space="0" w:color="auto"/>
        <w:bottom w:val="none" w:sz="0" w:space="0" w:color="auto"/>
        <w:right w:val="none" w:sz="0" w:space="0" w:color="auto"/>
      </w:divBdr>
      <w:divsChild>
        <w:div w:id="584458929">
          <w:marLeft w:val="0"/>
          <w:marRight w:val="0"/>
          <w:marTop w:val="0"/>
          <w:marBottom w:val="0"/>
          <w:divBdr>
            <w:top w:val="none" w:sz="0" w:space="0" w:color="auto"/>
            <w:left w:val="none" w:sz="0" w:space="0" w:color="auto"/>
            <w:bottom w:val="none" w:sz="0" w:space="0" w:color="auto"/>
            <w:right w:val="none" w:sz="0" w:space="0" w:color="auto"/>
          </w:divBdr>
        </w:div>
      </w:divsChild>
    </w:div>
    <w:div w:id="1649020658">
      <w:bodyDiv w:val="1"/>
      <w:marLeft w:val="0"/>
      <w:marRight w:val="0"/>
      <w:marTop w:val="0"/>
      <w:marBottom w:val="0"/>
      <w:divBdr>
        <w:top w:val="none" w:sz="0" w:space="0" w:color="auto"/>
        <w:left w:val="none" w:sz="0" w:space="0" w:color="auto"/>
        <w:bottom w:val="none" w:sz="0" w:space="0" w:color="auto"/>
        <w:right w:val="none" w:sz="0" w:space="0" w:color="auto"/>
      </w:divBdr>
      <w:divsChild>
        <w:div w:id="22362316">
          <w:marLeft w:val="0"/>
          <w:marRight w:val="0"/>
          <w:marTop w:val="0"/>
          <w:marBottom w:val="0"/>
          <w:divBdr>
            <w:top w:val="none" w:sz="0" w:space="0" w:color="auto"/>
            <w:left w:val="none" w:sz="0" w:space="0" w:color="auto"/>
            <w:bottom w:val="none" w:sz="0" w:space="0" w:color="auto"/>
            <w:right w:val="none" w:sz="0" w:space="0" w:color="auto"/>
          </w:divBdr>
        </w:div>
        <w:div w:id="312103384">
          <w:marLeft w:val="0"/>
          <w:marRight w:val="0"/>
          <w:marTop w:val="0"/>
          <w:marBottom w:val="0"/>
          <w:divBdr>
            <w:top w:val="none" w:sz="0" w:space="0" w:color="auto"/>
            <w:left w:val="none" w:sz="0" w:space="0" w:color="auto"/>
            <w:bottom w:val="none" w:sz="0" w:space="0" w:color="auto"/>
            <w:right w:val="none" w:sz="0" w:space="0" w:color="auto"/>
          </w:divBdr>
          <w:divsChild>
            <w:div w:id="119039056">
              <w:marLeft w:val="0"/>
              <w:marRight w:val="0"/>
              <w:marTop w:val="0"/>
              <w:marBottom w:val="0"/>
              <w:divBdr>
                <w:top w:val="none" w:sz="0" w:space="0" w:color="auto"/>
                <w:left w:val="none" w:sz="0" w:space="0" w:color="auto"/>
                <w:bottom w:val="none" w:sz="0" w:space="0" w:color="auto"/>
                <w:right w:val="none" w:sz="0" w:space="0" w:color="auto"/>
              </w:divBdr>
              <w:divsChild>
                <w:div w:id="398863387">
                  <w:marLeft w:val="0"/>
                  <w:marRight w:val="0"/>
                  <w:marTop w:val="0"/>
                  <w:marBottom w:val="0"/>
                  <w:divBdr>
                    <w:top w:val="none" w:sz="0" w:space="0" w:color="auto"/>
                    <w:left w:val="none" w:sz="0" w:space="0" w:color="auto"/>
                    <w:bottom w:val="none" w:sz="0" w:space="0" w:color="auto"/>
                    <w:right w:val="none" w:sz="0" w:space="0" w:color="auto"/>
                  </w:divBdr>
                </w:div>
                <w:div w:id="484319953">
                  <w:marLeft w:val="0"/>
                  <w:marRight w:val="0"/>
                  <w:marTop w:val="0"/>
                  <w:marBottom w:val="0"/>
                  <w:divBdr>
                    <w:top w:val="none" w:sz="0" w:space="0" w:color="auto"/>
                    <w:left w:val="none" w:sz="0" w:space="0" w:color="auto"/>
                    <w:bottom w:val="none" w:sz="0" w:space="0" w:color="auto"/>
                    <w:right w:val="none" w:sz="0" w:space="0" w:color="auto"/>
                  </w:divBdr>
                </w:div>
                <w:div w:id="7883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footnotes" Target="foot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eader" Target="header1.xml" /><Relationship Id="rId5" Type="http://schemas.openxmlformats.org/officeDocument/2006/relationships/settings" Target="settings.xml" /><Relationship Id="rId15" Type="http://schemas.openxmlformats.org/officeDocument/2006/relationships/header" Target="header3.xml" /><Relationship Id="rId10" Type="http://schemas.openxmlformats.org/officeDocument/2006/relationships/hyperlink" Target="https://learning.nspcc.org.uk/child-protection-system/multi-agency-working-child-protection" TargetMode="External" /><Relationship Id="rId4" Type="http://schemas.openxmlformats.org/officeDocument/2006/relationships/styles" Target="styles.xml" /><Relationship Id="rId9" Type="http://schemas.openxmlformats.org/officeDocument/2006/relationships/hyperlink" Target="https://www.legislation.gov.uk/ukpga/2004/31/contents"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ad5ef1d5f25f7a5076e7c2ba2f6c503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1e720efeff12986cef8b7cbff99cde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A3B638-E67B-4AD0-B0AE-AEA29468EF82}">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212A3390-7BD2-4802-8128-646B4DD7A4D6}">
  <ds:schemaRefs>
    <ds:schemaRef ds:uri="http://schemas.microsoft.com/sharepoint/v3/contenttype/forms"/>
  </ds:schemaRefs>
</ds:datastoreItem>
</file>

<file path=customXml/itemProps3.xml><?xml version="1.0" encoding="utf-8"?>
<ds:datastoreItem xmlns:ds="http://schemas.openxmlformats.org/officeDocument/2006/customXml" ds:itemID="{8716567D-2A74-481D-965A-2EF8AAA6AE65}">
  <ds:schemaRefs>
    <ds:schemaRef ds:uri="http://schemas.microsoft.com/office/2006/metadata/contentType"/>
    <ds:schemaRef ds:uri="http://schemas.microsoft.com/office/2006/metadata/properties/metaAttributes"/>
    <ds:schemaRef ds:uri="http://www.w3.org/2000/xmlns/"/>
    <ds:schemaRef ds:uri="http://www.w3.org/2001/XMLSchema"/>
    <ds:schemaRef ds:uri="46b8f10f-f56e-4e87-af4a-2384ac144562"/>
    <ds:schemaRef ds:uri="921765a0-fcf6-47d1-8ac4-5d670786d75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2668</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Lusharnia Gordon (1905474)</dc:creator>
  <cp:lastModifiedBy>King K</cp:lastModifiedBy>
  <cp:revision>3</cp:revision>
  <dcterms:created xsi:type="dcterms:W3CDTF">2021-08-06T12:50:00Z</dcterms:created>
  <dcterms:modified xsi:type="dcterms:W3CDTF">2021-08-06T12:51:00Z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