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637BA5EC" w:rsidR="000264A1" w:rsidRDefault="000264A1" w:rsidP="000264A1">
      <w:r>
        <w:fldChar w:fldCharType="begin"/>
      </w:r>
      <w:r w:rsidR="001E76EA">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7DC53F1B" w:rsidR="000264A1" w:rsidRPr="0088457F" w:rsidRDefault="000264A1" w:rsidP="000264A1">
      <w:pPr>
        <w:rPr>
          <w:rStyle w:val="Strong"/>
          <w:rFonts w:ascii="Arial" w:hAnsi="Arial" w:cs="Arial"/>
          <w:color w:val="1D2125"/>
          <w:sz w:val="32"/>
          <w:szCs w:val="32"/>
        </w:rPr>
      </w:pPr>
      <w:r w:rsidRPr="0088457F">
        <w:rPr>
          <w:rStyle w:val="Strong"/>
          <w:rFonts w:ascii="Arial" w:hAnsi="Arial" w:cs="Arial"/>
          <w:color w:val="1D2125"/>
          <w:sz w:val="32"/>
          <w:szCs w:val="32"/>
        </w:rPr>
        <w:t>Student name</w:t>
      </w:r>
      <w:r w:rsidR="0088457F" w:rsidRPr="0088457F">
        <w:rPr>
          <w:rStyle w:val="Strong"/>
          <w:rFonts w:ascii="Arial" w:hAnsi="Arial" w:cs="Arial"/>
          <w:color w:val="1D2125"/>
          <w:sz w:val="32"/>
          <w:szCs w:val="32"/>
        </w:rPr>
        <w:t>: Luminita Anamaria Co</w:t>
      </w:r>
      <w:r w:rsidR="0088457F">
        <w:rPr>
          <w:rStyle w:val="Strong"/>
          <w:rFonts w:ascii="Arial" w:hAnsi="Arial" w:cs="Arial"/>
          <w:color w:val="1D2125"/>
          <w:sz w:val="32"/>
          <w:szCs w:val="32"/>
        </w:rPr>
        <w:t>mande</w:t>
      </w:r>
    </w:p>
    <w:p w14:paraId="3F25C99D" w14:textId="76A79543" w:rsidR="000264A1" w:rsidRPr="00841284" w:rsidRDefault="000264A1" w:rsidP="000264A1">
      <w:pPr>
        <w:rPr>
          <w:rStyle w:val="Strong"/>
          <w:rFonts w:ascii="Arial" w:hAnsi="Arial" w:cs="Arial"/>
          <w:color w:val="1D2125"/>
          <w:sz w:val="32"/>
          <w:szCs w:val="32"/>
        </w:rPr>
      </w:pPr>
      <w:r w:rsidRPr="00841284">
        <w:rPr>
          <w:rStyle w:val="Strong"/>
          <w:rFonts w:ascii="Arial" w:hAnsi="Arial" w:cs="Arial"/>
          <w:color w:val="1D2125"/>
          <w:sz w:val="32"/>
          <w:szCs w:val="32"/>
        </w:rPr>
        <w:t>Student number</w:t>
      </w:r>
      <w:r w:rsidR="0088457F" w:rsidRPr="00841284">
        <w:rPr>
          <w:rStyle w:val="Strong"/>
          <w:rFonts w:ascii="Arial" w:hAnsi="Arial" w:cs="Arial"/>
          <w:color w:val="1D2125"/>
          <w:sz w:val="32"/>
          <w:szCs w:val="32"/>
        </w:rPr>
        <w:t>: 2310115</w:t>
      </w:r>
    </w:p>
    <w:p w14:paraId="7DD82387" w14:textId="77777777" w:rsidR="000264A1" w:rsidRPr="00841284" w:rsidRDefault="000264A1" w:rsidP="000264A1">
      <w:pPr>
        <w:rPr>
          <w:rFonts w:ascii="Arial" w:hAnsi="Arial" w:cs="Arial"/>
          <w:sz w:val="36"/>
          <w:szCs w:val="36"/>
        </w:rPr>
      </w:pPr>
    </w:p>
    <w:p w14:paraId="563A7395" w14:textId="77777777" w:rsidR="000264A1" w:rsidRPr="00841284" w:rsidRDefault="000264A1" w:rsidP="000264A1">
      <w:pPr>
        <w:rPr>
          <w:rFonts w:ascii="Arial" w:hAnsi="Arial" w:cs="Arial"/>
          <w:sz w:val="36"/>
          <w:szCs w:val="36"/>
        </w:rPr>
      </w:pPr>
    </w:p>
    <w:p w14:paraId="5805392B" w14:textId="77777777" w:rsidR="000264A1" w:rsidRPr="00841284" w:rsidRDefault="000264A1" w:rsidP="000264A1">
      <w:pPr>
        <w:rPr>
          <w:rFonts w:ascii="Arial" w:hAnsi="Arial" w:cs="Arial"/>
          <w:sz w:val="36"/>
          <w:szCs w:val="36"/>
        </w:rPr>
      </w:pPr>
    </w:p>
    <w:p w14:paraId="4F5FBEC9" w14:textId="77777777" w:rsidR="000264A1" w:rsidRPr="00841284" w:rsidRDefault="000264A1" w:rsidP="000264A1">
      <w:pPr>
        <w:rPr>
          <w:rFonts w:ascii="Arial" w:hAnsi="Arial" w:cs="Arial"/>
          <w:sz w:val="36"/>
          <w:szCs w:val="36"/>
        </w:rPr>
      </w:pPr>
    </w:p>
    <w:p w14:paraId="1DC432D4" w14:textId="77777777" w:rsidR="000264A1" w:rsidRPr="00841284" w:rsidRDefault="000264A1" w:rsidP="000264A1">
      <w:pPr>
        <w:rPr>
          <w:rFonts w:ascii="Arial" w:hAnsi="Arial" w:cs="Arial"/>
          <w:sz w:val="36"/>
          <w:szCs w:val="36"/>
        </w:rPr>
      </w:pPr>
    </w:p>
    <w:p w14:paraId="6B65CDD9" w14:textId="77777777" w:rsidR="008A6D32" w:rsidRPr="00841284" w:rsidRDefault="008A6D32" w:rsidP="000264A1">
      <w:pPr>
        <w:rPr>
          <w:rFonts w:ascii="Arial" w:hAnsi="Arial" w:cs="Arial"/>
          <w:sz w:val="36"/>
          <w:szCs w:val="36"/>
        </w:rPr>
      </w:pPr>
    </w:p>
    <w:p w14:paraId="1DEC40D5" w14:textId="77777777" w:rsidR="000264A1" w:rsidRPr="00841284" w:rsidRDefault="000264A1" w:rsidP="000264A1">
      <w:pPr>
        <w:rPr>
          <w:rFonts w:ascii="Arial" w:hAnsi="Arial" w:cs="Arial"/>
          <w:sz w:val="36"/>
          <w:szCs w:val="36"/>
        </w:rPr>
      </w:pPr>
    </w:p>
    <w:p w14:paraId="432AEE04" w14:textId="77777777" w:rsidR="000264A1" w:rsidRPr="00841284" w:rsidRDefault="000264A1" w:rsidP="000264A1">
      <w:pPr>
        <w:rPr>
          <w:rFonts w:ascii="Arial" w:hAnsi="Arial" w:cs="Arial"/>
          <w:sz w:val="36"/>
          <w:szCs w:val="36"/>
        </w:rPr>
      </w:pPr>
    </w:p>
    <w:p w14:paraId="1FD651FE" w14:textId="182901B0" w:rsidR="008A1DD2" w:rsidRPr="002D3317" w:rsidRDefault="001440A3" w:rsidP="002D3317">
      <w:pPr>
        <w:spacing w:line="360" w:lineRule="auto"/>
        <w:rPr>
          <w:rFonts w:ascii="Arial" w:hAnsi="Arial" w:cs="Arial"/>
          <w:b/>
          <w:bCs/>
          <w:sz w:val="22"/>
          <w:szCs w:val="22"/>
        </w:rPr>
      </w:pPr>
      <w:r>
        <w:rPr>
          <w:rFonts w:ascii="Arial" w:hAnsi="Arial" w:cs="Arial"/>
          <w:b/>
          <w:bCs/>
          <w:sz w:val="22"/>
          <w:szCs w:val="22"/>
        </w:rPr>
        <w:lastRenderedPageBreak/>
        <w:t xml:space="preserve">                                 </w:t>
      </w:r>
      <w:r w:rsidRPr="002D3317">
        <w:rPr>
          <w:rFonts w:ascii="Arial" w:hAnsi="Arial" w:cs="Arial"/>
          <w:b/>
          <w:bCs/>
          <w:sz w:val="22"/>
          <w:szCs w:val="22"/>
        </w:rPr>
        <w:t>Obsessive-Compulsive Disorder (OCD)</w:t>
      </w:r>
    </w:p>
    <w:p w14:paraId="452BA05B" w14:textId="77777777" w:rsidR="001440A3" w:rsidRPr="002D3317" w:rsidRDefault="001440A3" w:rsidP="002D3317">
      <w:pPr>
        <w:spacing w:line="360" w:lineRule="auto"/>
        <w:rPr>
          <w:rFonts w:ascii="Arial" w:hAnsi="Arial" w:cs="Arial"/>
          <w:b/>
          <w:bCs/>
          <w:sz w:val="22"/>
          <w:szCs w:val="22"/>
        </w:rPr>
      </w:pPr>
    </w:p>
    <w:p w14:paraId="50B4AB62" w14:textId="3E1AA91B" w:rsidR="00033235" w:rsidRPr="002D3317" w:rsidRDefault="00033235" w:rsidP="002D3317">
      <w:pPr>
        <w:spacing w:line="360" w:lineRule="auto"/>
        <w:rPr>
          <w:rFonts w:ascii="Arial" w:hAnsi="Arial" w:cs="Arial"/>
          <w:b/>
          <w:bCs/>
          <w:sz w:val="22"/>
          <w:szCs w:val="22"/>
        </w:rPr>
      </w:pPr>
      <w:r w:rsidRPr="002D3317">
        <w:rPr>
          <w:rFonts w:ascii="Arial" w:hAnsi="Arial" w:cs="Arial"/>
          <w:b/>
          <w:bCs/>
          <w:sz w:val="22"/>
          <w:szCs w:val="22"/>
        </w:rPr>
        <w:t>Introduction</w:t>
      </w:r>
    </w:p>
    <w:p w14:paraId="4E397A0F" w14:textId="171C4674" w:rsidR="00033235" w:rsidRPr="002D3317" w:rsidRDefault="00033235" w:rsidP="002D3317">
      <w:pPr>
        <w:spacing w:line="360" w:lineRule="auto"/>
        <w:rPr>
          <w:rFonts w:ascii="Arial" w:hAnsi="Arial" w:cs="Arial"/>
          <w:sz w:val="22"/>
          <w:szCs w:val="22"/>
        </w:rPr>
      </w:pPr>
      <w:r w:rsidRPr="002D3317">
        <w:rPr>
          <w:rFonts w:ascii="Arial" w:hAnsi="Arial" w:cs="Arial"/>
          <w:sz w:val="22"/>
          <w:szCs w:val="22"/>
        </w:rPr>
        <w:t xml:space="preserve">Mixed obsessional thoughts and acts (ICD 11 F42.2) fall under </w:t>
      </w:r>
      <w:proofErr w:type="gramStart"/>
      <w:r w:rsidR="00841284" w:rsidRPr="002D3317">
        <w:rPr>
          <w:rFonts w:ascii="Arial" w:hAnsi="Arial" w:cs="Arial"/>
          <w:b/>
          <w:bCs/>
          <w:sz w:val="22"/>
          <w:szCs w:val="22"/>
        </w:rPr>
        <w:t>O</w:t>
      </w:r>
      <w:r w:rsidR="004B4B89" w:rsidRPr="002D3317">
        <w:rPr>
          <w:rFonts w:ascii="Arial" w:hAnsi="Arial" w:cs="Arial"/>
          <w:b/>
          <w:bCs/>
          <w:sz w:val="22"/>
          <w:szCs w:val="22"/>
        </w:rPr>
        <w:t>bsessive-</w:t>
      </w:r>
      <w:r w:rsidR="00841284" w:rsidRPr="002D3317">
        <w:rPr>
          <w:rFonts w:ascii="Arial" w:hAnsi="Arial" w:cs="Arial"/>
          <w:b/>
          <w:bCs/>
          <w:sz w:val="22"/>
          <w:szCs w:val="22"/>
        </w:rPr>
        <w:t>C</w:t>
      </w:r>
      <w:r w:rsidR="004B4B89" w:rsidRPr="002D3317">
        <w:rPr>
          <w:rFonts w:ascii="Arial" w:hAnsi="Arial" w:cs="Arial"/>
          <w:b/>
          <w:bCs/>
          <w:sz w:val="22"/>
          <w:szCs w:val="22"/>
        </w:rPr>
        <w:t xml:space="preserve">ompulsive </w:t>
      </w:r>
      <w:r w:rsidR="00841284" w:rsidRPr="002D3317">
        <w:rPr>
          <w:rFonts w:ascii="Arial" w:hAnsi="Arial" w:cs="Arial"/>
          <w:b/>
          <w:bCs/>
          <w:sz w:val="22"/>
          <w:szCs w:val="22"/>
        </w:rPr>
        <w:t>D</w:t>
      </w:r>
      <w:r w:rsidR="004B4B89" w:rsidRPr="002D3317">
        <w:rPr>
          <w:rFonts w:ascii="Arial" w:hAnsi="Arial" w:cs="Arial"/>
          <w:b/>
          <w:bCs/>
          <w:sz w:val="22"/>
          <w:szCs w:val="22"/>
        </w:rPr>
        <w:t>isorder</w:t>
      </w:r>
      <w:proofErr w:type="gramEnd"/>
      <w:r w:rsidRPr="002D3317">
        <w:rPr>
          <w:rFonts w:ascii="Arial" w:hAnsi="Arial" w:cs="Arial"/>
          <w:b/>
          <w:bCs/>
          <w:sz w:val="22"/>
          <w:szCs w:val="22"/>
        </w:rPr>
        <w:t xml:space="preserve"> (OCD)</w:t>
      </w:r>
      <w:r w:rsidRPr="002D3317">
        <w:rPr>
          <w:rFonts w:ascii="Arial" w:hAnsi="Arial" w:cs="Arial"/>
          <w:sz w:val="22"/>
          <w:szCs w:val="22"/>
        </w:rPr>
        <w:t xml:space="preserve"> in Chapter 6 of the ICD 11, which covers Mental, </w:t>
      </w:r>
      <w:proofErr w:type="spellStart"/>
      <w:r w:rsidRPr="002D3317">
        <w:rPr>
          <w:rFonts w:ascii="Arial" w:hAnsi="Arial" w:cs="Arial"/>
          <w:sz w:val="22"/>
          <w:szCs w:val="22"/>
        </w:rPr>
        <w:t>Behavioral</w:t>
      </w:r>
      <w:proofErr w:type="spellEnd"/>
      <w:r w:rsidRPr="002D3317">
        <w:rPr>
          <w:rFonts w:ascii="Arial" w:hAnsi="Arial" w:cs="Arial"/>
          <w:sz w:val="22"/>
          <w:szCs w:val="22"/>
        </w:rPr>
        <w:t>, or Neurodevelopmental Disorders. This subtype involves both intrusive, upsetting thoughts (obsessions) and repetitive actions or mental rituals (compulsions). The ICD 11 sees this as a disorder, stressing its impact and clinical relevance (World Health Organization, 2019).</w:t>
      </w:r>
    </w:p>
    <w:p w14:paraId="673FC502" w14:textId="77777777" w:rsidR="00137B23" w:rsidRPr="002D3317" w:rsidRDefault="00137B23" w:rsidP="002D3317">
      <w:pPr>
        <w:spacing w:line="360" w:lineRule="auto"/>
        <w:rPr>
          <w:rFonts w:ascii="Arial" w:hAnsi="Arial" w:cs="Arial"/>
          <w:sz w:val="22"/>
          <w:szCs w:val="22"/>
        </w:rPr>
      </w:pPr>
    </w:p>
    <w:p w14:paraId="0C65F41A" w14:textId="52884978" w:rsidR="00033235" w:rsidRPr="002D3317" w:rsidRDefault="00033235" w:rsidP="002D3317">
      <w:pPr>
        <w:spacing w:line="360" w:lineRule="auto"/>
        <w:rPr>
          <w:rFonts w:ascii="Arial" w:hAnsi="Arial" w:cs="Arial"/>
          <w:b/>
          <w:bCs/>
          <w:sz w:val="22"/>
          <w:szCs w:val="22"/>
        </w:rPr>
      </w:pPr>
      <w:r w:rsidRPr="002D3317">
        <w:rPr>
          <w:rFonts w:ascii="Arial" w:hAnsi="Arial" w:cs="Arial"/>
          <w:b/>
          <w:bCs/>
          <w:sz w:val="22"/>
          <w:szCs w:val="22"/>
        </w:rPr>
        <w:t>Classification and Diagnosis</w:t>
      </w:r>
    </w:p>
    <w:p w14:paraId="3E524C95" w14:textId="0214D25B" w:rsidR="00033235" w:rsidRPr="002D3317" w:rsidRDefault="00033235" w:rsidP="002D3317">
      <w:pPr>
        <w:pStyle w:val="ListParagraph"/>
        <w:numPr>
          <w:ilvl w:val="0"/>
          <w:numId w:val="34"/>
        </w:numPr>
        <w:spacing w:line="360" w:lineRule="auto"/>
        <w:rPr>
          <w:rFonts w:ascii="Arial" w:hAnsi="Arial" w:cs="Arial"/>
          <w:sz w:val="22"/>
          <w:szCs w:val="22"/>
        </w:rPr>
      </w:pPr>
      <w:r w:rsidRPr="002D3317">
        <w:rPr>
          <w:rFonts w:ascii="Arial" w:hAnsi="Arial" w:cs="Arial"/>
          <w:b/>
          <w:bCs/>
          <w:sz w:val="22"/>
          <w:szCs w:val="22"/>
        </w:rPr>
        <w:t>ICD 11 Placement</w:t>
      </w:r>
      <w:r w:rsidRPr="002D3317">
        <w:rPr>
          <w:rFonts w:ascii="Arial" w:hAnsi="Arial" w:cs="Arial"/>
          <w:sz w:val="22"/>
          <w:szCs w:val="22"/>
        </w:rPr>
        <w:t>: F42.2 is under Obsessive-Compulsive and Related Disorders. The ICD 11 uses disorder, which suggests a medical view (WHO, 2019).</w:t>
      </w:r>
    </w:p>
    <w:p w14:paraId="7650C060" w14:textId="33448A26" w:rsidR="00033235" w:rsidRPr="002D3317" w:rsidRDefault="00033235" w:rsidP="002D3317">
      <w:pPr>
        <w:pStyle w:val="ListParagraph"/>
        <w:numPr>
          <w:ilvl w:val="0"/>
          <w:numId w:val="34"/>
        </w:numPr>
        <w:spacing w:line="360" w:lineRule="auto"/>
        <w:rPr>
          <w:rFonts w:ascii="Arial" w:hAnsi="Arial" w:cs="Arial"/>
          <w:sz w:val="22"/>
          <w:szCs w:val="22"/>
        </w:rPr>
      </w:pPr>
      <w:r w:rsidRPr="002D3317">
        <w:rPr>
          <w:rFonts w:ascii="Arial" w:hAnsi="Arial" w:cs="Arial"/>
          <w:b/>
          <w:bCs/>
          <w:sz w:val="22"/>
          <w:szCs w:val="22"/>
        </w:rPr>
        <w:t>Diagnostic Criteria:</w:t>
      </w:r>
      <w:r w:rsidRPr="002D3317">
        <w:rPr>
          <w:rFonts w:ascii="Arial" w:hAnsi="Arial" w:cs="Arial"/>
          <w:sz w:val="22"/>
          <w:szCs w:val="22"/>
        </w:rPr>
        <w:t xml:space="preserve"> Patients must have obsessions and compulsions that take up time, cause distress, or impair how they function. These symptoms should not be due to another mental health problem or substance use (</w:t>
      </w:r>
      <w:proofErr w:type="spellStart"/>
      <w:r w:rsidRPr="002D3317">
        <w:rPr>
          <w:rFonts w:ascii="Arial" w:hAnsi="Arial" w:cs="Arial"/>
          <w:sz w:val="22"/>
          <w:szCs w:val="22"/>
        </w:rPr>
        <w:t>Carepatron</w:t>
      </w:r>
      <w:proofErr w:type="spellEnd"/>
      <w:r w:rsidRPr="002D3317">
        <w:rPr>
          <w:rFonts w:ascii="Arial" w:hAnsi="Arial" w:cs="Arial"/>
          <w:sz w:val="22"/>
          <w:szCs w:val="22"/>
        </w:rPr>
        <w:t>, 2025).</w:t>
      </w:r>
    </w:p>
    <w:p w14:paraId="12F11153" w14:textId="1CB9DE7D" w:rsidR="00033235" w:rsidRPr="002D3317" w:rsidRDefault="00033235" w:rsidP="002D3317">
      <w:pPr>
        <w:pStyle w:val="ListParagraph"/>
        <w:numPr>
          <w:ilvl w:val="0"/>
          <w:numId w:val="34"/>
        </w:numPr>
        <w:spacing w:line="360" w:lineRule="auto"/>
        <w:rPr>
          <w:rFonts w:ascii="Arial" w:hAnsi="Arial" w:cs="Arial"/>
          <w:sz w:val="22"/>
          <w:szCs w:val="22"/>
        </w:rPr>
      </w:pPr>
      <w:r w:rsidRPr="002D3317">
        <w:rPr>
          <w:rFonts w:ascii="Arial" w:hAnsi="Arial" w:cs="Arial"/>
          <w:b/>
          <w:bCs/>
          <w:sz w:val="22"/>
          <w:szCs w:val="22"/>
        </w:rPr>
        <w:t>Language and Framing</w:t>
      </w:r>
      <w:r w:rsidRPr="002D3317">
        <w:rPr>
          <w:rFonts w:ascii="Arial" w:hAnsi="Arial" w:cs="Arial"/>
          <w:sz w:val="22"/>
          <w:szCs w:val="22"/>
        </w:rPr>
        <w:t>: The term disorder has been criticized for treating neurodivergent experiences as diseases. Some suggest using broader methods to better show the variety of these experiences (Stein et al., 2019; Simpson &amp;amp; Reddy, 2014).</w:t>
      </w:r>
    </w:p>
    <w:p w14:paraId="34D0933B" w14:textId="18B2DB02" w:rsidR="00033235" w:rsidRPr="002D3317" w:rsidRDefault="00033235" w:rsidP="002D3317">
      <w:pPr>
        <w:pStyle w:val="ListParagraph"/>
        <w:numPr>
          <w:ilvl w:val="0"/>
          <w:numId w:val="34"/>
        </w:numPr>
        <w:spacing w:line="360" w:lineRule="auto"/>
        <w:rPr>
          <w:rFonts w:ascii="Arial" w:hAnsi="Arial" w:cs="Arial"/>
          <w:sz w:val="22"/>
          <w:szCs w:val="22"/>
        </w:rPr>
      </w:pPr>
      <w:r w:rsidRPr="002D3317">
        <w:rPr>
          <w:rFonts w:ascii="Arial" w:hAnsi="Arial" w:cs="Arial"/>
          <w:b/>
          <w:bCs/>
          <w:sz w:val="22"/>
          <w:szCs w:val="22"/>
        </w:rPr>
        <w:t>Differential Diagnosis</w:t>
      </w:r>
      <w:r w:rsidRPr="002D3317">
        <w:rPr>
          <w:rFonts w:ascii="Arial" w:hAnsi="Arial" w:cs="Arial"/>
          <w:sz w:val="22"/>
          <w:szCs w:val="22"/>
        </w:rPr>
        <w:t>: Mixed forms often resemble anxiety disorders, depression, and tic-related issues, which makes diagnosis hard (</w:t>
      </w:r>
      <w:proofErr w:type="spellStart"/>
      <w:r w:rsidRPr="002D3317">
        <w:rPr>
          <w:rFonts w:ascii="Arial" w:hAnsi="Arial" w:cs="Arial"/>
          <w:sz w:val="22"/>
          <w:szCs w:val="22"/>
        </w:rPr>
        <w:t>Remschmidt</w:t>
      </w:r>
      <w:proofErr w:type="spellEnd"/>
      <w:r w:rsidRPr="002D3317">
        <w:rPr>
          <w:rFonts w:ascii="Arial" w:hAnsi="Arial" w:cs="Arial"/>
          <w:sz w:val="22"/>
          <w:szCs w:val="22"/>
        </w:rPr>
        <w:t xml:space="preserve"> &amp;amp; Niebergall, 2015).</w:t>
      </w:r>
    </w:p>
    <w:p w14:paraId="094280D2" w14:textId="77777777" w:rsidR="00137B23" w:rsidRPr="002D3317" w:rsidRDefault="00137B23" w:rsidP="002D3317">
      <w:pPr>
        <w:pStyle w:val="ListParagraph"/>
        <w:spacing w:line="360" w:lineRule="auto"/>
        <w:rPr>
          <w:rFonts w:ascii="Arial" w:hAnsi="Arial" w:cs="Arial"/>
          <w:sz w:val="22"/>
          <w:szCs w:val="22"/>
        </w:rPr>
      </w:pPr>
    </w:p>
    <w:p w14:paraId="40AD1EB7" w14:textId="77777777" w:rsidR="00033235" w:rsidRPr="002D3317" w:rsidRDefault="00033235" w:rsidP="002D3317">
      <w:pPr>
        <w:spacing w:line="360" w:lineRule="auto"/>
        <w:rPr>
          <w:rFonts w:ascii="Arial" w:hAnsi="Arial" w:cs="Arial"/>
          <w:b/>
          <w:bCs/>
          <w:sz w:val="22"/>
          <w:szCs w:val="22"/>
        </w:rPr>
      </w:pPr>
      <w:r w:rsidRPr="002D3317">
        <w:rPr>
          <w:rFonts w:ascii="Arial" w:hAnsi="Arial" w:cs="Arial"/>
          <w:b/>
          <w:bCs/>
          <w:sz w:val="22"/>
          <w:szCs w:val="22"/>
        </w:rPr>
        <w:t>Treatment and Rehabilitation</w:t>
      </w:r>
    </w:p>
    <w:p w14:paraId="6E89DC6E" w14:textId="77777777" w:rsidR="00033235" w:rsidRPr="002D3317" w:rsidRDefault="00033235" w:rsidP="002D3317">
      <w:pPr>
        <w:spacing w:line="360" w:lineRule="auto"/>
        <w:rPr>
          <w:rFonts w:ascii="Arial" w:hAnsi="Arial" w:cs="Arial"/>
          <w:b/>
          <w:bCs/>
          <w:sz w:val="22"/>
          <w:szCs w:val="22"/>
        </w:rPr>
      </w:pPr>
      <w:r w:rsidRPr="002D3317">
        <w:rPr>
          <w:rFonts w:ascii="Arial" w:hAnsi="Arial" w:cs="Arial"/>
          <w:b/>
          <w:bCs/>
          <w:sz w:val="22"/>
          <w:szCs w:val="22"/>
        </w:rPr>
        <w:t>1.  Psychological Therapies</w:t>
      </w:r>
    </w:p>
    <w:p w14:paraId="0831A3BC" w14:textId="6FF23BBA" w:rsidR="00033235" w:rsidRPr="002D3317" w:rsidRDefault="00033235" w:rsidP="002D3317">
      <w:pPr>
        <w:spacing w:line="360" w:lineRule="auto"/>
        <w:rPr>
          <w:rFonts w:ascii="Arial" w:hAnsi="Arial" w:cs="Arial"/>
          <w:b/>
          <w:bCs/>
          <w:sz w:val="22"/>
          <w:szCs w:val="22"/>
        </w:rPr>
      </w:pPr>
      <w:r w:rsidRPr="002D3317">
        <w:rPr>
          <w:rFonts w:ascii="Arial" w:hAnsi="Arial" w:cs="Arial"/>
          <w:b/>
          <w:bCs/>
          <w:sz w:val="22"/>
          <w:szCs w:val="22"/>
        </w:rPr>
        <w:t>Cognitive-</w:t>
      </w:r>
      <w:proofErr w:type="spellStart"/>
      <w:r w:rsidRPr="002D3317">
        <w:rPr>
          <w:rFonts w:ascii="Arial" w:hAnsi="Arial" w:cs="Arial"/>
          <w:b/>
          <w:bCs/>
          <w:sz w:val="22"/>
          <w:szCs w:val="22"/>
        </w:rPr>
        <w:t>Behavioral</w:t>
      </w:r>
      <w:proofErr w:type="spellEnd"/>
      <w:r w:rsidRPr="002D3317">
        <w:rPr>
          <w:rFonts w:ascii="Arial" w:hAnsi="Arial" w:cs="Arial"/>
          <w:b/>
          <w:bCs/>
          <w:sz w:val="22"/>
          <w:szCs w:val="22"/>
        </w:rPr>
        <w:t xml:space="preserve"> Therapy (CBT):</w:t>
      </w:r>
    </w:p>
    <w:p w14:paraId="3A56A826" w14:textId="7DC7AB06" w:rsidR="00033235" w:rsidRPr="002D3317" w:rsidRDefault="00033235" w:rsidP="002D3317">
      <w:pPr>
        <w:pStyle w:val="ListParagraph"/>
        <w:numPr>
          <w:ilvl w:val="0"/>
          <w:numId w:val="77"/>
        </w:numPr>
        <w:spacing w:line="360" w:lineRule="auto"/>
        <w:rPr>
          <w:rFonts w:ascii="Arial" w:hAnsi="Arial" w:cs="Arial"/>
          <w:sz w:val="22"/>
          <w:szCs w:val="22"/>
        </w:rPr>
      </w:pPr>
      <w:r w:rsidRPr="002D3317">
        <w:rPr>
          <w:rFonts w:ascii="Arial" w:hAnsi="Arial" w:cs="Arial"/>
          <w:sz w:val="22"/>
          <w:szCs w:val="22"/>
        </w:rPr>
        <w:t>This is a main treatment, with Exposure and Response Prevention (ERP) as the most proven method (NICE, 2022; Koran et al., 2020).</w:t>
      </w:r>
    </w:p>
    <w:p w14:paraId="297D7D04" w14:textId="74B37958" w:rsidR="00033235" w:rsidRPr="002D3317" w:rsidRDefault="00033235" w:rsidP="002D3317">
      <w:pPr>
        <w:pStyle w:val="ListParagraph"/>
        <w:numPr>
          <w:ilvl w:val="0"/>
          <w:numId w:val="77"/>
        </w:numPr>
        <w:spacing w:line="360" w:lineRule="auto"/>
        <w:rPr>
          <w:rFonts w:ascii="Arial" w:hAnsi="Arial" w:cs="Arial"/>
          <w:sz w:val="22"/>
          <w:szCs w:val="22"/>
        </w:rPr>
      </w:pPr>
      <w:r w:rsidRPr="002D3317">
        <w:rPr>
          <w:rFonts w:ascii="Arial" w:hAnsi="Arial" w:cs="Arial"/>
          <w:sz w:val="22"/>
          <w:szCs w:val="22"/>
        </w:rPr>
        <w:t>ERP includes gradually facing feared things while not doing compulsive actions, which lowers anxiety and breaks the obsession-compulsion loop.</w:t>
      </w:r>
    </w:p>
    <w:p w14:paraId="4E31D9AB" w14:textId="411E3F56" w:rsidR="00033235" w:rsidRPr="002D3317" w:rsidRDefault="00033235" w:rsidP="002D3317">
      <w:pPr>
        <w:pStyle w:val="ListParagraph"/>
        <w:numPr>
          <w:ilvl w:val="0"/>
          <w:numId w:val="77"/>
        </w:numPr>
        <w:spacing w:line="360" w:lineRule="auto"/>
        <w:rPr>
          <w:rFonts w:ascii="Arial" w:hAnsi="Arial" w:cs="Arial"/>
          <w:sz w:val="22"/>
          <w:szCs w:val="22"/>
        </w:rPr>
      </w:pPr>
      <w:r w:rsidRPr="002D3317">
        <w:rPr>
          <w:rFonts w:ascii="Arial" w:hAnsi="Arial" w:cs="Arial"/>
          <w:sz w:val="22"/>
          <w:szCs w:val="22"/>
        </w:rPr>
        <w:t>Limits: Many patients drop out because it is upsetting; it needs special training; and it is less helpful for patients who do not understand their condition well (Fineberg et al., 2020).</w:t>
      </w:r>
    </w:p>
    <w:p w14:paraId="49F26896" w14:textId="10710C04" w:rsidR="00033235" w:rsidRPr="002D3317" w:rsidRDefault="00AE1C90" w:rsidP="002D3317">
      <w:pPr>
        <w:spacing w:line="360" w:lineRule="auto"/>
        <w:rPr>
          <w:rFonts w:ascii="Arial" w:hAnsi="Arial" w:cs="Arial"/>
          <w:b/>
          <w:bCs/>
          <w:sz w:val="22"/>
          <w:szCs w:val="22"/>
        </w:rPr>
      </w:pPr>
      <w:r w:rsidRPr="002D3317">
        <w:rPr>
          <w:rFonts w:ascii="Arial" w:hAnsi="Arial" w:cs="Arial"/>
          <w:b/>
          <w:bCs/>
          <w:sz w:val="22"/>
          <w:szCs w:val="22"/>
        </w:rPr>
        <w:t>C</w:t>
      </w:r>
      <w:r w:rsidR="00033235" w:rsidRPr="002D3317">
        <w:rPr>
          <w:rFonts w:ascii="Arial" w:hAnsi="Arial" w:cs="Arial"/>
          <w:b/>
          <w:bCs/>
          <w:sz w:val="22"/>
          <w:szCs w:val="22"/>
        </w:rPr>
        <w:t>ognitive Therapy (CT):</w:t>
      </w:r>
    </w:p>
    <w:p w14:paraId="73A329F7" w14:textId="767CAD11" w:rsidR="00033235" w:rsidRPr="002D3317" w:rsidRDefault="00033235" w:rsidP="002D3317">
      <w:pPr>
        <w:pStyle w:val="ListParagraph"/>
        <w:numPr>
          <w:ilvl w:val="0"/>
          <w:numId w:val="78"/>
        </w:numPr>
        <w:spacing w:line="360" w:lineRule="auto"/>
        <w:rPr>
          <w:rFonts w:ascii="Arial" w:hAnsi="Arial" w:cs="Arial"/>
          <w:sz w:val="22"/>
          <w:szCs w:val="22"/>
        </w:rPr>
      </w:pPr>
      <w:r w:rsidRPr="002D3317">
        <w:rPr>
          <w:rFonts w:ascii="Arial" w:hAnsi="Arial" w:cs="Arial"/>
          <w:sz w:val="22"/>
          <w:szCs w:val="22"/>
        </w:rPr>
        <w:t>It targets unhelpful beliefs, like feeling too responsible or needing to be perfect.</w:t>
      </w:r>
    </w:p>
    <w:p w14:paraId="558DE303" w14:textId="07FC6E60" w:rsidR="00033235" w:rsidRPr="002D3317" w:rsidRDefault="00033235" w:rsidP="002D3317">
      <w:pPr>
        <w:pStyle w:val="ListParagraph"/>
        <w:numPr>
          <w:ilvl w:val="0"/>
          <w:numId w:val="78"/>
        </w:numPr>
        <w:spacing w:line="360" w:lineRule="auto"/>
        <w:rPr>
          <w:rFonts w:ascii="Arial" w:hAnsi="Arial" w:cs="Arial"/>
          <w:sz w:val="22"/>
          <w:szCs w:val="22"/>
        </w:rPr>
      </w:pPr>
      <w:r w:rsidRPr="002D3317">
        <w:rPr>
          <w:rFonts w:ascii="Arial" w:hAnsi="Arial" w:cs="Arial"/>
          <w:sz w:val="22"/>
          <w:szCs w:val="22"/>
        </w:rPr>
        <w:t>Research shows CT can help patients who are resistant to ERP (Wilhelm et al., 2019).</w:t>
      </w:r>
    </w:p>
    <w:p w14:paraId="34CF362A" w14:textId="565D5008" w:rsidR="00033235" w:rsidRPr="002D3317" w:rsidRDefault="00033235" w:rsidP="002D3317">
      <w:pPr>
        <w:spacing w:line="360" w:lineRule="auto"/>
        <w:rPr>
          <w:rFonts w:ascii="Arial" w:hAnsi="Arial" w:cs="Arial"/>
          <w:b/>
          <w:bCs/>
          <w:sz w:val="22"/>
          <w:szCs w:val="22"/>
        </w:rPr>
      </w:pPr>
      <w:r w:rsidRPr="002D3317">
        <w:rPr>
          <w:rFonts w:ascii="Arial" w:hAnsi="Arial" w:cs="Arial"/>
          <w:b/>
          <w:bCs/>
          <w:sz w:val="22"/>
          <w:szCs w:val="22"/>
        </w:rPr>
        <w:t>Acceptance and Commitment Therapy (ACT):</w:t>
      </w:r>
    </w:p>
    <w:p w14:paraId="0C5DC041" w14:textId="57E0797C" w:rsidR="00033235" w:rsidRPr="002D3317" w:rsidRDefault="00033235" w:rsidP="002D3317">
      <w:pPr>
        <w:pStyle w:val="ListParagraph"/>
        <w:numPr>
          <w:ilvl w:val="0"/>
          <w:numId w:val="79"/>
        </w:numPr>
        <w:spacing w:line="360" w:lineRule="auto"/>
        <w:rPr>
          <w:rFonts w:ascii="Arial" w:hAnsi="Arial" w:cs="Arial"/>
          <w:sz w:val="22"/>
          <w:szCs w:val="22"/>
        </w:rPr>
      </w:pPr>
      <w:r w:rsidRPr="002D3317">
        <w:rPr>
          <w:rFonts w:ascii="Arial" w:hAnsi="Arial" w:cs="Arial"/>
          <w:sz w:val="22"/>
          <w:szCs w:val="22"/>
        </w:rPr>
        <w:t>It focuses on being flexible and accepting intrusive thoughts instead of trying to stop them.</w:t>
      </w:r>
    </w:p>
    <w:p w14:paraId="48760A4A" w14:textId="696BBA14" w:rsidR="00033235" w:rsidRPr="002D3317" w:rsidRDefault="00033235" w:rsidP="002D3317">
      <w:pPr>
        <w:pStyle w:val="ListParagraph"/>
        <w:numPr>
          <w:ilvl w:val="0"/>
          <w:numId w:val="79"/>
        </w:numPr>
        <w:spacing w:line="360" w:lineRule="auto"/>
        <w:rPr>
          <w:rFonts w:ascii="Arial" w:hAnsi="Arial" w:cs="Arial"/>
          <w:sz w:val="22"/>
          <w:szCs w:val="22"/>
        </w:rPr>
      </w:pPr>
      <w:r w:rsidRPr="002D3317">
        <w:rPr>
          <w:rFonts w:ascii="Arial" w:hAnsi="Arial" w:cs="Arial"/>
          <w:sz w:val="22"/>
          <w:szCs w:val="22"/>
        </w:rPr>
        <w:t>Some data suggests ACT can add to ERP, especially for patients who avoid things (Twohig et al., 2015).</w:t>
      </w:r>
    </w:p>
    <w:p w14:paraId="5F3BD818" w14:textId="77777777"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2. Medication Options</w:t>
      </w:r>
    </w:p>
    <w:p w14:paraId="15DDFBDE" w14:textId="30663142" w:rsidR="007B58D8" w:rsidRPr="002D3317" w:rsidRDefault="007B58D8" w:rsidP="002D3317">
      <w:pPr>
        <w:spacing w:line="360" w:lineRule="auto"/>
        <w:ind w:left="360"/>
        <w:rPr>
          <w:rFonts w:ascii="Arial" w:hAnsi="Arial" w:cs="Arial"/>
          <w:sz w:val="22"/>
          <w:szCs w:val="22"/>
        </w:rPr>
      </w:pPr>
      <w:r w:rsidRPr="002D3317">
        <w:rPr>
          <w:rFonts w:ascii="Arial" w:hAnsi="Arial" w:cs="Arial"/>
          <w:b/>
          <w:bCs/>
          <w:sz w:val="22"/>
          <w:szCs w:val="22"/>
        </w:rPr>
        <w:t>First choice: SSRIs</w:t>
      </w:r>
      <w:r w:rsidRPr="002D3317">
        <w:rPr>
          <w:rFonts w:ascii="Arial" w:hAnsi="Arial" w:cs="Arial"/>
          <w:sz w:val="22"/>
          <w:szCs w:val="22"/>
        </w:rPr>
        <w:t xml:space="preserve"> (like fluoxetine, sertraline, fluvoxamine, paroxetine, citalopram):</w:t>
      </w:r>
    </w:p>
    <w:p w14:paraId="001443C0" w14:textId="3E7E5B57" w:rsidR="007B58D8" w:rsidRPr="002D3317" w:rsidRDefault="007B58D8" w:rsidP="002D3317">
      <w:pPr>
        <w:pStyle w:val="ListParagraph"/>
        <w:numPr>
          <w:ilvl w:val="0"/>
          <w:numId w:val="80"/>
        </w:numPr>
        <w:spacing w:line="360" w:lineRule="auto"/>
        <w:rPr>
          <w:rFonts w:ascii="Arial" w:hAnsi="Arial" w:cs="Arial"/>
          <w:sz w:val="22"/>
          <w:szCs w:val="22"/>
        </w:rPr>
      </w:pPr>
      <w:r w:rsidRPr="002D3317">
        <w:rPr>
          <w:rFonts w:ascii="Arial" w:hAnsi="Arial" w:cs="Arial"/>
          <w:sz w:val="22"/>
          <w:szCs w:val="22"/>
        </w:rPr>
        <w:t>These can help lessen both obsessions and compulsions, helping about 40–60% of people (Pittenger &amp;amp; Bloch, 2014).</w:t>
      </w:r>
    </w:p>
    <w:p w14:paraId="2477D6E5" w14:textId="1082FBBD" w:rsidR="007B58D8" w:rsidRPr="002D3317" w:rsidRDefault="007B58D8" w:rsidP="002D3317">
      <w:pPr>
        <w:pStyle w:val="ListParagraph"/>
        <w:numPr>
          <w:ilvl w:val="0"/>
          <w:numId w:val="80"/>
        </w:numPr>
        <w:spacing w:line="360" w:lineRule="auto"/>
        <w:rPr>
          <w:rFonts w:ascii="Arial" w:hAnsi="Arial" w:cs="Arial"/>
          <w:sz w:val="22"/>
          <w:szCs w:val="22"/>
        </w:rPr>
      </w:pPr>
      <w:r w:rsidRPr="002D3317">
        <w:rPr>
          <w:rFonts w:ascii="Arial" w:hAnsi="Arial" w:cs="Arial"/>
          <w:sz w:val="22"/>
          <w:szCs w:val="22"/>
        </w:rPr>
        <w:t>They need higher doses than what’s used for depression, and it takes longer to see if they work (10–12 weeks).</w:t>
      </w:r>
    </w:p>
    <w:p w14:paraId="247BE73C" w14:textId="33455449" w:rsidR="007B58D8" w:rsidRPr="002D3317" w:rsidRDefault="00EC72FA" w:rsidP="002D3317">
      <w:pPr>
        <w:spacing w:line="360" w:lineRule="auto"/>
        <w:rPr>
          <w:rFonts w:ascii="Arial" w:hAnsi="Arial" w:cs="Arial"/>
          <w:sz w:val="22"/>
          <w:szCs w:val="22"/>
        </w:rPr>
      </w:pPr>
      <w:r w:rsidRPr="002D3317">
        <w:rPr>
          <w:rFonts w:ascii="Arial" w:hAnsi="Arial" w:cs="Arial"/>
          <w:b/>
          <w:bCs/>
          <w:sz w:val="22"/>
          <w:szCs w:val="22"/>
        </w:rPr>
        <w:t xml:space="preserve">      </w:t>
      </w:r>
      <w:r w:rsidR="007B58D8" w:rsidRPr="002D3317">
        <w:rPr>
          <w:rFonts w:ascii="Arial" w:hAnsi="Arial" w:cs="Arial"/>
          <w:b/>
          <w:bCs/>
          <w:sz w:val="22"/>
          <w:szCs w:val="22"/>
        </w:rPr>
        <w:t>Second choice: Clomipramine</w:t>
      </w:r>
      <w:r w:rsidR="007B58D8" w:rsidRPr="002D3317">
        <w:rPr>
          <w:rFonts w:ascii="Arial" w:hAnsi="Arial" w:cs="Arial"/>
          <w:sz w:val="22"/>
          <w:szCs w:val="22"/>
        </w:rPr>
        <w:t xml:space="preserve"> </w:t>
      </w:r>
      <w:r w:rsidR="007B58D8" w:rsidRPr="002D3317">
        <w:rPr>
          <w:rFonts w:ascii="Arial" w:hAnsi="Arial" w:cs="Arial"/>
          <w:b/>
          <w:bCs/>
          <w:sz w:val="22"/>
          <w:szCs w:val="22"/>
        </w:rPr>
        <w:t>(TCA):</w:t>
      </w:r>
    </w:p>
    <w:p w14:paraId="4062BA52" w14:textId="37D84A58" w:rsidR="007B58D8" w:rsidRPr="002D3317" w:rsidRDefault="007B58D8" w:rsidP="002D3317">
      <w:pPr>
        <w:pStyle w:val="ListParagraph"/>
        <w:numPr>
          <w:ilvl w:val="0"/>
          <w:numId w:val="81"/>
        </w:numPr>
        <w:spacing w:line="360" w:lineRule="auto"/>
        <w:rPr>
          <w:rFonts w:ascii="Arial" w:hAnsi="Arial" w:cs="Arial"/>
          <w:sz w:val="22"/>
          <w:szCs w:val="22"/>
        </w:rPr>
      </w:pPr>
      <w:r w:rsidRPr="002D3317">
        <w:rPr>
          <w:rFonts w:ascii="Arial" w:hAnsi="Arial" w:cs="Arial"/>
          <w:sz w:val="22"/>
          <w:szCs w:val="22"/>
        </w:rPr>
        <w:t>It has been helpful in the past, but it has downsides like side effects (</w:t>
      </w:r>
      <w:proofErr w:type="spellStart"/>
      <w:r w:rsidRPr="002D3317">
        <w:rPr>
          <w:rFonts w:ascii="Arial" w:hAnsi="Arial" w:cs="Arial"/>
          <w:sz w:val="22"/>
          <w:szCs w:val="22"/>
        </w:rPr>
        <w:t>Pallanti</w:t>
      </w:r>
      <w:proofErr w:type="spellEnd"/>
      <w:r w:rsidRPr="002D3317">
        <w:rPr>
          <w:rFonts w:ascii="Arial" w:hAnsi="Arial" w:cs="Arial"/>
          <w:sz w:val="22"/>
          <w:szCs w:val="22"/>
        </w:rPr>
        <w:t xml:space="preserve"> et al., 2011).</w:t>
      </w:r>
    </w:p>
    <w:p w14:paraId="2692A73E" w14:textId="49DA15B8" w:rsidR="007B58D8" w:rsidRPr="002D3317" w:rsidRDefault="00EC72FA" w:rsidP="002D3317">
      <w:pPr>
        <w:spacing w:line="360" w:lineRule="auto"/>
        <w:rPr>
          <w:rFonts w:ascii="Arial" w:hAnsi="Arial" w:cs="Arial"/>
          <w:b/>
          <w:bCs/>
          <w:sz w:val="22"/>
          <w:szCs w:val="22"/>
        </w:rPr>
      </w:pPr>
      <w:r w:rsidRPr="002D3317">
        <w:rPr>
          <w:rFonts w:ascii="Arial" w:hAnsi="Arial" w:cs="Arial"/>
          <w:b/>
          <w:bCs/>
          <w:sz w:val="22"/>
          <w:szCs w:val="22"/>
        </w:rPr>
        <w:t xml:space="preserve">      </w:t>
      </w:r>
      <w:r w:rsidR="007B58D8" w:rsidRPr="002D3317">
        <w:rPr>
          <w:rFonts w:ascii="Arial" w:hAnsi="Arial" w:cs="Arial"/>
          <w:b/>
          <w:bCs/>
          <w:sz w:val="22"/>
          <w:szCs w:val="22"/>
        </w:rPr>
        <w:t>Ways to boost treatment:</w:t>
      </w:r>
    </w:p>
    <w:p w14:paraId="6326CBFD" w14:textId="7BB9890F" w:rsidR="007B58D8" w:rsidRPr="002D3317" w:rsidRDefault="007B58D8" w:rsidP="002D3317">
      <w:pPr>
        <w:pStyle w:val="ListParagraph"/>
        <w:numPr>
          <w:ilvl w:val="0"/>
          <w:numId w:val="82"/>
        </w:numPr>
        <w:spacing w:line="360" w:lineRule="auto"/>
        <w:rPr>
          <w:rFonts w:ascii="Arial" w:hAnsi="Arial" w:cs="Arial"/>
          <w:sz w:val="22"/>
          <w:szCs w:val="22"/>
        </w:rPr>
      </w:pPr>
      <w:r w:rsidRPr="002D3317">
        <w:rPr>
          <w:rFonts w:ascii="Arial" w:hAnsi="Arial" w:cs="Arial"/>
          <w:sz w:val="22"/>
          <w:szCs w:val="22"/>
        </w:rPr>
        <w:t>Antipsychotics (such as risperidone, aripiprazole) can be used for OCD that doesn't respond to other treatments (Fineberg et al., 2020).</w:t>
      </w:r>
    </w:p>
    <w:p w14:paraId="626C9A46" w14:textId="7B06D590" w:rsidR="007B58D8" w:rsidRPr="002D3317" w:rsidRDefault="007B58D8" w:rsidP="002D3317">
      <w:pPr>
        <w:pStyle w:val="ListParagraph"/>
        <w:numPr>
          <w:ilvl w:val="0"/>
          <w:numId w:val="82"/>
        </w:numPr>
        <w:spacing w:line="360" w:lineRule="auto"/>
        <w:rPr>
          <w:rFonts w:ascii="Arial" w:hAnsi="Arial" w:cs="Arial"/>
          <w:sz w:val="22"/>
          <w:szCs w:val="22"/>
        </w:rPr>
      </w:pPr>
      <w:r w:rsidRPr="002D3317">
        <w:rPr>
          <w:rFonts w:ascii="Arial" w:hAnsi="Arial" w:cs="Arial"/>
          <w:sz w:val="22"/>
          <w:szCs w:val="22"/>
        </w:rPr>
        <w:t xml:space="preserve">Glutamatergic medicines (like memantine, </w:t>
      </w:r>
      <w:proofErr w:type="spellStart"/>
      <w:r w:rsidRPr="002D3317">
        <w:rPr>
          <w:rFonts w:ascii="Arial" w:hAnsi="Arial" w:cs="Arial"/>
          <w:sz w:val="22"/>
          <w:szCs w:val="22"/>
        </w:rPr>
        <w:t>riluzole</w:t>
      </w:r>
      <w:proofErr w:type="spellEnd"/>
      <w:r w:rsidRPr="002D3317">
        <w:rPr>
          <w:rFonts w:ascii="Arial" w:hAnsi="Arial" w:cs="Arial"/>
          <w:sz w:val="22"/>
          <w:szCs w:val="22"/>
        </w:rPr>
        <w:t>) are being studied, based on how OCD affects the brain (Pauls et al., 2014).</w:t>
      </w:r>
    </w:p>
    <w:p w14:paraId="492CD74B" w14:textId="6792386A" w:rsidR="007B58D8" w:rsidRPr="002D3317" w:rsidRDefault="00EC72FA" w:rsidP="002D3317">
      <w:pPr>
        <w:spacing w:line="360" w:lineRule="auto"/>
        <w:rPr>
          <w:rFonts w:ascii="Arial" w:hAnsi="Arial" w:cs="Arial"/>
          <w:sz w:val="22"/>
          <w:szCs w:val="22"/>
        </w:rPr>
      </w:pPr>
      <w:r w:rsidRPr="002D3317">
        <w:rPr>
          <w:rFonts w:ascii="Arial" w:hAnsi="Arial" w:cs="Arial"/>
          <w:b/>
          <w:bCs/>
          <w:sz w:val="22"/>
          <w:szCs w:val="22"/>
        </w:rPr>
        <w:t xml:space="preserve">       </w:t>
      </w:r>
      <w:r w:rsidR="007B58D8" w:rsidRPr="002D3317">
        <w:rPr>
          <w:rFonts w:ascii="Arial" w:hAnsi="Arial" w:cs="Arial"/>
          <w:b/>
          <w:bCs/>
          <w:sz w:val="22"/>
          <w:szCs w:val="22"/>
        </w:rPr>
        <w:t>Things to remember:</w:t>
      </w:r>
      <w:r w:rsidR="007B58D8" w:rsidRPr="002D3317">
        <w:rPr>
          <w:rFonts w:ascii="Arial" w:hAnsi="Arial" w:cs="Arial"/>
          <w:sz w:val="22"/>
          <w:szCs w:val="22"/>
        </w:rPr>
        <w:t xml:space="preserve"> Often, medicines only partly help; people often relapse after stopping them; and side effects can make it hard to stick with treatment.</w:t>
      </w:r>
    </w:p>
    <w:p w14:paraId="584C2918" w14:textId="77777777"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3. Brain Stimulation and Newer Treatments</w:t>
      </w:r>
    </w:p>
    <w:p w14:paraId="7CD1572E" w14:textId="2B2061DA"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Repetitive Transcranial Magnetic Stimulation (</w:t>
      </w:r>
      <w:proofErr w:type="spellStart"/>
      <w:r w:rsidRPr="002D3317">
        <w:rPr>
          <w:rFonts w:ascii="Arial" w:hAnsi="Arial" w:cs="Arial"/>
          <w:b/>
          <w:bCs/>
          <w:sz w:val="22"/>
          <w:szCs w:val="22"/>
        </w:rPr>
        <w:t>rTMS</w:t>
      </w:r>
      <w:proofErr w:type="spellEnd"/>
      <w:r w:rsidRPr="002D3317">
        <w:rPr>
          <w:rFonts w:ascii="Arial" w:hAnsi="Arial" w:cs="Arial"/>
          <w:b/>
          <w:bCs/>
          <w:sz w:val="22"/>
          <w:szCs w:val="22"/>
        </w:rPr>
        <w:t>):</w:t>
      </w:r>
    </w:p>
    <w:p w14:paraId="060A7B46" w14:textId="4B0CE9C6" w:rsidR="007B58D8" w:rsidRPr="002D3317" w:rsidRDefault="007B58D8" w:rsidP="002D3317">
      <w:pPr>
        <w:pStyle w:val="ListParagraph"/>
        <w:numPr>
          <w:ilvl w:val="0"/>
          <w:numId w:val="83"/>
        </w:numPr>
        <w:spacing w:line="360" w:lineRule="auto"/>
        <w:rPr>
          <w:rFonts w:ascii="Arial" w:hAnsi="Arial" w:cs="Arial"/>
          <w:sz w:val="22"/>
          <w:szCs w:val="22"/>
        </w:rPr>
      </w:pPr>
      <w:r w:rsidRPr="002D3317">
        <w:rPr>
          <w:rFonts w:ascii="Arial" w:hAnsi="Arial" w:cs="Arial"/>
          <w:sz w:val="22"/>
          <w:szCs w:val="22"/>
        </w:rPr>
        <w:t>It looks like it can reduce symptoms by targeting a certain part of the brain (Carmi et al., 2019).</w:t>
      </w:r>
    </w:p>
    <w:p w14:paraId="5B27CDC5" w14:textId="5EFCE956"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Deep Brain Stimulation (DBS):</w:t>
      </w:r>
    </w:p>
    <w:p w14:paraId="210DF841" w14:textId="4740FF75" w:rsidR="007B58D8" w:rsidRPr="002D3317" w:rsidRDefault="007B58D8" w:rsidP="002D3317">
      <w:pPr>
        <w:pStyle w:val="ListParagraph"/>
        <w:numPr>
          <w:ilvl w:val="0"/>
          <w:numId w:val="84"/>
        </w:numPr>
        <w:spacing w:line="360" w:lineRule="auto"/>
        <w:rPr>
          <w:rFonts w:ascii="Arial" w:hAnsi="Arial" w:cs="Arial"/>
          <w:sz w:val="22"/>
          <w:szCs w:val="22"/>
        </w:rPr>
      </w:pPr>
      <w:r w:rsidRPr="002D3317">
        <w:rPr>
          <w:rFonts w:ascii="Arial" w:hAnsi="Arial" w:cs="Arial"/>
          <w:sz w:val="22"/>
          <w:szCs w:val="22"/>
        </w:rPr>
        <w:t>It's used for very bad cases that haven't gotten better with other treatments. It targets certain brain areas (Denys et al., 2020).</w:t>
      </w:r>
    </w:p>
    <w:p w14:paraId="2FF9887E" w14:textId="045C8E5F" w:rsidR="007B58D8" w:rsidRPr="002D3317" w:rsidRDefault="007B58D8" w:rsidP="002D3317">
      <w:pPr>
        <w:pStyle w:val="ListParagraph"/>
        <w:numPr>
          <w:ilvl w:val="0"/>
          <w:numId w:val="84"/>
        </w:numPr>
        <w:spacing w:line="360" w:lineRule="auto"/>
        <w:rPr>
          <w:rFonts w:ascii="Arial" w:hAnsi="Arial" w:cs="Arial"/>
          <w:sz w:val="22"/>
          <w:szCs w:val="22"/>
        </w:rPr>
      </w:pPr>
      <w:r w:rsidRPr="002D3317">
        <w:rPr>
          <w:rFonts w:ascii="Arial" w:hAnsi="Arial" w:cs="Arial"/>
          <w:sz w:val="22"/>
          <w:szCs w:val="22"/>
        </w:rPr>
        <w:t>There are ethical worries because it's invasive, costly, and we don't know the long-term results.</w:t>
      </w:r>
    </w:p>
    <w:p w14:paraId="12F60A11" w14:textId="6CBE66E1"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Electroconvulsive Therapy (ECT):</w:t>
      </w:r>
    </w:p>
    <w:p w14:paraId="30B95F6E" w14:textId="7C6B35E5" w:rsidR="007B58D8" w:rsidRPr="002D3317" w:rsidRDefault="007B58D8" w:rsidP="002D3317">
      <w:pPr>
        <w:pStyle w:val="ListParagraph"/>
        <w:numPr>
          <w:ilvl w:val="0"/>
          <w:numId w:val="85"/>
        </w:numPr>
        <w:spacing w:line="360" w:lineRule="auto"/>
        <w:rPr>
          <w:rFonts w:ascii="Arial" w:hAnsi="Arial" w:cs="Arial"/>
          <w:sz w:val="22"/>
          <w:szCs w:val="22"/>
        </w:rPr>
      </w:pPr>
      <w:r w:rsidRPr="002D3317">
        <w:rPr>
          <w:rFonts w:ascii="Arial" w:hAnsi="Arial" w:cs="Arial"/>
          <w:sz w:val="22"/>
          <w:szCs w:val="22"/>
        </w:rPr>
        <w:t>It's not used often, but it might help people who also have bad depression (</w:t>
      </w:r>
      <w:proofErr w:type="spellStart"/>
      <w:r w:rsidRPr="002D3317">
        <w:rPr>
          <w:rFonts w:ascii="Arial" w:hAnsi="Arial" w:cs="Arial"/>
          <w:sz w:val="22"/>
          <w:szCs w:val="22"/>
        </w:rPr>
        <w:t>Remschmidt</w:t>
      </w:r>
      <w:proofErr w:type="spellEnd"/>
      <w:r w:rsidRPr="002D3317">
        <w:rPr>
          <w:rFonts w:ascii="Arial" w:hAnsi="Arial" w:cs="Arial"/>
          <w:sz w:val="22"/>
          <w:szCs w:val="22"/>
        </w:rPr>
        <w:t xml:space="preserve"> &amp;amp; Niebergall, 2015).</w:t>
      </w:r>
    </w:p>
    <w:p w14:paraId="528EC086" w14:textId="77777777"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4. Getting Back to Normal Life</w:t>
      </w:r>
    </w:p>
    <w:p w14:paraId="497CAC0C" w14:textId="0443414B" w:rsidR="007B58D8" w:rsidRPr="002D3317" w:rsidRDefault="007B58D8" w:rsidP="002D3317">
      <w:pPr>
        <w:spacing w:line="360" w:lineRule="auto"/>
        <w:rPr>
          <w:rFonts w:ascii="Arial" w:hAnsi="Arial" w:cs="Arial"/>
          <w:sz w:val="22"/>
          <w:szCs w:val="22"/>
        </w:rPr>
      </w:pPr>
      <w:r w:rsidRPr="002D3317">
        <w:rPr>
          <w:rFonts w:ascii="Arial" w:hAnsi="Arial" w:cs="Arial"/>
          <w:b/>
          <w:bCs/>
          <w:sz w:val="22"/>
          <w:szCs w:val="22"/>
        </w:rPr>
        <w:t>ICD 11 Focus:</w:t>
      </w:r>
      <w:r w:rsidRPr="002D3317">
        <w:rPr>
          <w:rFonts w:ascii="Arial" w:hAnsi="Arial" w:cs="Arial"/>
          <w:sz w:val="22"/>
          <w:szCs w:val="22"/>
        </w:rPr>
        <w:t xml:space="preserve"> Getting back to normal life is about being able to do things again, not just reducing symptoms (WHO, 2019).</w:t>
      </w:r>
    </w:p>
    <w:p w14:paraId="4EE11A41" w14:textId="01EC255D" w:rsidR="007B58D8" w:rsidRPr="002D3317" w:rsidRDefault="007B58D8" w:rsidP="002D3317">
      <w:pPr>
        <w:spacing w:line="360" w:lineRule="auto"/>
        <w:rPr>
          <w:rFonts w:ascii="Arial" w:hAnsi="Arial" w:cs="Arial"/>
          <w:sz w:val="22"/>
          <w:szCs w:val="22"/>
        </w:rPr>
      </w:pPr>
      <w:r w:rsidRPr="002D3317">
        <w:rPr>
          <w:rFonts w:ascii="Arial" w:hAnsi="Arial" w:cs="Arial"/>
          <w:b/>
          <w:bCs/>
          <w:sz w:val="22"/>
          <w:szCs w:val="22"/>
        </w:rPr>
        <w:t>Psychoeducation:</w:t>
      </w:r>
      <w:r w:rsidRPr="002D3317">
        <w:rPr>
          <w:rFonts w:ascii="Arial" w:hAnsi="Arial" w:cs="Arial"/>
          <w:sz w:val="22"/>
          <w:szCs w:val="22"/>
        </w:rPr>
        <w:t xml:space="preserve"> Teaching people and their families about how OCD works, how to avoid relapses, and how to cope (Torres et al., 2021).</w:t>
      </w:r>
    </w:p>
    <w:p w14:paraId="2CB91DE9" w14:textId="5A997811"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Help with work and social life:</w:t>
      </w:r>
    </w:p>
    <w:p w14:paraId="54BD3581" w14:textId="52964808" w:rsidR="007B58D8" w:rsidRPr="002D3317" w:rsidRDefault="007B58D8" w:rsidP="002D3317">
      <w:pPr>
        <w:pStyle w:val="ListParagraph"/>
        <w:numPr>
          <w:ilvl w:val="0"/>
          <w:numId w:val="86"/>
        </w:numPr>
        <w:spacing w:line="360" w:lineRule="auto"/>
        <w:rPr>
          <w:rFonts w:ascii="Arial" w:hAnsi="Arial" w:cs="Arial"/>
          <w:sz w:val="22"/>
          <w:szCs w:val="22"/>
        </w:rPr>
      </w:pPr>
      <w:r w:rsidRPr="002D3317">
        <w:rPr>
          <w:rFonts w:ascii="Arial" w:hAnsi="Arial" w:cs="Arial"/>
          <w:sz w:val="22"/>
          <w:szCs w:val="22"/>
        </w:rPr>
        <w:t>Support for jobs, changes at work, and programs to get back into society are very important for recovery (Stein et al., 2019).</w:t>
      </w:r>
    </w:p>
    <w:p w14:paraId="79BA891A" w14:textId="28EFE31A" w:rsidR="007B58D8" w:rsidRPr="002D3317" w:rsidRDefault="007B58D8" w:rsidP="002D3317">
      <w:pPr>
        <w:spacing w:line="360" w:lineRule="auto"/>
        <w:rPr>
          <w:rFonts w:ascii="Arial" w:hAnsi="Arial" w:cs="Arial"/>
          <w:b/>
          <w:bCs/>
          <w:sz w:val="22"/>
          <w:szCs w:val="22"/>
        </w:rPr>
      </w:pPr>
      <w:r w:rsidRPr="002D3317">
        <w:rPr>
          <w:rFonts w:ascii="Arial" w:hAnsi="Arial" w:cs="Arial"/>
          <w:b/>
          <w:bCs/>
          <w:sz w:val="22"/>
          <w:szCs w:val="22"/>
        </w:rPr>
        <w:t>Care in the community:</w:t>
      </w:r>
    </w:p>
    <w:p w14:paraId="042A923A" w14:textId="002C24AA" w:rsidR="007B58D8" w:rsidRPr="002D3317" w:rsidRDefault="007B58D8" w:rsidP="002D3317">
      <w:pPr>
        <w:pStyle w:val="ListParagraph"/>
        <w:numPr>
          <w:ilvl w:val="0"/>
          <w:numId w:val="87"/>
        </w:numPr>
        <w:spacing w:line="360" w:lineRule="auto"/>
        <w:rPr>
          <w:rFonts w:ascii="Arial" w:hAnsi="Arial" w:cs="Arial"/>
          <w:sz w:val="22"/>
          <w:szCs w:val="22"/>
        </w:rPr>
      </w:pPr>
      <w:r w:rsidRPr="002D3317">
        <w:rPr>
          <w:rFonts w:ascii="Arial" w:hAnsi="Arial" w:cs="Arial"/>
          <w:sz w:val="22"/>
          <w:szCs w:val="22"/>
        </w:rPr>
        <w:t>Different levels of care are combined, including regular doctors, specialists, and online tools, to make it easier for people to get help (Torres et al., 2021).</w:t>
      </w:r>
    </w:p>
    <w:p w14:paraId="531E72CF" w14:textId="5F48506A" w:rsidR="00BE5211" w:rsidRPr="002D3317" w:rsidRDefault="007B58D8" w:rsidP="002D3317">
      <w:pPr>
        <w:spacing w:line="360" w:lineRule="auto"/>
        <w:rPr>
          <w:rFonts w:ascii="Arial" w:hAnsi="Arial" w:cs="Arial"/>
          <w:sz w:val="22"/>
          <w:szCs w:val="22"/>
        </w:rPr>
      </w:pPr>
      <w:r w:rsidRPr="002D3317">
        <w:rPr>
          <w:rFonts w:ascii="Arial" w:hAnsi="Arial" w:cs="Arial"/>
          <w:b/>
          <w:bCs/>
          <w:sz w:val="22"/>
          <w:szCs w:val="22"/>
        </w:rPr>
        <w:t>Things to remember:</w:t>
      </w:r>
      <w:r w:rsidRPr="002D3317">
        <w:rPr>
          <w:rFonts w:ascii="Arial" w:hAnsi="Arial" w:cs="Arial"/>
          <w:sz w:val="22"/>
          <w:szCs w:val="22"/>
        </w:rPr>
        <w:t xml:space="preserve"> These services aren't available everywhere; and stigma and lack of resources make it hard to put them in place.</w:t>
      </w:r>
    </w:p>
    <w:p w14:paraId="5167AE19" w14:textId="77777777" w:rsidR="00471034" w:rsidRPr="002D3317" w:rsidRDefault="00471034" w:rsidP="002D3317">
      <w:pPr>
        <w:spacing w:line="360" w:lineRule="auto"/>
        <w:rPr>
          <w:rFonts w:ascii="Arial" w:hAnsi="Arial" w:cs="Arial"/>
          <w:b/>
          <w:bCs/>
          <w:sz w:val="22"/>
          <w:szCs w:val="22"/>
        </w:rPr>
      </w:pPr>
      <w:r w:rsidRPr="002D3317">
        <w:rPr>
          <w:rFonts w:ascii="Arial" w:hAnsi="Arial" w:cs="Arial"/>
          <w:b/>
          <w:bCs/>
          <w:sz w:val="22"/>
          <w:szCs w:val="22"/>
        </w:rPr>
        <w:t>5. Current Innovations</w:t>
      </w:r>
    </w:p>
    <w:p w14:paraId="118ED2BF" w14:textId="02492A8E" w:rsidR="00471034" w:rsidRPr="002D3317" w:rsidRDefault="00C54ED5" w:rsidP="002D3317">
      <w:pPr>
        <w:spacing w:line="360" w:lineRule="auto"/>
        <w:rPr>
          <w:rFonts w:ascii="Arial" w:hAnsi="Arial" w:cs="Arial"/>
          <w:b/>
          <w:bCs/>
          <w:sz w:val="22"/>
          <w:szCs w:val="22"/>
        </w:rPr>
      </w:pPr>
      <w:r w:rsidRPr="002D3317">
        <w:rPr>
          <w:rFonts w:ascii="Arial" w:hAnsi="Arial" w:cs="Arial"/>
          <w:b/>
          <w:bCs/>
          <w:sz w:val="22"/>
          <w:szCs w:val="22"/>
        </w:rPr>
        <w:t xml:space="preserve">      </w:t>
      </w:r>
      <w:r w:rsidR="00471034" w:rsidRPr="002D3317">
        <w:rPr>
          <w:rFonts w:ascii="Arial" w:hAnsi="Arial" w:cs="Arial"/>
          <w:b/>
          <w:bCs/>
          <w:sz w:val="22"/>
          <w:szCs w:val="22"/>
        </w:rPr>
        <w:t>Digital Health Methods:</w:t>
      </w:r>
    </w:p>
    <w:p w14:paraId="2F379ED0" w14:textId="258AF298" w:rsidR="00471034" w:rsidRPr="002D3317" w:rsidRDefault="00471034" w:rsidP="002D3317">
      <w:pPr>
        <w:pStyle w:val="ListParagraph"/>
        <w:numPr>
          <w:ilvl w:val="0"/>
          <w:numId w:val="88"/>
        </w:numPr>
        <w:spacing w:line="360" w:lineRule="auto"/>
        <w:rPr>
          <w:rFonts w:ascii="Arial" w:hAnsi="Arial" w:cs="Arial"/>
          <w:sz w:val="22"/>
          <w:szCs w:val="22"/>
        </w:rPr>
      </w:pPr>
      <w:r w:rsidRPr="002D3317">
        <w:rPr>
          <w:rFonts w:ascii="Arial" w:hAnsi="Arial" w:cs="Arial"/>
          <w:sz w:val="22"/>
          <w:szCs w:val="22"/>
        </w:rPr>
        <w:t>Online CBT and mobile ERP apps make care more accessible, especially in areas that lack resources (Andersson et al., 2019).</w:t>
      </w:r>
    </w:p>
    <w:p w14:paraId="03D45899" w14:textId="5B61E437" w:rsidR="00471034" w:rsidRPr="002D3317" w:rsidRDefault="00DF2426" w:rsidP="002D3317">
      <w:pPr>
        <w:spacing w:line="360" w:lineRule="auto"/>
        <w:rPr>
          <w:rFonts w:ascii="Arial" w:hAnsi="Arial" w:cs="Arial"/>
          <w:b/>
          <w:bCs/>
          <w:sz w:val="22"/>
          <w:szCs w:val="22"/>
        </w:rPr>
      </w:pPr>
      <w:r w:rsidRPr="002D3317">
        <w:rPr>
          <w:rFonts w:ascii="Arial" w:hAnsi="Arial" w:cs="Arial"/>
          <w:b/>
          <w:bCs/>
          <w:sz w:val="22"/>
          <w:szCs w:val="22"/>
        </w:rPr>
        <w:t xml:space="preserve">     </w:t>
      </w:r>
      <w:r w:rsidR="00471034" w:rsidRPr="002D3317">
        <w:rPr>
          <w:rFonts w:ascii="Arial" w:hAnsi="Arial" w:cs="Arial"/>
          <w:b/>
          <w:bCs/>
          <w:sz w:val="22"/>
          <w:szCs w:val="22"/>
        </w:rPr>
        <w:t>Virtual Reality (VR) Exposure Therapy:</w:t>
      </w:r>
    </w:p>
    <w:p w14:paraId="0457A08E" w14:textId="35C5B992" w:rsidR="00471034" w:rsidRPr="002D3317" w:rsidRDefault="00471034" w:rsidP="002D3317">
      <w:pPr>
        <w:pStyle w:val="ListParagraph"/>
        <w:numPr>
          <w:ilvl w:val="0"/>
          <w:numId w:val="89"/>
        </w:numPr>
        <w:spacing w:line="360" w:lineRule="auto"/>
        <w:rPr>
          <w:rFonts w:ascii="Arial" w:hAnsi="Arial" w:cs="Arial"/>
          <w:sz w:val="22"/>
          <w:szCs w:val="22"/>
        </w:rPr>
      </w:pPr>
      <w:r w:rsidRPr="002D3317">
        <w:rPr>
          <w:rFonts w:ascii="Arial" w:hAnsi="Arial" w:cs="Arial"/>
          <w:sz w:val="22"/>
          <w:szCs w:val="22"/>
        </w:rPr>
        <w:t>VR offers immersive, controlled settings for ERP, which can lower avoidance and dropout rates (Carl et al., 2019).</w:t>
      </w:r>
    </w:p>
    <w:p w14:paraId="30B71931" w14:textId="6257EF9F" w:rsidR="00471034" w:rsidRPr="002D3317" w:rsidRDefault="00D64979" w:rsidP="002D3317">
      <w:pPr>
        <w:spacing w:line="360" w:lineRule="auto"/>
        <w:rPr>
          <w:rFonts w:ascii="Arial" w:hAnsi="Arial" w:cs="Arial"/>
          <w:b/>
          <w:bCs/>
          <w:sz w:val="22"/>
          <w:szCs w:val="22"/>
        </w:rPr>
      </w:pPr>
      <w:r w:rsidRPr="002D3317">
        <w:rPr>
          <w:rFonts w:ascii="Arial" w:hAnsi="Arial" w:cs="Arial"/>
          <w:b/>
          <w:bCs/>
          <w:sz w:val="22"/>
          <w:szCs w:val="22"/>
        </w:rPr>
        <w:t xml:space="preserve">      </w:t>
      </w:r>
      <w:r w:rsidR="00471034" w:rsidRPr="002D3317">
        <w:rPr>
          <w:rFonts w:ascii="Arial" w:hAnsi="Arial" w:cs="Arial"/>
          <w:b/>
          <w:bCs/>
          <w:sz w:val="22"/>
          <w:szCs w:val="22"/>
        </w:rPr>
        <w:t>Peer Support and Recovery Models:</w:t>
      </w:r>
    </w:p>
    <w:p w14:paraId="7B4E29B7" w14:textId="5CF8A1BC" w:rsidR="00471034" w:rsidRPr="002D3317" w:rsidRDefault="00471034" w:rsidP="002D3317">
      <w:pPr>
        <w:pStyle w:val="ListParagraph"/>
        <w:numPr>
          <w:ilvl w:val="0"/>
          <w:numId w:val="90"/>
        </w:numPr>
        <w:spacing w:line="360" w:lineRule="auto"/>
        <w:rPr>
          <w:rFonts w:ascii="Arial" w:hAnsi="Arial" w:cs="Arial"/>
          <w:sz w:val="22"/>
          <w:szCs w:val="22"/>
        </w:rPr>
      </w:pPr>
      <w:r w:rsidRPr="002D3317">
        <w:rPr>
          <w:rFonts w:ascii="Arial" w:hAnsi="Arial" w:cs="Arial"/>
          <w:sz w:val="22"/>
          <w:szCs w:val="22"/>
        </w:rPr>
        <w:t>These models stress personal empowerment, self-management, and community involvement, which fits well with neurodiversity views (Chapman, 2021; van Dijk et al., 2022</w:t>
      </w:r>
    </w:p>
    <w:p w14:paraId="00A3452D" w14:textId="77777777" w:rsidR="00471034" w:rsidRPr="002D3317" w:rsidRDefault="00471034" w:rsidP="002D3317">
      <w:pPr>
        <w:spacing w:line="360" w:lineRule="auto"/>
        <w:rPr>
          <w:rFonts w:ascii="Arial" w:hAnsi="Arial" w:cs="Arial"/>
          <w:b/>
          <w:bCs/>
          <w:sz w:val="22"/>
          <w:szCs w:val="22"/>
        </w:rPr>
      </w:pPr>
      <w:r w:rsidRPr="002D3317">
        <w:rPr>
          <w:rFonts w:ascii="Arial" w:hAnsi="Arial" w:cs="Arial"/>
          <w:b/>
          <w:bCs/>
          <w:sz w:val="22"/>
          <w:szCs w:val="22"/>
        </w:rPr>
        <w:t>Assessment</w:t>
      </w:r>
    </w:p>
    <w:p w14:paraId="12A16DD9" w14:textId="7C088639" w:rsidR="00471034" w:rsidRPr="002D3317" w:rsidRDefault="00471034" w:rsidP="002D3317">
      <w:pPr>
        <w:pStyle w:val="ListParagraph"/>
        <w:numPr>
          <w:ilvl w:val="0"/>
          <w:numId w:val="53"/>
        </w:numPr>
        <w:spacing w:line="360" w:lineRule="auto"/>
        <w:rPr>
          <w:rFonts w:ascii="Arial" w:hAnsi="Arial" w:cs="Arial"/>
          <w:sz w:val="22"/>
          <w:szCs w:val="22"/>
        </w:rPr>
      </w:pPr>
      <w:r w:rsidRPr="002D3317">
        <w:rPr>
          <w:rFonts w:ascii="Arial" w:hAnsi="Arial" w:cs="Arial"/>
          <w:b/>
          <w:bCs/>
          <w:sz w:val="22"/>
          <w:szCs w:val="22"/>
        </w:rPr>
        <w:t>Advantages</w:t>
      </w:r>
      <w:r w:rsidRPr="002D3317">
        <w:rPr>
          <w:rFonts w:ascii="Arial" w:hAnsi="Arial" w:cs="Arial"/>
          <w:sz w:val="22"/>
          <w:szCs w:val="22"/>
        </w:rPr>
        <w:t>: Proven therapies (ERP, SSRIs) still work well; neuromodulation is a chance for difficult cases; digital health extends the scope of care.</w:t>
      </w:r>
    </w:p>
    <w:p w14:paraId="55FFCE89" w14:textId="4B6EBC5B" w:rsidR="00471034" w:rsidRPr="002D3317" w:rsidRDefault="00471034" w:rsidP="002D3317">
      <w:pPr>
        <w:pStyle w:val="ListParagraph"/>
        <w:numPr>
          <w:ilvl w:val="0"/>
          <w:numId w:val="53"/>
        </w:numPr>
        <w:spacing w:line="360" w:lineRule="auto"/>
        <w:rPr>
          <w:rFonts w:ascii="Arial" w:hAnsi="Arial" w:cs="Arial"/>
          <w:sz w:val="22"/>
          <w:szCs w:val="22"/>
        </w:rPr>
      </w:pPr>
      <w:r w:rsidRPr="002D3317">
        <w:rPr>
          <w:rFonts w:ascii="Arial" w:hAnsi="Arial" w:cs="Arial"/>
          <w:b/>
          <w:bCs/>
          <w:sz w:val="22"/>
          <w:szCs w:val="22"/>
        </w:rPr>
        <w:t>Disadvantages</w:t>
      </w:r>
      <w:r w:rsidRPr="002D3317">
        <w:rPr>
          <w:rFonts w:ascii="Arial" w:hAnsi="Arial" w:cs="Arial"/>
          <w:sz w:val="22"/>
          <w:szCs w:val="22"/>
        </w:rPr>
        <w:t>: High dropout rates, partial success, side effects, and unequal access are still issues. Rehab often gets less funding and attention than immediate treatment.</w:t>
      </w:r>
    </w:p>
    <w:p w14:paraId="11871F4E" w14:textId="2069F770" w:rsidR="008F3002" w:rsidRPr="002D3317" w:rsidRDefault="00471034" w:rsidP="002D3317">
      <w:pPr>
        <w:pStyle w:val="ListParagraph"/>
        <w:numPr>
          <w:ilvl w:val="0"/>
          <w:numId w:val="53"/>
        </w:numPr>
        <w:spacing w:line="360" w:lineRule="auto"/>
        <w:rPr>
          <w:rFonts w:ascii="Arial" w:hAnsi="Arial" w:cs="Arial"/>
          <w:sz w:val="22"/>
          <w:szCs w:val="22"/>
        </w:rPr>
      </w:pPr>
      <w:r w:rsidRPr="002D3317">
        <w:rPr>
          <w:rFonts w:ascii="Arial" w:hAnsi="Arial" w:cs="Arial"/>
          <w:b/>
          <w:bCs/>
          <w:sz w:val="22"/>
          <w:szCs w:val="22"/>
        </w:rPr>
        <w:t>Future Steps</w:t>
      </w:r>
      <w:r w:rsidRPr="002D3317">
        <w:rPr>
          <w:rFonts w:ascii="Arial" w:hAnsi="Arial" w:cs="Arial"/>
          <w:sz w:val="22"/>
          <w:szCs w:val="22"/>
        </w:rPr>
        <w:t>: Blend biological, psychological, and social methods; use neurodiversity-informed rehab; grow digital and community-based care.</w:t>
      </w:r>
    </w:p>
    <w:p w14:paraId="3621C4F4" w14:textId="77777777" w:rsidR="00A24EE3" w:rsidRPr="002D3317" w:rsidRDefault="00A24EE3" w:rsidP="002D3317">
      <w:pPr>
        <w:spacing w:line="360" w:lineRule="auto"/>
        <w:rPr>
          <w:rFonts w:ascii="Arial" w:hAnsi="Arial" w:cs="Arial"/>
          <w:sz w:val="22"/>
          <w:szCs w:val="22"/>
        </w:rPr>
      </w:pPr>
    </w:p>
    <w:p w14:paraId="506B9AEE" w14:textId="60AC5196" w:rsidR="00DB373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Current Debates and Issues Arising</w:t>
      </w:r>
    </w:p>
    <w:p w14:paraId="4BC9C2FF" w14:textId="1D66DA7B"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1.  Classification and Diagnostic Boundaries</w:t>
      </w:r>
    </w:p>
    <w:p w14:paraId="164A8ED3" w14:textId="0B0AA352"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 xml:space="preserve">    Categorical vs. Dimensional Models</w:t>
      </w:r>
    </w:p>
    <w:p w14:paraId="6CA958E9" w14:textId="77777777" w:rsidR="006248CE" w:rsidRPr="002D3317" w:rsidRDefault="00237DB1" w:rsidP="002D3317">
      <w:pPr>
        <w:spacing w:line="360" w:lineRule="auto"/>
        <w:rPr>
          <w:rFonts w:ascii="Arial" w:hAnsi="Arial" w:cs="Arial"/>
          <w:sz w:val="22"/>
          <w:szCs w:val="22"/>
        </w:rPr>
      </w:pPr>
      <w:r w:rsidRPr="002D3317">
        <w:rPr>
          <w:rFonts w:ascii="Arial" w:hAnsi="Arial" w:cs="Arial"/>
          <w:sz w:val="22"/>
          <w:szCs w:val="22"/>
        </w:rPr>
        <w:t xml:space="preserve">        </w:t>
      </w:r>
      <w:r w:rsidR="00983E70" w:rsidRPr="002D3317">
        <w:rPr>
          <w:rFonts w:ascii="Arial" w:hAnsi="Arial" w:cs="Arial"/>
          <w:sz w:val="22"/>
          <w:szCs w:val="22"/>
        </w:rPr>
        <w:t xml:space="preserve">Although ICD-11 has subtypes such as F42.2, some suggest OCD should be viewed as a spectrum that reflects severity and functional impact (Stein et al., 2019), mainly for mixed cases (Simpson &amp;amp; Reddy, 2014). </w:t>
      </w:r>
    </w:p>
    <w:p w14:paraId="0B2655FF" w14:textId="77777777" w:rsidR="00BB6EEF" w:rsidRPr="002D3317" w:rsidRDefault="006248CE" w:rsidP="002D3317">
      <w:pPr>
        <w:spacing w:line="360" w:lineRule="auto"/>
        <w:rPr>
          <w:rFonts w:ascii="Arial" w:hAnsi="Arial" w:cs="Arial"/>
          <w:sz w:val="22"/>
          <w:szCs w:val="22"/>
        </w:rPr>
      </w:pPr>
      <w:r w:rsidRPr="002D3317">
        <w:rPr>
          <w:rFonts w:ascii="Arial" w:hAnsi="Arial" w:cs="Arial"/>
          <w:sz w:val="22"/>
          <w:szCs w:val="22"/>
        </w:rPr>
        <w:t xml:space="preserve">       </w:t>
      </w:r>
      <w:r w:rsidR="00983E70" w:rsidRPr="002D3317">
        <w:rPr>
          <w:rFonts w:ascii="Arial" w:hAnsi="Arial" w:cs="Arial"/>
          <w:sz w:val="22"/>
          <w:szCs w:val="22"/>
        </w:rPr>
        <w:t>Obsessions and compulsions usually occur with anxiety, depression, and tics, which raises the question of whether ICD-11 should consider shared mechanisms like intolerance of uncertainty and rigid thinking (Abramovitch et al., 2019).</w:t>
      </w:r>
    </w:p>
    <w:p w14:paraId="56DB0C31" w14:textId="77777777" w:rsidR="00BB6EEF" w:rsidRPr="002D3317" w:rsidRDefault="00BB6EEF" w:rsidP="002D3317">
      <w:pPr>
        <w:spacing w:line="360" w:lineRule="auto"/>
        <w:rPr>
          <w:rFonts w:ascii="Arial" w:hAnsi="Arial" w:cs="Arial"/>
          <w:sz w:val="22"/>
          <w:szCs w:val="22"/>
        </w:rPr>
      </w:pPr>
      <w:r w:rsidRPr="002D3317">
        <w:rPr>
          <w:rFonts w:ascii="Arial" w:hAnsi="Arial" w:cs="Arial"/>
          <w:sz w:val="22"/>
          <w:szCs w:val="22"/>
        </w:rPr>
        <w:t xml:space="preserve">      </w:t>
      </w:r>
      <w:r w:rsidR="00983E70" w:rsidRPr="002D3317">
        <w:rPr>
          <w:rFonts w:ascii="Arial" w:hAnsi="Arial" w:cs="Arial"/>
          <w:sz w:val="22"/>
          <w:szCs w:val="22"/>
        </w:rPr>
        <w:t xml:space="preserve"> A few clinicians think mixed cases are too frequent to warrant a subtype, while others believe F42.2 helps guide treatment when obsessions and compulsions are both present (Koran et al., 2020).</w:t>
      </w:r>
    </w:p>
    <w:p w14:paraId="75B3371D" w14:textId="70570EAE"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2.  Neurodiversity and Stigma</w:t>
      </w:r>
    </w:p>
    <w:p w14:paraId="77565CF3" w14:textId="27CBD663"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 xml:space="preserve">    Medicalization vs. Neurodiversity Paradigm</w:t>
      </w:r>
    </w:p>
    <w:p w14:paraId="4738DB93" w14:textId="77777777" w:rsidR="00237DB1" w:rsidRPr="002D3317" w:rsidRDefault="00237DB1" w:rsidP="002D3317">
      <w:pPr>
        <w:spacing w:line="360" w:lineRule="auto"/>
        <w:rPr>
          <w:rFonts w:ascii="Arial" w:hAnsi="Arial" w:cs="Arial"/>
          <w:sz w:val="22"/>
          <w:szCs w:val="22"/>
        </w:rPr>
      </w:pPr>
      <w:r w:rsidRPr="002D3317">
        <w:rPr>
          <w:rFonts w:ascii="Arial" w:hAnsi="Arial" w:cs="Arial"/>
          <w:sz w:val="22"/>
          <w:szCs w:val="22"/>
        </w:rPr>
        <w:t xml:space="preserve">        Some dislike how ICD 11 uses disorder language because it may treat different ways of thinking as illnesses (Chapman, 2021). Some say obsessive-compulsive traits can be helpful (like being careful and not giving up) and shouldn't always be seen as a bad thing (van Dijk et al., 2022).</w:t>
      </w:r>
    </w:p>
    <w:p w14:paraId="6B4C75A2" w14:textId="76F3F8C3"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 xml:space="preserve">    Identity and Lived Experience</w:t>
      </w:r>
    </w:p>
    <w:p w14:paraId="6F49C2E2" w14:textId="77777777" w:rsidR="00237DB1" w:rsidRPr="002D3317" w:rsidRDefault="00237DB1" w:rsidP="002D3317">
      <w:pPr>
        <w:spacing w:line="360" w:lineRule="auto"/>
        <w:rPr>
          <w:rFonts w:ascii="Arial" w:hAnsi="Arial" w:cs="Arial"/>
          <w:sz w:val="22"/>
          <w:szCs w:val="22"/>
        </w:rPr>
      </w:pPr>
      <w:r w:rsidRPr="002D3317">
        <w:rPr>
          <w:rFonts w:ascii="Arial" w:hAnsi="Arial" w:cs="Arial"/>
          <w:sz w:val="22"/>
          <w:szCs w:val="22"/>
        </w:rPr>
        <w:t xml:space="preserve">        Some people with OCD don't like being </w:t>
      </w:r>
      <w:proofErr w:type="spellStart"/>
      <w:r w:rsidRPr="002D3317">
        <w:rPr>
          <w:rFonts w:ascii="Arial" w:hAnsi="Arial" w:cs="Arial"/>
          <w:sz w:val="22"/>
          <w:szCs w:val="22"/>
        </w:rPr>
        <w:t>labeled</w:t>
      </w:r>
      <w:proofErr w:type="spellEnd"/>
      <w:r w:rsidRPr="002D3317">
        <w:rPr>
          <w:rFonts w:ascii="Arial" w:hAnsi="Arial" w:cs="Arial"/>
          <w:sz w:val="22"/>
          <w:szCs w:val="22"/>
        </w:rPr>
        <w:t xml:space="preserve"> with a “disorder”. They would rather see their experiences as part of being neurodivergent. This makes a difference between what doctors do (trying to lessen symptoms) and what people want (feeling stronger and accepted) (Rose, 2018).</w:t>
      </w:r>
    </w:p>
    <w:p w14:paraId="779BF7C9" w14:textId="77777777" w:rsidR="00900616"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 xml:space="preserve">    Impact on Stigma</w:t>
      </w:r>
    </w:p>
    <w:p w14:paraId="7EF22B39" w14:textId="5102E870" w:rsidR="00237DB1" w:rsidRPr="002D3317" w:rsidRDefault="00237DB1" w:rsidP="002D3317">
      <w:pPr>
        <w:spacing w:line="360" w:lineRule="auto"/>
        <w:rPr>
          <w:rFonts w:ascii="Arial" w:hAnsi="Arial" w:cs="Arial"/>
          <w:sz w:val="22"/>
          <w:szCs w:val="22"/>
        </w:rPr>
      </w:pPr>
      <w:r w:rsidRPr="002D3317">
        <w:rPr>
          <w:rFonts w:ascii="Arial" w:hAnsi="Arial" w:cs="Arial"/>
          <w:sz w:val="22"/>
          <w:szCs w:val="22"/>
        </w:rPr>
        <w:t xml:space="preserve">      </w:t>
      </w:r>
      <w:r w:rsidR="00900616" w:rsidRPr="002D3317">
        <w:rPr>
          <w:rFonts w:ascii="Arial" w:hAnsi="Arial" w:cs="Arial"/>
          <w:sz w:val="22"/>
          <w:szCs w:val="22"/>
        </w:rPr>
        <w:t xml:space="preserve"> </w:t>
      </w:r>
      <w:r w:rsidRPr="002D3317">
        <w:rPr>
          <w:rFonts w:ascii="Arial" w:hAnsi="Arial" w:cs="Arial"/>
          <w:sz w:val="22"/>
          <w:szCs w:val="22"/>
        </w:rPr>
        <w:t xml:space="preserve"> Using medical terms might make stigma worse, stopping people from wanting help. On the other hand, talking about OCD traits as part of neurodiversity might lessen stigma but could make us not see how much pain and problems many patients go through.</w:t>
      </w:r>
    </w:p>
    <w:p w14:paraId="2B71299C" w14:textId="40902729"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3.  Cultural and Ethical Concerns</w:t>
      </w:r>
    </w:p>
    <w:p w14:paraId="2F5621E9" w14:textId="77AB7C3F"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 xml:space="preserve">    Cross-Cultural Validity</w:t>
      </w:r>
    </w:p>
    <w:p w14:paraId="165FB220" w14:textId="77777777" w:rsidR="00237DB1" w:rsidRPr="002D3317" w:rsidRDefault="00237DB1" w:rsidP="002D3317">
      <w:pPr>
        <w:spacing w:line="360" w:lineRule="auto"/>
        <w:rPr>
          <w:rFonts w:ascii="Arial" w:hAnsi="Arial" w:cs="Arial"/>
          <w:sz w:val="22"/>
          <w:szCs w:val="22"/>
        </w:rPr>
      </w:pPr>
      <w:r w:rsidRPr="002D3317">
        <w:rPr>
          <w:rFonts w:ascii="Arial" w:hAnsi="Arial" w:cs="Arial"/>
          <w:sz w:val="22"/>
          <w:szCs w:val="22"/>
        </w:rPr>
        <w:t xml:space="preserve">        ICD 11 wants to be used everywhere, but different cultures show symptoms differently, which makes it hard to have rules that fit everyone. For instance, compulsions might show up differently in societies with strong religious traditions, which makes it hard to diagnose (Okasha, 2003).</w:t>
      </w:r>
    </w:p>
    <w:p w14:paraId="32DCC08B" w14:textId="0FCEA9FC" w:rsidR="00AB2F13" w:rsidRPr="002D3317" w:rsidRDefault="00237DB1" w:rsidP="002D3317">
      <w:pPr>
        <w:spacing w:line="360" w:lineRule="auto"/>
        <w:rPr>
          <w:rFonts w:ascii="Arial" w:hAnsi="Arial" w:cs="Arial"/>
          <w:sz w:val="22"/>
          <w:szCs w:val="22"/>
        </w:rPr>
      </w:pPr>
      <w:r w:rsidRPr="002D3317">
        <w:rPr>
          <w:rFonts w:ascii="Arial" w:hAnsi="Arial" w:cs="Arial"/>
          <w:b/>
          <w:bCs/>
          <w:sz w:val="22"/>
          <w:szCs w:val="22"/>
        </w:rPr>
        <w:t xml:space="preserve">    Ethics of Treatment</w:t>
      </w:r>
    </w:p>
    <w:p w14:paraId="3A4CA975" w14:textId="3F30F285" w:rsidR="00237DB1" w:rsidRPr="002D3317" w:rsidRDefault="00237DB1" w:rsidP="002D3317">
      <w:pPr>
        <w:pStyle w:val="ListParagraph"/>
        <w:numPr>
          <w:ilvl w:val="0"/>
          <w:numId w:val="52"/>
        </w:numPr>
        <w:spacing w:line="360" w:lineRule="auto"/>
        <w:rPr>
          <w:rFonts w:ascii="Arial" w:hAnsi="Arial" w:cs="Arial"/>
          <w:sz w:val="22"/>
          <w:szCs w:val="22"/>
        </w:rPr>
      </w:pPr>
      <w:r w:rsidRPr="002D3317">
        <w:rPr>
          <w:rFonts w:ascii="Arial" w:hAnsi="Arial" w:cs="Arial"/>
          <w:sz w:val="22"/>
          <w:szCs w:val="22"/>
        </w:rPr>
        <w:t xml:space="preserve">ERP can cause worry, which brings up moral questions. Getting permission from the patient and letting them make their own choices is </w:t>
      </w:r>
      <w:proofErr w:type="spellStart"/>
      <w:r w:rsidRPr="002D3317">
        <w:rPr>
          <w:rFonts w:ascii="Arial" w:hAnsi="Arial" w:cs="Arial"/>
          <w:sz w:val="22"/>
          <w:szCs w:val="22"/>
        </w:rPr>
        <w:t>veryimportant</w:t>
      </w:r>
      <w:proofErr w:type="spellEnd"/>
      <w:r w:rsidRPr="002D3317">
        <w:rPr>
          <w:rFonts w:ascii="Arial" w:hAnsi="Arial" w:cs="Arial"/>
          <w:sz w:val="22"/>
          <w:szCs w:val="22"/>
        </w:rPr>
        <w:t xml:space="preserve"> (Koran et al., 2020).</w:t>
      </w:r>
    </w:p>
    <w:p w14:paraId="2A0DB24A" w14:textId="6040240F" w:rsidR="00237DB1" w:rsidRPr="002D3317" w:rsidRDefault="00237DB1" w:rsidP="002D3317">
      <w:pPr>
        <w:pStyle w:val="ListParagraph"/>
        <w:numPr>
          <w:ilvl w:val="0"/>
          <w:numId w:val="52"/>
        </w:numPr>
        <w:spacing w:line="360" w:lineRule="auto"/>
        <w:rPr>
          <w:rFonts w:ascii="Arial" w:hAnsi="Arial" w:cs="Arial"/>
          <w:sz w:val="22"/>
          <w:szCs w:val="22"/>
        </w:rPr>
      </w:pPr>
      <w:r w:rsidRPr="002D3317">
        <w:rPr>
          <w:rFonts w:ascii="Arial" w:hAnsi="Arial" w:cs="Arial"/>
          <w:sz w:val="22"/>
          <w:szCs w:val="22"/>
        </w:rPr>
        <w:t xml:space="preserve">Brain treatments (DBS, </w:t>
      </w:r>
      <w:proofErr w:type="spellStart"/>
      <w:r w:rsidRPr="002D3317">
        <w:rPr>
          <w:rFonts w:ascii="Arial" w:hAnsi="Arial" w:cs="Arial"/>
          <w:sz w:val="22"/>
          <w:szCs w:val="22"/>
        </w:rPr>
        <w:t>rTMS</w:t>
      </w:r>
      <w:proofErr w:type="spellEnd"/>
      <w:r w:rsidRPr="002D3317">
        <w:rPr>
          <w:rFonts w:ascii="Arial" w:hAnsi="Arial" w:cs="Arial"/>
          <w:sz w:val="22"/>
          <w:szCs w:val="22"/>
        </w:rPr>
        <w:t>) cause talks about how deep they go, if they are safe long-</w:t>
      </w:r>
      <w:r w:rsidR="00900616" w:rsidRPr="002D3317">
        <w:rPr>
          <w:rFonts w:ascii="Arial" w:hAnsi="Arial" w:cs="Arial"/>
          <w:sz w:val="22"/>
          <w:szCs w:val="22"/>
        </w:rPr>
        <w:t>t</w:t>
      </w:r>
      <w:r w:rsidRPr="002D3317">
        <w:rPr>
          <w:rFonts w:ascii="Arial" w:hAnsi="Arial" w:cs="Arial"/>
          <w:sz w:val="22"/>
          <w:szCs w:val="22"/>
        </w:rPr>
        <w:t>erm, and if everyone can get them fairly (Denys et al., 2020).</w:t>
      </w:r>
    </w:p>
    <w:p w14:paraId="6A7D90FB" w14:textId="0B33A3FE" w:rsidR="00237DB1" w:rsidRPr="002D3317" w:rsidRDefault="00237DB1" w:rsidP="002D3317">
      <w:pPr>
        <w:spacing w:line="360" w:lineRule="auto"/>
        <w:rPr>
          <w:rFonts w:ascii="Arial" w:hAnsi="Arial" w:cs="Arial"/>
          <w:b/>
          <w:bCs/>
          <w:sz w:val="22"/>
          <w:szCs w:val="22"/>
        </w:rPr>
      </w:pPr>
      <w:r w:rsidRPr="002D3317">
        <w:rPr>
          <w:rFonts w:ascii="Arial" w:hAnsi="Arial" w:cs="Arial"/>
          <w:b/>
          <w:bCs/>
          <w:sz w:val="22"/>
          <w:szCs w:val="22"/>
        </w:rPr>
        <w:t xml:space="preserve">    Global Inequalities</w:t>
      </w:r>
    </w:p>
    <w:p w14:paraId="5D252FCA" w14:textId="06BC11E1" w:rsidR="007A5B07" w:rsidRPr="002D3317" w:rsidRDefault="00237DB1" w:rsidP="002D3317">
      <w:pPr>
        <w:spacing w:line="360" w:lineRule="auto"/>
        <w:rPr>
          <w:rFonts w:ascii="Arial" w:hAnsi="Arial" w:cs="Arial"/>
          <w:sz w:val="22"/>
          <w:szCs w:val="22"/>
        </w:rPr>
      </w:pPr>
      <w:r w:rsidRPr="002D3317">
        <w:rPr>
          <w:rFonts w:ascii="Arial" w:hAnsi="Arial" w:cs="Arial"/>
          <w:sz w:val="22"/>
          <w:szCs w:val="22"/>
        </w:rPr>
        <w:t xml:space="preserve">        Not everyone can get treatments that have been proven to work. Often, poorer countries don't have enough trained doctors, which makes us wonder if ICD 11's advice is fair to everyone worldwide (Torres et al., 2021).</w:t>
      </w:r>
    </w:p>
    <w:p w14:paraId="6029A71D" w14:textId="77777777" w:rsidR="00D234A3" w:rsidRPr="002D3317" w:rsidRDefault="00D234A3" w:rsidP="002D3317">
      <w:pPr>
        <w:spacing w:line="360" w:lineRule="auto"/>
        <w:rPr>
          <w:rFonts w:ascii="Arial" w:hAnsi="Arial" w:cs="Arial"/>
          <w:b/>
          <w:bCs/>
          <w:sz w:val="22"/>
          <w:szCs w:val="22"/>
        </w:rPr>
      </w:pPr>
      <w:r w:rsidRPr="002D3317">
        <w:rPr>
          <w:rFonts w:ascii="Arial" w:hAnsi="Arial" w:cs="Arial"/>
          <w:b/>
          <w:bCs/>
          <w:sz w:val="22"/>
          <w:szCs w:val="22"/>
        </w:rPr>
        <w:t>4. Policy and Service Delivery</w:t>
      </w:r>
    </w:p>
    <w:p w14:paraId="38FCDCA0" w14:textId="7DE04899"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Resource Allocation</w:t>
      </w:r>
    </w:p>
    <w:p w14:paraId="57A8BED7" w14:textId="77777777" w:rsidR="00D234A3" w:rsidRPr="002D3317" w:rsidRDefault="00D234A3" w:rsidP="002D3317">
      <w:pPr>
        <w:spacing w:line="360" w:lineRule="auto"/>
        <w:rPr>
          <w:rFonts w:ascii="Arial" w:hAnsi="Arial" w:cs="Arial"/>
          <w:sz w:val="22"/>
          <w:szCs w:val="22"/>
        </w:rPr>
      </w:pPr>
      <w:r w:rsidRPr="002D3317">
        <w:rPr>
          <w:rFonts w:ascii="Arial" w:hAnsi="Arial" w:cs="Arial"/>
          <w:sz w:val="22"/>
          <w:szCs w:val="22"/>
        </w:rPr>
        <w:t>Despite the large disease burden of OCD, it does not get as much funding as depression and psychosis (Fineberg et al., 2020). People are asking for equal funding and service availability of OCD.</w:t>
      </w:r>
    </w:p>
    <w:p w14:paraId="7FAE1A57" w14:textId="1BBA3518"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Digital Health Integration</w:t>
      </w:r>
    </w:p>
    <w:p w14:paraId="55356C72" w14:textId="77777777" w:rsidR="00D234A3" w:rsidRPr="002D3317" w:rsidRDefault="00D234A3" w:rsidP="002D3317">
      <w:pPr>
        <w:spacing w:line="360" w:lineRule="auto"/>
        <w:rPr>
          <w:rFonts w:ascii="Arial" w:hAnsi="Arial" w:cs="Arial"/>
          <w:sz w:val="22"/>
          <w:szCs w:val="22"/>
        </w:rPr>
      </w:pPr>
      <w:r w:rsidRPr="002D3317">
        <w:rPr>
          <w:rFonts w:ascii="Arial" w:hAnsi="Arial" w:cs="Arial"/>
          <w:sz w:val="22"/>
          <w:szCs w:val="22"/>
        </w:rPr>
        <w:t>Policymakers are discussing how to control and add digital CBT platforms. This involves balancing how easy they are to get with making sure they are good quality (Andersson et al., 2019).</w:t>
      </w:r>
    </w:p>
    <w:p w14:paraId="7D8E4087" w14:textId="274D7BA0"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Rights-Based Approaches</w:t>
      </w:r>
    </w:p>
    <w:p w14:paraId="554E898E" w14:textId="77777777" w:rsidR="00D234A3" w:rsidRPr="002D3317" w:rsidRDefault="00D234A3" w:rsidP="002D3317">
      <w:pPr>
        <w:spacing w:line="360" w:lineRule="auto"/>
        <w:rPr>
          <w:rFonts w:ascii="Arial" w:hAnsi="Arial" w:cs="Arial"/>
          <w:sz w:val="22"/>
          <w:szCs w:val="22"/>
        </w:rPr>
      </w:pPr>
      <w:r w:rsidRPr="002D3317">
        <w:rPr>
          <w:rFonts w:ascii="Arial" w:hAnsi="Arial" w:cs="Arial"/>
          <w:sz w:val="22"/>
          <w:szCs w:val="22"/>
        </w:rPr>
        <w:t>The UN Convention on the Rights of Persons with Disabilities (CRPD) supports rehabilitation that focuses on giving people control instead of just reducing symptoms. This questions old medical models (Rose, 2018).</w:t>
      </w:r>
    </w:p>
    <w:p w14:paraId="40FFF902" w14:textId="1535042A"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Workplace and Education Policy</w:t>
      </w:r>
    </w:p>
    <w:p w14:paraId="77BC76ED" w14:textId="6A7C0BC3" w:rsidR="007A5B07" w:rsidRPr="002D3317" w:rsidRDefault="00D234A3" w:rsidP="002D3317">
      <w:pPr>
        <w:spacing w:line="360" w:lineRule="auto"/>
        <w:rPr>
          <w:rFonts w:ascii="Arial" w:hAnsi="Arial" w:cs="Arial"/>
          <w:sz w:val="22"/>
          <w:szCs w:val="22"/>
        </w:rPr>
      </w:pPr>
      <w:r w:rsidRPr="002D3317">
        <w:rPr>
          <w:rFonts w:ascii="Arial" w:hAnsi="Arial" w:cs="Arial"/>
          <w:sz w:val="22"/>
          <w:szCs w:val="22"/>
        </w:rPr>
        <w:t>OCD traits can hurt job performance. Policies that help people at work and prevent discrimination are becoming more important (van Dijk et al., 2022).</w:t>
      </w:r>
    </w:p>
    <w:p w14:paraId="40F69604" w14:textId="77777777" w:rsidR="00D234A3" w:rsidRPr="002D3317" w:rsidRDefault="00D234A3" w:rsidP="002D3317">
      <w:pPr>
        <w:spacing w:line="360" w:lineRule="auto"/>
        <w:rPr>
          <w:rFonts w:ascii="Arial" w:hAnsi="Arial" w:cs="Arial"/>
          <w:b/>
          <w:bCs/>
          <w:sz w:val="22"/>
          <w:szCs w:val="22"/>
        </w:rPr>
      </w:pPr>
      <w:r w:rsidRPr="002D3317">
        <w:rPr>
          <w:rFonts w:ascii="Arial" w:hAnsi="Arial" w:cs="Arial"/>
          <w:b/>
          <w:bCs/>
          <w:sz w:val="22"/>
          <w:szCs w:val="22"/>
        </w:rPr>
        <w:t>5. Research</w:t>
      </w:r>
    </w:p>
    <w:p w14:paraId="4EE5EC32" w14:textId="384216C7"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Neurobiology and Genetics</w:t>
      </w:r>
    </w:p>
    <w:p w14:paraId="65A324B6" w14:textId="77777777" w:rsidR="00D234A3" w:rsidRPr="002D3317" w:rsidRDefault="00D234A3" w:rsidP="002D3317">
      <w:pPr>
        <w:spacing w:line="360" w:lineRule="auto"/>
        <w:rPr>
          <w:rFonts w:ascii="Arial" w:hAnsi="Arial" w:cs="Arial"/>
          <w:sz w:val="22"/>
          <w:szCs w:val="22"/>
        </w:rPr>
      </w:pPr>
      <w:r w:rsidRPr="002D3317">
        <w:rPr>
          <w:rFonts w:ascii="Arial" w:hAnsi="Arial" w:cs="Arial"/>
          <w:sz w:val="22"/>
          <w:szCs w:val="22"/>
        </w:rPr>
        <w:t>New brain scans show problems in brain circuits, which supports using neuromodulation therapies (Pauls et al., 2014). Genetic studies hint that it can be inherited. Epigenetic things might explain why it starts and changes in how risky it is (Pittenger &amp;amp; Bloch, 2014).</w:t>
      </w:r>
    </w:p>
    <w:p w14:paraId="3EC43F32" w14:textId="1F7FE205"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Precision Psychiatry</w:t>
      </w:r>
    </w:p>
    <w:p w14:paraId="09B93C48" w14:textId="77777777" w:rsidR="00D234A3" w:rsidRPr="002D3317" w:rsidRDefault="00D234A3" w:rsidP="002D3317">
      <w:pPr>
        <w:spacing w:line="360" w:lineRule="auto"/>
        <w:rPr>
          <w:rFonts w:ascii="Arial" w:hAnsi="Arial" w:cs="Arial"/>
          <w:sz w:val="22"/>
          <w:szCs w:val="22"/>
        </w:rPr>
      </w:pPr>
      <w:r w:rsidRPr="002D3317">
        <w:rPr>
          <w:rFonts w:ascii="Arial" w:hAnsi="Arial" w:cs="Arial"/>
          <w:sz w:val="22"/>
          <w:szCs w:val="22"/>
        </w:rPr>
        <w:t>Personalized medicine looks at using unique treatment based on biomarkers, brain scans, and genetics. There are continuing arguments about if it is doable, cost, and ethics (Insel, 2014).</w:t>
      </w:r>
    </w:p>
    <w:p w14:paraId="224A44D7" w14:textId="74B7262E"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AI and Digital Tools</w:t>
      </w:r>
    </w:p>
    <w:p w14:paraId="163FA5CE" w14:textId="77777777" w:rsidR="00D234A3" w:rsidRPr="002D3317" w:rsidRDefault="00D234A3" w:rsidP="002D3317">
      <w:pPr>
        <w:spacing w:line="360" w:lineRule="auto"/>
        <w:rPr>
          <w:rFonts w:ascii="Arial" w:hAnsi="Arial" w:cs="Arial"/>
          <w:sz w:val="22"/>
          <w:szCs w:val="22"/>
        </w:rPr>
      </w:pPr>
      <w:r w:rsidRPr="002D3317">
        <w:rPr>
          <w:rFonts w:ascii="Arial" w:hAnsi="Arial" w:cs="Arial"/>
          <w:sz w:val="22"/>
          <w:szCs w:val="22"/>
        </w:rPr>
        <w:t>AI for diagnostics and therapy brings up questions about privacy and clinical oversight. While it can increase access, there is a risk of care becoming less personal (Torres et al., 2021).</w:t>
      </w:r>
    </w:p>
    <w:p w14:paraId="22C87E12" w14:textId="23915CB1" w:rsidR="00D234A3" w:rsidRPr="002D3317" w:rsidRDefault="00D234A3" w:rsidP="002D3317">
      <w:pPr>
        <w:pStyle w:val="ListParagraph"/>
        <w:numPr>
          <w:ilvl w:val="0"/>
          <w:numId w:val="52"/>
        </w:numPr>
        <w:spacing w:line="360" w:lineRule="auto"/>
        <w:rPr>
          <w:rFonts w:ascii="Arial" w:hAnsi="Arial" w:cs="Arial"/>
          <w:b/>
          <w:bCs/>
          <w:sz w:val="22"/>
          <w:szCs w:val="22"/>
        </w:rPr>
      </w:pPr>
      <w:r w:rsidRPr="002D3317">
        <w:rPr>
          <w:rFonts w:ascii="Arial" w:hAnsi="Arial" w:cs="Arial"/>
          <w:b/>
          <w:bCs/>
          <w:sz w:val="22"/>
          <w:szCs w:val="22"/>
        </w:rPr>
        <w:t>Long-Term Outcomes</w:t>
      </w:r>
    </w:p>
    <w:p w14:paraId="0E7CE042" w14:textId="00992ECB" w:rsidR="00D234A3" w:rsidRPr="002D3317" w:rsidRDefault="00D234A3" w:rsidP="002D3317">
      <w:pPr>
        <w:spacing w:line="360" w:lineRule="auto"/>
        <w:rPr>
          <w:rFonts w:ascii="Arial" w:hAnsi="Arial" w:cs="Arial"/>
          <w:sz w:val="22"/>
          <w:szCs w:val="22"/>
        </w:rPr>
      </w:pPr>
      <w:r w:rsidRPr="002D3317">
        <w:rPr>
          <w:rFonts w:ascii="Arial" w:hAnsi="Arial" w:cs="Arial"/>
          <w:sz w:val="22"/>
          <w:szCs w:val="22"/>
        </w:rPr>
        <w:t>New studies are focusing on recovery, quality of life, and social inclusion, not just lessening symptoms (Stein et al., 2019).</w:t>
      </w:r>
    </w:p>
    <w:p w14:paraId="1CA024E2" w14:textId="4AB69BE9" w:rsidR="002B1936" w:rsidRPr="002D3317" w:rsidRDefault="002B1936" w:rsidP="002D3317">
      <w:pPr>
        <w:spacing w:line="360" w:lineRule="auto"/>
        <w:rPr>
          <w:rFonts w:ascii="Arial" w:hAnsi="Arial" w:cs="Arial"/>
          <w:b/>
          <w:bCs/>
          <w:sz w:val="22"/>
          <w:szCs w:val="22"/>
        </w:rPr>
      </w:pPr>
      <w:r w:rsidRPr="002D3317">
        <w:rPr>
          <w:rFonts w:ascii="Arial" w:hAnsi="Arial" w:cs="Arial"/>
          <w:b/>
          <w:bCs/>
          <w:sz w:val="22"/>
          <w:szCs w:val="22"/>
        </w:rPr>
        <w:t>Critical Assessment</w:t>
      </w:r>
    </w:p>
    <w:p w14:paraId="46B3B370" w14:textId="735C218D"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Strengths of Current Frameworks</w:t>
      </w:r>
      <w:r w:rsidRPr="002D3317">
        <w:rPr>
          <w:rFonts w:ascii="Arial" w:hAnsi="Arial" w:cs="Arial"/>
          <w:sz w:val="22"/>
          <w:szCs w:val="22"/>
        </w:rPr>
        <w:t>: ICD 11 gives standard definitions and is helpful for doctors around the world.</w:t>
      </w:r>
    </w:p>
    <w:p w14:paraId="76F7B882" w14:textId="558505D6"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Weaknesses</w:t>
      </w:r>
      <w:r w:rsidRPr="002D3317">
        <w:rPr>
          <w:rFonts w:ascii="Arial" w:hAnsi="Arial" w:cs="Arial"/>
          <w:sz w:val="22"/>
          <w:szCs w:val="22"/>
        </w:rPr>
        <w:t>: It might be too simple, not consider cultural differences, and create stigma around different types of brains.</w:t>
      </w:r>
    </w:p>
    <w:p w14:paraId="5C2D0D27" w14:textId="0E458A4C"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Future</w:t>
      </w:r>
      <w:r w:rsidRPr="002D3317">
        <w:rPr>
          <w:rFonts w:ascii="Arial" w:hAnsi="Arial" w:cs="Arial"/>
          <w:sz w:val="22"/>
          <w:szCs w:val="22"/>
        </w:rPr>
        <w:t>: We should use models that look at different features, consider culture, and understand different brain types. Also, we should include biological, psychological, and social points of view. We should have more digital and community rehabilitation.</w:t>
      </w:r>
    </w:p>
    <w:p w14:paraId="0C501C7F" w14:textId="1D97E9DE" w:rsidR="002B1936" w:rsidRPr="002D3317" w:rsidRDefault="002B1936" w:rsidP="002D3317">
      <w:pPr>
        <w:spacing w:line="360" w:lineRule="auto"/>
        <w:rPr>
          <w:rFonts w:ascii="Arial" w:hAnsi="Arial" w:cs="Arial"/>
          <w:b/>
          <w:bCs/>
          <w:sz w:val="22"/>
          <w:szCs w:val="22"/>
        </w:rPr>
      </w:pPr>
      <w:r w:rsidRPr="002D3317">
        <w:rPr>
          <w:rFonts w:ascii="Arial" w:hAnsi="Arial" w:cs="Arial"/>
          <w:b/>
          <w:bCs/>
          <w:sz w:val="22"/>
          <w:szCs w:val="22"/>
        </w:rPr>
        <w:t>Recommendations</w:t>
      </w:r>
    </w:p>
    <w:p w14:paraId="7861F0AD" w14:textId="77777777" w:rsidR="002B1936" w:rsidRPr="002D3317" w:rsidRDefault="002B1936" w:rsidP="002D3317">
      <w:pPr>
        <w:spacing w:line="360" w:lineRule="auto"/>
        <w:rPr>
          <w:rFonts w:ascii="Arial" w:hAnsi="Arial" w:cs="Arial"/>
          <w:b/>
          <w:bCs/>
          <w:sz w:val="22"/>
          <w:szCs w:val="22"/>
        </w:rPr>
      </w:pPr>
      <w:r w:rsidRPr="002D3317">
        <w:rPr>
          <w:rFonts w:ascii="Arial" w:hAnsi="Arial" w:cs="Arial"/>
          <w:b/>
          <w:bCs/>
          <w:sz w:val="22"/>
          <w:szCs w:val="22"/>
        </w:rPr>
        <w:t>1.  Classification</w:t>
      </w:r>
    </w:p>
    <w:p w14:paraId="605B140F" w14:textId="60E589F7"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Use dimensional models</w:t>
      </w:r>
      <w:r w:rsidRPr="002D3317">
        <w:rPr>
          <w:rFonts w:ascii="Arial" w:hAnsi="Arial" w:cs="Arial"/>
          <w:sz w:val="22"/>
          <w:szCs w:val="22"/>
        </w:rPr>
        <w:t>: Rather than using strict labels, we should use systems that measure how bad it is, how often it happens, and how it impacts a person's life. This would explain different forms of the disorder better and keep up with current brain research.</w:t>
      </w:r>
    </w:p>
    <w:p w14:paraId="211D5CFE" w14:textId="56F4AA3E"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Add views about different brain types</w:t>
      </w:r>
      <w:r w:rsidRPr="002D3317">
        <w:rPr>
          <w:rFonts w:ascii="Arial" w:hAnsi="Arial" w:cs="Arial"/>
          <w:sz w:val="22"/>
          <w:szCs w:val="22"/>
        </w:rPr>
        <w:t>: Change how we classify things to accept that compulsive features are just parts of regular brain differences. If so, this will reduce stigma and encourage inclusion.</w:t>
      </w:r>
    </w:p>
    <w:p w14:paraId="7E853212" w14:textId="0455B071"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Match systems</w:t>
      </w:r>
      <w:r w:rsidRPr="002D3317">
        <w:rPr>
          <w:rFonts w:ascii="Arial" w:hAnsi="Arial" w:cs="Arial"/>
          <w:sz w:val="22"/>
          <w:szCs w:val="22"/>
        </w:rPr>
        <w:t>: Start conversations between ICD 11 and DSM 5 to lower differences in diagnoses and improve standards in global clinical work.</w:t>
      </w:r>
    </w:p>
    <w:p w14:paraId="56DEC669" w14:textId="77777777" w:rsidR="002B1936" w:rsidRPr="002D3317" w:rsidRDefault="002B1936" w:rsidP="002D3317">
      <w:pPr>
        <w:spacing w:line="360" w:lineRule="auto"/>
        <w:rPr>
          <w:rFonts w:ascii="Arial" w:hAnsi="Arial" w:cs="Arial"/>
          <w:b/>
          <w:bCs/>
          <w:sz w:val="22"/>
          <w:szCs w:val="22"/>
        </w:rPr>
      </w:pPr>
      <w:r w:rsidRPr="002D3317">
        <w:rPr>
          <w:rFonts w:ascii="Arial" w:hAnsi="Arial" w:cs="Arial"/>
          <w:b/>
          <w:bCs/>
          <w:sz w:val="22"/>
          <w:szCs w:val="22"/>
        </w:rPr>
        <w:t>2.  Diagnosis</w:t>
      </w:r>
    </w:p>
    <w:p w14:paraId="3B6E9D4F" w14:textId="3E8D225C"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Cultural awareness</w:t>
      </w:r>
      <w:r w:rsidRPr="002D3317">
        <w:rPr>
          <w:rFonts w:ascii="Arial" w:hAnsi="Arial" w:cs="Arial"/>
          <w:sz w:val="22"/>
          <w:szCs w:val="22"/>
        </w:rPr>
        <w:t>: Use diagnostic methods that know about cultural backgrounds to explain how symptoms vary among people.</w:t>
      </w:r>
    </w:p>
    <w:p w14:paraId="1D95C082" w14:textId="6AA15C78"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Assessment that understands different brain types</w:t>
      </w:r>
      <w:r w:rsidRPr="002D3317">
        <w:rPr>
          <w:rFonts w:ascii="Arial" w:hAnsi="Arial" w:cs="Arial"/>
          <w:sz w:val="22"/>
          <w:szCs w:val="22"/>
        </w:rPr>
        <w:t xml:space="preserve">: Teach doctors to tell the difference between problems and adaptive traits, making sure we don't </w:t>
      </w:r>
      <w:proofErr w:type="spellStart"/>
      <w:r w:rsidRPr="002D3317">
        <w:rPr>
          <w:rFonts w:ascii="Arial" w:hAnsi="Arial" w:cs="Arial"/>
          <w:sz w:val="22"/>
          <w:szCs w:val="22"/>
        </w:rPr>
        <w:t>overdiagnose</w:t>
      </w:r>
      <w:proofErr w:type="spellEnd"/>
      <w:r w:rsidRPr="002D3317">
        <w:rPr>
          <w:rFonts w:ascii="Arial" w:hAnsi="Arial" w:cs="Arial"/>
          <w:sz w:val="22"/>
          <w:szCs w:val="22"/>
        </w:rPr>
        <w:t xml:space="preserve"> people.</w:t>
      </w:r>
    </w:p>
    <w:p w14:paraId="150708C8" w14:textId="34FA243D" w:rsidR="002B1936" w:rsidRPr="002D3317" w:rsidRDefault="002B1936" w:rsidP="002D3317">
      <w:pPr>
        <w:pStyle w:val="ListParagraph"/>
        <w:numPr>
          <w:ilvl w:val="0"/>
          <w:numId w:val="52"/>
        </w:numPr>
        <w:spacing w:line="360" w:lineRule="auto"/>
        <w:rPr>
          <w:rFonts w:ascii="Arial" w:hAnsi="Arial" w:cs="Arial"/>
          <w:sz w:val="22"/>
          <w:szCs w:val="22"/>
        </w:rPr>
      </w:pPr>
      <w:r w:rsidRPr="002D3317">
        <w:rPr>
          <w:rFonts w:ascii="Arial" w:hAnsi="Arial" w:cs="Arial"/>
          <w:b/>
          <w:bCs/>
          <w:sz w:val="22"/>
          <w:szCs w:val="22"/>
        </w:rPr>
        <w:t>Find early</w:t>
      </w:r>
      <w:r w:rsidRPr="002D3317">
        <w:rPr>
          <w:rFonts w:ascii="Arial" w:hAnsi="Arial" w:cs="Arial"/>
          <w:sz w:val="22"/>
          <w:szCs w:val="22"/>
        </w:rPr>
        <w:t>: Create tests in primary care and schools to spot presentations sooner, shorten the length of the disorder, and improve results.</w:t>
      </w:r>
    </w:p>
    <w:p w14:paraId="49E8940F" w14:textId="77777777" w:rsidR="002B1936" w:rsidRPr="002D3317" w:rsidRDefault="002B1936" w:rsidP="002D3317">
      <w:pPr>
        <w:spacing w:line="360" w:lineRule="auto"/>
        <w:rPr>
          <w:rFonts w:ascii="Arial" w:hAnsi="Arial" w:cs="Arial"/>
          <w:b/>
          <w:bCs/>
          <w:sz w:val="22"/>
          <w:szCs w:val="22"/>
        </w:rPr>
      </w:pPr>
      <w:r w:rsidRPr="002D3317">
        <w:rPr>
          <w:rFonts w:ascii="Arial" w:hAnsi="Arial" w:cs="Arial"/>
          <w:b/>
          <w:bCs/>
          <w:sz w:val="22"/>
          <w:szCs w:val="22"/>
        </w:rPr>
        <w:t>3.  Treatment</w:t>
      </w:r>
    </w:p>
    <w:p w14:paraId="23AEBFDD" w14:textId="54FE38FA" w:rsidR="001301F6" w:rsidRPr="002D3317" w:rsidRDefault="001301F6" w:rsidP="002D3317">
      <w:pPr>
        <w:spacing w:line="360" w:lineRule="auto"/>
        <w:rPr>
          <w:rFonts w:ascii="Arial" w:hAnsi="Arial" w:cs="Arial"/>
          <w:sz w:val="22"/>
          <w:szCs w:val="22"/>
        </w:rPr>
      </w:pPr>
      <w:r w:rsidRPr="002D3317">
        <w:rPr>
          <w:rFonts w:ascii="Arial" w:hAnsi="Arial" w:cs="Arial"/>
          <w:sz w:val="22"/>
          <w:szCs w:val="22"/>
        </w:rPr>
        <w:t xml:space="preserve">OCD treatment should incorporate coordinated and individualized approaches. These models could combine </w:t>
      </w:r>
      <w:r w:rsidR="00841284" w:rsidRPr="002D3317">
        <w:rPr>
          <w:rFonts w:ascii="Arial" w:hAnsi="Arial" w:cs="Arial"/>
          <w:b/>
          <w:bCs/>
          <w:sz w:val="22"/>
          <w:szCs w:val="22"/>
        </w:rPr>
        <w:t>CBT,</w:t>
      </w:r>
      <w:r w:rsidRPr="002D3317">
        <w:rPr>
          <w:rFonts w:ascii="Arial" w:hAnsi="Arial" w:cs="Arial"/>
          <w:b/>
          <w:bCs/>
          <w:sz w:val="22"/>
          <w:szCs w:val="22"/>
        </w:rPr>
        <w:t xml:space="preserve"> medication, social support systems, digital resources</w:t>
      </w:r>
      <w:r w:rsidRPr="002D3317">
        <w:rPr>
          <w:rFonts w:ascii="Arial" w:hAnsi="Arial" w:cs="Arial"/>
          <w:sz w:val="22"/>
          <w:szCs w:val="22"/>
        </w:rPr>
        <w:t xml:space="preserve">, and methods to </w:t>
      </w:r>
      <w:r w:rsidRPr="002D3317">
        <w:rPr>
          <w:rFonts w:ascii="Arial" w:hAnsi="Arial" w:cs="Arial"/>
          <w:b/>
          <w:bCs/>
          <w:sz w:val="22"/>
          <w:szCs w:val="22"/>
        </w:rPr>
        <w:t>improve treatment retention</w:t>
      </w:r>
      <w:r w:rsidRPr="002D3317">
        <w:rPr>
          <w:rFonts w:ascii="Arial" w:hAnsi="Arial" w:cs="Arial"/>
          <w:sz w:val="22"/>
          <w:szCs w:val="22"/>
        </w:rPr>
        <w:t xml:space="preserve"> (Koran et al., 2020).</w:t>
      </w:r>
    </w:p>
    <w:p w14:paraId="110E6EFB" w14:textId="75539CAE" w:rsidR="00AF0132" w:rsidRPr="002D3317" w:rsidRDefault="00AF0132" w:rsidP="002D3317">
      <w:pPr>
        <w:spacing w:line="360" w:lineRule="auto"/>
        <w:rPr>
          <w:rFonts w:ascii="Arial" w:hAnsi="Arial" w:cs="Arial"/>
          <w:b/>
          <w:bCs/>
          <w:sz w:val="22"/>
          <w:szCs w:val="22"/>
        </w:rPr>
      </w:pPr>
      <w:r w:rsidRPr="002D3317">
        <w:rPr>
          <w:rFonts w:ascii="Arial" w:hAnsi="Arial" w:cs="Arial"/>
          <w:b/>
          <w:bCs/>
          <w:sz w:val="22"/>
          <w:szCs w:val="22"/>
        </w:rPr>
        <w:t>4. Rehabilitation</w:t>
      </w:r>
    </w:p>
    <w:p w14:paraId="71C449BB" w14:textId="1A480DB6" w:rsidR="00AF0132" w:rsidRPr="002D3317" w:rsidRDefault="00AF0132" w:rsidP="002D3317">
      <w:pPr>
        <w:pStyle w:val="ListParagraph"/>
        <w:numPr>
          <w:ilvl w:val="0"/>
          <w:numId w:val="61"/>
        </w:numPr>
        <w:spacing w:line="360" w:lineRule="auto"/>
        <w:rPr>
          <w:rFonts w:ascii="Arial" w:hAnsi="Arial" w:cs="Arial"/>
          <w:sz w:val="22"/>
          <w:szCs w:val="22"/>
        </w:rPr>
      </w:pPr>
      <w:r w:rsidRPr="002D3317">
        <w:rPr>
          <w:rFonts w:ascii="Arial" w:hAnsi="Arial" w:cs="Arial"/>
          <w:b/>
          <w:bCs/>
          <w:sz w:val="22"/>
          <w:szCs w:val="22"/>
        </w:rPr>
        <w:t>Continued Assistance</w:t>
      </w:r>
      <w:r w:rsidRPr="002D3317">
        <w:rPr>
          <w:rFonts w:ascii="Arial" w:hAnsi="Arial" w:cs="Arial"/>
          <w:sz w:val="22"/>
          <w:szCs w:val="22"/>
        </w:rPr>
        <w:t xml:space="preserve">: It is important to boost job training, workplace changes, and social programs. This helps people stay well even after their symptoms get better (WHO, 2019; </w:t>
      </w:r>
      <w:proofErr w:type="spellStart"/>
      <w:r w:rsidRPr="002D3317">
        <w:rPr>
          <w:rFonts w:ascii="Arial" w:hAnsi="Arial" w:cs="Arial"/>
          <w:sz w:val="22"/>
          <w:szCs w:val="22"/>
        </w:rPr>
        <w:t>Carepatron</w:t>
      </w:r>
      <w:proofErr w:type="spellEnd"/>
      <w:r w:rsidRPr="002D3317">
        <w:rPr>
          <w:rFonts w:ascii="Arial" w:hAnsi="Arial" w:cs="Arial"/>
          <w:sz w:val="22"/>
          <w:szCs w:val="22"/>
        </w:rPr>
        <w:t>, 2025).</w:t>
      </w:r>
    </w:p>
    <w:p w14:paraId="124D6DC4" w14:textId="4A0665E1" w:rsidR="00AF0132" w:rsidRPr="002D3317" w:rsidRDefault="00AF0132" w:rsidP="002D3317">
      <w:pPr>
        <w:pStyle w:val="ListParagraph"/>
        <w:numPr>
          <w:ilvl w:val="0"/>
          <w:numId w:val="61"/>
        </w:numPr>
        <w:spacing w:line="360" w:lineRule="auto"/>
        <w:rPr>
          <w:rFonts w:ascii="Arial" w:hAnsi="Arial" w:cs="Arial"/>
          <w:sz w:val="22"/>
          <w:szCs w:val="22"/>
        </w:rPr>
      </w:pPr>
      <w:r w:rsidRPr="002D3317">
        <w:rPr>
          <w:rFonts w:ascii="Arial" w:hAnsi="Arial" w:cs="Arial"/>
          <w:b/>
          <w:bCs/>
          <w:sz w:val="22"/>
          <w:szCs w:val="22"/>
        </w:rPr>
        <w:t>Tech Advances:</w:t>
      </w:r>
      <w:r w:rsidRPr="002D3317">
        <w:rPr>
          <w:rFonts w:ascii="Arial" w:hAnsi="Arial" w:cs="Arial"/>
          <w:sz w:val="22"/>
          <w:szCs w:val="22"/>
        </w:rPr>
        <w:t xml:space="preserve"> Grow the use of tools that use computers, phone apps, and virtual reality treatments to get more people involved and make treatments easier to get to (Torres et al., 2021).</w:t>
      </w:r>
    </w:p>
    <w:p w14:paraId="3F78C228" w14:textId="3BF96BDA" w:rsidR="00AF0132" w:rsidRPr="002D3317" w:rsidRDefault="00AF0132" w:rsidP="002D3317">
      <w:pPr>
        <w:pStyle w:val="ListParagraph"/>
        <w:numPr>
          <w:ilvl w:val="0"/>
          <w:numId w:val="61"/>
        </w:numPr>
        <w:spacing w:line="360" w:lineRule="auto"/>
        <w:rPr>
          <w:rFonts w:ascii="Arial" w:hAnsi="Arial" w:cs="Arial"/>
          <w:sz w:val="22"/>
          <w:szCs w:val="22"/>
        </w:rPr>
      </w:pPr>
      <w:r w:rsidRPr="002D3317">
        <w:rPr>
          <w:rFonts w:ascii="Arial" w:hAnsi="Arial" w:cs="Arial"/>
          <w:b/>
          <w:bCs/>
          <w:sz w:val="22"/>
          <w:szCs w:val="22"/>
        </w:rPr>
        <w:t>Local teamwork:</w:t>
      </w:r>
      <w:r w:rsidRPr="002D3317">
        <w:rPr>
          <w:rFonts w:ascii="Arial" w:hAnsi="Arial" w:cs="Arial"/>
          <w:sz w:val="22"/>
          <w:szCs w:val="22"/>
        </w:rPr>
        <w:t xml:space="preserve"> Work with schools, bosses, and support groups to form welcoming places that aid people who show OCD signs (Chapman, 2021; van Dijk et al., 2022).</w:t>
      </w:r>
    </w:p>
    <w:p w14:paraId="79A8E5B0" w14:textId="470F05CD" w:rsidR="00AF0132" w:rsidRPr="002D3317" w:rsidRDefault="00AF0132" w:rsidP="002D3317">
      <w:pPr>
        <w:pStyle w:val="ListParagraph"/>
        <w:numPr>
          <w:ilvl w:val="0"/>
          <w:numId w:val="61"/>
        </w:numPr>
        <w:spacing w:line="360" w:lineRule="auto"/>
        <w:rPr>
          <w:rFonts w:ascii="Arial" w:hAnsi="Arial" w:cs="Arial"/>
          <w:sz w:val="22"/>
          <w:szCs w:val="22"/>
        </w:rPr>
      </w:pPr>
      <w:r w:rsidRPr="002D3317">
        <w:rPr>
          <w:rFonts w:ascii="Arial" w:hAnsi="Arial" w:cs="Arial"/>
          <w:b/>
          <w:bCs/>
          <w:sz w:val="22"/>
          <w:szCs w:val="22"/>
        </w:rPr>
        <w:t>Keeping tabs on results</w:t>
      </w:r>
      <w:r w:rsidRPr="002D3317">
        <w:rPr>
          <w:rFonts w:ascii="Arial" w:hAnsi="Arial" w:cs="Arial"/>
          <w:sz w:val="22"/>
          <w:szCs w:val="22"/>
        </w:rPr>
        <w:t>: Set up regular ways to check how well people are doing in their daily lives. This is more than just seeing if their symptoms are less (Fineberg et al., 2020).</w:t>
      </w:r>
    </w:p>
    <w:p w14:paraId="5F8082D4" w14:textId="77777777" w:rsidR="00AF0132" w:rsidRPr="002D3317" w:rsidRDefault="00AF0132" w:rsidP="002D3317">
      <w:pPr>
        <w:spacing w:line="360" w:lineRule="auto"/>
        <w:rPr>
          <w:rFonts w:ascii="Arial" w:hAnsi="Arial" w:cs="Arial"/>
          <w:b/>
          <w:bCs/>
          <w:sz w:val="22"/>
          <w:szCs w:val="22"/>
        </w:rPr>
      </w:pPr>
      <w:r w:rsidRPr="002D3317">
        <w:rPr>
          <w:rFonts w:ascii="Arial" w:hAnsi="Arial" w:cs="Arial"/>
          <w:b/>
          <w:bCs/>
          <w:sz w:val="22"/>
          <w:szCs w:val="22"/>
        </w:rPr>
        <w:t>5. Policy and Research</w:t>
      </w:r>
    </w:p>
    <w:p w14:paraId="6027DC73" w14:textId="7E2A925B" w:rsidR="00AF0132" w:rsidRPr="002D3317" w:rsidRDefault="00AF0132" w:rsidP="002D3317">
      <w:pPr>
        <w:pStyle w:val="ListParagraph"/>
        <w:numPr>
          <w:ilvl w:val="0"/>
          <w:numId w:val="62"/>
        </w:numPr>
        <w:spacing w:line="360" w:lineRule="auto"/>
        <w:rPr>
          <w:rFonts w:ascii="Arial" w:hAnsi="Arial" w:cs="Arial"/>
          <w:sz w:val="22"/>
          <w:szCs w:val="22"/>
        </w:rPr>
      </w:pPr>
      <w:r w:rsidRPr="002D3317">
        <w:rPr>
          <w:rFonts w:ascii="Arial" w:hAnsi="Arial" w:cs="Arial"/>
          <w:b/>
          <w:bCs/>
          <w:sz w:val="22"/>
          <w:szCs w:val="22"/>
        </w:rPr>
        <w:t>Comparing systems:</w:t>
      </w:r>
      <w:r w:rsidRPr="002D3317">
        <w:rPr>
          <w:rFonts w:ascii="Arial" w:hAnsi="Arial" w:cs="Arial"/>
          <w:sz w:val="22"/>
          <w:szCs w:val="22"/>
        </w:rPr>
        <w:t xml:space="preserve"> Back studies that check how ICD 11 and DSM 5 look at OCD. Point out good and bad points of each (Simpson &amp;amp; Reddy, 2014; Stein et al., 2019).</w:t>
      </w:r>
    </w:p>
    <w:p w14:paraId="74411505" w14:textId="6254FCB6" w:rsidR="00AF0132" w:rsidRPr="002D3317" w:rsidRDefault="00AF0132" w:rsidP="002D3317">
      <w:pPr>
        <w:pStyle w:val="ListParagraph"/>
        <w:numPr>
          <w:ilvl w:val="0"/>
          <w:numId w:val="62"/>
        </w:numPr>
        <w:spacing w:line="360" w:lineRule="auto"/>
        <w:rPr>
          <w:rFonts w:ascii="Arial" w:hAnsi="Arial" w:cs="Arial"/>
          <w:sz w:val="22"/>
          <w:szCs w:val="22"/>
        </w:rPr>
      </w:pPr>
      <w:r w:rsidRPr="002D3317">
        <w:rPr>
          <w:rFonts w:ascii="Arial" w:hAnsi="Arial" w:cs="Arial"/>
          <w:b/>
          <w:bCs/>
          <w:sz w:val="22"/>
          <w:szCs w:val="22"/>
        </w:rPr>
        <w:t>Different mind-styles methods</w:t>
      </w:r>
      <w:r w:rsidRPr="002D3317">
        <w:rPr>
          <w:rFonts w:ascii="Arial" w:hAnsi="Arial" w:cs="Arial"/>
          <w:sz w:val="22"/>
          <w:szCs w:val="22"/>
        </w:rPr>
        <w:t>: Give funds to studies that try to use what people are good at. Change from trying to fix what is wrong to how they can fit in better (Chapman, 2021; van Dijk et al., 2022).</w:t>
      </w:r>
    </w:p>
    <w:p w14:paraId="7FD05A92" w14:textId="741AAFC5" w:rsidR="00AF0132" w:rsidRPr="002D3317" w:rsidRDefault="00AF0132" w:rsidP="002D3317">
      <w:pPr>
        <w:pStyle w:val="ListParagraph"/>
        <w:numPr>
          <w:ilvl w:val="0"/>
          <w:numId w:val="62"/>
        </w:numPr>
        <w:spacing w:line="360" w:lineRule="auto"/>
        <w:rPr>
          <w:rFonts w:ascii="Arial" w:hAnsi="Arial" w:cs="Arial"/>
          <w:sz w:val="22"/>
          <w:szCs w:val="22"/>
        </w:rPr>
      </w:pPr>
      <w:r w:rsidRPr="002D3317">
        <w:rPr>
          <w:rFonts w:ascii="Arial" w:hAnsi="Arial" w:cs="Arial"/>
          <w:b/>
          <w:bCs/>
          <w:sz w:val="22"/>
          <w:szCs w:val="22"/>
        </w:rPr>
        <w:t>Good tech rules</w:t>
      </w:r>
      <w:r w:rsidRPr="002D3317">
        <w:rPr>
          <w:rFonts w:ascii="Arial" w:hAnsi="Arial" w:cs="Arial"/>
          <w:sz w:val="22"/>
          <w:szCs w:val="22"/>
        </w:rPr>
        <w:t>: Make rules for computer-based aids that match what people want with keeping their info safe, being fair, and being open (Torres et al., 2021; Fineberg et al., 2020).</w:t>
      </w:r>
    </w:p>
    <w:p w14:paraId="772F99AF" w14:textId="6A5A0908" w:rsidR="00AF0132" w:rsidRPr="002D3317" w:rsidRDefault="00AF0132" w:rsidP="002D3317">
      <w:pPr>
        <w:pStyle w:val="ListParagraph"/>
        <w:numPr>
          <w:ilvl w:val="0"/>
          <w:numId w:val="62"/>
        </w:numPr>
        <w:spacing w:line="360" w:lineRule="auto"/>
        <w:rPr>
          <w:rFonts w:ascii="Arial" w:hAnsi="Arial" w:cs="Arial"/>
          <w:sz w:val="22"/>
          <w:szCs w:val="22"/>
        </w:rPr>
      </w:pPr>
      <w:r w:rsidRPr="002D3317">
        <w:rPr>
          <w:rFonts w:ascii="Arial" w:hAnsi="Arial" w:cs="Arial"/>
          <w:b/>
          <w:bCs/>
          <w:sz w:val="22"/>
          <w:szCs w:val="22"/>
        </w:rPr>
        <w:t>Fairness worldwide:</w:t>
      </w:r>
      <w:r w:rsidRPr="002D3317">
        <w:rPr>
          <w:rFonts w:ascii="Arial" w:hAnsi="Arial" w:cs="Arial"/>
          <w:sz w:val="22"/>
          <w:szCs w:val="22"/>
        </w:rPr>
        <w:t xml:space="preserve"> Put giving money to poor countries first. Make sure they can get treatments that are proven to work (WHO, 2019).</w:t>
      </w:r>
    </w:p>
    <w:p w14:paraId="00F80B86" w14:textId="0EBF48BC" w:rsidR="003541FB" w:rsidRPr="002D3317" w:rsidRDefault="00AF0132" w:rsidP="002D3317">
      <w:pPr>
        <w:pStyle w:val="ListParagraph"/>
        <w:numPr>
          <w:ilvl w:val="0"/>
          <w:numId w:val="62"/>
        </w:numPr>
        <w:spacing w:line="360" w:lineRule="auto"/>
        <w:rPr>
          <w:rFonts w:ascii="Arial" w:hAnsi="Arial" w:cs="Arial"/>
          <w:sz w:val="22"/>
          <w:szCs w:val="22"/>
        </w:rPr>
      </w:pPr>
      <w:r w:rsidRPr="002D3317">
        <w:rPr>
          <w:rFonts w:ascii="Arial" w:hAnsi="Arial" w:cs="Arial"/>
          <w:b/>
          <w:bCs/>
          <w:sz w:val="22"/>
          <w:szCs w:val="22"/>
        </w:rPr>
        <w:t>Turning study into practice:</w:t>
      </w:r>
      <w:r w:rsidRPr="002D3317">
        <w:rPr>
          <w:rFonts w:ascii="Arial" w:hAnsi="Arial" w:cs="Arial"/>
          <w:sz w:val="22"/>
          <w:szCs w:val="22"/>
        </w:rPr>
        <w:t xml:space="preserve"> Put money into treatments that change how the brain</w:t>
      </w:r>
      <w:r w:rsidR="00312FDE" w:rsidRPr="002D3317">
        <w:rPr>
          <w:rFonts w:ascii="Arial" w:hAnsi="Arial" w:cs="Arial"/>
          <w:sz w:val="22"/>
          <w:szCs w:val="22"/>
        </w:rPr>
        <w:t xml:space="preserve"> </w:t>
      </w:r>
      <w:r w:rsidRPr="002D3317">
        <w:rPr>
          <w:rFonts w:ascii="Arial" w:hAnsi="Arial" w:cs="Arial"/>
          <w:sz w:val="22"/>
          <w:szCs w:val="22"/>
        </w:rPr>
        <w:t>works (like deep brain stimulation, transcranial magnetic stimulation) and DNA studies to link what we find in the brain to what we do in clinics (Pauls et al., 2014; Pittenger &amp;amp; Bloch, 2014).</w:t>
      </w:r>
    </w:p>
    <w:p w14:paraId="325E12B6" w14:textId="77777777" w:rsidR="00312FDE" w:rsidRPr="002D3317" w:rsidRDefault="00312FDE" w:rsidP="002D3317">
      <w:pPr>
        <w:spacing w:line="360" w:lineRule="auto"/>
        <w:rPr>
          <w:rFonts w:ascii="Arial" w:hAnsi="Arial" w:cs="Arial"/>
          <w:sz w:val="22"/>
          <w:szCs w:val="22"/>
        </w:rPr>
      </w:pPr>
    </w:p>
    <w:p w14:paraId="1406A355" w14:textId="309F1284" w:rsidR="00312FDE" w:rsidRPr="002D3317" w:rsidRDefault="00312FDE" w:rsidP="002D3317">
      <w:pPr>
        <w:spacing w:line="360" w:lineRule="auto"/>
        <w:rPr>
          <w:rFonts w:ascii="Arial" w:hAnsi="Arial" w:cs="Arial"/>
          <w:b/>
          <w:bCs/>
          <w:sz w:val="22"/>
          <w:szCs w:val="22"/>
        </w:rPr>
      </w:pPr>
      <w:r w:rsidRPr="002D3317">
        <w:rPr>
          <w:rFonts w:ascii="Arial" w:hAnsi="Arial" w:cs="Arial"/>
          <w:b/>
          <w:bCs/>
          <w:sz w:val="22"/>
          <w:szCs w:val="22"/>
        </w:rPr>
        <w:t>Conclusion</w:t>
      </w:r>
    </w:p>
    <w:p w14:paraId="2C6C9F49" w14:textId="77777777" w:rsidR="00D17890" w:rsidRPr="002D3317" w:rsidRDefault="00D17890" w:rsidP="002D3317">
      <w:pPr>
        <w:pStyle w:val="ListParagraph"/>
        <w:spacing w:line="360" w:lineRule="auto"/>
        <w:rPr>
          <w:rFonts w:ascii="Arial" w:hAnsi="Arial" w:cs="Arial"/>
          <w:sz w:val="22"/>
          <w:szCs w:val="22"/>
        </w:rPr>
      </w:pPr>
      <w:r w:rsidRPr="002D3317">
        <w:rPr>
          <w:rFonts w:ascii="Arial" w:hAnsi="Arial" w:cs="Arial"/>
          <w:sz w:val="22"/>
          <w:szCs w:val="22"/>
        </w:rPr>
        <w:t>ICD-11 F42.2 shows how intrusive thoughts and compulsions reinforce each other, revealing the usefulness and limits of categorical diagnosis (WHO, 2019; Simpson &amp;amp; Reddy, 2014). Neurodiversity viewpoints argue against seeing obsessive traits as only pathological, which could lessen stigma and help recognize cognitive differences (Chapman, 2021).</w:t>
      </w:r>
    </w:p>
    <w:p w14:paraId="5E278A23" w14:textId="77777777" w:rsidR="00D17890" w:rsidRPr="002D3317" w:rsidRDefault="00D17890" w:rsidP="002D3317">
      <w:pPr>
        <w:pStyle w:val="ListParagraph"/>
        <w:spacing w:line="360" w:lineRule="auto"/>
        <w:rPr>
          <w:rFonts w:ascii="Arial" w:hAnsi="Arial" w:cs="Arial"/>
          <w:sz w:val="22"/>
          <w:szCs w:val="22"/>
        </w:rPr>
      </w:pPr>
    </w:p>
    <w:p w14:paraId="2DEB39A8" w14:textId="77777777" w:rsidR="00D17890" w:rsidRPr="002D3317" w:rsidRDefault="00D17890" w:rsidP="002D3317">
      <w:pPr>
        <w:pStyle w:val="ListParagraph"/>
        <w:spacing w:line="360" w:lineRule="auto"/>
        <w:rPr>
          <w:rFonts w:ascii="Arial" w:hAnsi="Arial" w:cs="Arial"/>
          <w:sz w:val="22"/>
          <w:szCs w:val="22"/>
        </w:rPr>
      </w:pPr>
      <w:r w:rsidRPr="002D3317">
        <w:rPr>
          <w:rFonts w:ascii="Arial" w:hAnsi="Arial" w:cs="Arial"/>
          <w:sz w:val="22"/>
          <w:szCs w:val="22"/>
        </w:rPr>
        <w:t>CBT with ERP and medication are key treatments, though dropout rates and access issues point to the need for flexible, personalized care (NICE, 2022; Fineberg et al., 2020). Recovery efforts should support daily life and community involvement, and digital health could offer new options (Torres et al., 2021).</w:t>
      </w:r>
    </w:p>
    <w:p w14:paraId="340FACD0" w14:textId="77777777" w:rsidR="00D17890" w:rsidRPr="002D3317" w:rsidRDefault="00D17890" w:rsidP="002D3317">
      <w:pPr>
        <w:pStyle w:val="ListParagraph"/>
        <w:spacing w:line="360" w:lineRule="auto"/>
        <w:rPr>
          <w:rFonts w:ascii="Arial" w:hAnsi="Arial" w:cs="Arial"/>
          <w:sz w:val="22"/>
          <w:szCs w:val="22"/>
        </w:rPr>
      </w:pPr>
    </w:p>
    <w:p w14:paraId="459FA75A" w14:textId="586565AD" w:rsidR="00655803" w:rsidRPr="002D3317" w:rsidRDefault="00D17890" w:rsidP="002D3317">
      <w:pPr>
        <w:pStyle w:val="ListParagraph"/>
        <w:spacing w:line="360" w:lineRule="auto"/>
        <w:rPr>
          <w:rFonts w:ascii="Arial" w:hAnsi="Arial" w:cs="Arial"/>
          <w:sz w:val="22"/>
          <w:szCs w:val="22"/>
        </w:rPr>
      </w:pPr>
      <w:r w:rsidRPr="002D3317">
        <w:rPr>
          <w:rFonts w:ascii="Arial" w:hAnsi="Arial" w:cs="Arial"/>
          <w:sz w:val="22"/>
          <w:szCs w:val="22"/>
        </w:rPr>
        <w:t>Future research should compare diagnostic systems, create treatments that consider neurodiversity, and responsibly incorporate technologies like AI and neuromodulation (Stein et al., 2019; Carmi et al., 2019). The ideal method blends sound science with inclusive, rights-based strategies for good care for everyone.</w:t>
      </w:r>
    </w:p>
    <w:p w14:paraId="61973504" w14:textId="77777777" w:rsidR="003541FB" w:rsidRPr="002D3317" w:rsidRDefault="003541FB" w:rsidP="002D3317">
      <w:pPr>
        <w:spacing w:line="360" w:lineRule="auto"/>
        <w:rPr>
          <w:rFonts w:ascii="Arial" w:hAnsi="Arial" w:cs="Arial"/>
          <w:sz w:val="22"/>
          <w:szCs w:val="22"/>
        </w:rPr>
      </w:pPr>
    </w:p>
    <w:p w14:paraId="01F4EFB2" w14:textId="77777777" w:rsidR="003541FB" w:rsidRPr="002D3317" w:rsidRDefault="003541FB" w:rsidP="002D3317">
      <w:pPr>
        <w:spacing w:line="360" w:lineRule="auto"/>
        <w:rPr>
          <w:rFonts w:ascii="Arial" w:hAnsi="Arial" w:cs="Arial"/>
          <w:sz w:val="22"/>
          <w:szCs w:val="22"/>
        </w:rPr>
      </w:pPr>
    </w:p>
    <w:p w14:paraId="0A84DB3A" w14:textId="77777777" w:rsidR="00CA044B" w:rsidRPr="002D3317" w:rsidRDefault="00CA044B" w:rsidP="002D3317">
      <w:pPr>
        <w:pStyle w:val="NormalWeb"/>
        <w:spacing w:line="360" w:lineRule="auto"/>
        <w:rPr>
          <w:rFonts w:ascii="Arial" w:hAnsi="Arial" w:cs="Arial"/>
          <w:b/>
          <w:bCs/>
          <w:color w:val="000000"/>
          <w:sz w:val="22"/>
          <w:szCs w:val="22"/>
        </w:rPr>
      </w:pPr>
    </w:p>
    <w:p w14:paraId="5DEBBA71" w14:textId="77777777" w:rsidR="00CA044B" w:rsidRPr="002D3317" w:rsidRDefault="00CA044B" w:rsidP="002D3317">
      <w:pPr>
        <w:pStyle w:val="NormalWeb"/>
        <w:spacing w:line="360" w:lineRule="auto"/>
        <w:rPr>
          <w:rFonts w:ascii="Arial" w:hAnsi="Arial" w:cs="Arial"/>
          <w:b/>
          <w:bCs/>
          <w:color w:val="000000"/>
          <w:sz w:val="22"/>
          <w:szCs w:val="22"/>
        </w:rPr>
      </w:pPr>
    </w:p>
    <w:p w14:paraId="6DF224AB" w14:textId="77777777" w:rsidR="00CA044B" w:rsidRPr="002D3317" w:rsidRDefault="00CA044B" w:rsidP="002D3317">
      <w:pPr>
        <w:pStyle w:val="NormalWeb"/>
        <w:spacing w:line="360" w:lineRule="auto"/>
        <w:rPr>
          <w:rFonts w:ascii="Arial" w:hAnsi="Arial" w:cs="Arial"/>
          <w:b/>
          <w:bCs/>
          <w:color w:val="000000"/>
          <w:sz w:val="22"/>
          <w:szCs w:val="22"/>
        </w:rPr>
      </w:pPr>
    </w:p>
    <w:p w14:paraId="2690F18A" w14:textId="77777777" w:rsidR="00CA044B" w:rsidRPr="002D3317" w:rsidRDefault="00CA044B" w:rsidP="002D3317">
      <w:pPr>
        <w:pStyle w:val="NormalWeb"/>
        <w:spacing w:line="360" w:lineRule="auto"/>
        <w:rPr>
          <w:rFonts w:ascii="Arial" w:hAnsi="Arial" w:cs="Arial"/>
          <w:b/>
          <w:bCs/>
          <w:color w:val="000000"/>
          <w:sz w:val="22"/>
          <w:szCs w:val="22"/>
        </w:rPr>
      </w:pPr>
    </w:p>
    <w:p w14:paraId="0838B0BD" w14:textId="77777777" w:rsidR="00CA044B" w:rsidRPr="002D3317" w:rsidRDefault="00CA044B" w:rsidP="002D3317">
      <w:pPr>
        <w:pStyle w:val="NormalWeb"/>
        <w:spacing w:line="360" w:lineRule="auto"/>
        <w:rPr>
          <w:rFonts w:ascii="Arial" w:hAnsi="Arial" w:cs="Arial"/>
          <w:b/>
          <w:bCs/>
          <w:color w:val="000000"/>
          <w:sz w:val="22"/>
          <w:szCs w:val="22"/>
        </w:rPr>
      </w:pPr>
    </w:p>
    <w:p w14:paraId="2D247BD7" w14:textId="77777777" w:rsidR="00CA044B" w:rsidRPr="002D3317" w:rsidRDefault="00CA044B" w:rsidP="002D3317">
      <w:pPr>
        <w:pStyle w:val="NormalWeb"/>
        <w:spacing w:line="360" w:lineRule="auto"/>
        <w:rPr>
          <w:rFonts w:ascii="Arial" w:hAnsi="Arial" w:cs="Arial"/>
          <w:b/>
          <w:bCs/>
          <w:color w:val="000000"/>
          <w:sz w:val="22"/>
          <w:szCs w:val="22"/>
        </w:rPr>
      </w:pPr>
    </w:p>
    <w:p w14:paraId="4BB5E433" w14:textId="77777777" w:rsidR="00CA044B" w:rsidRPr="002D3317" w:rsidRDefault="00CA044B" w:rsidP="002D3317">
      <w:pPr>
        <w:pStyle w:val="NormalWeb"/>
        <w:spacing w:line="360" w:lineRule="auto"/>
        <w:rPr>
          <w:rFonts w:ascii="Arial" w:hAnsi="Arial" w:cs="Arial"/>
          <w:b/>
          <w:bCs/>
          <w:color w:val="000000"/>
          <w:sz w:val="22"/>
          <w:szCs w:val="22"/>
        </w:rPr>
      </w:pPr>
    </w:p>
    <w:p w14:paraId="53143571" w14:textId="77777777" w:rsidR="00CA044B" w:rsidRPr="002D3317" w:rsidRDefault="00CA044B" w:rsidP="002D3317">
      <w:pPr>
        <w:pStyle w:val="NormalWeb"/>
        <w:spacing w:line="360" w:lineRule="auto"/>
        <w:rPr>
          <w:rFonts w:ascii="Arial" w:hAnsi="Arial" w:cs="Arial"/>
          <w:b/>
          <w:bCs/>
          <w:color w:val="000000"/>
          <w:sz w:val="22"/>
          <w:szCs w:val="22"/>
        </w:rPr>
      </w:pPr>
    </w:p>
    <w:p w14:paraId="11A981C3" w14:textId="77777777" w:rsidR="00CA044B" w:rsidRPr="002D3317" w:rsidRDefault="00CA044B" w:rsidP="002D3317">
      <w:pPr>
        <w:pStyle w:val="NormalWeb"/>
        <w:spacing w:line="360" w:lineRule="auto"/>
        <w:rPr>
          <w:rFonts w:ascii="Arial" w:hAnsi="Arial" w:cs="Arial"/>
          <w:b/>
          <w:bCs/>
          <w:color w:val="000000"/>
          <w:sz w:val="22"/>
          <w:szCs w:val="22"/>
        </w:rPr>
      </w:pPr>
    </w:p>
    <w:p w14:paraId="74D9ECA5" w14:textId="77777777" w:rsidR="00CA044B" w:rsidRPr="002D3317" w:rsidRDefault="00CA044B" w:rsidP="002D3317">
      <w:pPr>
        <w:pStyle w:val="NormalWeb"/>
        <w:spacing w:line="360" w:lineRule="auto"/>
        <w:rPr>
          <w:rFonts w:ascii="Arial" w:hAnsi="Arial" w:cs="Arial"/>
          <w:b/>
          <w:bCs/>
          <w:color w:val="000000"/>
          <w:sz w:val="22"/>
          <w:szCs w:val="22"/>
        </w:rPr>
      </w:pPr>
    </w:p>
    <w:p w14:paraId="66165479" w14:textId="77777777" w:rsidR="00F11874" w:rsidRDefault="00F11874" w:rsidP="002D3317">
      <w:pPr>
        <w:pStyle w:val="NormalWeb"/>
        <w:spacing w:line="360" w:lineRule="auto"/>
        <w:rPr>
          <w:rFonts w:ascii="Arial" w:hAnsi="Arial" w:cs="Arial"/>
          <w:b/>
          <w:bCs/>
          <w:color w:val="000000"/>
          <w:sz w:val="22"/>
          <w:szCs w:val="22"/>
        </w:rPr>
      </w:pPr>
    </w:p>
    <w:p w14:paraId="62C3D288" w14:textId="77777777" w:rsidR="00F11874" w:rsidRDefault="00F11874" w:rsidP="002D3317">
      <w:pPr>
        <w:pStyle w:val="NormalWeb"/>
        <w:spacing w:line="360" w:lineRule="auto"/>
        <w:rPr>
          <w:rFonts w:ascii="Arial" w:hAnsi="Arial" w:cs="Arial"/>
          <w:b/>
          <w:bCs/>
          <w:color w:val="000000"/>
          <w:sz w:val="22"/>
          <w:szCs w:val="22"/>
        </w:rPr>
      </w:pPr>
    </w:p>
    <w:p w14:paraId="3418C382" w14:textId="77777777" w:rsidR="00F11874" w:rsidRDefault="00F11874" w:rsidP="002D3317">
      <w:pPr>
        <w:pStyle w:val="NormalWeb"/>
        <w:spacing w:line="360" w:lineRule="auto"/>
        <w:rPr>
          <w:rFonts w:ascii="Arial" w:hAnsi="Arial" w:cs="Arial"/>
          <w:b/>
          <w:bCs/>
          <w:color w:val="000000"/>
          <w:sz w:val="22"/>
          <w:szCs w:val="22"/>
        </w:rPr>
      </w:pPr>
    </w:p>
    <w:p w14:paraId="6ADDA77F" w14:textId="77777777" w:rsidR="00F11874" w:rsidRDefault="00F11874" w:rsidP="002D3317">
      <w:pPr>
        <w:pStyle w:val="NormalWeb"/>
        <w:spacing w:line="360" w:lineRule="auto"/>
        <w:rPr>
          <w:rFonts w:ascii="Arial" w:hAnsi="Arial" w:cs="Arial"/>
          <w:b/>
          <w:bCs/>
          <w:color w:val="000000"/>
          <w:sz w:val="22"/>
          <w:szCs w:val="22"/>
        </w:rPr>
      </w:pPr>
    </w:p>
    <w:p w14:paraId="5CAEBA10" w14:textId="3511119E" w:rsidR="00AE7AA3" w:rsidRPr="002D3317" w:rsidRDefault="00AE7AA3" w:rsidP="002D3317">
      <w:pPr>
        <w:pStyle w:val="NormalWeb"/>
        <w:spacing w:line="360" w:lineRule="auto"/>
        <w:rPr>
          <w:rFonts w:ascii="Arial" w:hAnsi="Arial" w:cs="Arial"/>
          <w:b/>
          <w:bCs/>
          <w:color w:val="000000"/>
          <w:sz w:val="22"/>
          <w:szCs w:val="22"/>
        </w:rPr>
      </w:pPr>
      <w:r w:rsidRPr="002D3317">
        <w:rPr>
          <w:rFonts w:ascii="Arial" w:hAnsi="Arial" w:cs="Arial"/>
          <w:b/>
          <w:bCs/>
          <w:color w:val="000000"/>
          <w:sz w:val="22"/>
          <w:szCs w:val="22"/>
        </w:rPr>
        <w:t xml:space="preserve">References </w:t>
      </w:r>
    </w:p>
    <w:p w14:paraId="3624DCD1"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Abramovitch, A., et al. (2019) ‘</w:t>
      </w:r>
      <w:proofErr w:type="gramStart"/>
      <w:r w:rsidRPr="002D3317">
        <w:rPr>
          <w:rFonts w:ascii="Arial" w:hAnsi="Arial" w:cs="Arial"/>
          <w:color w:val="000000"/>
          <w:sz w:val="22"/>
          <w:szCs w:val="22"/>
        </w:rPr>
        <w:t>Obsessive-compulsive disorder</w:t>
      </w:r>
      <w:proofErr w:type="gramEnd"/>
      <w:r w:rsidRPr="002D3317">
        <w:rPr>
          <w:rFonts w:ascii="Arial" w:hAnsi="Arial" w:cs="Arial"/>
          <w:color w:val="000000"/>
          <w:sz w:val="22"/>
          <w:szCs w:val="22"/>
        </w:rPr>
        <w:t xml:space="preserve"> and related disorders: a transdiagnostic perspective’, </w:t>
      </w:r>
      <w:r w:rsidRPr="002D3317">
        <w:rPr>
          <w:rFonts w:ascii="Arial" w:hAnsi="Arial" w:cs="Arial"/>
          <w:i/>
          <w:iCs/>
          <w:color w:val="000000"/>
          <w:sz w:val="22"/>
          <w:szCs w:val="22"/>
        </w:rPr>
        <w:t>CNS Spectrums</w:t>
      </w:r>
      <w:r w:rsidRPr="002D3317">
        <w:rPr>
          <w:rFonts w:ascii="Arial" w:hAnsi="Arial" w:cs="Arial"/>
          <w:color w:val="000000"/>
          <w:sz w:val="22"/>
          <w:szCs w:val="22"/>
        </w:rPr>
        <w:t>, 24(5), pp. 1–9.</w:t>
      </w:r>
    </w:p>
    <w:p w14:paraId="3F381212"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Andersson, G., et al. (2019) ‘Internet-delivered psychological treatments for OCD: a systematic review’, </w:t>
      </w:r>
      <w:r w:rsidRPr="002D3317">
        <w:rPr>
          <w:rFonts w:ascii="Arial" w:hAnsi="Arial" w:cs="Arial"/>
          <w:i/>
          <w:iCs/>
          <w:color w:val="000000"/>
          <w:sz w:val="22"/>
          <w:szCs w:val="22"/>
        </w:rPr>
        <w:t>Current Psychiatry Reports</w:t>
      </w:r>
      <w:r w:rsidRPr="002D3317">
        <w:rPr>
          <w:rFonts w:ascii="Arial" w:hAnsi="Arial" w:cs="Arial"/>
          <w:color w:val="000000"/>
          <w:sz w:val="22"/>
          <w:szCs w:val="22"/>
        </w:rPr>
        <w:t>, 21(7), 44.</w:t>
      </w:r>
    </w:p>
    <w:p w14:paraId="651A15B4"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proofErr w:type="spellStart"/>
      <w:r w:rsidRPr="002D3317">
        <w:rPr>
          <w:rFonts w:ascii="Arial" w:hAnsi="Arial" w:cs="Arial"/>
          <w:color w:val="000000"/>
          <w:sz w:val="22"/>
          <w:szCs w:val="22"/>
        </w:rPr>
        <w:t>Carepatron</w:t>
      </w:r>
      <w:proofErr w:type="spellEnd"/>
      <w:r w:rsidRPr="002D3317">
        <w:rPr>
          <w:rFonts w:ascii="Arial" w:hAnsi="Arial" w:cs="Arial"/>
          <w:color w:val="000000"/>
          <w:sz w:val="22"/>
          <w:szCs w:val="22"/>
        </w:rPr>
        <w:t xml:space="preserve"> (2025) </w:t>
      </w:r>
      <w:r w:rsidRPr="002D3317">
        <w:rPr>
          <w:rFonts w:ascii="Arial" w:hAnsi="Arial" w:cs="Arial"/>
          <w:i/>
          <w:iCs/>
          <w:color w:val="000000"/>
          <w:sz w:val="22"/>
          <w:szCs w:val="22"/>
        </w:rPr>
        <w:t>F42.2 – Mixed obsessional thoughts and acts</w:t>
      </w:r>
      <w:r w:rsidRPr="002D3317">
        <w:rPr>
          <w:rFonts w:ascii="Arial" w:hAnsi="Arial" w:cs="Arial"/>
          <w:color w:val="000000"/>
          <w:sz w:val="22"/>
          <w:szCs w:val="22"/>
        </w:rPr>
        <w:t>. Available at: https://www.carepatron.com/icd/f42-2 (Accessed: 25 November 2025).</w:t>
      </w:r>
    </w:p>
    <w:p w14:paraId="34BF7A13"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Carl, E., et al. (2019) ‘Virtual reality exposure therapy for anxiety and related disorders: a meta-analysis’, </w:t>
      </w:r>
      <w:r w:rsidRPr="002D3317">
        <w:rPr>
          <w:rFonts w:ascii="Arial" w:hAnsi="Arial" w:cs="Arial"/>
          <w:i/>
          <w:iCs/>
          <w:color w:val="000000"/>
          <w:sz w:val="22"/>
          <w:szCs w:val="22"/>
        </w:rPr>
        <w:t>Journal of Anxiety Disorders</w:t>
      </w:r>
      <w:r w:rsidRPr="002D3317">
        <w:rPr>
          <w:rFonts w:ascii="Arial" w:hAnsi="Arial" w:cs="Arial"/>
          <w:color w:val="000000"/>
          <w:sz w:val="22"/>
          <w:szCs w:val="22"/>
        </w:rPr>
        <w:t>, 61, pp. 27–36.</w:t>
      </w:r>
    </w:p>
    <w:p w14:paraId="30BB0305"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Carmi, L., et al. (2019) ‘Repetitive transcranial magnetic stimulation in OCD: randomized controlled trial’, </w:t>
      </w:r>
      <w:r w:rsidRPr="002D3317">
        <w:rPr>
          <w:rFonts w:ascii="Arial" w:hAnsi="Arial" w:cs="Arial"/>
          <w:i/>
          <w:iCs/>
          <w:color w:val="000000"/>
          <w:sz w:val="22"/>
          <w:szCs w:val="22"/>
        </w:rPr>
        <w:t>American Journal of Psychiatry</w:t>
      </w:r>
      <w:r w:rsidRPr="002D3317">
        <w:rPr>
          <w:rFonts w:ascii="Arial" w:hAnsi="Arial" w:cs="Arial"/>
          <w:color w:val="000000"/>
          <w:sz w:val="22"/>
          <w:szCs w:val="22"/>
        </w:rPr>
        <w:t>, 176(11), pp. 931–938.</w:t>
      </w:r>
    </w:p>
    <w:p w14:paraId="116FA1AC"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Chapman, R. (2021) ‘Neurodiversity and the social model of disability’, </w:t>
      </w:r>
      <w:r w:rsidRPr="002D3317">
        <w:rPr>
          <w:rFonts w:ascii="Arial" w:hAnsi="Arial" w:cs="Arial"/>
          <w:i/>
          <w:iCs/>
          <w:color w:val="000000"/>
          <w:sz w:val="22"/>
          <w:szCs w:val="22"/>
        </w:rPr>
        <w:t>Disability &amp; Society</w:t>
      </w:r>
      <w:r w:rsidRPr="002D3317">
        <w:rPr>
          <w:rFonts w:ascii="Arial" w:hAnsi="Arial" w:cs="Arial"/>
          <w:color w:val="000000"/>
          <w:sz w:val="22"/>
          <w:szCs w:val="22"/>
        </w:rPr>
        <w:t>, 36(9), pp. 1462–1481.</w:t>
      </w:r>
    </w:p>
    <w:p w14:paraId="029A0893"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Denys, D., et al. (2020) ‘Deep brain stimulation for obsessive-compulsive disorder: long-term outcomes’, </w:t>
      </w:r>
      <w:r w:rsidRPr="002D3317">
        <w:rPr>
          <w:rFonts w:ascii="Arial" w:hAnsi="Arial" w:cs="Arial"/>
          <w:i/>
          <w:iCs/>
          <w:color w:val="000000"/>
          <w:sz w:val="22"/>
          <w:szCs w:val="22"/>
        </w:rPr>
        <w:t>Biological Psychiatry</w:t>
      </w:r>
      <w:r w:rsidRPr="002D3317">
        <w:rPr>
          <w:rFonts w:ascii="Arial" w:hAnsi="Arial" w:cs="Arial"/>
          <w:color w:val="000000"/>
          <w:sz w:val="22"/>
          <w:szCs w:val="22"/>
        </w:rPr>
        <w:t>, 87(8), pp. 695–703.</w:t>
      </w:r>
    </w:p>
    <w:p w14:paraId="6A478EA5"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Disease Expert (2025) </w:t>
      </w:r>
      <w:r w:rsidRPr="002D3317">
        <w:rPr>
          <w:rFonts w:ascii="Arial" w:hAnsi="Arial" w:cs="Arial"/>
          <w:i/>
          <w:iCs/>
          <w:color w:val="000000"/>
          <w:sz w:val="22"/>
          <w:szCs w:val="22"/>
        </w:rPr>
        <w:t>Mixed obsessional thoughts and acts overview</w:t>
      </w:r>
      <w:r w:rsidRPr="002D3317">
        <w:rPr>
          <w:rFonts w:ascii="Arial" w:hAnsi="Arial" w:cs="Arial"/>
          <w:color w:val="000000"/>
          <w:sz w:val="22"/>
          <w:szCs w:val="22"/>
        </w:rPr>
        <w:t>. Available at: https://disease.expert/items/mixed-obsessional-thoughts-and-acts (Accessed: 25 November 2025).</w:t>
      </w:r>
    </w:p>
    <w:p w14:paraId="56384654"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lang w:val="nl-NL"/>
        </w:rPr>
        <w:t xml:space="preserve">Fineberg, N.A., et al. </w:t>
      </w:r>
      <w:r w:rsidRPr="002D3317">
        <w:rPr>
          <w:rFonts w:ascii="Arial" w:hAnsi="Arial" w:cs="Arial"/>
          <w:color w:val="000000"/>
          <w:sz w:val="22"/>
          <w:szCs w:val="22"/>
        </w:rPr>
        <w:t xml:space="preserve">(2020) ‘Clinical advances in obsessive-compulsive disorder: a review of current evidence’, </w:t>
      </w:r>
      <w:r w:rsidRPr="002D3317">
        <w:rPr>
          <w:rFonts w:ascii="Arial" w:hAnsi="Arial" w:cs="Arial"/>
          <w:i/>
          <w:iCs/>
          <w:color w:val="000000"/>
          <w:sz w:val="22"/>
          <w:szCs w:val="22"/>
        </w:rPr>
        <w:t>International Journal of Psychiatry in Clinical Practice</w:t>
      </w:r>
      <w:r w:rsidRPr="002D3317">
        <w:rPr>
          <w:rFonts w:ascii="Arial" w:hAnsi="Arial" w:cs="Arial"/>
          <w:color w:val="000000"/>
          <w:sz w:val="22"/>
          <w:szCs w:val="22"/>
        </w:rPr>
        <w:t>, 24(4), pp. 297–310.</w:t>
      </w:r>
    </w:p>
    <w:p w14:paraId="47EEF50F"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lang w:val="nl-NL"/>
        </w:rPr>
        <w:t xml:space="preserve">Goodman, W.K., et al. </w:t>
      </w:r>
      <w:r w:rsidRPr="002D3317">
        <w:rPr>
          <w:rFonts w:ascii="Arial" w:hAnsi="Arial" w:cs="Arial"/>
          <w:color w:val="000000"/>
          <w:sz w:val="22"/>
          <w:szCs w:val="22"/>
        </w:rPr>
        <w:t xml:space="preserve">(1989) ‘The Yale-Brown Obsessive Compulsive Scale: development, use, and reliability’, </w:t>
      </w:r>
      <w:r w:rsidRPr="002D3317">
        <w:rPr>
          <w:rFonts w:ascii="Arial" w:hAnsi="Arial" w:cs="Arial"/>
          <w:i/>
          <w:iCs/>
          <w:color w:val="000000"/>
          <w:sz w:val="22"/>
          <w:szCs w:val="22"/>
        </w:rPr>
        <w:t>Archives of General Psychiatry</w:t>
      </w:r>
      <w:r w:rsidRPr="002D3317">
        <w:rPr>
          <w:rFonts w:ascii="Arial" w:hAnsi="Arial" w:cs="Arial"/>
          <w:color w:val="000000"/>
          <w:sz w:val="22"/>
          <w:szCs w:val="22"/>
        </w:rPr>
        <w:t>, 46(11), pp. 1006–1011.</w:t>
      </w:r>
    </w:p>
    <w:p w14:paraId="353C138C"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Insel, T.R. (2014) ‘The NIMH Research Domain Criteria (</w:t>
      </w:r>
      <w:proofErr w:type="spellStart"/>
      <w:r w:rsidRPr="002D3317">
        <w:rPr>
          <w:rFonts w:ascii="Arial" w:hAnsi="Arial" w:cs="Arial"/>
          <w:color w:val="000000"/>
          <w:sz w:val="22"/>
          <w:szCs w:val="22"/>
        </w:rPr>
        <w:t>RDoC</w:t>
      </w:r>
      <w:proofErr w:type="spellEnd"/>
      <w:r w:rsidRPr="002D3317">
        <w:rPr>
          <w:rFonts w:ascii="Arial" w:hAnsi="Arial" w:cs="Arial"/>
          <w:color w:val="000000"/>
          <w:sz w:val="22"/>
          <w:szCs w:val="22"/>
        </w:rPr>
        <w:t xml:space="preserve">) project: precision psychiatry’, </w:t>
      </w:r>
      <w:r w:rsidRPr="002D3317">
        <w:rPr>
          <w:rFonts w:ascii="Arial" w:hAnsi="Arial" w:cs="Arial"/>
          <w:i/>
          <w:iCs/>
          <w:color w:val="000000"/>
          <w:sz w:val="22"/>
          <w:szCs w:val="22"/>
        </w:rPr>
        <w:t>American Journal of Psychiatry</w:t>
      </w:r>
      <w:r w:rsidRPr="002D3317">
        <w:rPr>
          <w:rFonts w:ascii="Arial" w:hAnsi="Arial" w:cs="Arial"/>
          <w:color w:val="000000"/>
          <w:sz w:val="22"/>
          <w:szCs w:val="22"/>
        </w:rPr>
        <w:t>, 171(4), pp. 395–397.</w:t>
      </w:r>
    </w:p>
    <w:p w14:paraId="5CC6A631"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Koran, L.M., Hanna, G.L., Hollander, E., </w:t>
      </w:r>
      <w:proofErr w:type="spellStart"/>
      <w:r w:rsidRPr="002D3317">
        <w:rPr>
          <w:rFonts w:ascii="Arial" w:hAnsi="Arial" w:cs="Arial"/>
          <w:color w:val="000000"/>
          <w:sz w:val="22"/>
          <w:szCs w:val="22"/>
        </w:rPr>
        <w:t>Nestadt</w:t>
      </w:r>
      <w:proofErr w:type="spellEnd"/>
      <w:r w:rsidRPr="002D3317">
        <w:rPr>
          <w:rFonts w:ascii="Arial" w:hAnsi="Arial" w:cs="Arial"/>
          <w:color w:val="000000"/>
          <w:sz w:val="22"/>
          <w:szCs w:val="22"/>
        </w:rPr>
        <w:t xml:space="preserve">, G. and Simpson, H.B. (2020) ‘Practice guideline for the treatment of patients with obsessive-compulsive disorder’, </w:t>
      </w:r>
      <w:r w:rsidRPr="002D3317">
        <w:rPr>
          <w:rFonts w:ascii="Arial" w:hAnsi="Arial" w:cs="Arial"/>
          <w:i/>
          <w:iCs/>
          <w:color w:val="000000"/>
          <w:sz w:val="22"/>
          <w:szCs w:val="22"/>
        </w:rPr>
        <w:t>American Journal of Psychiatry</w:t>
      </w:r>
      <w:r w:rsidRPr="002D3317">
        <w:rPr>
          <w:rFonts w:ascii="Arial" w:hAnsi="Arial" w:cs="Arial"/>
          <w:color w:val="000000"/>
          <w:sz w:val="22"/>
          <w:szCs w:val="22"/>
        </w:rPr>
        <w:t>, 177(1), pp. 1–21.</w:t>
      </w:r>
    </w:p>
    <w:p w14:paraId="4BE298D1"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National Institute for Health and Care Excellence (NICE) (2022) </w:t>
      </w:r>
      <w:proofErr w:type="gramStart"/>
      <w:r w:rsidRPr="002D3317">
        <w:rPr>
          <w:rFonts w:ascii="Arial" w:hAnsi="Arial" w:cs="Arial"/>
          <w:i/>
          <w:iCs/>
          <w:color w:val="000000"/>
          <w:sz w:val="22"/>
          <w:szCs w:val="22"/>
        </w:rPr>
        <w:t>Obsessive-compulsive disorder</w:t>
      </w:r>
      <w:proofErr w:type="gramEnd"/>
      <w:r w:rsidRPr="002D3317">
        <w:rPr>
          <w:rFonts w:ascii="Arial" w:hAnsi="Arial" w:cs="Arial"/>
          <w:i/>
          <w:iCs/>
          <w:color w:val="000000"/>
          <w:sz w:val="22"/>
          <w:szCs w:val="22"/>
        </w:rPr>
        <w:t xml:space="preserve"> and body dysmorphic disorder: treatment</w:t>
      </w:r>
      <w:r w:rsidRPr="002D3317">
        <w:rPr>
          <w:rFonts w:ascii="Arial" w:hAnsi="Arial" w:cs="Arial"/>
          <w:color w:val="000000"/>
          <w:sz w:val="22"/>
          <w:szCs w:val="22"/>
        </w:rPr>
        <w:t>. NICE Clinical Guideline CG31.</w:t>
      </w:r>
    </w:p>
    <w:p w14:paraId="4F0D5CCC"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Okasha, A. (2003) ‘Mental health in the Middle East: </w:t>
      </w:r>
      <w:proofErr w:type="gramStart"/>
      <w:r w:rsidRPr="002D3317">
        <w:rPr>
          <w:rFonts w:ascii="Arial" w:hAnsi="Arial" w:cs="Arial"/>
          <w:color w:val="000000"/>
          <w:sz w:val="22"/>
          <w:szCs w:val="22"/>
        </w:rPr>
        <w:t>an</w:t>
      </w:r>
      <w:proofErr w:type="gramEnd"/>
      <w:r w:rsidRPr="002D3317">
        <w:rPr>
          <w:rFonts w:ascii="Arial" w:hAnsi="Arial" w:cs="Arial"/>
          <w:color w:val="000000"/>
          <w:sz w:val="22"/>
          <w:szCs w:val="22"/>
        </w:rPr>
        <w:t xml:space="preserve"> Egyptian perspective’, </w:t>
      </w:r>
      <w:r w:rsidRPr="002D3317">
        <w:rPr>
          <w:rFonts w:ascii="Arial" w:hAnsi="Arial" w:cs="Arial"/>
          <w:i/>
          <w:iCs/>
          <w:color w:val="000000"/>
          <w:sz w:val="22"/>
          <w:szCs w:val="22"/>
        </w:rPr>
        <w:t>Clinical Psychology Review</w:t>
      </w:r>
      <w:r w:rsidRPr="002D3317">
        <w:rPr>
          <w:rFonts w:ascii="Arial" w:hAnsi="Arial" w:cs="Arial"/>
          <w:color w:val="000000"/>
          <w:sz w:val="22"/>
          <w:szCs w:val="22"/>
        </w:rPr>
        <w:t>, 23(5), pp. 555–567.</w:t>
      </w:r>
    </w:p>
    <w:p w14:paraId="4EADD3E7"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proofErr w:type="spellStart"/>
      <w:r w:rsidRPr="002D3317">
        <w:rPr>
          <w:rFonts w:ascii="Arial" w:hAnsi="Arial" w:cs="Arial"/>
          <w:color w:val="000000"/>
          <w:sz w:val="22"/>
          <w:szCs w:val="22"/>
        </w:rPr>
        <w:t>Pallanti</w:t>
      </w:r>
      <w:proofErr w:type="spellEnd"/>
      <w:r w:rsidRPr="002D3317">
        <w:rPr>
          <w:rFonts w:ascii="Arial" w:hAnsi="Arial" w:cs="Arial"/>
          <w:color w:val="000000"/>
          <w:sz w:val="22"/>
          <w:szCs w:val="22"/>
        </w:rPr>
        <w:t xml:space="preserve">, S., Hollander, E. and Bienstock, C. (2011) ‘Treatment-refractory obsessive-compulsive disorder: methodological issues and future directions’, </w:t>
      </w:r>
      <w:r w:rsidRPr="002D3317">
        <w:rPr>
          <w:rFonts w:ascii="Arial" w:hAnsi="Arial" w:cs="Arial"/>
          <w:i/>
          <w:iCs/>
          <w:color w:val="000000"/>
          <w:sz w:val="22"/>
          <w:szCs w:val="22"/>
        </w:rPr>
        <w:t>CNS Drugs</w:t>
      </w:r>
      <w:r w:rsidRPr="002D3317">
        <w:rPr>
          <w:rFonts w:ascii="Arial" w:hAnsi="Arial" w:cs="Arial"/>
          <w:color w:val="000000"/>
          <w:sz w:val="22"/>
          <w:szCs w:val="22"/>
        </w:rPr>
        <w:t>, 25(6), pp. 467–476.</w:t>
      </w:r>
    </w:p>
    <w:p w14:paraId="7DA71DEE"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Pauls, D.L., Abramovitch, A., Rauch, S.L. and Geller, D.A. (2014) ‘</w:t>
      </w:r>
      <w:proofErr w:type="gramStart"/>
      <w:r w:rsidRPr="002D3317">
        <w:rPr>
          <w:rFonts w:ascii="Arial" w:hAnsi="Arial" w:cs="Arial"/>
          <w:color w:val="000000"/>
          <w:sz w:val="22"/>
          <w:szCs w:val="22"/>
        </w:rPr>
        <w:t>Obsessive-compulsive disorder</w:t>
      </w:r>
      <w:proofErr w:type="gramEnd"/>
      <w:r w:rsidRPr="002D3317">
        <w:rPr>
          <w:rFonts w:ascii="Arial" w:hAnsi="Arial" w:cs="Arial"/>
          <w:color w:val="000000"/>
          <w:sz w:val="22"/>
          <w:szCs w:val="22"/>
        </w:rPr>
        <w:t xml:space="preserve">: an integrative genetic and neurobiological perspective’, </w:t>
      </w:r>
      <w:r w:rsidRPr="002D3317">
        <w:rPr>
          <w:rFonts w:ascii="Arial" w:hAnsi="Arial" w:cs="Arial"/>
          <w:i/>
          <w:iCs/>
          <w:color w:val="000000"/>
          <w:sz w:val="22"/>
          <w:szCs w:val="22"/>
        </w:rPr>
        <w:t>Nature Reviews Neuroscience</w:t>
      </w:r>
      <w:r w:rsidRPr="002D3317">
        <w:rPr>
          <w:rFonts w:ascii="Arial" w:hAnsi="Arial" w:cs="Arial"/>
          <w:color w:val="000000"/>
          <w:sz w:val="22"/>
          <w:szCs w:val="22"/>
        </w:rPr>
        <w:t>, 15(6), pp. 410–424.</w:t>
      </w:r>
    </w:p>
    <w:p w14:paraId="0F342B93"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Pittenger, C. and Bloch, M.H. (2014) ‘Pharmacological treatment of obsessive-compulsive disorder’, </w:t>
      </w:r>
      <w:r w:rsidRPr="002D3317">
        <w:rPr>
          <w:rFonts w:ascii="Arial" w:hAnsi="Arial" w:cs="Arial"/>
          <w:i/>
          <w:iCs/>
          <w:color w:val="000000"/>
          <w:sz w:val="22"/>
          <w:szCs w:val="22"/>
        </w:rPr>
        <w:t>Psychiatric Clinics of North America</w:t>
      </w:r>
      <w:r w:rsidRPr="002D3317">
        <w:rPr>
          <w:rFonts w:ascii="Arial" w:hAnsi="Arial" w:cs="Arial"/>
          <w:color w:val="000000"/>
          <w:sz w:val="22"/>
          <w:szCs w:val="22"/>
        </w:rPr>
        <w:t>, 37(3), pp. 375–391.</w:t>
      </w:r>
    </w:p>
    <w:p w14:paraId="5F786078"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proofErr w:type="spellStart"/>
      <w:r w:rsidRPr="002D3317">
        <w:rPr>
          <w:rFonts w:ascii="Arial" w:hAnsi="Arial" w:cs="Arial"/>
          <w:color w:val="000000"/>
          <w:sz w:val="22"/>
          <w:szCs w:val="22"/>
        </w:rPr>
        <w:t>Remschmidt</w:t>
      </w:r>
      <w:proofErr w:type="spellEnd"/>
      <w:r w:rsidRPr="002D3317">
        <w:rPr>
          <w:rFonts w:ascii="Arial" w:hAnsi="Arial" w:cs="Arial"/>
          <w:color w:val="000000"/>
          <w:sz w:val="22"/>
          <w:szCs w:val="22"/>
        </w:rPr>
        <w:t xml:space="preserve">, H. and Niebergall, G. (2015) </w:t>
      </w:r>
      <w:proofErr w:type="gramStart"/>
      <w:r w:rsidRPr="002D3317">
        <w:rPr>
          <w:rFonts w:ascii="Arial" w:hAnsi="Arial" w:cs="Arial"/>
          <w:i/>
          <w:iCs/>
          <w:color w:val="000000"/>
          <w:sz w:val="22"/>
          <w:szCs w:val="22"/>
        </w:rPr>
        <w:t>Obsessive-compulsive disorder</w:t>
      </w:r>
      <w:proofErr w:type="gramEnd"/>
      <w:r w:rsidRPr="002D3317">
        <w:rPr>
          <w:rFonts w:ascii="Arial" w:hAnsi="Arial" w:cs="Arial"/>
          <w:color w:val="000000"/>
          <w:sz w:val="22"/>
          <w:szCs w:val="22"/>
        </w:rPr>
        <w:t xml:space="preserve">. In: </w:t>
      </w:r>
      <w:r w:rsidRPr="002D3317">
        <w:rPr>
          <w:rFonts w:ascii="Arial" w:hAnsi="Arial" w:cs="Arial"/>
          <w:i/>
          <w:iCs/>
          <w:color w:val="000000"/>
          <w:sz w:val="22"/>
          <w:szCs w:val="22"/>
        </w:rPr>
        <w:t>Psychotherapy with Children and Adolescents</w:t>
      </w:r>
      <w:r w:rsidRPr="002D3317">
        <w:rPr>
          <w:rFonts w:ascii="Arial" w:hAnsi="Arial" w:cs="Arial"/>
          <w:color w:val="000000"/>
          <w:sz w:val="22"/>
          <w:szCs w:val="22"/>
        </w:rPr>
        <w:t>. Cambridge: Cambridge University Press.</w:t>
      </w:r>
    </w:p>
    <w:p w14:paraId="2819D308"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Rose, N. (2018) </w:t>
      </w:r>
      <w:r w:rsidRPr="002D3317">
        <w:rPr>
          <w:rFonts w:ascii="Arial" w:hAnsi="Arial" w:cs="Arial"/>
          <w:i/>
          <w:iCs/>
          <w:color w:val="000000"/>
          <w:sz w:val="22"/>
          <w:szCs w:val="22"/>
        </w:rPr>
        <w:t>Our psychiatric future: the politics of mental health</w:t>
      </w:r>
      <w:r w:rsidRPr="002D3317">
        <w:rPr>
          <w:rFonts w:ascii="Arial" w:hAnsi="Arial" w:cs="Arial"/>
          <w:color w:val="000000"/>
          <w:sz w:val="22"/>
          <w:szCs w:val="22"/>
        </w:rPr>
        <w:t>. Cambridge: Polity Press.</w:t>
      </w:r>
    </w:p>
    <w:p w14:paraId="01C1A1EB"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Simpson, H.B. and Reddy, Y.C.J. (2014) ‘</w:t>
      </w:r>
      <w:proofErr w:type="gramStart"/>
      <w:r w:rsidRPr="002D3317">
        <w:rPr>
          <w:rFonts w:ascii="Arial" w:hAnsi="Arial" w:cs="Arial"/>
          <w:color w:val="000000"/>
          <w:sz w:val="22"/>
          <w:szCs w:val="22"/>
        </w:rPr>
        <w:t>Obsessive-compulsive disorder</w:t>
      </w:r>
      <w:proofErr w:type="gramEnd"/>
      <w:r w:rsidRPr="002D3317">
        <w:rPr>
          <w:rFonts w:ascii="Arial" w:hAnsi="Arial" w:cs="Arial"/>
          <w:color w:val="000000"/>
          <w:sz w:val="22"/>
          <w:szCs w:val="22"/>
        </w:rPr>
        <w:t xml:space="preserve"> for ICD-11: proposed changes to the diagnostic guidelines and specifiers’, </w:t>
      </w:r>
      <w:r w:rsidRPr="002D3317">
        <w:rPr>
          <w:rFonts w:ascii="Arial" w:hAnsi="Arial" w:cs="Arial"/>
          <w:i/>
          <w:iCs/>
          <w:color w:val="000000"/>
          <w:sz w:val="22"/>
          <w:szCs w:val="22"/>
        </w:rPr>
        <w:t xml:space="preserve">Revista Brasileira de </w:t>
      </w:r>
      <w:proofErr w:type="spellStart"/>
      <w:r w:rsidRPr="002D3317">
        <w:rPr>
          <w:rFonts w:ascii="Arial" w:hAnsi="Arial" w:cs="Arial"/>
          <w:i/>
          <w:iCs/>
          <w:color w:val="000000"/>
          <w:sz w:val="22"/>
          <w:szCs w:val="22"/>
        </w:rPr>
        <w:t>Psiquiatria</w:t>
      </w:r>
      <w:proofErr w:type="spellEnd"/>
      <w:r w:rsidRPr="002D3317">
        <w:rPr>
          <w:rFonts w:ascii="Arial" w:hAnsi="Arial" w:cs="Arial"/>
          <w:color w:val="000000"/>
          <w:sz w:val="22"/>
          <w:szCs w:val="22"/>
        </w:rPr>
        <w:t>, 36(</w:t>
      </w:r>
      <w:proofErr w:type="spellStart"/>
      <w:r w:rsidRPr="002D3317">
        <w:rPr>
          <w:rFonts w:ascii="Arial" w:hAnsi="Arial" w:cs="Arial"/>
          <w:color w:val="000000"/>
          <w:sz w:val="22"/>
          <w:szCs w:val="22"/>
        </w:rPr>
        <w:t>Suppl</w:t>
      </w:r>
      <w:proofErr w:type="spellEnd"/>
      <w:r w:rsidRPr="002D3317">
        <w:rPr>
          <w:rFonts w:ascii="Arial" w:hAnsi="Arial" w:cs="Arial"/>
          <w:color w:val="000000"/>
          <w:sz w:val="22"/>
          <w:szCs w:val="22"/>
        </w:rPr>
        <w:t xml:space="preserve"> 3), pp. S3–S13.</w:t>
      </w:r>
    </w:p>
    <w:p w14:paraId="7C6D56D6"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lang w:val="nl-NL"/>
        </w:rPr>
        <w:t xml:space="preserve">Stein, D.J., Fineberg, N.A., et al. </w:t>
      </w:r>
      <w:r w:rsidRPr="002D3317">
        <w:rPr>
          <w:rFonts w:ascii="Arial" w:hAnsi="Arial" w:cs="Arial"/>
          <w:color w:val="000000"/>
          <w:sz w:val="22"/>
          <w:szCs w:val="22"/>
        </w:rPr>
        <w:t>(2019) ‘</w:t>
      </w:r>
      <w:proofErr w:type="gramStart"/>
      <w:r w:rsidRPr="002D3317">
        <w:rPr>
          <w:rFonts w:ascii="Arial" w:hAnsi="Arial" w:cs="Arial"/>
          <w:color w:val="000000"/>
          <w:sz w:val="22"/>
          <w:szCs w:val="22"/>
        </w:rPr>
        <w:t>Obsessive-compulsive disorder</w:t>
      </w:r>
      <w:proofErr w:type="gramEnd"/>
      <w:r w:rsidRPr="002D3317">
        <w:rPr>
          <w:rFonts w:ascii="Arial" w:hAnsi="Arial" w:cs="Arial"/>
          <w:color w:val="000000"/>
          <w:sz w:val="22"/>
          <w:szCs w:val="22"/>
        </w:rPr>
        <w:t xml:space="preserve"> in ICD-11’, </w:t>
      </w:r>
      <w:r w:rsidRPr="002D3317">
        <w:rPr>
          <w:rFonts w:ascii="Arial" w:hAnsi="Arial" w:cs="Arial"/>
          <w:i/>
          <w:iCs/>
          <w:color w:val="000000"/>
          <w:sz w:val="22"/>
          <w:szCs w:val="22"/>
        </w:rPr>
        <w:t>World Psychiatry</w:t>
      </w:r>
      <w:r w:rsidRPr="002D3317">
        <w:rPr>
          <w:rFonts w:ascii="Arial" w:hAnsi="Arial" w:cs="Arial"/>
          <w:color w:val="000000"/>
          <w:sz w:val="22"/>
          <w:szCs w:val="22"/>
        </w:rPr>
        <w:t>, 18(3), pp. 351–352.</w:t>
      </w:r>
    </w:p>
    <w:p w14:paraId="09A93EDE"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lang w:val="nl-NL"/>
        </w:rPr>
        <w:t xml:space="preserve">Torres, A.R., et al. </w:t>
      </w:r>
      <w:r w:rsidRPr="002D3317">
        <w:rPr>
          <w:rFonts w:ascii="Arial" w:hAnsi="Arial" w:cs="Arial"/>
          <w:color w:val="000000"/>
          <w:sz w:val="22"/>
          <w:szCs w:val="22"/>
        </w:rPr>
        <w:t xml:space="preserve">(2021) ‘Stepped care models for obsessive-compulsive disorder: digital health and beyond’, </w:t>
      </w:r>
      <w:r w:rsidRPr="002D3317">
        <w:rPr>
          <w:rFonts w:ascii="Arial" w:hAnsi="Arial" w:cs="Arial"/>
          <w:i/>
          <w:iCs/>
          <w:color w:val="000000"/>
          <w:sz w:val="22"/>
          <w:szCs w:val="22"/>
        </w:rPr>
        <w:t>Frontiers in Psychiatry</w:t>
      </w:r>
      <w:r w:rsidRPr="002D3317">
        <w:rPr>
          <w:rFonts w:ascii="Arial" w:hAnsi="Arial" w:cs="Arial"/>
          <w:color w:val="000000"/>
          <w:sz w:val="22"/>
          <w:szCs w:val="22"/>
        </w:rPr>
        <w:t>, 12, 678901.</w:t>
      </w:r>
    </w:p>
    <w:p w14:paraId="3CDD7D13"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van Dijk, D., van der Werf, Y.D. and Cath, D.C. (2022) ‘Neurodiversity and obsessive-compulsive disorder: reframing clinical perspectives’, </w:t>
      </w:r>
      <w:r w:rsidRPr="002D3317">
        <w:rPr>
          <w:rFonts w:ascii="Arial" w:hAnsi="Arial" w:cs="Arial"/>
          <w:i/>
          <w:iCs/>
          <w:color w:val="000000"/>
          <w:sz w:val="22"/>
          <w:szCs w:val="22"/>
        </w:rPr>
        <w:t>European Archives of Psychiatry and Clinical Neuroscience</w:t>
      </w:r>
      <w:r w:rsidRPr="002D3317">
        <w:rPr>
          <w:rFonts w:ascii="Arial" w:hAnsi="Arial" w:cs="Arial"/>
          <w:color w:val="000000"/>
          <w:sz w:val="22"/>
          <w:szCs w:val="22"/>
        </w:rPr>
        <w:t>, 272(5), pp. 789–798.</w:t>
      </w:r>
    </w:p>
    <w:p w14:paraId="1814251C"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Wilhelm, S., et al. (2019) ‘Cognitive therapy for obsessive-compulsive disorder: a randomized controlled trial’, </w:t>
      </w:r>
      <w:r w:rsidRPr="002D3317">
        <w:rPr>
          <w:rFonts w:ascii="Arial" w:hAnsi="Arial" w:cs="Arial"/>
          <w:i/>
          <w:iCs/>
          <w:color w:val="000000"/>
          <w:sz w:val="22"/>
          <w:szCs w:val="22"/>
        </w:rPr>
        <w:t>Journal of Consulting and Clinical Psychology</w:t>
      </w:r>
      <w:r w:rsidRPr="002D3317">
        <w:rPr>
          <w:rFonts w:ascii="Arial" w:hAnsi="Arial" w:cs="Arial"/>
          <w:color w:val="000000"/>
          <w:sz w:val="22"/>
          <w:szCs w:val="22"/>
        </w:rPr>
        <w:t>, 87(7), pp. 593–606.</w:t>
      </w:r>
    </w:p>
    <w:p w14:paraId="57E06987" w14:textId="77777777" w:rsidR="00AE7AA3" w:rsidRPr="002D3317" w:rsidRDefault="00AE7AA3" w:rsidP="002D3317">
      <w:pPr>
        <w:pStyle w:val="NormalWeb"/>
        <w:numPr>
          <w:ilvl w:val="0"/>
          <w:numId w:val="31"/>
        </w:numPr>
        <w:spacing w:line="360" w:lineRule="auto"/>
        <w:rPr>
          <w:rFonts w:ascii="Arial" w:hAnsi="Arial" w:cs="Arial"/>
          <w:color w:val="000000"/>
          <w:sz w:val="22"/>
          <w:szCs w:val="22"/>
        </w:rPr>
      </w:pPr>
      <w:r w:rsidRPr="002D3317">
        <w:rPr>
          <w:rFonts w:ascii="Arial" w:hAnsi="Arial" w:cs="Arial"/>
          <w:color w:val="000000"/>
          <w:sz w:val="22"/>
          <w:szCs w:val="22"/>
        </w:rPr>
        <w:t xml:space="preserve">World Health Organization (WHO) (2019) </w:t>
      </w:r>
      <w:r w:rsidRPr="002D3317">
        <w:rPr>
          <w:rFonts w:ascii="Arial" w:hAnsi="Arial" w:cs="Arial"/>
          <w:i/>
          <w:iCs/>
          <w:color w:val="000000"/>
          <w:sz w:val="22"/>
          <w:szCs w:val="22"/>
        </w:rPr>
        <w:t>International Classification of Diseases 11th Revision (ICD-11)</w:t>
      </w:r>
      <w:r w:rsidRPr="002D3317">
        <w:rPr>
          <w:rFonts w:ascii="Arial" w:hAnsi="Arial" w:cs="Arial"/>
          <w:color w:val="000000"/>
          <w:sz w:val="22"/>
          <w:szCs w:val="22"/>
        </w:rPr>
        <w:t>. Geneva: WHO.</w:t>
      </w:r>
    </w:p>
    <w:p w14:paraId="3D0160CB" w14:textId="77777777" w:rsidR="00471034" w:rsidRPr="002D3317" w:rsidRDefault="00471034" w:rsidP="002D3317">
      <w:pPr>
        <w:spacing w:line="360" w:lineRule="auto"/>
        <w:rPr>
          <w:rFonts w:ascii="Arial" w:hAnsi="Arial" w:cs="Arial"/>
          <w:sz w:val="22"/>
          <w:szCs w:val="22"/>
        </w:rPr>
      </w:pPr>
    </w:p>
    <w:sectPr w:rsidR="00471034" w:rsidRPr="002D331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77A8D" w14:textId="77777777" w:rsidR="007F2655" w:rsidRDefault="007F2655" w:rsidP="000264A1">
      <w:pPr>
        <w:spacing w:after="0" w:line="240" w:lineRule="auto"/>
      </w:pPr>
      <w:r>
        <w:separator/>
      </w:r>
    </w:p>
  </w:endnote>
  <w:endnote w:type="continuationSeparator" w:id="0">
    <w:p w14:paraId="13C4A6A9" w14:textId="77777777" w:rsidR="007F2655" w:rsidRDefault="007F2655"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A0227" w14:textId="77777777" w:rsidR="007F2655" w:rsidRDefault="007F2655" w:rsidP="000264A1">
      <w:pPr>
        <w:spacing w:after="0" w:line="240" w:lineRule="auto"/>
      </w:pPr>
      <w:r>
        <w:separator/>
      </w:r>
    </w:p>
  </w:footnote>
  <w:footnote w:type="continuationSeparator" w:id="0">
    <w:p w14:paraId="64E47875" w14:textId="77777777" w:rsidR="007F2655" w:rsidRDefault="007F2655"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65C2"/>
    <w:multiLevelType w:val="hybridMultilevel"/>
    <w:tmpl w:val="96801CE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A4481B"/>
    <w:multiLevelType w:val="multilevel"/>
    <w:tmpl w:val="FAD458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2120B"/>
    <w:multiLevelType w:val="multilevel"/>
    <w:tmpl w:val="8D3E25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66D86"/>
    <w:multiLevelType w:val="multilevel"/>
    <w:tmpl w:val="E9BA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C1324"/>
    <w:multiLevelType w:val="multilevel"/>
    <w:tmpl w:val="3EEEB0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A1D77"/>
    <w:multiLevelType w:val="hybridMultilevel"/>
    <w:tmpl w:val="1358773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E2C6D1A"/>
    <w:multiLevelType w:val="hybridMultilevel"/>
    <w:tmpl w:val="73724ECE"/>
    <w:lvl w:ilvl="0" w:tplc="08090001">
      <w:start w:val="1"/>
      <w:numFmt w:val="bullet"/>
      <w:lvlText w:val=""/>
      <w:lvlJc w:val="left"/>
      <w:pPr>
        <w:ind w:left="1392" w:hanging="360"/>
      </w:pPr>
      <w:rPr>
        <w:rFonts w:ascii="Symbol" w:hAnsi="Symbol" w:hint="default"/>
      </w:rPr>
    </w:lvl>
    <w:lvl w:ilvl="1" w:tplc="FFFFFFFF" w:tentative="1">
      <w:start w:val="1"/>
      <w:numFmt w:val="bullet"/>
      <w:lvlText w:val="o"/>
      <w:lvlJc w:val="left"/>
      <w:pPr>
        <w:ind w:left="2112" w:hanging="360"/>
      </w:pPr>
      <w:rPr>
        <w:rFonts w:ascii="Courier New" w:hAnsi="Courier New" w:cs="Courier New" w:hint="default"/>
      </w:rPr>
    </w:lvl>
    <w:lvl w:ilvl="2" w:tplc="FFFFFFFF" w:tentative="1">
      <w:start w:val="1"/>
      <w:numFmt w:val="bullet"/>
      <w:lvlText w:val=""/>
      <w:lvlJc w:val="left"/>
      <w:pPr>
        <w:ind w:left="2832" w:hanging="360"/>
      </w:pPr>
      <w:rPr>
        <w:rFonts w:ascii="Wingdings" w:hAnsi="Wingdings" w:hint="default"/>
      </w:rPr>
    </w:lvl>
    <w:lvl w:ilvl="3" w:tplc="FFFFFFFF" w:tentative="1">
      <w:start w:val="1"/>
      <w:numFmt w:val="bullet"/>
      <w:lvlText w:val=""/>
      <w:lvlJc w:val="left"/>
      <w:pPr>
        <w:ind w:left="3552" w:hanging="360"/>
      </w:pPr>
      <w:rPr>
        <w:rFonts w:ascii="Symbol" w:hAnsi="Symbol" w:hint="default"/>
      </w:rPr>
    </w:lvl>
    <w:lvl w:ilvl="4" w:tplc="FFFFFFFF" w:tentative="1">
      <w:start w:val="1"/>
      <w:numFmt w:val="bullet"/>
      <w:lvlText w:val="o"/>
      <w:lvlJc w:val="left"/>
      <w:pPr>
        <w:ind w:left="4272" w:hanging="360"/>
      </w:pPr>
      <w:rPr>
        <w:rFonts w:ascii="Courier New" w:hAnsi="Courier New" w:cs="Courier New" w:hint="default"/>
      </w:rPr>
    </w:lvl>
    <w:lvl w:ilvl="5" w:tplc="FFFFFFFF" w:tentative="1">
      <w:start w:val="1"/>
      <w:numFmt w:val="bullet"/>
      <w:lvlText w:val=""/>
      <w:lvlJc w:val="left"/>
      <w:pPr>
        <w:ind w:left="4992" w:hanging="360"/>
      </w:pPr>
      <w:rPr>
        <w:rFonts w:ascii="Wingdings" w:hAnsi="Wingdings" w:hint="default"/>
      </w:rPr>
    </w:lvl>
    <w:lvl w:ilvl="6" w:tplc="FFFFFFFF" w:tentative="1">
      <w:start w:val="1"/>
      <w:numFmt w:val="bullet"/>
      <w:lvlText w:val=""/>
      <w:lvlJc w:val="left"/>
      <w:pPr>
        <w:ind w:left="5712" w:hanging="360"/>
      </w:pPr>
      <w:rPr>
        <w:rFonts w:ascii="Symbol" w:hAnsi="Symbol" w:hint="default"/>
      </w:rPr>
    </w:lvl>
    <w:lvl w:ilvl="7" w:tplc="FFFFFFFF" w:tentative="1">
      <w:start w:val="1"/>
      <w:numFmt w:val="bullet"/>
      <w:lvlText w:val="o"/>
      <w:lvlJc w:val="left"/>
      <w:pPr>
        <w:ind w:left="6432" w:hanging="360"/>
      </w:pPr>
      <w:rPr>
        <w:rFonts w:ascii="Courier New" w:hAnsi="Courier New" w:cs="Courier New" w:hint="default"/>
      </w:rPr>
    </w:lvl>
    <w:lvl w:ilvl="8" w:tplc="FFFFFFFF" w:tentative="1">
      <w:start w:val="1"/>
      <w:numFmt w:val="bullet"/>
      <w:lvlText w:val=""/>
      <w:lvlJc w:val="left"/>
      <w:pPr>
        <w:ind w:left="7152" w:hanging="360"/>
      </w:pPr>
      <w:rPr>
        <w:rFonts w:ascii="Wingdings" w:hAnsi="Wingdings" w:hint="default"/>
      </w:rPr>
    </w:lvl>
  </w:abstractNum>
  <w:abstractNum w:abstractNumId="7" w15:restartNumberingAfterBreak="0">
    <w:nsid w:val="0E3363AB"/>
    <w:multiLevelType w:val="multilevel"/>
    <w:tmpl w:val="FFA64D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77331"/>
    <w:multiLevelType w:val="hybridMultilevel"/>
    <w:tmpl w:val="0250043E"/>
    <w:lvl w:ilvl="0" w:tplc="08090003">
      <w:start w:val="1"/>
      <w:numFmt w:val="bullet"/>
      <w:lvlText w:val="o"/>
      <w:lvlJc w:val="left"/>
      <w:pPr>
        <w:ind w:left="1392" w:hanging="360"/>
      </w:pPr>
      <w:rPr>
        <w:rFonts w:ascii="Courier New" w:hAnsi="Courier New" w:cs="Courier New" w:hint="default"/>
      </w:rPr>
    </w:lvl>
    <w:lvl w:ilvl="1" w:tplc="08090003" w:tentative="1">
      <w:start w:val="1"/>
      <w:numFmt w:val="bullet"/>
      <w:lvlText w:val="o"/>
      <w:lvlJc w:val="left"/>
      <w:pPr>
        <w:ind w:left="2112" w:hanging="360"/>
      </w:pPr>
      <w:rPr>
        <w:rFonts w:ascii="Courier New" w:hAnsi="Courier New" w:cs="Courier New" w:hint="default"/>
      </w:rPr>
    </w:lvl>
    <w:lvl w:ilvl="2" w:tplc="08090005" w:tentative="1">
      <w:start w:val="1"/>
      <w:numFmt w:val="bullet"/>
      <w:lvlText w:val=""/>
      <w:lvlJc w:val="left"/>
      <w:pPr>
        <w:ind w:left="2832" w:hanging="360"/>
      </w:pPr>
      <w:rPr>
        <w:rFonts w:ascii="Wingdings" w:hAnsi="Wingdings" w:hint="default"/>
      </w:rPr>
    </w:lvl>
    <w:lvl w:ilvl="3" w:tplc="08090001" w:tentative="1">
      <w:start w:val="1"/>
      <w:numFmt w:val="bullet"/>
      <w:lvlText w:val=""/>
      <w:lvlJc w:val="left"/>
      <w:pPr>
        <w:ind w:left="3552" w:hanging="360"/>
      </w:pPr>
      <w:rPr>
        <w:rFonts w:ascii="Symbol" w:hAnsi="Symbol" w:hint="default"/>
      </w:rPr>
    </w:lvl>
    <w:lvl w:ilvl="4" w:tplc="08090003" w:tentative="1">
      <w:start w:val="1"/>
      <w:numFmt w:val="bullet"/>
      <w:lvlText w:val="o"/>
      <w:lvlJc w:val="left"/>
      <w:pPr>
        <w:ind w:left="4272" w:hanging="360"/>
      </w:pPr>
      <w:rPr>
        <w:rFonts w:ascii="Courier New" w:hAnsi="Courier New" w:cs="Courier New" w:hint="default"/>
      </w:rPr>
    </w:lvl>
    <w:lvl w:ilvl="5" w:tplc="08090005" w:tentative="1">
      <w:start w:val="1"/>
      <w:numFmt w:val="bullet"/>
      <w:lvlText w:val=""/>
      <w:lvlJc w:val="left"/>
      <w:pPr>
        <w:ind w:left="4992" w:hanging="360"/>
      </w:pPr>
      <w:rPr>
        <w:rFonts w:ascii="Wingdings" w:hAnsi="Wingdings" w:hint="default"/>
      </w:rPr>
    </w:lvl>
    <w:lvl w:ilvl="6" w:tplc="08090001" w:tentative="1">
      <w:start w:val="1"/>
      <w:numFmt w:val="bullet"/>
      <w:lvlText w:val=""/>
      <w:lvlJc w:val="left"/>
      <w:pPr>
        <w:ind w:left="5712" w:hanging="360"/>
      </w:pPr>
      <w:rPr>
        <w:rFonts w:ascii="Symbol" w:hAnsi="Symbol" w:hint="default"/>
      </w:rPr>
    </w:lvl>
    <w:lvl w:ilvl="7" w:tplc="08090003" w:tentative="1">
      <w:start w:val="1"/>
      <w:numFmt w:val="bullet"/>
      <w:lvlText w:val="o"/>
      <w:lvlJc w:val="left"/>
      <w:pPr>
        <w:ind w:left="6432" w:hanging="360"/>
      </w:pPr>
      <w:rPr>
        <w:rFonts w:ascii="Courier New" w:hAnsi="Courier New" w:cs="Courier New" w:hint="default"/>
      </w:rPr>
    </w:lvl>
    <w:lvl w:ilvl="8" w:tplc="08090005" w:tentative="1">
      <w:start w:val="1"/>
      <w:numFmt w:val="bullet"/>
      <w:lvlText w:val=""/>
      <w:lvlJc w:val="left"/>
      <w:pPr>
        <w:ind w:left="7152" w:hanging="360"/>
      </w:pPr>
      <w:rPr>
        <w:rFonts w:ascii="Wingdings" w:hAnsi="Wingdings" w:hint="default"/>
      </w:rPr>
    </w:lvl>
  </w:abstractNum>
  <w:abstractNum w:abstractNumId="9" w15:restartNumberingAfterBreak="0">
    <w:nsid w:val="0FDC1F21"/>
    <w:multiLevelType w:val="multilevel"/>
    <w:tmpl w:val="F844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6E102E"/>
    <w:multiLevelType w:val="multilevel"/>
    <w:tmpl w:val="AD121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E105CA"/>
    <w:multiLevelType w:val="hybridMultilevel"/>
    <w:tmpl w:val="6D1684E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2" w15:restartNumberingAfterBreak="0">
    <w:nsid w:val="13100C38"/>
    <w:multiLevelType w:val="multilevel"/>
    <w:tmpl w:val="CA5E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66544D"/>
    <w:multiLevelType w:val="hybridMultilevel"/>
    <w:tmpl w:val="570A7F40"/>
    <w:lvl w:ilvl="0" w:tplc="36A0EB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A006A8"/>
    <w:multiLevelType w:val="hybridMultilevel"/>
    <w:tmpl w:val="A4D2B15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5D138AE"/>
    <w:multiLevelType w:val="multilevel"/>
    <w:tmpl w:val="3C5E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1916D5"/>
    <w:multiLevelType w:val="hybridMultilevel"/>
    <w:tmpl w:val="29C0240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AB970C1"/>
    <w:multiLevelType w:val="multilevel"/>
    <w:tmpl w:val="E4B82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F21C29"/>
    <w:multiLevelType w:val="hybridMultilevel"/>
    <w:tmpl w:val="1C4A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127974"/>
    <w:multiLevelType w:val="hybridMultilevel"/>
    <w:tmpl w:val="486A6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3A62F1"/>
    <w:multiLevelType w:val="multilevel"/>
    <w:tmpl w:val="EB3C0FD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333697"/>
    <w:multiLevelType w:val="hybridMultilevel"/>
    <w:tmpl w:val="D57ED0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BC49C8"/>
    <w:multiLevelType w:val="hybridMultilevel"/>
    <w:tmpl w:val="935CA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DA38AA"/>
    <w:multiLevelType w:val="hybridMultilevel"/>
    <w:tmpl w:val="5D643B0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1027689"/>
    <w:multiLevelType w:val="multilevel"/>
    <w:tmpl w:val="63C86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514CE0"/>
    <w:multiLevelType w:val="hybridMultilevel"/>
    <w:tmpl w:val="87B81D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1A040CA"/>
    <w:multiLevelType w:val="multilevel"/>
    <w:tmpl w:val="AE1E5E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A18FB"/>
    <w:multiLevelType w:val="hybridMultilevel"/>
    <w:tmpl w:val="14CE7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3D5E2C"/>
    <w:multiLevelType w:val="hybridMultilevel"/>
    <w:tmpl w:val="554CC2A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5561D27"/>
    <w:multiLevelType w:val="multilevel"/>
    <w:tmpl w:val="1EDEA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E7444C"/>
    <w:multiLevelType w:val="multilevel"/>
    <w:tmpl w:val="E6085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CE5707"/>
    <w:multiLevelType w:val="multilevel"/>
    <w:tmpl w:val="1548CC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672AB0"/>
    <w:multiLevelType w:val="hybridMultilevel"/>
    <w:tmpl w:val="CED8C3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3C2175"/>
    <w:multiLevelType w:val="hybridMultilevel"/>
    <w:tmpl w:val="90D256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B356B4"/>
    <w:multiLevelType w:val="hybridMultilevel"/>
    <w:tmpl w:val="D7CA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AC04A05"/>
    <w:multiLevelType w:val="multilevel"/>
    <w:tmpl w:val="AC9E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E40B7A"/>
    <w:multiLevelType w:val="hybridMultilevel"/>
    <w:tmpl w:val="F5AEB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1944F0"/>
    <w:multiLevelType w:val="multilevel"/>
    <w:tmpl w:val="E7BE07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547130"/>
    <w:multiLevelType w:val="multilevel"/>
    <w:tmpl w:val="31783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881EF9"/>
    <w:multiLevelType w:val="hybridMultilevel"/>
    <w:tmpl w:val="2EF4AC5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0DB70D2"/>
    <w:multiLevelType w:val="multilevel"/>
    <w:tmpl w:val="10C0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1564BE"/>
    <w:multiLevelType w:val="hybridMultilevel"/>
    <w:tmpl w:val="49B4F58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42" w15:restartNumberingAfterBreak="0">
    <w:nsid w:val="33A57C16"/>
    <w:multiLevelType w:val="multilevel"/>
    <w:tmpl w:val="3CA8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660334D"/>
    <w:multiLevelType w:val="hybridMultilevel"/>
    <w:tmpl w:val="7C38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6D54A13"/>
    <w:multiLevelType w:val="hybridMultilevel"/>
    <w:tmpl w:val="0F188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7642872"/>
    <w:multiLevelType w:val="hybridMultilevel"/>
    <w:tmpl w:val="D26AB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8CC28B9"/>
    <w:multiLevelType w:val="multilevel"/>
    <w:tmpl w:val="C2409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BD2D90"/>
    <w:multiLevelType w:val="hybridMultilevel"/>
    <w:tmpl w:val="38C8A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BD64B7D"/>
    <w:multiLevelType w:val="multilevel"/>
    <w:tmpl w:val="1548CC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E32DDF"/>
    <w:multiLevelType w:val="hybridMultilevel"/>
    <w:tmpl w:val="628AA70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C0E1E4C"/>
    <w:multiLevelType w:val="hybridMultilevel"/>
    <w:tmpl w:val="ACD64256"/>
    <w:lvl w:ilvl="0" w:tplc="08090003">
      <w:start w:val="1"/>
      <w:numFmt w:val="bullet"/>
      <w:lvlText w:val="o"/>
      <w:lvlJc w:val="left"/>
      <w:pPr>
        <w:ind w:left="720" w:hanging="360"/>
      </w:pPr>
      <w:rPr>
        <w:rFonts w:ascii="Courier New" w:hAnsi="Courier New" w:cs="Courier New" w:hint="default"/>
      </w:rPr>
    </w:lvl>
    <w:lvl w:ilvl="1" w:tplc="729667B4">
      <w:numFmt w:val="bullet"/>
      <w:lvlText w:val="•"/>
      <w:lvlJc w:val="left"/>
      <w:pPr>
        <w:ind w:left="1440" w:hanging="360"/>
      </w:pPr>
      <w:rPr>
        <w:rFonts w:ascii="Arial" w:eastAsiaTheme="minorHAnsi"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02E6AF5"/>
    <w:multiLevelType w:val="hybridMultilevel"/>
    <w:tmpl w:val="828A67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08F0291"/>
    <w:multiLevelType w:val="hybridMultilevel"/>
    <w:tmpl w:val="F39EA9D6"/>
    <w:lvl w:ilvl="0" w:tplc="08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42F60A20"/>
    <w:multiLevelType w:val="multilevel"/>
    <w:tmpl w:val="22C6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2173CE"/>
    <w:multiLevelType w:val="hybridMultilevel"/>
    <w:tmpl w:val="DF16D9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4A0F5E65"/>
    <w:multiLevelType w:val="hybridMultilevel"/>
    <w:tmpl w:val="A6689712"/>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56" w15:restartNumberingAfterBreak="0">
    <w:nsid w:val="4B8D2CE1"/>
    <w:multiLevelType w:val="multilevel"/>
    <w:tmpl w:val="E33A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CFD457F"/>
    <w:multiLevelType w:val="hybridMultilevel"/>
    <w:tmpl w:val="DBDC342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2490D1C"/>
    <w:multiLevelType w:val="multilevel"/>
    <w:tmpl w:val="57AC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657568"/>
    <w:multiLevelType w:val="hybridMultilevel"/>
    <w:tmpl w:val="D6E24E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CB60DDA"/>
    <w:multiLevelType w:val="hybridMultilevel"/>
    <w:tmpl w:val="B970AE3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DF9713C"/>
    <w:multiLevelType w:val="multilevel"/>
    <w:tmpl w:val="99C4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933B5A"/>
    <w:multiLevelType w:val="hybridMultilevel"/>
    <w:tmpl w:val="6BE232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39355FC"/>
    <w:multiLevelType w:val="hybridMultilevel"/>
    <w:tmpl w:val="C8F889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0136FE"/>
    <w:multiLevelType w:val="multilevel"/>
    <w:tmpl w:val="CBA2B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407CA1"/>
    <w:multiLevelType w:val="multilevel"/>
    <w:tmpl w:val="F65E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5A53F1"/>
    <w:multiLevelType w:val="multilevel"/>
    <w:tmpl w:val="821E3F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876770"/>
    <w:multiLevelType w:val="hybridMultilevel"/>
    <w:tmpl w:val="E03ACE6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96F2808"/>
    <w:multiLevelType w:val="multilevel"/>
    <w:tmpl w:val="DB504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2B3933"/>
    <w:multiLevelType w:val="hybridMultilevel"/>
    <w:tmpl w:val="0C6C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A6B6967"/>
    <w:multiLevelType w:val="multilevel"/>
    <w:tmpl w:val="AA0A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B72AC6"/>
    <w:multiLevelType w:val="multilevel"/>
    <w:tmpl w:val="A1884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B7A73FF"/>
    <w:multiLevelType w:val="hybridMultilevel"/>
    <w:tmpl w:val="58C01D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D023480"/>
    <w:multiLevelType w:val="multilevel"/>
    <w:tmpl w:val="A1884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DC903DB"/>
    <w:multiLevelType w:val="multilevel"/>
    <w:tmpl w:val="3ACC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E202048"/>
    <w:multiLevelType w:val="multilevel"/>
    <w:tmpl w:val="39D4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BE3915"/>
    <w:multiLevelType w:val="multilevel"/>
    <w:tmpl w:val="1B82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703409"/>
    <w:multiLevelType w:val="multilevel"/>
    <w:tmpl w:val="E6085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1EC4414"/>
    <w:multiLevelType w:val="hybridMultilevel"/>
    <w:tmpl w:val="256613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744F4AD2"/>
    <w:multiLevelType w:val="hybridMultilevel"/>
    <w:tmpl w:val="EA7407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565739C"/>
    <w:multiLevelType w:val="hybridMultilevel"/>
    <w:tmpl w:val="F0EE59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5135B5"/>
    <w:multiLevelType w:val="hybridMultilevel"/>
    <w:tmpl w:val="27AC66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7B732E0D"/>
    <w:multiLevelType w:val="hybridMultilevel"/>
    <w:tmpl w:val="BBAE9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F379AA"/>
    <w:multiLevelType w:val="multilevel"/>
    <w:tmpl w:val="8BCA4B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C297C61"/>
    <w:multiLevelType w:val="hybridMultilevel"/>
    <w:tmpl w:val="0C906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C8F4F6D"/>
    <w:multiLevelType w:val="hybridMultilevel"/>
    <w:tmpl w:val="A0569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D561CFB"/>
    <w:multiLevelType w:val="hybridMultilevel"/>
    <w:tmpl w:val="EFC4F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DA27A2C"/>
    <w:multiLevelType w:val="multilevel"/>
    <w:tmpl w:val="F2E4A4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EDA3281"/>
    <w:multiLevelType w:val="multilevel"/>
    <w:tmpl w:val="118C9F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97221B"/>
    <w:multiLevelType w:val="multilevel"/>
    <w:tmpl w:val="383C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477936">
    <w:abstractNumId w:val="18"/>
  </w:num>
  <w:num w:numId="2" w16cid:durableId="2084637249">
    <w:abstractNumId w:val="27"/>
  </w:num>
  <w:num w:numId="3" w16cid:durableId="1146900653">
    <w:abstractNumId w:val="45"/>
  </w:num>
  <w:num w:numId="4" w16cid:durableId="293371688">
    <w:abstractNumId w:val="69"/>
  </w:num>
  <w:num w:numId="5" w16cid:durableId="1169951484">
    <w:abstractNumId w:val="89"/>
  </w:num>
  <w:num w:numId="6" w16cid:durableId="1997226719">
    <w:abstractNumId w:val="10"/>
  </w:num>
  <w:num w:numId="7" w16cid:durableId="1920627704">
    <w:abstractNumId w:val="15"/>
  </w:num>
  <w:num w:numId="8" w16cid:durableId="1793132166">
    <w:abstractNumId w:val="40"/>
  </w:num>
  <w:num w:numId="9" w16cid:durableId="1366712675">
    <w:abstractNumId w:val="73"/>
  </w:num>
  <w:num w:numId="10" w16cid:durableId="996151253">
    <w:abstractNumId w:val="77"/>
  </w:num>
  <w:num w:numId="11" w16cid:durableId="1081413256">
    <w:abstractNumId w:val="24"/>
  </w:num>
  <w:num w:numId="12" w16cid:durableId="1381173073">
    <w:abstractNumId w:val="38"/>
  </w:num>
  <w:num w:numId="13" w16cid:durableId="1013842832">
    <w:abstractNumId w:val="64"/>
  </w:num>
  <w:num w:numId="14" w16cid:durableId="174810208">
    <w:abstractNumId w:val="68"/>
  </w:num>
  <w:num w:numId="15" w16cid:durableId="562643614">
    <w:abstractNumId w:val="12"/>
  </w:num>
  <w:num w:numId="16" w16cid:durableId="128475033">
    <w:abstractNumId w:val="61"/>
  </w:num>
  <w:num w:numId="17" w16cid:durableId="1947927990">
    <w:abstractNumId w:val="76"/>
  </w:num>
  <w:num w:numId="18" w16cid:durableId="1339188955">
    <w:abstractNumId w:val="58"/>
  </w:num>
  <w:num w:numId="19" w16cid:durableId="1657416969">
    <w:abstractNumId w:val="17"/>
  </w:num>
  <w:num w:numId="20" w16cid:durableId="503982474">
    <w:abstractNumId w:val="65"/>
  </w:num>
  <w:num w:numId="21" w16cid:durableId="1426221410">
    <w:abstractNumId w:val="53"/>
  </w:num>
  <w:num w:numId="22" w16cid:durableId="1978099701">
    <w:abstractNumId w:val="9"/>
  </w:num>
  <w:num w:numId="23" w16cid:durableId="691033682">
    <w:abstractNumId w:val="75"/>
  </w:num>
  <w:num w:numId="24" w16cid:durableId="1100102167">
    <w:abstractNumId w:val="29"/>
  </w:num>
  <w:num w:numId="25" w16cid:durableId="209734875">
    <w:abstractNumId w:val="56"/>
  </w:num>
  <w:num w:numId="26" w16cid:durableId="1491091719">
    <w:abstractNumId w:val="42"/>
  </w:num>
  <w:num w:numId="27" w16cid:durableId="789857108">
    <w:abstractNumId w:val="74"/>
  </w:num>
  <w:num w:numId="28" w16cid:durableId="48069738">
    <w:abstractNumId w:val="35"/>
  </w:num>
  <w:num w:numId="29" w16cid:durableId="391541028">
    <w:abstractNumId w:val="71"/>
  </w:num>
  <w:num w:numId="30" w16cid:durableId="2116050896">
    <w:abstractNumId w:val="20"/>
  </w:num>
  <w:num w:numId="31" w16cid:durableId="1291590827">
    <w:abstractNumId w:val="70"/>
  </w:num>
  <w:num w:numId="32" w16cid:durableId="535167209">
    <w:abstractNumId w:val="3"/>
  </w:num>
  <w:num w:numId="33" w16cid:durableId="491340187">
    <w:abstractNumId w:val="22"/>
  </w:num>
  <w:num w:numId="34" w16cid:durableId="386883489">
    <w:abstractNumId w:val="79"/>
  </w:num>
  <w:num w:numId="35" w16cid:durableId="196087899">
    <w:abstractNumId w:val="44"/>
  </w:num>
  <w:num w:numId="36" w16cid:durableId="2118016580">
    <w:abstractNumId w:val="36"/>
  </w:num>
  <w:num w:numId="37" w16cid:durableId="1386297214">
    <w:abstractNumId w:val="19"/>
  </w:num>
  <w:num w:numId="38" w16cid:durableId="282541222">
    <w:abstractNumId w:val="82"/>
  </w:num>
  <w:num w:numId="39" w16cid:durableId="347829231">
    <w:abstractNumId w:val="60"/>
  </w:num>
  <w:num w:numId="40" w16cid:durableId="1930305117">
    <w:abstractNumId w:val="86"/>
  </w:num>
  <w:num w:numId="41" w16cid:durableId="478152233">
    <w:abstractNumId w:val="85"/>
  </w:num>
  <w:num w:numId="42" w16cid:durableId="83496504">
    <w:abstractNumId w:val="49"/>
  </w:num>
  <w:num w:numId="43" w16cid:durableId="15161064">
    <w:abstractNumId w:val="14"/>
  </w:num>
  <w:num w:numId="44" w16cid:durableId="958993497">
    <w:abstractNumId w:val="50"/>
  </w:num>
  <w:num w:numId="45" w16cid:durableId="817654063">
    <w:abstractNumId w:val="8"/>
  </w:num>
  <w:num w:numId="46" w16cid:durableId="214239108">
    <w:abstractNumId w:val="80"/>
  </w:num>
  <w:num w:numId="47" w16cid:durableId="1278442665">
    <w:abstractNumId w:val="33"/>
  </w:num>
  <w:num w:numId="48" w16cid:durableId="1643735409">
    <w:abstractNumId w:val="59"/>
  </w:num>
  <w:num w:numId="49" w16cid:durableId="1610620173">
    <w:abstractNumId w:val="32"/>
  </w:num>
  <w:num w:numId="50" w16cid:durableId="1025791791">
    <w:abstractNumId w:val="63"/>
  </w:num>
  <w:num w:numId="51" w16cid:durableId="301270198">
    <w:abstractNumId w:val="62"/>
  </w:num>
  <w:num w:numId="52" w16cid:durableId="207958458">
    <w:abstractNumId w:val="84"/>
  </w:num>
  <w:num w:numId="53" w16cid:durableId="1100830206">
    <w:abstractNumId w:val="43"/>
  </w:num>
  <w:num w:numId="54" w16cid:durableId="290479571">
    <w:abstractNumId w:val="47"/>
  </w:num>
  <w:num w:numId="55" w16cid:durableId="1458913245">
    <w:abstractNumId w:val="41"/>
  </w:num>
  <w:num w:numId="56" w16cid:durableId="1696810946">
    <w:abstractNumId w:val="11"/>
  </w:num>
  <w:num w:numId="57" w16cid:durableId="78446666">
    <w:abstractNumId w:val="55"/>
  </w:num>
  <w:num w:numId="58" w16cid:durableId="761610202">
    <w:abstractNumId w:val="54"/>
  </w:num>
  <w:num w:numId="59" w16cid:durableId="1991475189">
    <w:abstractNumId w:val="21"/>
  </w:num>
  <w:num w:numId="60" w16cid:durableId="470708785">
    <w:abstractNumId w:val="13"/>
  </w:num>
  <w:num w:numId="61" w16cid:durableId="1194467012">
    <w:abstractNumId w:val="78"/>
  </w:num>
  <w:num w:numId="62" w16cid:durableId="671106697">
    <w:abstractNumId w:val="34"/>
  </w:num>
  <w:num w:numId="63" w16cid:durableId="259457909">
    <w:abstractNumId w:val="66"/>
  </w:num>
  <w:num w:numId="64" w16cid:durableId="1143156522">
    <w:abstractNumId w:val="30"/>
  </w:num>
  <w:num w:numId="65" w16cid:durableId="1026756798">
    <w:abstractNumId w:val="48"/>
  </w:num>
  <w:num w:numId="66" w16cid:durableId="1166021707">
    <w:abstractNumId w:val="31"/>
  </w:num>
  <w:num w:numId="67" w16cid:durableId="1039429699">
    <w:abstractNumId w:val="88"/>
  </w:num>
  <w:num w:numId="68" w16cid:durableId="1959021503">
    <w:abstractNumId w:val="4"/>
  </w:num>
  <w:num w:numId="69" w16cid:durableId="1189831942">
    <w:abstractNumId w:val="26"/>
  </w:num>
  <w:num w:numId="70" w16cid:durableId="2021740645">
    <w:abstractNumId w:val="37"/>
  </w:num>
  <w:num w:numId="71" w16cid:durableId="130488253">
    <w:abstractNumId w:val="46"/>
  </w:num>
  <w:num w:numId="72" w16cid:durableId="1006520861">
    <w:abstractNumId w:val="87"/>
  </w:num>
  <w:num w:numId="73" w16cid:durableId="82383098">
    <w:abstractNumId w:val="1"/>
  </w:num>
  <w:num w:numId="74" w16cid:durableId="1512336883">
    <w:abstractNumId w:val="2"/>
  </w:num>
  <w:num w:numId="75" w16cid:durableId="861213151">
    <w:abstractNumId w:val="83"/>
  </w:num>
  <w:num w:numId="76" w16cid:durableId="1381438728">
    <w:abstractNumId w:val="7"/>
  </w:num>
  <w:num w:numId="77" w16cid:durableId="1286692842">
    <w:abstractNumId w:val="57"/>
  </w:num>
  <w:num w:numId="78" w16cid:durableId="179971624">
    <w:abstractNumId w:val="5"/>
  </w:num>
  <w:num w:numId="79" w16cid:durableId="1526214375">
    <w:abstractNumId w:val="39"/>
  </w:num>
  <w:num w:numId="80" w16cid:durableId="460348585">
    <w:abstractNumId w:val="52"/>
  </w:num>
  <w:num w:numId="81" w16cid:durableId="1411735202">
    <w:abstractNumId w:val="6"/>
  </w:num>
  <w:num w:numId="82" w16cid:durableId="287515582">
    <w:abstractNumId w:val="67"/>
  </w:num>
  <w:num w:numId="83" w16cid:durableId="568656152">
    <w:abstractNumId w:val="16"/>
  </w:num>
  <w:num w:numId="84" w16cid:durableId="8143761">
    <w:abstractNumId w:val="25"/>
  </w:num>
  <w:num w:numId="85" w16cid:durableId="203369012">
    <w:abstractNumId w:val="0"/>
  </w:num>
  <w:num w:numId="86" w16cid:durableId="97145665">
    <w:abstractNumId w:val="23"/>
  </w:num>
  <w:num w:numId="87" w16cid:durableId="694506728">
    <w:abstractNumId w:val="81"/>
  </w:num>
  <w:num w:numId="88" w16cid:durableId="120196698">
    <w:abstractNumId w:val="51"/>
  </w:num>
  <w:num w:numId="89" w16cid:durableId="225996548">
    <w:abstractNumId w:val="28"/>
  </w:num>
  <w:num w:numId="90" w16cid:durableId="103049380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33235"/>
    <w:rsid w:val="00060FB4"/>
    <w:rsid w:val="000C27E4"/>
    <w:rsid w:val="001301F6"/>
    <w:rsid w:val="00134106"/>
    <w:rsid w:val="00137B23"/>
    <w:rsid w:val="001440A3"/>
    <w:rsid w:val="001C3591"/>
    <w:rsid w:val="001E76EA"/>
    <w:rsid w:val="00237DB1"/>
    <w:rsid w:val="002521CE"/>
    <w:rsid w:val="002B1936"/>
    <w:rsid w:val="002D3317"/>
    <w:rsid w:val="00303712"/>
    <w:rsid w:val="00312FDE"/>
    <w:rsid w:val="00347BC2"/>
    <w:rsid w:val="00347D97"/>
    <w:rsid w:val="003541FB"/>
    <w:rsid w:val="003567B4"/>
    <w:rsid w:val="00376607"/>
    <w:rsid w:val="003A51D8"/>
    <w:rsid w:val="003C3559"/>
    <w:rsid w:val="004179E6"/>
    <w:rsid w:val="00471034"/>
    <w:rsid w:val="004B4B89"/>
    <w:rsid w:val="004C19DA"/>
    <w:rsid w:val="004C273F"/>
    <w:rsid w:val="004E7A73"/>
    <w:rsid w:val="005161EA"/>
    <w:rsid w:val="0052027A"/>
    <w:rsid w:val="00556503"/>
    <w:rsid w:val="006248CE"/>
    <w:rsid w:val="00637171"/>
    <w:rsid w:val="00655803"/>
    <w:rsid w:val="006C445D"/>
    <w:rsid w:val="006D4549"/>
    <w:rsid w:val="006E5DE8"/>
    <w:rsid w:val="00706F40"/>
    <w:rsid w:val="00722ABC"/>
    <w:rsid w:val="00746A88"/>
    <w:rsid w:val="00790824"/>
    <w:rsid w:val="007A5B07"/>
    <w:rsid w:val="007B58D8"/>
    <w:rsid w:val="007F2655"/>
    <w:rsid w:val="0082158D"/>
    <w:rsid w:val="00841284"/>
    <w:rsid w:val="00843325"/>
    <w:rsid w:val="0086716C"/>
    <w:rsid w:val="0088457F"/>
    <w:rsid w:val="008A1DD2"/>
    <w:rsid w:val="008A1EE8"/>
    <w:rsid w:val="008A6D32"/>
    <w:rsid w:val="008F3002"/>
    <w:rsid w:val="00900616"/>
    <w:rsid w:val="009304E3"/>
    <w:rsid w:val="009419AB"/>
    <w:rsid w:val="00983E70"/>
    <w:rsid w:val="009D63E4"/>
    <w:rsid w:val="00A24EE3"/>
    <w:rsid w:val="00A50CD5"/>
    <w:rsid w:val="00A50D40"/>
    <w:rsid w:val="00AB2F13"/>
    <w:rsid w:val="00AB4D82"/>
    <w:rsid w:val="00AE1C90"/>
    <w:rsid w:val="00AE7AA3"/>
    <w:rsid w:val="00AF0132"/>
    <w:rsid w:val="00B27570"/>
    <w:rsid w:val="00BB6EEF"/>
    <w:rsid w:val="00BE5211"/>
    <w:rsid w:val="00C14847"/>
    <w:rsid w:val="00C54ED5"/>
    <w:rsid w:val="00CA044B"/>
    <w:rsid w:val="00CE34BC"/>
    <w:rsid w:val="00D17687"/>
    <w:rsid w:val="00D17890"/>
    <w:rsid w:val="00D234A3"/>
    <w:rsid w:val="00D64979"/>
    <w:rsid w:val="00D824C2"/>
    <w:rsid w:val="00DA57DD"/>
    <w:rsid w:val="00DB3731"/>
    <w:rsid w:val="00DF2426"/>
    <w:rsid w:val="00E26555"/>
    <w:rsid w:val="00E341BE"/>
    <w:rsid w:val="00EC72FA"/>
    <w:rsid w:val="00F11874"/>
    <w:rsid w:val="00F7687B"/>
    <w:rsid w:val="00FB4F31"/>
    <w:rsid w:val="00FC6E92"/>
    <w:rsid w:val="00FF4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DA57DD"/>
    <w:rPr>
      <w:color w:val="467886" w:themeColor="hyperlink"/>
      <w:u w:val="single"/>
    </w:rPr>
  </w:style>
  <w:style w:type="character" w:styleId="UnresolvedMention">
    <w:name w:val="Unresolved Mention"/>
    <w:basedOn w:val="DefaultParagraphFont"/>
    <w:uiPriority w:val="99"/>
    <w:semiHidden/>
    <w:unhideWhenUsed/>
    <w:rsid w:val="00DA5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1132</TotalTime>
  <Pages>12</Pages>
  <Words>2842</Words>
  <Characters>16204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Comande</dc:creator>
  <cp:keywords/>
  <dc:description/>
  <cp:lastModifiedBy>lumin</cp:lastModifiedBy>
  <cp:revision>70</cp:revision>
  <dcterms:created xsi:type="dcterms:W3CDTF">2025-11-25T16:36:00Z</dcterms:created>
  <dcterms:modified xsi:type="dcterms:W3CDTF">2025-12-02T14:07:00Z</dcterms:modified>
</cp:coreProperties>
</file>