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561" w:rsidRDefault="00841561" w:rsidP="001D4C3A">
      <w:pPr>
        <w:spacing w:line="480" w:lineRule="auto"/>
        <w:jc w:val="center"/>
        <w:rPr>
          <w:b/>
          <w:sz w:val="24"/>
          <w:u w:val="single"/>
        </w:rPr>
      </w:pPr>
      <w:r w:rsidRPr="00841561">
        <w:rPr>
          <w:b/>
          <w:sz w:val="24"/>
          <w:u w:val="single"/>
        </w:rPr>
        <w:t>‘Disgrifiwch ddigwyddiad dysgu a ddigwyddodd yn ystod eich lleoliad.</w:t>
      </w:r>
    </w:p>
    <w:p w:rsidR="00841561" w:rsidRDefault="00841561" w:rsidP="001D4C3A">
      <w:pPr>
        <w:spacing w:line="480" w:lineRule="auto"/>
        <w:jc w:val="center"/>
        <w:rPr>
          <w:b/>
          <w:sz w:val="24"/>
          <w:u w:val="single"/>
        </w:rPr>
      </w:pPr>
      <w:r w:rsidRPr="00841561">
        <w:rPr>
          <w:b/>
          <w:sz w:val="24"/>
          <w:u w:val="single"/>
        </w:rPr>
        <w:t xml:space="preserve"> Adfyfyriwch ar beth ddigwyddodd, gan gysylltu digwyddiadau â damcaniaethau dysgu ac addysgu. </w:t>
      </w:r>
    </w:p>
    <w:p w:rsidR="00841561" w:rsidRPr="00841561" w:rsidRDefault="00841561" w:rsidP="001D4C3A">
      <w:pPr>
        <w:spacing w:line="480" w:lineRule="auto"/>
        <w:jc w:val="center"/>
        <w:rPr>
          <w:b/>
          <w:sz w:val="36"/>
          <w:u w:val="single"/>
        </w:rPr>
      </w:pPr>
      <w:r w:rsidRPr="00841561">
        <w:rPr>
          <w:b/>
          <w:sz w:val="24"/>
          <w:u w:val="single"/>
        </w:rPr>
        <w:t>Gwnewch argymhellion ynghylch sut gallech chi wella’ch arfer eich hun yng ngoleuni hyn, a chrëwch boster digidol i ddangos sut byddech yn defnyddio’r holl wybodaeth hyn i ddatblygu elfennau amgylchedd dysgu effeithiol.’</w:t>
      </w:r>
    </w:p>
    <w:p w:rsidR="0005274C" w:rsidRDefault="0005274C" w:rsidP="001D4C3A">
      <w:pPr>
        <w:spacing w:line="480" w:lineRule="auto"/>
        <w:rPr>
          <w:b/>
          <w:sz w:val="24"/>
          <w:szCs w:val="24"/>
          <w:u w:val="single"/>
        </w:rPr>
      </w:pPr>
      <w:r w:rsidRPr="00841561">
        <w:rPr>
          <w:b/>
          <w:sz w:val="24"/>
          <w:szCs w:val="24"/>
          <w:u w:val="single"/>
        </w:rPr>
        <w:t>Rhagymadrodd</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Canolbwyntia’r aseiniad hwn ar siarad archwiliadol o fewn yr ystafell dosbarth. Dewisais y digwyddiad hwn am fy mod yn teimlo bod dyletswydd bwysig ar athrawon i addysgu plant trwy annog cyfathrebu a datrys problemau yn annibynnol heb oruchwyliaeth yr athro/athrawes ar bob adeg. Cynhaliwyd yr arsylliad o fewn dosbarth Cyfnod Allweddol 2 mewn ysgol arloesol 3-19 mlwydd oed. Mynycha’r ysgol gan 631 o ddisgyblion a dim ond tua 8% o blant sydd yn derbyn prydiau ysgol am ddim, sydd yn sylweddol is na’r cyfartaledd cenedlaethol ar gyfer ysgolion uwchradd a chynradd (Estyn, 2017).  Mae’r ysgol yn gweithredu ar nodweddion addysgu rhagorol. Mae rhai o’r rhain yn cynnwys cwestiynu effeithiol sy’n unol â Thacsonomi Bloom, disgwyliadau uchel o bawb, a gweithgareddau rhyngweithiol lle mae’r disgyblion yn weithredol (Polisi Dysgu ac Addysgu Ysgol </w:t>
      </w:r>
      <w:r>
        <w:rPr>
          <w:rFonts w:ascii="Calibri" w:hAnsi="Calibri" w:cs="Calibri"/>
          <w:sz w:val="24"/>
          <w:szCs w:val="24"/>
          <w:highlight w:val="black"/>
        </w:rPr>
        <w:t>Llanhari</w:t>
      </w:r>
      <w:r>
        <w:rPr>
          <w:rFonts w:ascii="Calibri" w:hAnsi="Calibri" w:cs="Calibri"/>
          <w:sz w:val="24"/>
          <w:szCs w:val="24"/>
        </w:rPr>
        <w:t xml:space="preserve">). Wrth i mi arsylwi’r diweddarach, credaf fod yr ysgol yn gweithredu ar hyn yn effeithiol.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t xml:space="preserve">Trwy gydol yr aseiniad mae’n angenrheidiol fy mod yn ystyried materion moesegol gan ddilyn canllawiau BERA (2018). Yn ôl BERA (2018) nid oes hawl i ymchwilwyr addysgol i ddefnyddio enwau iawn y plant, y staff na’r ysgol heb eu caniatâd. Gan nod oedd pob plentyn yn y dosbarth wedi dychwelyd eu llythyron caniatâd, ni fyddaf yn defnyddio enwau iawn. Felly, yn ystod yr aseiniad byddaf yn cyfeirio at y plant naill ai fel ‘plant’, ‘disgyblion’ neu ‘Plentyn A’, ‘Plentyn B’ a.y.b. Yn ogystal byddaf yn cyfeirio at yr ysgolion fel ‘Ysgol X’ ac ‘Ysgol Y’ a dilynwr y wers fel ‘athrawes’. </w:t>
      </w:r>
    </w:p>
    <w:p w:rsidR="00C3616B" w:rsidRDefault="00C3616B" w:rsidP="00C3616B">
      <w:pPr>
        <w:autoSpaceDE w:val="0"/>
        <w:autoSpaceDN w:val="0"/>
        <w:adjustRightInd w:val="0"/>
        <w:spacing w:after="0" w:line="240" w:lineRule="auto"/>
        <w:rPr>
          <w:rFonts w:ascii="Verdana" w:hAnsi="Verdana" w:cs="Verdana"/>
          <w:sz w:val="20"/>
          <w:szCs w:val="20"/>
        </w:rPr>
      </w:pPr>
    </w:p>
    <w:p w:rsidR="0005274C" w:rsidRDefault="00841561" w:rsidP="001D4C3A">
      <w:pPr>
        <w:spacing w:line="480" w:lineRule="auto"/>
        <w:rPr>
          <w:b/>
          <w:sz w:val="24"/>
          <w:szCs w:val="24"/>
          <w:u w:val="single"/>
        </w:rPr>
      </w:pPr>
      <w:r>
        <w:rPr>
          <w:b/>
          <w:sz w:val="24"/>
          <w:szCs w:val="24"/>
          <w:u w:val="single"/>
        </w:rPr>
        <w:t xml:space="preserve">Rhan 1 </w:t>
      </w:r>
      <w:r w:rsidR="00C3616B">
        <w:rPr>
          <w:b/>
          <w:sz w:val="24"/>
          <w:szCs w:val="24"/>
          <w:u w:val="single"/>
        </w:rPr>
        <w:t>–</w:t>
      </w:r>
      <w:r>
        <w:rPr>
          <w:b/>
          <w:sz w:val="24"/>
          <w:szCs w:val="24"/>
          <w:u w:val="single"/>
        </w:rPr>
        <w:t xml:space="preserve"> </w:t>
      </w:r>
      <w:r w:rsidR="0005274C" w:rsidRPr="00841561">
        <w:rPr>
          <w:b/>
          <w:sz w:val="24"/>
          <w:szCs w:val="24"/>
          <w:u w:val="single"/>
        </w:rPr>
        <w:t>Arsylwi</w:t>
      </w:r>
    </w:p>
    <w:p w:rsidR="00C3616B" w:rsidRDefault="00C3616B" w:rsidP="00C361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480" w:lineRule="auto"/>
        <w:rPr>
          <w:rFonts w:ascii="Calibri" w:hAnsi="Calibri" w:cs="Calibri"/>
          <w:color w:val="212121"/>
          <w:sz w:val="24"/>
          <w:szCs w:val="24"/>
          <w:lang w:val="cy-GB"/>
        </w:rPr>
      </w:pPr>
      <w:r>
        <w:rPr>
          <w:rFonts w:ascii="Calibri" w:hAnsi="Calibri" w:cs="Calibri"/>
          <w:color w:val="212121"/>
          <w:sz w:val="24"/>
          <w:szCs w:val="24"/>
          <w:lang w:val="cy-GB"/>
        </w:rPr>
        <w:t xml:space="preserve">Wrth dreulio amser o fewn dosbarth Cyfnod Allweddol 2 yn Ysgol X, penderfynais  arsylwi arno ‘ryngweithiad cymdeithasol’, ac yn fwy penodol, ‘siarad archwiliadol’. Yn dilyn ymlaen o’u wers mathemateg, aeth yr athrawes a’r disgyblion tu allan i wneud tasg ar yr iard. Dosbarthodd yr athrawes cerdyn yr un i bob disgybl ac roedd y cardiau yn adlewyrchu tabl pedwar, y cerdyn isaf yn bedwar a’r cerdyn uchaf yn gant. Eglurodd yr athrawes nod y dasg, sef i osod eu hunain mewn trefn tabl pedwar, gan ddechrau gyda phedwar a gorffen gyda chant. Er mwyn ysgogi’r disgyblion, fe wnaeth yr athrawes eu helpu i roi'r pedwar lluosrif gyntaf mewn trefn. Ar ôl hynny roedd hi lan i’r plant i drefnu ei gilydd gan weithio fel tîm a chyfathrebu’n effeithiol. I’m syndod, fe wnaeth y disgyblion hyn mewn ffordd aeddfed ac yn hynod o lwyddiannus gan weithio trwyddo unrhyw ansicrwydd neu broblemau daethon nhw ar draws.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color w:val="212121"/>
          <w:sz w:val="24"/>
          <w:szCs w:val="24"/>
          <w:lang w:val="cy-GB"/>
        </w:rPr>
        <w:tab/>
      </w:r>
      <w:r>
        <w:rPr>
          <w:rFonts w:ascii="Calibri" w:hAnsi="Calibri" w:cs="Calibri"/>
          <w:sz w:val="24"/>
          <w:szCs w:val="24"/>
        </w:rPr>
        <w:t>Arsylwais drwy ddefnyddio’r dechneg o gofnodi yn ysgrifenedig. Penderfynais ar y dechneg yma am ei fod yn ddefnyddiol ar gyfer cofnodi digwyddiadau annisgwyl neu rhai sydd yn digwydd yn naturiol. Yng ngeiriau Hobart a Frankel (1994, p.37), “It is a description of an event unfolding in front of you,” a chytunaf gyda hyn yn llwyr. Roeddwn yn gwybod fy mod am ymchwilio i mewn i siarad archwiliadol ac felly byddwn am gofnodi rhyw fath o ddeialog. Y ffordd orau i wneud hyn oedd ysgrifennu’r hyn a glywais. Doeddwn i ddim am gyfyngu fy hun i dechneg fwy strwythuredig, megis plentyn targed, am ni fyddai hyn wedi rhoi’r rhyddid i mi i gofnodi sgyrsiau rhwng plant gwahanol ac felly ddim yn cyfateb â beth roeddwn i am ddarganfod.  Fe wnaeth y dull hwn gweithio’n wych i mi. Roedd yn effeithiol, nid oedd angen llawer o adnoddau i’w weithredu yn llwyddiannus ac roeddwn yn gallu cofnodi ar unrhyw adeg. Serch hynny, wrth adfyfyrio mae’n bosib nodi bod gan y dechneg arsylwi hon ei anfanteision. Weithiau mae digwyddiadau yn digwydd yn cloi ac felly nid ysgrifennu yw’r peth gorau i wneud bob tro am ei bod hi’n anodd cofnodi popeth i lawr. Yn ogystal, roedd tueddiad gen i i gofnodi pethau amherthnasol ac felly gwastraffu amser gwerthfawr.</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r>
      <w:r>
        <w:rPr>
          <w:rFonts w:ascii="Calibri" w:hAnsi="Calibri" w:cs="Calibri"/>
          <w:color w:val="212121"/>
          <w:sz w:val="24"/>
          <w:szCs w:val="24"/>
          <w:lang w:val="cy-GB"/>
        </w:rPr>
        <w:t xml:space="preserve">Mae gan siarad archwiliadol amrywiaeth o fuddion am ei fod yn ffurf o ddysgu personol. Yn </w:t>
      </w:r>
      <w:r>
        <w:rPr>
          <w:rFonts w:ascii="Calibri" w:hAnsi="Calibri" w:cs="Calibri"/>
          <w:sz w:val="24"/>
          <w:szCs w:val="24"/>
        </w:rPr>
        <w:t xml:space="preserve">ôl Adam Pollard mae’r manteision yma yn cynnwys: </w:t>
      </w:r>
    </w:p>
    <w:p w:rsidR="00C3616B" w:rsidRDefault="00C3616B" w:rsidP="00C3616B">
      <w:pPr>
        <w:autoSpaceDE w:val="0"/>
        <w:autoSpaceDN w:val="0"/>
        <w:adjustRightInd w:val="0"/>
        <w:spacing w:line="240" w:lineRule="auto"/>
        <w:ind w:firstLine="720"/>
        <w:rPr>
          <w:rFonts w:ascii="Calibri" w:hAnsi="Calibri" w:cs="Calibri"/>
          <w:sz w:val="24"/>
          <w:szCs w:val="24"/>
        </w:rPr>
      </w:pPr>
      <w:r>
        <w:rPr>
          <w:rFonts w:ascii="Calibri" w:hAnsi="Calibri" w:cs="Calibri"/>
          <w:sz w:val="24"/>
          <w:szCs w:val="24"/>
        </w:rPr>
        <w:t xml:space="preserve">Knowing how to work with others in a team; knowing how to evaluate information critically; taking responsibility for, and being able to manage, one’s own learning and developing the habits of effective learning; knowing how to work independently without close supervision; being resilient in the face of difficulties; being creative, inventive, enterprising and entrepreneurial (Pollard et al. 2008, p. xi). </w:t>
      </w:r>
    </w:p>
    <w:p w:rsidR="00C3616B" w:rsidRDefault="00C3616B" w:rsidP="00C3616B">
      <w:pPr>
        <w:autoSpaceDE w:val="0"/>
        <w:autoSpaceDN w:val="0"/>
        <w:adjustRightInd w:val="0"/>
        <w:spacing w:line="480" w:lineRule="auto"/>
        <w:ind w:firstLine="720"/>
        <w:rPr>
          <w:rFonts w:ascii="Calibri" w:hAnsi="Calibri" w:cs="Calibri"/>
          <w:sz w:val="24"/>
          <w:szCs w:val="24"/>
        </w:rPr>
      </w:pPr>
      <w:r>
        <w:rPr>
          <w:rFonts w:ascii="Calibri" w:hAnsi="Calibri" w:cs="Calibri"/>
          <w:sz w:val="24"/>
          <w:szCs w:val="24"/>
        </w:rPr>
        <w:t xml:space="preserve">Yn ôl ymchwil, y prif ganfyddiad yw nid yw’n ddigonol i ofyn i ddisgyblion i weithio gyda’i gilydd. Mae rhaid iddynt gaffael ar y sgiliau cymdeithasol sydd angen ar gyfer cynnal sgwrs adeiladol a beirniadol (Herrlitz-Biró, Elbers a Haan, 2013). Cefnogir y farn hon gan ‘Thinking Together’. Mae’r prosiect ‘Thinking Together’ wedi cael ei sefydlu yn seiliedig ar geisio datblygu ymagwedd dialog o fewn dysgu ac i hyrwyddo ymwybyddiaeth plant o ddefnyddio siarad archwiliadol fel ffordd o feddwl yn uchel (Thinking Together, 2018). O ganlyniad i’r prosiect, dywedir ei fod wedi codi ymwybyddiaeth plant ac athrawon o’r pwysigrwydd o siarad archwiliadol yn ogystal â helpu plant cynradd ac uwchradd i ddysgu yn llwyddiannus drwy weithgareddau siarad (Mercer a Dawes, 2008, p. 67).  </w:t>
      </w:r>
    </w:p>
    <w:p w:rsidR="00C3616B" w:rsidRDefault="00C3616B" w:rsidP="00C3616B">
      <w:pPr>
        <w:autoSpaceDE w:val="0"/>
        <w:autoSpaceDN w:val="0"/>
        <w:adjustRightInd w:val="0"/>
        <w:spacing w:line="480" w:lineRule="auto"/>
        <w:ind w:firstLine="720"/>
        <w:rPr>
          <w:rFonts w:ascii="Calibri" w:hAnsi="Calibri" w:cs="Calibri"/>
          <w:sz w:val="24"/>
          <w:szCs w:val="24"/>
        </w:rPr>
      </w:pPr>
      <w:r>
        <w:rPr>
          <w:rFonts w:ascii="Calibri" w:hAnsi="Calibri" w:cs="Calibri"/>
          <w:sz w:val="24"/>
          <w:szCs w:val="24"/>
        </w:rPr>
        <w:t>Yn 2017, fe wnaeth Estyn ymweld ag Ysgol X a dywedir ei fod yn ysgol sydd yn darparu profiadau ysgogol a diddorol i’w ddisgyblion er mwyn sicrhau eu bod yn datblygu fel dinasyddion gwâr a gwybodus (Estyn, 2017). Mae’r disgrifiad cadarnhaol hyn yn cysylltu egwyddorion Ysgol X gydag agweddau o’r dibenion cwricwlwm newydd sydd yn awgrymu ei fod yn llwyddiannus wrth weithredu fel ysgol arloesol (Dyfodol Llwyddiannus, 2015). Yn ogystal, credir Estyn ei fod yn ysgol sydd yn magu plant sydd yn awyddus i fynegi barn ac yn mynegi eu hunain yn glir gan ddefnyddio geirfa estynedig (Estyn, 2017). Pwysleisir hyn ar y pwysigrwydd o’r cyfrifoldeb sydd gan staff o fewn ysgolion i ddarparu’r fath yma o brofiadau i’r plant ac i addysgu mewn ffordd a fydd yn fuddiol iddyn nhw wrth iddynt baratoi am eu dyfodol. Yn cefnogi hyn, dywed Hardman, mae hybu dealltwriaeth ymhlith plant ynglŷn â defnyddio iaith ar lafar yn cael ei ystyried fel un o brif nodau addysg. Mae’n dadlau:</w:t>
      </w:r>
    </w:p>
    <w:p w:rsidR="00C3616B" w:rsidRDefault="00C3616B" w:rsidP="00C3616B">
      <w:pPr>
        <w:autoSpaceDE w:val="0"/>
        <w:autoSpaceDN w:val="0"/>
        <w:adjustRightInd w:val="0"/>
        <w:spacing w:line="240" w:lineRule="auto"/>
        <w:ind w:firstLine="720"/>
        <w:rPr>
          <w:rFonts w:ascii="Calibri" w:hAnsi="Calibri" w:cs="Calibri"/>
          <w:sz w:val="24"/>
          <w:szCs w:val="24"/>
        </w:rPr>
      </w:pPr>
      <w:r>
        <w:rPr>
          <w:rFonts w:ascii="Calibri" w:hAnsi="Calibri" w:cs="Calibri"/>
          <w:sz w:val="24"/>
          <w:szCs w:val="24"/>
        </w:rPr>
        <w:t xml:space="preserve">Using language is seen as one of the major goals of education in order that they can express their thoughts and engage with others in joint intellectual activity to develop their communication skills and to advance their individual capacity for productive, rational and reflective thinking” (2008, p. 133). </w:t>
      </w:r>
    </w:p>
    <w:p w:rsidR="00C3616B" w:rsidRDefault="00C3616B" w:rsidP="00C3616B">
      <w:pPr>
        <w:autoSpaceDE w:val="0"/>
        <w:autoSpaceDN w:val="0"/>
        <w:adjustRightInd w:val="0"/>
        <w:spacing w:line="480" w:lineRule="auto"/>
        <w:ind w:firstLine="720"/>
        <w:rPr>
          <w:rFonts w:ascii="Calibri" w:hAnsi="Calibri" w:cs="Calibri"/>
          <w:sz w:val="24"/>
          <w:szCs w:val="24"/>
        </w:rPr>
      </w:pPr>
      <w:r>
        <w:rPr>
          <w:rFonts w:ascii="Calibri" w:hAnsi="Calibri" w:cs="Calibri"/>
          <w:sz w:val="24"/>
          <w:szCs w:val="24"/>
        </w:rPr>
        <w:t>Mae Barnes (2008) yn cyfeirio at y gwahaniaeth rhwng y ddau brif fath o siarad sydd yn bodoli o fewn addysg. Cyfeirir at siarad cyflwyniadol a siarad archwiliadol. Dywedir bod siarad cyflwyniadol yn canolbwyntio’n bennaf ar anghenion y gynulleidfa ac felly’n canolbwyntio ar yr iaith a’r cynnwys a darparid. Mae siarad archwiliadol yn wahanol i hyn am ei fod yn ymwneud â’r siaradwyr yn datrys problemau a threfnu’i meddyliau drwy siarad tra’n feddwl (Barnes, 2008). Cytunaf gyda’r gwahaniaethu hyn yn llwyr. Wrth arsylwi ar y disgyblion, fe welais y prosesau meddwl yn dod i’r wyneb ac yna yn cael ei ddweud yn uchel heb lawer o feddwl yn mynd mewn iddo. Roedd hyn yn esiampl wych o siarad archwiliadol a byddwch yn gweld enghraifft o hyn mewn ffurf deialog yn rhan 2.</w:t>
      </w:r>
    </w:p>
    <w:p w:rsidR="00C3616B" w:rsidRDefault="00C3616B" w:rsidP="00C3616B">
      <w:pPr>
        <w:autoSpaceDE w:val="0"/>
        <w:autoSpaceDN w:val="0"/>
        <w:adjustRightInd w:val="0"/>
        <w:spacing w:line="480" w:lineRule="auto"/>
        <w:ind w:firstLine="720"/>
        <w:rPr>
          <w:rFonts w:ascii="Calibri" w:hAnsi="Calibri" w:cs="Calibri"/>
          <w:sz w:val="24"/>
          <w:szCs w:val="24"/>
        </w:rPr>
      </w:pPr>
      <w:r>
        <w:rPr>
          <w:rFonts w:ascii="Calibri" w:hAnsi="Calibri" w:cs="Calibri"/>
          <w:sz w:val="24"/>
          <w:szCs w:val="24"/>
        </w:rPr>
        <w:br/>
      </w:r>
    </w:p>
    <w:p w:rsidR="00C3616B" w:rsidRPr="00841561" w:rsidRDefault="00C3616B" w:rsidP="001D4C3A">
      <w:pPr>
        <w:spacing w:line="480" w:lineRule="auto"/>
        <w:rPr>
          <w:sz w:val="24"/>
          <w:szCs w:val="24"/>
        </w:rPr>
      </w:pPr>
    </w:p>
    <w:p w:rsidR="001D4C3A" w:rsidRPr="001D4C3A" w:rsidRDefault="001D4C3A" w:rsidP="001D4C3A">
      <w:pPr>
        <w:spacing w:line="480" w:lineRule="auto"/>
        <w:rPr>
          <w:b/>
          <w:sz w:val="24"/>
          <w:szCs w:val="24"/>
          <w:u w:val="single"/>
        </w:rPr>
      </w:pPr>
      <w:r w:rsidRPr="001D4C3A">
        <w:rPr>
          <w:b/>
          <w:sz w:val="24"/>
          <w:szCs w:val="24"/>
          <w:u w:val="single"/>
        </w:rPr>
        <w:t>Rhan 2 - Cysylltu</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lastRenderedPageBreak/>
        <w:t>Yn ôl Barnes, nid syniad newydd yw siarad archwiliadol. Tynnir sylw at y broblem sydd yn bodoli rhwng yr athro/athrawes a’i ddisgyblion dros ddeugain mlynedd yn ôl. Wrth iddo drafod y ffyrdd ystrydebol y mae’r athrawon a’r disgyblion yn rhyngweithio, mae’n gofyn y cwestiwn pam? Dywedir bod athrawon yn mynd o gwmpas pethau o ddydd i ddydd yn gyson iawn o un dosbarth i’r llall ac mae’n ei herio hyn. Codir y pwynt pwysicaf oll; pwy a benderfynodd fod patrymau siarad ac ysgrifennu fel y maent? (Barnes, 1975).  Nid mater o eistedd yno a gwrando ac ateb cwestiynau penodol pan fyddent yn cael ei alw arno yn unig yw dysgu.</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t xml:space="preserve">Yn cefnogi dadl Barnes, mae’r ‘Prosiect Oracle’ (Observational Research and Classroom Learning Evaluation) a gafwyd ei sefydlu yn 1975 fel rhan o gyhoeddiad o’r ‘Plowden Report’.  Mae’r prosiect yn uwcholeuo’r anawsterau sy’n cael eu profi gan athrawon wrth iddynt geisio dod o hyd i gydbwysedd rhwng gosod awdurdod o fewn y dosbarth ar un llaw, ac annibyniaeth disgyblion ar y llaw arall. Prif fwriad y prosiect oedd datblygu'r ffordd roedd athrawon yn bwydo gwybodaeth i ddisgyblion a symud oddi wrth y dull hwn o addysgu (Galton, 1987). Yn syml, y nod oedd i bob plentyn i ddatblygu i fod yn “agent of his own learning” (Galton, 1987, p. 82). Fodd bynnag, yn ôl y gwaith ymchwil, ni chafodd argymhellion Plowden llawer o gefnogaeth, ac er i athrawon ei gymeradwyo, ni chafodd ei weithredu yn aml. Roedd y gwersi yn parhau i gael ei gyfarwyddo a’i reoli’n gryf gan yr athrawon ac felly ychydig iawn o ryngweithio ymhlith disgyblion. Yn anaml bu’r cyfle gan blant i ysgogi eu sgiliau meddwl a chyfathrebu neu weithio o fewn tîm. (Galton, 1987).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color w:val="FF0000"/>
          <w:sz w:val="24"/>
          <w:szCs w:val="24"/>
        </w:rPr>
        <w:tab/>
      </w:r>
      <w:r>
        <w:rPr>
          <w:rFonts w:ascii="Calibri" w:hAnsi="Calibri" w:cs="Calibri"/>
          <w:sz w:val="24"/>
          <w:szCs w:val="24"/>
        </w:rPr>
        <w:t>Wrth ymchwilio yn ddyfnach i mewn i’r rhyngweithiad cymdeithasol o siarad ymchwiliadol, darganfyddai pa mor bwysig yw hi fod athrawon yn darparu’r cyfle i blant i ryngweithio gyda’i gilydd o fewn amgylchedd dysgu. Datganir Mercer a Llittleton, “we cannot assume that all children naturally have access to the same opportunities for developing their use of language” (2011, p. 22). Cefnogir y rhagdybiaeth hon gan Edwards a Westgate wrth iddynt ymchwilio i mewn i adroddiadau ymchwil o fewn yr ystafell ddosbarth. Darganfyddir bod dosbarthiadau yn rhy ddi-orchmynnol pan oedd yn dod at gyd-destunau ar gyfer siarad archwiliadol ac felly yn arwain at opsiynau cyfathrebu cyfyngedig (1994). Fel gwelais yn fy arsylliad, mae siarad archwiliadol yn bodoli, ond nid yw hyn yn golygu ei fod yn cael ei weithredu o fewn pob dosbarth, ym mhob ysgol. Mae hyn yn ffactor hynod o bwysig i’w gofio wrth ystyried fy addysgu personol yn y dyfodol. Byddaf yn sicrhau fy mod yn cynllunio fel bod gan y plant y cyfle i siarad yn archwiliadol. Os na caiff plant y cyfle i weithredu ar hyn yn yr ysgol gall effeithio ar eu llwyddiannau yn y dyfodol.</w:t>
      </w:r>
    </w:p>
    <w:p w:rsidR="00C3616B" w:rsidRDefault="00C3616B" w:rsidP="00C3616B">
      <w:pPr>
        <w:autoSpaceDE w:val="0"/>
        <w:autoSpaceDN w:val="0"/>
        <w:adjustRightInd w:val="0"/>
        <w:spacing w:line="480" w:lineRule="auto"/>
        <w:rPr>
          <w:rFonts w:ascii="Calibri" w:hAnsi="Calibri" w:cs="Calibri"/>
          <w:color w:val="FF0000"/>
          <w:sz w:val="24"/>
          <w:szCs w:val="24"/>
        </w:rPr>
      </w:pPr>
      <w:r>
        <w:rPr>
          <w:rFonts w:ascii="Calibri" w:hAnsi="Calibri" w:cs="Calibri"/>
          <w:sz w:val="24"/>
          <w:szCs w:val="24"/>
        </w:rPr>
        <w:tab/>
        <w:t xml:space="preserve">Yn fy arsylliad, wrth i’r disgyblion weithredu ar y siarad archwiliadol, roedd hi’n amlwg eu bod yn adeiladu ar wybodaeth a ddysgwyd yn flaenorol. Roedd hwn yn cyfateb â damcaniaeth ‘Lluniadaeth’. Un o’r prif ddamcaniaethwyr y damcaniaeth hwn ydy Jean Piaget. Credir yn gryf mewn datblygiad gwybyddol ac felly'r broses o hunan-adeiladu. Hynny yw, nid yw’r wybodaeth yn cael ei rhoi yn uniongyrchol i’r plentyn, mae rhaid iddo adeiladu ar yr hyn maent yn gwybod yn barod (Waller, Whitmarsh a Clarke, 2011). I raddau fe welais i hyn yn fy arsylliad. Roedd y rhan fwyaf o’r plant wedi dysgu eu tabl pedwar, ac felly trwy wneud y gweithgaredd hwn roeddent yn datblygu eu dealltwriaeth o rifau. Yn yr un modd, ar gyfer y plant sydd efallai ddim mor hyderus gyda’i thabl pedwar, roedd y gweithgaredd yma yn adeiladu ar ei wybodaeth. Roedd ganddynt gyfle i brofi eu dealltwriaeth ar yr hyn a dysgwyd yn y dosbarth ac i ddysgu pethau newydd oddi wrth eu cyfoedion. Wrth iddynt osod eu hunain mewn trefn roeddent yn rhoi pwyslais ar weithredu concrit ac mae hyn yn lliwio’r rhan fwyaf o ystyriaethau addysgol Piaget, yn enwedig wrth ystyried plant rhwng yr oedrannau chwech ac un ar ddeg oed (Sigel a Hooper, 1968).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color w:val="FF0000"/>
          <w:sz w:val="24"/>
          <w:szCs w:val="24"/>
        </w:rPr>
        <w:tab/>
      </w:r>
      <w:r>
        <w:rPr>
          <w:rFonts w:ascii="Calibri" w:hAnsi="Calibri" w:cs="Calibri"/>
          <w:sz w:val="24"/>
          <w:szCs w:val="24"/>
        </w:rPr>
        <w:t>Yn cefnogi damcaniaeth Piaget, mae Montessori. Credir yn gryf mewn arsylwi a’r cyfrifoldeb sydd gan athrawon i sicrhau eu bod yn wneud hyn yn aml ac yn gywir drwy fod yn wyliadwrus, yn barchus, yn amyneddgar ac yn ddi-beirniadol tuag at y plant. Awgrymir taw pwrpas yr arsylwi ar ran yr athrawon oedd rhoi'r cyfle i’r plant i ddatblygu drwy brofiadau eu hunain. Yn ôl Montessori, dylai’r athrawes arwain y plentyn heb i’r plentyn deimlo ei bresenoldeb gormod (Rambusch, 1965). Yn cytuno gyda barn Montessori, mae Barnes yn datgan, “only pupils can work on understanding: teachers can encourage and support but cannot do it for them” (2008, p. 4). Eto, yn atgyfnerthu’r syniad ei fod yn angenrheidiol i blant i weithredu drosto’i hunain weithiau. Credir taw’r ffordd fwyaf effeithiol o weithio ar ddealltwriaeth yw trwy siarad, am fod hyblygrwydd lleferydd yn ffordd hawdd i roi cynnig ar ffyrdd newydd o drefnu’r hyn yr ydym yn gwybod yn barod (2008). Gwelais hyn yn uniongyrchol wrth i mi wneud fy arsylliad. Wrth i’r athrawes rhoi’r cyfrifoldeb o drefnu eu hunain i’r plant roedd ganddynt y cyfle i drefnu eu meddyliau ac felly siarad yn archwiliadol. Aeth y deialog rhwng ychydig o’r disgyblion fel hyn:</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b/>
          <w:bCs/>
          <w:sz w:val="24"/>
          <w:szCs w:val="24"/>
        </w:rPr>
        <w:t>Plentyn A:</w:t>
      </w:r>
      <w:r>
        <w:rPr>
          <w:rFonts w:ascii="Calibri" w:hAnsi="Calibri" w:cs="Calibri"/>
          <w:sz w:val="24"/>
          <w:szCs w:val="24"/>
        </w:rPr>
        <w:t xml:space="preserve"> Mae tri deg dau yn nesaf . . .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b/>
          <w:bCs/>
          <w:sz w:val="24"/>
          <w:szCs w:val="24"/>
        </w:rPr>
        <w:t>Plentyn B:</w:t>
      </w:r>
      <w:r>
        <w:rPr>
          <w:rFonts w:ascii="Calibri" w:hAnsi="Calibri" w:cs="Calibri"/>
          <w:sz w:val="24"/>
          <w:szCs w:val="24"/>
        </w:rPr>
        <w:t xml:space="preserve"> Ie pwy sydd gyda tri deg dau?</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b/>
          <w:bCs/>
          <w:sz w:val="24"/>
          <w:szCs w:val="24"/>
        </w:rPr>
        <w:t>Plentyn C:</w:t>
      </w:r>
      <w:r>
        <w:rPr>
          <w:rFonts w:ascii="Calibri" w:hAnsi="Calibri" w:cs="Calibri"/>
          <w:sz w:val="24"/>
          <w:szCs w:val="24"/>
        </w:rPr>
        <w:t xml:space="preserve"> Na tri deg pedwar sydd . . .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b/>
          <w:bCs/>
          <w:sz w:val="24"/>
          <w:szCs w:val="24"/>
        </w:rPr>
        <w:t>Plentyn A:</w:t>
      </w:r>
      <w:r>
        <w:rPr>
          <w:rFonts w:ascii="Calibri" w:hAnsi="Calibri" w:cs="Calibri"/>
          <w:sz w:val="24"/>
          <w:szCs w:val="24"/>
        </w:rPr>
        <w:t xml:space="preserve"> Na tri deg dau ar ôl dau ddeg wyth . . .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b/>
          <w:bCs/>
          <w:sz w:val="24"/>
          <w:szCs w:val="24"/>
        </w:rPr>
        <w:t>Plentyn D:</w:t>
      </w:r>
      <w:r>
        <w:rPr>
          <w:rFonts w:ascii="Calibri" w:hAnsi="Calibri" w:cs="Calibri"/>
          <w:sz w:val="24"/>
          <w:szCs w:val="24"/>
        </w:rPr>
        <w:t xml:space="preserve"> Fi! Fi gyda tri deg dau . . .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b/>
          <w:bCs/>
          <w:sz w:val="24"/>
          <w:szCs w:val="24"/>
        </w:rPr>
        <w:t>Pentyn C:</w:t>
      </w:r>
      <w:r>
        <w:rPr>
          <w:rFonts w:ascii="Calibri" w:hAnsi="Calibri" w:cs="Calibri"/>
          <w:sz w:val="24"/>
          <w:szCs w:val="24"/>
        </w:rPr>
        <w:t xml:space="preserve"> O ie tri deg dau dim tri deg pedwar . . .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t>O ganlyniad i’r drafodaeth hyn roedd ‘Plentyn C’ wedi dysgu a derbyn ei fod wedi camddeall ac wrth i ‘Plentyn A’ a ‘Plentyn B’ gytuno â’i gilydd mae wedi’i ysgogoi a’i annog i symud ymlaen gyda’r dasg. Trwy siarad yn archwiliadol roedd y plant yma wedi datrys problemau, gweithio fel tîm a datblygu ei sgiliau gwrando heb ymyrraeth yr athrawes. Nid yw siarad archwiliadol ond yn fuddiol i’r plant, ond i’r athro/athrawes hefyd. Yn ôl Gilles a Pierce,</w:t>
      </w:r>
    </w:p>
    <w:p w:rsidR="00C3616B" w:rsidRDefault="00C3616B" w:rsidP="00C3616B">
      <w:pPr>
        <w:autoSpaceDE w:val="0"/>
        <w:autoSpaceDN w:val="0"/>
        <w:adjustRightInd w:val="0"/>
        <w:spacing w:line="240" w:lineRule="auto"/>
        <w:rPr>
          <w:rFonts w:ascii="Calibri" w:hAnsi="Calibri" w:cs="Calibri"/>
          <w:sz w:val="24"/>
          <w:szCs w:val="24"/>
        </w:rPr>
      </w:pPr>
      <w:r>
        <w:rPr>
          <w:rFonts w:ascii="Calibri" w:hAnsi="Calibri" w:cs="Calibri"/>
          <w:sz w:val="24"/>
          <w:szCs w:val="24"/>
        </w:rPr>
        <w:tab/>
        <w:t>If we want to know what individuals are really learning, we must listen to their exploratory talk, a kind of tentative, hesitant, rough draft form of talk used to work at understanding new concepts (2003).</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t xml:space="preserve">Mae’r deialog uchod yn esiampl o blant yn rhyngweithio gyda’i gilydd yn gymdeithasol. Arweinir hyn at yr ail ddamcaniaeth sydd ynghlwm â siarad archwiliadol, sef ‘Lluniadaeth Gymdeithasol’. Wrth i Lev Vygotsky datgan ei deimladau ar ryngweithiad cymdeithasol o fewn yr amgylchedd dysgu, mae’r damcaniaeth hyn wedi datblygu i fod yn “buzzword” o fewn addysg ag hyfforddiant athrawon yn ochr orllewinol y byd (Liu a Matthews, 2005, p. 386). Ystyrir ei gyfraniadau yn hanfodol i’n dealltwriaeth ni o’r natur gymdeithasol o ddysgu (Waller, Whitmash and Clarke, 2011). Awgrymir taw iaith a chymdeithasu yw’r pethau pwysicach wrth geisio datblygu’r ffyrdd mae plant yn meddwl. Mynnir bod plant yn dysgu o brofiadau “inter-mental” sef y broses o gyfathrebu drwy ryngweithio cymdeithasol, sydd yn arwain at ganlyniad “intra-mental” sef y ffordd maent yn meddwl fel unigolion (Mercer and Hodgkinson, 2008, p. 134). Yn y dialog uchod gwelwn y prosesau hyn ar waith. Roedd yr unigolyn a oedd yn ansicr o ba rif oedd yn dod ar ôl dau ddeg wyth nawr yn gwybod, o ganlyniad i gyfathrebu drwy ryngweithio cymdeithasol, taw tri deg dau yw’r ateb.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t xml:space="preserve">Er hyn, mae yna amrywiaeth o ddadleuon yn erbyn lluniadaeth a’r effaith mae’n ei gael ar addysg. Dywedir Anderson et al, (2000) mae addysgu lluniadaeth yn aneffeithiol am fod disgyblion yn dechrau blino wrth iddynt geisio dod o hyd i wybodaeth a chysyniadau newydd. Awgrymir bod rhan fwyaf o’u hamser yn cael ei wario yn ceisio dod o hyd i’r lluniadaeth newydd ac felly nad oes llawer o ddysgu effeithiol yn digwydd sydd yn arwain at wastraffu amser (Anderson et al, 2000). Gan ddweud hynny, mae Lorch (2009) yn cynnig beirniadaeth i hyn ac yn gwneud pwynt hollol bwysig; nid yw athrawon yn oddefol drwy’r broses hon. Pan fydd athrawon yn cynllunio’n gywir ac yn effeithiol mae’r ffordd yma o ddysgu yn llwyddo. Mae Lorch (2009) hefyd yn dadlau bod hi ddim yn wastraff amser am ei fod y dysgu’n cynnwys deilliannau cysylltiedig â phwnc ac mae’n rhoi’r cyfle i blant i ddarganfod beth sydd yn a beth sydd ddim yn gweithio iddyn nhw yn ogystal â mewnwelediad i mewn i brosesau metawybyddiaeth. Mae Steffe a Thompson, (2000, p. 4) yn dadlau mae lluniadaeth wedi cael ei egluro fel y ganlyn: “knowledge can and can only be generated from experience.” Mae’r datganiad hyn yn awgrymu ni all plant ddysgu mewn unrhyw ffordd arall. Fodd bynnag, mae Elkind, (2003) yn dadlau taw nid hyn yw’r sefyllfa mewn rhanfwyaf o ddosbarthiadau dysgu ac er mae ysgolion yn dueddol o roi pwyslais ar un model addysgol, maen nhw’n ymgorffori dulliau eraill o hyd. </w:t>
      </w:r>
    </w:p>
    <w:p w:rsidR="00C3616B" w:rsidRDefault="00C3616B" w:rsidP="00C3616B">
      <w:pPr>
        <w:autoSpaceDE w:val="0"/>
        <w:autoSpaceDN w:val="0"/>
        <w:adjustRightInd w:val="0"/>
        <w:spacing w:line="480" w:lineRule="auto"/>
        <w:rPr>
          <w:rFonts w:ascii="Calibri" w:hAnsi="Calibri" w:cs="Calibri"/>
          <w:sz w:val="24"/>
          <w:szCs w:val="24"/>
        </w:rPr>
      </w:pPr>
      <w:r>
        <w:rPr>
          <w:rFonts w:ascii="Calibri" w:hAnsi="Calibri" w:cs="Calibri"/>
          <w:sz w:val="24"/>
          <w:szCs w:val="24"/>
        </w:rPr>
        <w:tab/>
        <w:t>Fe aeth Vygotsky ymlaen i ddatblygu ‘Y Porth Datblygiad Procsimol’ (PDP), ac ystyriwyd hyn yn un o’i gyfraniadau pwysicaf i addysg (McNiff a Aicher, 2017, p. 14). Diffinwyd PDP fel y ganlyn:</w:t>
      </w:r>
    </w:p>
    <w:p w:rsidR="00C3616B" w:rsidRDefault="00C3616B" w:rsidP="00C3616B">
      <w:pPr>
        <w:autoSpaceDE w:val="0"/>
        <w:autoSpaceDN w:val="0"/>
        <w:adjustRightInd w:val="0"/>
        <w:spacing w:line="240" w:lineRule="auto"/>
        <w:ind w:firstLine="720"/>
        <w:rPr>
          <w:rFonts w:ascii="Calibri" w:hAnsi="Calibri" w:cs="Calibri"/>
          <w:sz w:val="24"/>
          <w:szCs w:val="24"/>
        </w:rPr>
      </w:pPr>
      <w:r>
        <w:rPr>
          <w:rFonts w:ascii="Calibri" w:hAnsi="Calibri" w:cs="Calibri"/>
          <w:sz w:val="24"/>
          <w:szCs w:val="24"/>
        </w:rPr>
        <w:t xml:space="preserve">  The distance between the actual developmental level as determined by independent problem solving and the level of potential development as determined through problem solving under adult guidance or in collaboration with more capable peers (Kuusisaari, 2014, p. 47). </w:t>
      </w:r>
    </w:p>
    <w:p w:rsidR="00C3616B" w:rsidRDefault="00C3616B" w:rsidP="00C3616B">
      <w:pPr>
        <w:autoSpaceDE w:val="0"/>
        <w:autoSpaceDN w:val="0"/>
        <w:adjustRightInd w:val="0"/>
        <w:spacing w:line="480" w:lineRule="auto"/>
        <w:ind w:firstLine="720"/>
        <w:rPr>
          <w:rFonts w:ascii="Calibri" w:hAnsi="Calibri" w:cs="Calibri"/>
          <w:sz w:val="24"/>
          <w:szCs w:val="24"/>
        </w:rPr>
      </w:pPr>
      <w:r>
        <w:rPr>
          <w:rFonts w:ascii="Calibri" w:hAnsi="Calibri" w:cs="Calibri"/>
          <w:sz w:val="24"/>
          <w:szCs w:val="24"/>
        </w:rPr>
        <w:t xml:space="preserve"> </w:t>
      </w:r>
    </w:p>
    <w:p w:rsidR="00135E77" w:rsidRDefault="00C3616B" w:rsidP="00C3616B">
      <w:pPr>
        <w:spacing w:line="480" w:lineRule="auto"/>
        <w:rPr>
          <w:b/>
          <w:sz w:val="24"/>
          <w:szCs w:val="24"/>
          <w:u w:val="single"/>
        </w:rPr>
      </w:pPr>
      <w:r>
        <w:rPr>
          <w:rFonts w:ascii="Calibri" w:hAnsi="Calibri" w:cs="Calibri"/>
          <w:sz w:val="24"/>
          <w:szCs w:val="24"/>
        </w:rPr>
        <w:t>Mynnir Vygotsky taw canlyniad o ryngweithiadau cymdeithasol rhwng plentyn a pherson mwy gwybodus yw bod y plentyn yn dysgu’n weithredol a chaffael ar yr offer o feddwl a dysgu. Yn syml, ni all plentyn symud ymlaen i gyrraedd ei botensial llawn heb gael ei gynorthwyo drwy’r PDP. (Waller, Whitmarsh and Clarke, 2011). Yn dilyn hyn, cyflwynwyd Jerome Bruner ehangiad ar ddamcaniaeth Vygotsky a chyflwyno’r syniad o ‘sgaffaldio’. Amlinellodd bod angen cefnogaeth ac addysgu da oddi wrth athrawon er mwyn i blant gallu symud ymlaen i wneud pethau’n annibynnol ac yn llwyddiannus (McNiff ac Aicher, 2017). Mae Coulson a Harvey (2013) yn dadlau, er mwyn i sgaffaldio weithredu’n effeithiol mae’n angenrheidiol bod athrawon yn cynllunio camau dysgu sydd yn cefnogi datblygiad penderfyniadau priodol. Wrth adfyfyrio ar fy arsylliad gallaf ddadlau bod yr athrawes wedi gwneud hyn yn llwyddiannus gan ddilyn camau’r PDP a sgaffaldio. Credaf fod y dull hwn o addysgu yn hynod o effeithiol ac yn hanfodol ar gyfer datblygiad meddyliol plant. Yn ogystal â hyn, credaf ei bod hi’n hanfodol bod disgyblion yn hyderus gyda’r wybodaeth sydd ganddynt cyn iddynt symud ymlaen i gyrraedd ei botensial llawn.</w:t>
      </w:r>
    </w:p>
    <w:p w:rsidR="00FB2EBD" w:rsidRPr="00841561" w:rsidRDefault="00FB2EBD" w:rsidP="001D4C3A">
      <w:pPr>
        <w:spacing w:line="480" w:lineRule="auto"/>
        <w:rPr>
          <w:b/>
          <w:sz w:val="24"/>
          <w:szCs w:val="24"/>
          <w:u w:val="single"/>
        </w:rPr>
      </w:pPr>
      <w:r w:rsidRPr="00841561">
        <w:rPr>
          <w:b/>
          <w:sz w:val="24"/>
          <w:szCs w:val="24"/>
          <w:u w:val="single"/>
        </w:rPr>
        <w:t>Rhan 3 – Adfyfyrio ac Arloesi</w:t>
      </w:r>
      <w:r w:rsidR="00574EFD" w:rsidRPr="00841561">
        <w:rPr>
          <w:b/>
          <w:sz w:val="24"/>
          <w:szCs w:val="24"/>
          <w:u w:val="single"/>
        </w:rPr>
        <w:t xml:space="preserve"> </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Amcan yr adran hon yw trafod fy nosbarth delfrydol. Yn dilyn fy arsylliad, gwelais a chlywais nifer o bethau diddorol ac fe wnaeth hyn dylanwadu arna’i. Yn ogystal, mae’r cwricwlwm, sydd yn y broses o gael ei ddiwygio, wedi cael dylanwad ar beth roeddwn am gynnwys yn fy nosbarth delfrydol. Wrth i’r cwricwlwm newydd ddechrau cael ei dreialu mewn rhai ysgolion yn barod, mae angen i athrawon bod yn barod i addasu'r hyn maen nhw wedi dod i’r arfer â, a newid eu ffyrdd o feddwl er mwyn sicrhau dyfodol llwyddiannus a llewyrchus i’r plant.  </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i/>
          <w:iCs/>
          <w:sz w:val="24"/>
          <w:szCs w:val="24"/>
          <w:u w:val="single"/>
        </w:rPr>
        <w:t>Wal Hunan Asesu</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Credaf ei fod yn hynod o bwysig bod gan y plant y cyfle i fod yn adfyfyriol gyda’i gwaith. Mae dull o’r fath hyn yn hanfodol i athrawon hefyd er mwyn gwybod lefel dealltwriaeth y plant. Wrth arsylwi mewn dwy ysgol arloesol wahanol, roedd hi’n amlwg bod yr athrawon yn ffafrio’r strategaeth yma. Cyflwynwyd mewn nifer o ffurf wahanol, megis ‘blobs gwynebau gwahanol’, defnyddio lluniau ‘Mr. Men’ a trwy ysgrifennu ar daflennu penodol. Yn sicr, byddaf yn cynnwys wal hunan asesu yn fy ystafell ddosbarth delfrydol am ei fod yn cyfrannu at godi hyder y plant. Mae Cylch Adfyfyrio Gibbs (Lia, 2016) yn uwcholeuo’r prif fanteision o adfyfyrio a hunan asesu. Mae'r rhain yn cynnwys: archwilio mewn i syniadau a dulliau gwahanol neu newydd; i hyrwyddo hunan-welliant trwy nodi cryfderau a gwendidau; a gweithredu arnynt ac i herio’ch tybiaethau.   </w:t>
      </w:r>
    </w:p>
    <w:p w:rsidR="003E09F2" w:rsidRDefault="003E09F2" w:rsidP="003E09F2">
      <w:pPr>
        <w:autoSpaceDE w:val="0"/>
        <w:autoSpaceDN w:val="0"/>
        <w:adjustRightInd w:val="0"/>
        <w:spacing w:line="480" w:lineRule="auto"/>
        <w:rPr>
          <w:rFonts w:ascii="Calibri" w:hAnsi="Calibri" w:cs="Calibri"/>
          <w:i/>
          <w:iCs/>
          <w:sz w:val="24"/>
          <w:szCs w:val="24"/>
          <w:u w:val="single"/>
        </w:rPr>
      </w:pPr>
      <w:r>
        <w:rPr>
          <w:rFonts w:ascii="Calibri" w:hAnsi="Calibri" w:cs="Calibri"/>
          <w:i/>
          <w:iCs/>
          <w:sz w:val="24"/>
          <w:szCs w:val="24"/>
          <w:u w:val="single"/>
        </w:rPr>
        <w:t>Wal Mathemateg a Wal Llythrennedd</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Teimlaf fod wal mathemateg yn angenrheidiol o fewn ystafell ddosbarth Cyfnod Allweddol Dau. Bydd y wal yn cynnwys amrywiaeth o eirfa fathemategol sydd yn cyfateb gyda’r hyn byddwn yn dysgu ar y pryd. Wrth wneud hyn, mae’n fwy tebygol bydd y geiriau allweddol yn cael eu hintegreiddio i mewn i feddwl y plant a, dros amser, byddwn yn eu defnyddio’n naturiol. Yn ogystal â geirfa bydd y plant yn gallu gweld y mathau o wahanol ddulliau mathemategol a byddai'r rhain yn dod yn gyffredin iddynt wrth eu gweld bob dydd. Mae’r Maes Dysgu a Phrofiad Mathemateg a Rhifedd, sydd wedi’i hardystio gan Donaldson, yn hyrwyddo mathemateg “fel profiad dysgu gydol oes bwrpasol a boddhaus, mewn byd sy'n newid drwy'r adeg” (Maes Dysgu a Phrofiad Mathemateg a Rhifedd, 2017). Yn ôl y Fframwaith Llythrennedd a Rhifedd Cenedlaethol (FfLlRh) mae yna ddisgwyl i ddysgwyr i ddatblygu sgiliau rhesymu rhifol, defnyddio sgiliau rhifau, defnyddio sgiliau mesur a defnyddio sgiliau data (2014). Mae Dyfodol Llwyddiannus (2015) yn argymell bod FfLlR yn parhau i gael ei weithredu ynghlwm a’r cwricwlwm newydd am fod tystiolaeth i ddangos eu bod yn gweithio. </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ab/>
        <w:t>Yn yr un modd, byddaf yn cynnwys Wal Llythrennedd yn fy nosbarth delfrydol. Yn ôl ‘The Education Endowment Foundation’ (2017), mae sgiliau llythrennedd da yn angenrheidiol, nid yn unig ar gyfer llwyddiant academaidd, ond ar gyfer cyflawni gyrfaoedd gwobrwyol yn y dyfodol. Bydd y wal hon, yn bennaf, i helpu’r plant i ddod i adnabod ystod o eiriau eang ac i bwysleisio'r pwysigrwydd o ramadeg megis, amrywio dechrau brawddegau, atalnodi a rhannau ymadrod. Wrth wneud fy arsylliad, sylweddolais fod gan ddosbarthiadau Ysgol X wal llythrennedd, ac yn ei hadroddiad Estyn (2017), mae’r ysgol yn cael ei ganmol am y ffordd mae disgyblion yn ysgrifennu’n feddylgar ac yn ddychmygus ac yn dangos gafael gadarn ar ystod o ffurf ysgrifennu. Er fy mod yn cytuno gyda’r syniad o arddangos wal llythrennedd o fewn y dosbarth, rwyf yn gwerthfawrogi’r ffaith taw nid dim ond ysgrifennu yw llythrennedd, ond darllen, gwrando a siarad hefyd. Felly, gwnaf yn siŵr fy mod yn gweithredu ar hyn mewn modd gwahanol, er enghraifft, byddaf yn cynnwys ardal darllen yn fy nosbarth. Rydyn yn ymwybodol nad oes gan bob plentyn y cyfle i ddarllen yn y cartref ac felly mae’n angenrheidiol iddynt gael y cyfle yn yr ysgol. Mae llythrennedd a rhifedd yn hynod o bwysig i gynnwys yn drawsgwricwlaidd, ac fel gwelir yn y ddogfen Ddyfodol Lwyddiannus, (2015, p. 20), “mae llythrennedd a rhifedd yn cael eu cydnabod yn sylfeini hanfodol i addysg ym mhobman.”</w:t>
      </w:r>
    </w:p>
    <w:p w:rsidR="003E09F2" w:rsidRDefault="003E09F2" w:rsidP="003E09F2">
      <w:pPr>
        <w:autoSpaceDE w:val="0"/>
        <w:autoSpaceDN w:val="0"/>
        <w:adjustRightInd w:val="0"/>
        <w:spacing w:line="480" w:lineRule="auto"/>
        <w:rPr>
          <w:rFonts w:ascii="Calibri" w:hAnsi="Calibri" w:cs="Calibri"/>
          <w:i/>
          <w:iCs/>
          <w:sz w:val="24"/>
          <w:szCs w:val="24"/>
          <w:u w:val="single"/>
        </w:rPr>
      </w:pPr>
      <w:r>
        <w:rPr>
          <w:rFonts w:ascii="Calibri" w:hAnsi="Calibri" w:cs="Calibri"/>
          <w:i/>
          <w:iCs/>
          <w:sz w:val="24"/>
          <w:szCs w:val="24"/>
          <w:u w:val="single"/>
        </w:rPr>
        <w:t>Cornel TGCh</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Yn fy marn i, mae ardal TGCh yn un o’r ardaloedd pwysicaf o fewn dosbarth, yn enwedig wrth symud ymlaen tuag at y cwricwlwm newydd sydd yn cael ei gynnal gan Donaldson. Yn wir, mae TGCh nawr yn cael ei hystyried yr un mor bwysig â llythrennedd a rhifedd  ac mae “angen i’n pobl ifanc fod yn barod i ddysgu drwy gydol eu hoes, ar ôl gadael yr ysgol â sgiliau llythrennedd a rhifedd cadarn, a gallu a hyder i ddefnyddio technoleg” (Dyfodol Llwyddiannus, 2015, p. 30). Yn adroddiad Ysgol X, dywed Estyn (2017) bod mwyafrif o’r disgyblion yn defnyddio’i sgiliau TGCh yn briodol ar draws y cwricwlwm. Dangosir hyn bod Ysgol X, am ei fod yn ysgol arloesol, wedi dechrau gweithredu yn drawsgwricwlaidd. Mae’r meysydd dysgu a phrofiad yn uwcholeuo’r prif resymau dros weithredu TGCh yn drawsgwricwlaidd, mae rhai o ‘r rhain yn cynnwys: datblygu sgiliau mewn arsylwi, ymchwil a meddwl yn feirniadol; dysgu sgiliau er mwyn defnyddio technolegau’n greadigol; datblygu sgiliau myfyrio (Llywodraeth Cymru, 2017, p. 22). </w:t>
      </w:r>
    </w:p>
    <w:p w:rsidR="003E09F2" w:rsidRDefault="003E09F2" w:rsidP="003E09F2">
      <w:pPr>
        <w:autoSpaceDE w:val="0"/>
        <w:autoSpaceDN w:val="0"/>
        <w:adjustRightInd w:val="0"/>
        <w:spacing w:line="480" w:lineRule="auto"/>
        <w:rPr>
          <w:rFonts w:ascii="Calibri" w:hAnsi="Calibri" w:cs="Calibri"/>
          <w:i/>
          <w:iCs/>
          <w:sz w:val="24"/>
          <w:szCs w:val="24"/>
          <w:u w:val="single"/>
        </w:rPr>
      </w:pPr>
      <w:r>
        <w:rPr>
          <w:rFonts w:ascii="Calibri" w:hAnsi="Calibri" w:cs="Calibri"/>
          <w:i/>
          <w:iCs/>
          <w:sz w:val="24"/>
          <w:szCs w:val="24"/>
          <w:u w:val="single"/>
        </w:rPr>
        <w:t xml:space="preserve">Wal Hawliau Plant </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Yn fy nosbarth delfrydol i fydd hawliau plant yn cael eu harddangos yn glir ar y wal. Wrth arsylwi yn Ysgol X ac Ysgol Y, sef yr ail ysgol o’m phrofiad pontio, sylweddolais fod hawliau plant wedi cael eu gosod ym mhobman, gan gynnwys y tramwyfeydd, ar y grisiau, ac ar waliau’r dosbarthiadau.  Yn ôl Unicef (2017), </w:t>
      </w:r>
    </w:p>
    <w:p w:rsidR="003E09F2" w:rsidRDefault="003E09F2" w:rsidP="003E09F2">
      <w:pPr>
        <w:autoSpaceDE w:val="0"/>
        <w:autoSpaceDN w:val="0"/>
        <w:adjustRightInd w:val="0"/>
        <w:spacing w:line="240" w:lineRule="auto"/>
        <w:rPr>
          <w:rFonts w:ascii="Calibri" w:hAnsi="Calibri" w:cs="Calibri"/>
          <w:sz w:val="24"/>
          <w:szCs w:val="24"/>
        </w:rPr>
      </w:pPr>
      <w:r>
        <w:rPr>
          <w:rFonts w:ascii="Calibri" w:hAnsi="Calibri" w:cs="Calibri"/>
          <w:sz w:val="24"/>
          <w:szCs w:val="24"/>
        </w:rPr>
        <w:tab/>
        <w:t>Learning about child rights and the child rights approach empowers children and adults to bring about change in their immediate environment and the world at large to ensure that the rights of all children are fully realized.</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ab/>
        <w:t>Credaf yn gryf mewn ymwybyddiaeth plant o’u hawliau a dylai’r wybodaeth yma fod ar gael yn weledol iddynt ar bob adeg. Fel dosbarth byddwn yn mynd dros yr hawliau a pob mis byddwn yn canolbwyntio ar ‘hawl y mis’. Roedd y strategaeth yma yn cael ei weithredu o fewn Ysgol Y ac roedd hi’n gweithio yn arbennig o dda. Roedd y disgyblion i gyd yn ymwybodol o hawl y mis hynny ac roeddent yn deall ei phwrpas. Er hynny, mae yna nifer o ffurf wahanol i hyrwyddo hawliau plant o fewn yr ysgol, gan gynnwys hyrwyddo cwricwlwm sy'n ceisio rhoi sgiliau rhifedd a llythrennedd i blant, yn ogystal â gwybodaeth mewn gwyddoniaeth, y dyniaethau, chwaraeon, celfyddydau a darparu cyfleoedd ar gyfer yr hawl i ddatblygiad gorau posibl (Unicef, 2017).</w:t>
      </w:r>
    </w:p>
    <w:p w:rsidR="003E09F2" w:rsidRDefault="003E09F2" w:rsidP="003E09F2">
      <w:pPr>
        <w:autoSpaceDE w:val="0"/>
        <w:autoSpaceDN w:val="0"/>
        <w:adjustRightInd w:val="0"/>
        <w:spacing w:line="480" w:lineRule="auto"/>
        <w:rPr>
          <w:rFonts w:ascii="Calibri" w:hAnsi="Calibri" w:cs="Calibri"/>
          <w:i/>
          <w:iCs/>
          <w:sz w:val="24"/>
          <w:szCs w:val="24"/>
          <w:u w:val="single"/>
        </w:rPr>
      </w:pPr>
      <w:r>
        <w:rPr>
          <w:rFonts w:ascii="Calibri" w:hAnsi="Calibri" w:cs="Calibri"/>
          <w:i/>
          <w:iCs/>
          <w:sz w:val="24"/>
          <w:szCs w:val="24"/>
          <w:u w:val="single"/>
        </w:rPr>
        <w:t>Ardal allanol</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Fel y mae ar hyn o bryd, nid oes llawer o bwyslais ar ardaloedd allanol ar gyfer dosbarthiadau Cyfnod Allweddol 2. Mae’r syniad hwnnw’n perthyn i’r Cyfnod Sylfaen. Fodd bynnag, wrth i’r cwricwlwm newydd ddechrau cael ei weithredu yn fuan, mae yna bwyslais ar barhau â’r syniad hyn o ddysgu allanol trwy gydol yr ysgol gyfan. Felly, yn bendant byddaf am gynnwys ardal allanol yn fy nosbarth delfrydol. Mae Dyfodol Llwyddiannus (2015), yn dweud ei fod wedi dewis y term ‘Maes Dysgu a Phrofiad’ am fod y bwriad yw dangos bod profiadau addysgol yr un mor bwysig i ddatblygiad plentyn er mwyn “ehangu gorwelion plant a phobl ifanc, symbylu eu dychymyg a hybu mwynhad wrth ddysgu.” Mae dysgu allanol yn hybu creadigrwydd o fewn plant Cyfnod Sylfaen ac felly does dim rheswm i’r profiadau hyn orffen wrth iddynt drosglwyddo i Gyfnod Allweddol 2. Mae llawer o sylw yn cael ei rhoi i iechyd a lles o fewn y cwricwlwm newydd a theimlaf yn gryf bod dysgu tu allan yn cyfrannu ‘n fawr at hyn. Wrth i blant profi’r awyr agored mewn sefyllfa addysgol maent yn derbyn profiadau unigryw a bydd yn eu hybu i gymryd rhan mewn gweithgareddau, gweithio fel tîm ac yn bennaf, mwynhau dysgu.   </w:t>
      </w:r>
    </w:p>
    <w:p w:rsidR="003E09F2" w:rsidRDefault="003E09F2" w:rsidP="003E09F2">
      <w:pPr>
        <w:autoSpaceDE w:val="0"/>
        <w:autoSpaceDN w:val="0"/>
        <w:adjustRightInd w:val="0"/>
        <w:spacing w:line="480" w:lineRule="auto"/>
        <w:rPr>
          <w:rFonts w:ascii="Calibri" w:hAnsi="Calibri" w:cs="Calibri"/>
          <w:i/>
          <w:iCs/>
          <w:sz w:val="24"/>
          <w:szCs w:val="24"/>
          <w:u w:val="single"/>
        </w:rPr>
      </w:pPr>
      <w:r>
        <w:rPr>
          <w:rFonts w:ascii="Calibri" w:hAnsi="Calibri" w:cs="Calibri"/>
          <w:i/>
          <w:iCs/>
          <w:sz w:val="24"/>
          <w:szCs w:val="24"/>
          <w:u w:val="single"/>
        </w:rPr>
        <w:t>Desg Tasg Ffocws</w:t>
      </w:r>
    </w:p>
    <w:p w:rsidR="00FC6B42" w:rsidRPr="00841561" w:rsidRDefault="003E09F2" w:rsidP="003E09F2">
      <w:pPr>
        <w:spacing w:line="480" w:lineRule="auto"/>
        <w:rPr>
          <w:rFonts w:cstheme="minorHAnsi"/>
          <w:sz w:val="24"/>
          <w:szCs w:val="24"/>
          <w:shd w:val="clear" w:color="auto" w:fill="FFFFFF"/>
        </w:rPr>
      </w:pPr>
      <w:r>
        <w:rPr>
          <w:rFonts w:ascii="Calibri" w:hAnsi="Calibri" w:cs="Calibri"/>
          <w:sz w:val="24"/>
          <w:szCs w:val="24"/>
        </w:rPr>
        <w:t>Rwyf wedi cynnwys desg tasg ffocws yn fy nosbarth delfrydol am fy mod yn credu ei fod yn syniad sydd yn gweithio’n dda iawn. Yn Ysgol X ac Ysgol Y, arsylwyd bod y ddesg o’r fath hyn yn boblogaidd tu hwnt. Ei phwrpas yw i’r athro/athrawes i gymryd grŵp o ddisgyblion a gwneud gwaith penodol gyda nhw. Bydd gweddill y dosbarth yn parhau gyda gwaith arall. Mae siâp y ddesg yn arwyddocaol am ei fod yn rhoi ardal benodol i’r athro/athrawes i eistedd ac yna bu’r disgyblion yn eistedd mewn hanner cylch yn wynebu’r athro/athrawes. Credaf fod y strategaeth hon yn effeithiol wrth geisio targedu grŵp penodol o blant. Mae’n rhoi’r cyfle i’r plant i gael amser gyda’r athro/athrawes mewn grŵp bach ac mae’n rhoi’r cyfle i’r athro/athrawes i asesu’r plant ac i weld eu cryfderau a gwendidau.</w:t>
      </w:r>
    </w:p>
    <w:p w:rsidR="00FC6B42" w:rsidRPr="00841561" w:rsidRDefault="00FC6B42" w:rsidP="001D4C3A">
      <w:pPr>
        <w:spacing w:line="480" w:lineRule="auto"/>
        <w:rPr>
          <w:rFonts w:cstheme="minorHAnsi"/>
          <w:b/>
          <w:sz w:val="24"/>
          <w:szCs w:val="24"/>
          <w:u w:val="single"/>
          <w:shd w:val="clear" w:color="auto" w:fill="FFFFFF"/>
        </w:rPr>
      </w:pPr>
      <w:r w:rsidRPr="00841561">
        <w:rPr>
          <w:rFonts w:cstheme="minorHAnsi"/>
          <w:b/>
          <w:sz w:val="24"/>
          <w:szCs w:val="24"/>
          <w:u w:val="single"/>
          <w:shd w:val="clear" w:color="auto" w:fill="FFFFFF"/>
        </w:rPr>
        <w:t>Casgliad</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 xml:space="preserve">I gloi, hoffwn dynnu eich sylw at bwysigrwydd siarad archwiliadol. Er mae damcaniaethwyr ac addysgwyr yn parhau i edrych ar siarad archwiliadol mewn ffurf wahanol, y consensws cyffredin yw ei fod yn angenrheidiol ar gyfer datblygiad meddyliol plant yn ogystal â’i ddatblygiad cymdeithasol. </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ab/>
        <w:t>Trwy ddarparu’r cyfle i blant i foddio mewn siarad archwiliadol o fewn amgylchedd addysgol, mae athrawon yn rhoi’r siawns iddynt i archwilio eu meddyliau, datrys problemau ac i ddysgu wrth eu cyfoedion. Mae modd gweld hyn yn adran dau trwy ddadansoddi’r ddeialog. Mae siarad archwiliadol yn fwy na siarad, mae’n sgil ac mae rhaid iddo gael ei feithrin yn gynnar. Wrth siarad yn archwiliadol o fewn yr ystafell dosbarth mae plant yn magu hyder ac, o fewn amser, bydd hwn yn cyfrannu at drawsnewid y plant hyn mewn i ddinasyddion sydd yn gyfranwyr mentrus sydd yn barod i chwarae eu rhan o fewn y gymuned a'r byd gwaith (Diwygio’r Cwricwlwm, 2016).</w:t>
      </w:r>
    </w:p>
    <w:p w:rsidR="003E09F2" w:rsidRDefault="003E09F2" w:rsidP="003E09F2">
      <w:pPr>
        <w:autoSpaceDE w:val="0"/>
        <w:autoSpaceDN w:val="0"/>
        <w:adjustRightInd w:val="0"/>
        <w:spacing w:line="480" w:lineRule="auto"/>
        <w:rPr>
          <w:rFonts w:ascii="Calibri" w:hAnsi="Calibri" w:cs="Calibri"/>
          <w:sz w:val="24"/>
          <w:szCs w:val="24"/>
        </w:rPr>
      </w:pPr>
      <w:r>
        <w:rPr>
          <w:rFonts w:ascii="Calibri" w:hAnsi="Calibri" w:cs="Calibri"/>
          <w:sz w:val="24"/>
          <w:szCs w:val="24"/>
        </w:rPr>
        <w:tab/>
        <w:t>Teimlaf fod fy mhoster o’n ddosbarth delfrydol yn darparu’r cyfle i blant i siarad yn archwiliadol. Wrth gynnwys ardal allanol, desg tasg ffocws ac ardal darllen, bydd gan y disgyblion y rhyddid i drafod ymysg eu hun a darganfod gwybodaeth newydd yn annibynnol gyda mi, fel yr athrawes, yn sgaffaldio.</w:t>
      </w:r>
    </w:p>
    <w:p w:rsidR="00D054DE" w:rsidRDefault="003E09F2" w:rsidP="003E09F2">
      <w:pPr>
        <w:spacing w:line="480" w:lineRule="auto"/>
        <w:rPr>
          <w:rFonts w:cstheme="minorHAnsi"/>
          <w:sz w:val="24"/>
          <w:szCs w:val="24"/>
          <w:shd w:val="clear" w:color="auto" w:fill="FFFFFF"/>
        </w:rPr>
      </w:pPr>
      <w:r>
        <w:rPr>
          <w:rFonts w:ascii="Calibri" w:hAnsi="Calibri" w:cs="Calibri"/>
          <w:sz w:val="24"/>
          <w:szCs w:val="24"/>
        </w:rPr>
        <w:tab/>
        <w:t>Yn dilyn fy arsylliad a’r ymchwil rwyf wedi’i wneud, credaf fod PDP a</w:t>
      </w:r>
      <w:r>
        <w:rPr>
          <w:rFonts w:ascii="Calibri" w:hAnsi="Calibri" w:cs="Calibri"/>
          <w:color w:val="FF0000"/>
          <w:sz w:val="24"/>
          <w:szCs w:val="24"/>
        </w:rPr>
        <w:t xml:space="preserve"> </w:t>
      </w:r>
      <w:r>
        <w:rPr>
          <w:rFonts w:ascii="Calibri" w:hAnsi="Calibri" w:cs="Calibri"/>
          <w:sz w:val="24"/>
          <w:szCs w:val="24"/>
        </w:rPr>
        <w:t>sgaffaldio yn chwarae rhan hynod o effeithiol wrth addysgu plant i weithio’n annibynnol. Cytunaf gyda Vygotsky a Bruner bod angen mewnbwn y dilynwr dosbarth i ddechrau er mwyn codi hyder y plant, ond yna dylid gadael y plant i ddarganfod pethau drosto’u hunain. Gwelais hyn yn cael ei weithredu yn effeithiol ac yn llwyddiannus, yn felly yn cefnogi’r hyn mae’r damcaniaethwyr uchod yn eu dweud.</w:t>
      </w:r>
    </w:p>
    <w:p w:rsidR="00D054DE" w:rsidRDefault="00D054DE" w:rsidP="001D4C3A">
      <w:pPr>
        <w:spacing w:line="480" w:lineRule="auto"/>
        <w:rPr>
          <w:rFonts w:cstheme="minorHAnsi"/>
          <w:sz w:val="24"/>
          <w:szCs w:val="24"/>
          <w:shd w:val="clear" w:color="auto" w:fill="FFFFFF"/>
        </w:rPr>
      </w:pPr>
    </w:p>
    <w:p w:rsidR="00D054DE" w:rsidRDefault="00D054DE" w:rsidP="001D4C3A">
      <w:pPr>
        <w:spacing w:line="480" w:lineRule="auto"/>
        <w:rPr>
          <w:rFonts w:cstheme="minorHAnsi"/>
          <w:sz w:val="24"/>
          <w:szCs w:val="24"/>
          <w:shd w:val="clear" w:color="auto" w:fill="FFFFFF"/>
        </w:rPr>
      </w:pPr>
    </w:p>
    <w:p w:rsidR="00D054DE" w:rsidRDefault="00D054DE" w:rsidP="001D4C3A">
      <w:pPr>
        <w:spacing w:line="480" w:lineRule="auto"/>
        <w:rPr>
          <w:rFonts w:cstheme="minorHAnsi"/>
          <w:sz w:val="24"/>
          <w:szCs w:val="24"/>
          <w:shd w:val="clear" w:color="auto" w:fill="FFFFFF"/>
        </w:rPr>
      </w:pPr>
    </w:p>
    <w:p w:rsidR="00D054DE" w:rsidRDefault="00D054DE" w:rsidP="001D4C3A">
      <w:pPr>
        <w:spacing w:line="480" w:lineRule="auto"/>
        <w:rPr>
          <w:rFonts w:cstheme="minorHAnsi"/>
          <w:sz w:val="24"/>
          <w:szCs w:val="24"/>
          <w:shd w:val="clear" w:color="auto" w:fill="FFFFFF"/>
        </w:rPr>
      </w:pPr>
    </w:p>
    <w:p w:rsidR="003E09F2" w:rsidRDefault="003E09F2" w:rsidP="008B31B5">
      <w:pPr>
        <w:spacing w:line="480" w:lineRule="auto"/>
        <w:rPr>
          <w:rFonts w:cstheme="minorHAnsi"/>
          <w:b/>
          <w:sz w:val="24"/>
          <w:szCs w:val="24"/>
          <w:u w:val="single"/>
          <w:shd w:val="clear" w:color="auto" w:fill="FFFFFF"/>
        </w:rPr>
      </w:pPr>
    </w:p>
    <w:p w:rsidR="003E09F2" w:rsidRDefault="003E09F2" w:rsidP="008B31B5">
      <w:pPr>
        <w:spacing w:line="480" w:lineRule="auto"/>
        <w:rPr>
          <w:rFonts w:cstheme="minorHAnsi"/>
          <w:b/>
          <w:sz w:val="24"/>
          <w:szCs w:val="24"/>
          <w:u w:val="single"/>
          <w:shd w:val="clear" w:color="auto" w:fill="FFFFFF"/>
        </w:rPr>
      </w:pPr>
    </w:p>
    <w:p w:rsidR="003E09F2" w:rsidRDefault="003E09F2" w:rsidP="008B31B5">
      <w:pPr>
        <w:spacing w:line="480" w:lineRule="auto"/>
        <w:rPr>
          <w:rFonts w:cstheme="minorHAnsi"/>
          <w:b/>
          <w:sz w:val="24"/>
          <w:szCs w:val="24"/>
          <w:u w:val="single"/>
          <w:shd w:val="clear" w:color="auto" w:fill="FFFFFF"/>
        </w:rPr>
      </w:pPr>
    </w:p>
    <w:p w:rsidR="003E09F2" w:rsidRDefault="003E09F2" w:rsidP="008B31B5">
      <w:pPr>
        <w:spacing w:line="480" w:lineRule="auto"/>
        <w:rPr>
          <w:rFonts w:cstheme="minorHAnsi"/>
          <w:b/>
          <w:sz w:val="24"/>
          <w:szCs w:val="24"/>
          <w:u w:val="single"/>
          <w:shd w:val="clear" w:color="auto" w:fill="FFFFFF"/>
        </w:rPr>
      </w:pPr>
    </w:p>
    <w:p w:rsidR="003E09F2" w:rsidRDefault="003E09F2" w:rsidP="008B31B5">
      <w:pPr>
        <w:spacing w:line="480" w:lineRule="auto"/>
        <w:rPr>
          <w:rFonts w:cstheme="minorHAnsi"/>
          <w:b/>
          <w:sz w:val="24"/>
          <w:szCs w:val="24"/>
          <w:u w:val="single"/>
          <w:shd w:val="clear" w:color="auto" w:fill="FFFFFF"/>
        </w:rPr>
      </w:pPr>
    </w:p>
    <w:p w:rsidR="003E09F2" w:rsidRDefault="003E09F2" w:rsidP="008B31B5">
      <w:pPr>
        <w:spacing w:line="480" w:lineRule="auto"/>
        <w:rPr>
          <w:rFonts w:cstheme="minorHAnsi"/>
          <w:b/>
          <w:sz w:val="24"/>
          <w:szCs w:val="24"/>
          <w:u w:val="single"/>
          <w:shd w:val="clear" w:color="auto" w:fill="FFFFFF"/>
        </w:rPr>
      </w:pPr>
    </w:p>
    <w:p w:rsidR="008B31B5" w:rsidRDefault="00D054DE" w:rsidP="008B31B5">
      <w:pPr>
        <w:spacing w:line="480" w:lineRule="auto"/>
        <w:rPr>
          <w:rFonts w:cstheme="minorHAnsi"/>
          <w:b/>
          <w:sz w:val="24"/>
          <w:szCs w:val="24"/>
          <w:u w:val="single"/>
          <w:shd w:val="clear" w:color="auto" w:fill="FFFFFF"/>
        </w:rPr>
      </w:pPr>
      <w:r w:rsidRPr="00D054DE">
        <w:rPr>
          <w:rFonts w:cstheme="minorHAnsi"/>
          <w:b/>
          <w:sz w:val="24"/>
          <w:szCs w:val="24"/>
          <w:u w:val="single"/>
          <w:shd w:val="clear" w:color="auto" w:fill="FFFFFF"/>
        </w:rPr>
        <w:t>Llyfryddiaeth</w:t>
      </w:r>
    </w:p>
    <w:p w:rsidR="00072472" w:rsidRDefault="00072472" w:rsidP="00072472">
      <w:pPr>
        <w:pStyle w:val="ListParagraph"/>
        <w:numPr>
          <w:ilvl w:val="0"/>
          <w:numId w:val="12"/>
        </w:numPr>
        <w:rPr>
          <w:rFonts w:cstheme="minorHAnsi"/>
          <w:sz w:val="24"/>
          <w:szCs w:val="24"/>
          <w:shd w:val="clear" w:color="auto" w:fill="FFFFFF"/>
        </w:rPr>
      </w:pPr>
      <w:r w:rsidRPr="00FE30F9">
        <w:rPr>
          <w:rFonts w:cstheme="minorHAnsi"/>
          <w:sz w:val="24"/>
          <w:szCs w:val="24"/>
          <w:shd w:val="clear" w:color="auto" w:fill="FFFFFF"/>
        </w:rPr>
        <w:t xml:space="preserve">Bakhurst, D. And Shanker, S. G., (2001) </w:t>
      </w:r>
      <w:r w:rsidRPr="00FE30F9">
        <w:rPr>
          <w:rFonts w:cstheme="minorHAnsi"/>
          <w:i/>
          <w:sz w:val="24"/>
          <w:szCs w:val="24"/>
          <w:shd w:val="clear" w:color="auto" w:fill="FFFFFF"/>
        </w:rPr>
        <w:t xml:space="preserve">Jerome Bruner: Language, Culture and Self. </w:t>
      </w:r>
      <w:r w:rsidRPr="00FE30F9">
        <w:rPr>
          <w:rFonts w:cstheme="minorHAnsi"/>
          <w:sz w:val="24"/>
          <w:szCs w:val="24"/>
          <w:shd w:val="clear" w:color="auto" w:fill="FFFFFF"/>
        </w:rPr>
        <w:t xml:space="preserve">London: SAGE Publications Ltd. </w:t>
      </w:r>
    </w:p>
    <w:p w:rsidR="001C734F" w:rsidRPr="001C734F" w:rsidRDefault="001C734F" w:rsidP="001C734F">
      <w:pPr>
        <w:pStyle w:val="ListParagraph"/>
        <w:numPr>
          <w:ilvl w:val="0"/>
          <w:numId w:val="12"/>
        </w:numPr>
        <w:rPr>
          <w:sz w:val="24"/>
        </w:rPr>
      </w:pPr>
      <w:r>
        <w:rPr>
          <w:sz w:val="24"/>
        </w:rPr>
        <w:t xml:space="preserve">Barnes, D. (1976) </w:t>
      </w:r>
      <w:r>
        <w:rPr>
          <w:i/>
          <w:sz w:val="24"/>
        </w:rPr>
        <w:t xml:space="preserve">From Communication to Curriculum. </w:t>
      </w:r>
      <w:r>
        <w:rPr>
          <w:sz w:val="24"/>
        </w:rPr>
        <w:t>England: Penguin Books Ltd.</w:t>
      </w:r>
    </w:p>
    <w:p w:rsidR="001C734F" w:rsidRDefault="001C734F" w:rsidP="001C734F">
      <w:pPr>
        <w:pStyle w:val="ListParagraph"/>
        <w:numPr>
          <w:ilvl w:val="0"/>
          <w:numId w:val="12"/>
        </w:numPr>
        <w:rPr>
          <w:sz w:val="24"/>
        </w:rPr>
      </w:pPr>
      <w:r w:rsidRPr="00FE30F9">
        <w:rPr>
          <w:sz w:val="24"/>
        </w:rPr>
        <w:t xml:space="preserve">Bernstein, B. (2003) </w:t>
      </w:r>
      <w:r w:rsidRPr="00FE30F9">
        <w:rPr>
          <w:i/>
          <w:sz w:val="24"/>
        </w:rPr>
        <w:t xml:space="preserve">Class, Codes and Control. </w:t>
      </w:r>
      <w:r w:rsidRPr="00FE30F9">
        <w:rPr>
          <w:sz w:val="24"/>
        </w:rPr>
        <w:t xml:space="preserve">London: Routledge. </w:t>
      </w:r>
    </w:p>
    <w:p w:rsidR="001C734F" w:rsidRPr="001C734F" w:rsidRDefault="001C734F" w:rsidP="001C734F">
      <w:pPr>
        <w:pStyle w:val="ListParagraph"/>
        <w:numPr>
          <w:ilvl w:val="0"/>
          <w:numId w:val="12"/>
        </w:numPr>
        <w:rPr>
          <w:sz w:val="24"/>
        </w:rPr>
      </w:pPr>
      <w:r>
        <w:rPr>
          <w:sz w:val="24"/>
        </w:rPr>
        <w:t xml:space="preserve">Bourne, J. (1994) </w:t>
      </w:r>
      <w:r>
        <w:rPr>
          <w:i/>
          <w:sz w:val="24"/>
        </w:rPr>
        <w:t xml:space="preserve">Thinking Through Primary Practice. </w:t>
      </w:r>
      <w:r>
        <w:rPr>
          <w:sz w:val="24"/>
        </w:rPr>
        <w:t>London and New York: Routledge.</w:t>
      </w:r>
    </w:p>
    <w:p w:rsidR="001C734F" w:rsidRPr="00FE30F9" w:rsidRDefault="001C734F" w:rsidP="001C734F">
      <w:pPr>
        <w:pStyle w:val="ListParagraph"/>
        <w:numPr>
          <w:ilvl w:val="0"/>
          <w:numId w:val="12"/>
        </w:numPr>
        <w:spacing w:line="240" w:lineRule="auto"/>
        <w:rPr>
          <w:rFonts w:cstheme="minorHAnsi"/>
          <w:b/>
          <w:sz w:val="24"/>
          <w:szCs w:val="24"/>
          <w:u w:val="single"/>
          <w:shd w:val="clear" w:color="auto" w:fill="FFFFFF"/>
        </w:rPr>
      </w:pPr>
      <w:r w:rsidRPr="00FE30F9">
        <w:rPr>
          <w:rFonts w:cstheme="minorHAnsi"/>
          <w:sz w:val="24"/>
          <w:szCs w:val="24"/>
          <w:shd w:val="clear" w:color="auto" w:fill="FFFFFF"/>
        </w:rPr>
        <w:t xml:space="preserve">Brookfield, S. (2017) </w:t>
      </w:r>
      <w:r w:rsidRPr="00FE30F9">
        <w:rPr>
          <w:rFonts w:cstheme="minorHAnsi"/>
          <w:i/>
          <w:sz w:val="24"/>
          <w:szCs w:val="24"/>
          <w:shd w:val="clear" w:color="auto" w:fill="FFFFFF"/>
        </w:rPr>
        <w:t xml:space="preserve">Becoming a Critically Reflective Teacher. </w:t>
      </w:r>
      <w:r w:rsidRPr="00FE30F9">
        <w:rPr>
          <w:rFonts w:cstheme="minorHAnsi"/>
          <w:sz w:val="24"/>
          <w:szCs w:val="24"/>
          <w:shd w:val="clear" w:color="auto" w:fill="FFFFFF"/>
        </w:rPr>
        <w:t>San Francisco: John Wiley &amp; Sons.</w:t>
      </w:r>
    </w:p>
    <w:p w:rsidR="001C734F" w:rsidRDefault="001C734F" w:rsidP="001C734F">
      <w:pPr>
        <w:pStyle w:val="ListParagraph"/>
        <w:numPr>
          <w:ilvl w:val="0"/>
          <w:numId w:val="12"/>
        </w:numPr>
      </w:pPr>
      <w:r w:rsidRPr="00FE30F9">
        <w:rPr>
          <w:rFonts w:cstheme="minorHAnsi"/>
          <w:sz w:val="24"/>
          <w:szCs w:val="24"/>
          <w:shd w:val="clear" w:color="auto" w:fill="FFFFFF"/>
        </w:rPr>
        <w:t xml:space="preserve">Brookfield, S. (1996) </w:t>
      </w:r>
      <w:r w:rsidRPr="00FE30F9">
        <w:rPr>
          <w:rFonts w:cstheme="minorHAnsi"/>
          <w:i/>
          <w:sz w:val="24"/>
          <w:szCs w:val="24"/>
          <w:shd w:val="clear" w:color="auto" w:fill="FFFFFF"/>
        </w:rPr>
        <w:t xml:space="preserve">Through the Lens of Learning: How Experiencing Difficult Learning Challenges and Changes Assumptions About Teaching. </w:t>
      </w:r>
      <w:r w:rsidRPr="00FE30F9">
        <w:rPr>
          <w:rFonts w:cstheme="minorHAnsi"/>
          <w:sz w:val="24"/>
          <w:szCs w:val="24"/>
          <w:shd w:val="clear" w:color="auto" w:fill="FFFFFF"/>
        </w:rPr>
        <w:t>Lincoln: University of Nebraska.</w:t>
      </w:r>
      <w:r w:rsidRPr="00FE30F9">
        <w:rPr>
          <w:rFonts w:cstheme="minorHAnsi"/>
          <w:i/>
          <w:sz w:val="24"/>
          <w:szCs w:val="24"/>
          <w:shd w:val="clear" w:color="auto" w:fill="FFFFFF"/>
        </w:rPr>
        <w:t xml:space="preserve"> </w:t>
      </w:r>
      <w:r w:rsidRPr="00FE30F9">
        <w:rPr>
          <w:b/>
          <w:color w:val="7030A0"/>
          <w:sz w:val="28"/>
        </w:rPr>
        <w:t xml:space="preserve"> </w:t>
      </w:r>
      <w:hyperlink r:id="rId8" w:history="1">
        <w:r w:rsidRPr="00FE30F9">
          <w:rPr>
            <w:rStyle w:val="Hyperlink"/>
            <w:sz w:val="24"/>
          </w:rPr>
          <w:t>http://digitalcommons.unl.edu/cgi/viewcontent.cgi?article=1351&amp;context=podimproveacad</w:t>
        </w:r>
      </w:hyperlink>
    </w:p>
    <w:p w:rsidR="001C734F" w:rsidRDefault="001C734F" w:rsidP="001C734F">
      <w:pPr>
        <w:pStyle w:val="ListParagraph"/>
        <w:numPr>
          <w:ilvl w:val="0"/>
          <w:numId w:val="12"/>
        </w:numPr>
        <w:rPr>
          <w:sz w:val="24"/>
        </w:rPr>
      </w:pPr>
      <w:r>
        <w:rPr>
          <w:sz w:val="24"/>
        </w:rPr>
        <w:t xml:space="preserve">Bruner, J, S. (2006) </w:t>
      </w:r>
      <w:r>
        <w:rPr>
          <w:i/>
          <w:sz w:val="24"/>
        </w:rPr>
        <w:t xml:space="preserve">In Search of Pedagogy. </w:t>
      </w:r>
      <w:r>
        <w:rPr>
          <w:sz w:val="24"/>
        </w:rPr>
        <w:t>London and New York: Routledge.</w:t>
      </w:r>
    </w:p>
    <w:p w:rsidR="001C734F" w:rsidRPr="001C734F" w:rsidRDefault="001C734F" w:rsidP="001C734F">
      <w:pPr>
        <w:pStyle w:val="ListParagraph"/>
        <w:numPr>
          <w:ilvl w:val="0"/>
          <w:numId w:val="12"/>
        </w:numPr>
        <w:rPr>
          <w:sz w:val="24"/>
          <w:szCs w:val="24"/>
        </w:rPr>
      </w:pPr>
      <w:r w:rsidRPr="00072472">
        <w:rPr>
          <w:color w:val="000000"/>
          <w:sz w:val="24"/>
          <w:szCs w:val="24"/>
        </w:rPr>
        <w:t>Donaldson, G. (2015) ‘Dyfodol Llwyddiannus</w:t>
      </w:r>
      <w:r>
        <w:rPr>
          <w:color w:val="000000"/>
          <w:sz w:val="24"/>
          <w:szCs w:val="24"/>
        </w:rPr>
        <w:t>’</w:t>
      </w:r>
      <w:r w:rsidRPr="00072472">
        <w:rPr>
          <w:color w:val="000000"/>
          <w:sz w:val="24"/>
          <w:szCs w:val="24"/>
        </w:rPr>
        <w:t xml:space="preserve">, </w:t>
      </w:r>
      <w:r w:rsidRPr="00072472">
        <w:rPr>
          <w:i/>
          <w:color w:val="000000"/>
          <w:sz w:val="24"/>
          <w:szCs w:val="24"/>
        </w:rPr>
        <w:t>Adolygiad Annibynnol o’r Cwriwclwm a’r Trefniadau Asesu yng Nhgymru</w:t>
      </w:r>
      <w:r>
        <w:rPr>
          <w:i/>
          <w:color w:val="000000"/>
          <w:sz w:val="24"/>
          <w:szCs w:val="24"/>
        </w:rPr>
        <w:t xml:space="preserve">. </w:t>
      </w:r>
      <w:r>
        <w:rPr>
          <w:color w:val="000000"/>
          <w:sz w:val="24"/>
          <w:szCs w:val="24"/>
        </w:rPr>
        <w:t xml:space="preserve">Ar gael: </w:t>
      </w:r>
      <w:hyperlink r:id="rId9" w:history="1">
        <w:r w:rsidRPr="0026321C">
          <w:rPr>
            <w:rStyle w:val="Hyperlink"/>
            <w:sz w:val="24"/>
            <w:szCs w:val="24"/>
          </w:rPr>
          <w:t>http://gov.wales/docs/dcells/publications/150225-successful-futures-cy.pdf</w:t>
        </w:r>
      </w:hyperlink>
      <w:r>
        <w:rPr>
          <w:color w:val="000000"/>
          <w:sz w:val="24"/>
          <w:szCs w:val="24"/>
        </w:rPr>
        <w:t xml:space="preserve"> [Mynediad ar Hydref 12fed 2018]</w:t>
      </w:r>
    </w:p>
    <w:p w:rsidR="001C734F" w:rsidRPr="001C734F" w:rsidRDefault="001C734F" w:rsidP="001C734F">
      <w:pPr>
        <w:pStyle w:val="ListParagraph"/>
        <w:numPr>
          <w:ilvl w:val="0"/>
          <w:numId w:val="12"/>
        </w:numPr>
        <w:rPr>
          <w:sz w:val="24"/>
          <w:szCs w:val="24"/>
        </w:rPr>
      </w:pPr>
      <w:r>
        <w:rPr>
          <w:sz w:val="24"/>
          <w:szCs w:val="24"/>
        </w:rPr>
        <w:lastRenderedPageBreak/>
        <w:t xml:space="preserve">Dysgu Cymru (2014) </w:t>
      </w:r>
      <w:r>
        <w:rPr>
          <w:i/>
          <w:sz w:val="24"/>
          <w:szCs w:val="24"/>
        </w:rPr>
        <w:t xml:space="preserve">Fframwaith Llythrennedd a Rhifedd Cenedlaethol. </w:t>
      </w:r>
      <w:r>
        <w:rPr>
          <w:sz w:val="24"/>
          <w:szCs w:val="24"/>
        </w:rPr>
        <w:t>Ar ga</w:t>
      </w:r>
      <w:bookmarkStart w:id="0" w:name="_GoBack"/>
      <w:bookmarkEnd w:id="0"/>
      <w:r>
        <w:rPr>
          <w:sz w:val="24"/>
          <w:szCs w:val="24"/>
        </w:rPr>
        <w:t xml:space="preserve">el: </w:t>
      </w:r>
      <w:hyperlink r:id="rId10" w:history="1">
        <w:r w:rsidRPr="009B4576">
          <w:rPr>
            <w:rStyle w:val="Hyperlink"/>
            <w:sz w:val="24"/>
          </w:rPr>
          <w:t>http://learning.gov.wales/resources/browse-all/nlnf/?lang=cy</w:t>
        </w:r>
      </w:hyperlink>
      <w:r>
        <w:t xml:space="preserve"> [Mynediad ar Hydref  13eg 2018]</w:t>
      </w:r>
    </w:p>
    <w:p w:rsidR="001C734F" w:rsidRDefault="001C734F" w:rsidP="001C734F">
      <w:pPr>
        <w:pStyle w:val="ListParagraph"/>
        <w:numPr>
          <w:ilvl w:val="0"/>
          <w:numId w:val="12"/>
        </w:numPr>
        <w:rPr>
          <w:sz w:val="24"/>
        </w:rPr>
      </w:pPr>
      <w:r>
        <w:rPr>
          <w:sz w:val="24"/>
        </w:rPr>
        <w:t xml:space="preserve">Edwards, A. D. and Westgate, D. P. G. (1994) </w:t>
      </w:r>
      <w:r>
        <w:rPr>
          <w:i/>
          <w:sz w:val="24"/>
        </w:rPr>
        <w:t xml:space="preserve">Investigating Classroom Talk. </w:t>
      </w:r>
      <w:r>
        <w:rPr>
          <w:sz w:val="24"/>
        </w:rPr>
        <w:t>2</w:t>
      </w:r>
      <w:r w:rsidRPr="007302EF">
        <w:rPr>
          <w:sz w:val="24"/>
          <w:vertAlign w:val="superscript"/>
        </w:rPr>
        <w:t>nd</w:t>
      </w:r>
      <w:r>
        <w:rPr>
          <w:sz w:val="24"/>
        </w:rPr>
        <w:t xml:space="preserve"> ed. Bristol: The Falmer Press.</w:t>
      </w:r>
    </w:p>
    <w:p w:rsidR="001C734F" w:rsidRDefault="001C734F" w:rsidP="001C734F">
      <w:pPr>
        <w:pStyle w:val="ListParagraph"/>
        <w:numPr>
          <w:ilvl w:val="0"/>
          <w:numId w:val="12"/>
        </w:numPr>
        <w:rPr>
          <w:sz w:val="24"/>
          <w:szCs w:val="24"/>
        </w:rPr>
      </w:pPr>
      <w:r>
        <w:rPr>
          <w:sz w:val="24"/>
          <w:szCs w:val="24"/>
        </w:rPr>
        <w:t xml:space="preserve">Education Endowment Foundation (2018) Ar gael:  </w:t>
      </w:r>
      <w:hyperlink r:id="rId11" w:history="1">
        <w:r w:rsidRPr="0026321C">
          <w:rPr>
            <w:rStyle w:val="Hyperlink"/>
            <w:sz w:val="24"/>
            <w:szCs w:val="24"/>
          </w:rPr>
          <w:t>https://educationendowmentfoundation.org.uk/public/files/Publications/Campaigns /Literacy/KS2_Literacy_Guidance_2017.p</w:t>
        </w:r>
      </w:hyperlink>
      <w:r>
        <w:rPr>
          <w:sz w:val="24"/>
          <w:szCs w:val="24"/>
        </w:rPr>
        <w:t xml:space="preserve"> </w:t>
      </w:r>
      <w:r w:rsidRPr="00072472">
        <w:rPr>
          <w:sz w:val="24"/>
          <w:szCs w:val="24"/>
        </w:rPr>
        <w:t xml:space="preserve"> </w:t>
      </w:r>
      <w:r>
        <w:rPr>
          <w:sz w:val="24"/>
          <w:szCs w:val="24"/>
        </w:rPr>
        <w:t>[Mynediad ar Hydred 13eg 2018]</w:t>
      </w:r>
    </w:p>
    <w:p w:rsidR="001C734F" w:rsidRPr="001C734F" w:rsidRDefault="001C734F" w:rsidP="001C734F">
      <w:pPr>
        <w:pStyle w:val="ListParagraph"/>
        <w:numPr>
          <w:ilvl w:val="0"/>
          <w:numId w:val="12"/>
        </w:numPr>
        <w:rPr>
          <w:sz w:val="24"/>
        </w:rPr>
      </w:pPr>
      <w:r>
        <w:rPr>
          <w:sz w:val="24"/>
        </w:rPr>
        <w:t xml:space="preserve">Gobbo, C., Marini, Z., Morra, S. and Sheese, R. (2008) </w:t>
      </w:r>
      <w:r>
        <w:rPr>
          <w:i/>
          <w:sz w:val="24"/>
        </w:rPr>
        <w:t xml:space="preserve">Cognitive Development: Neo-Piagetian Perspectives. </w:t>
      </w:r>
      <w:r>
        <w:rPr>
          <w:sz w:val="24"/>
        </w:rPr>
        <w:t>London and New York: Taylor &amp; Francis Group.</w:t>
      </w:r>
    </w:p>
    <w:p w:rsidR="001C734F" w:rsidRDefault="001C734F" w:rsidP="001C734F">
      <w:pPr>
        <w:pStyle w:val="ListParagraph"/>
        <w:numPr>
          <w:ilvl w:val="0"/>
          <w:numId w:val="12"/>
        </w:numPr>
      </w:pPr>
      <w:r>
        <w:t xml:space="preserve">Gregg, R. (2010) </w:t>
      </w:r>
      <w:r w:rsidRPr="00FE30F9">
        <w:rPr>
          <w:i/>
        </w:rPr>
        <w:t xml:space="preserve">Becoming an Outstanding Primary School Teacher. </w:t>
      </w:r>
      <w:r>
        <w:t>Englad: Pearson Education Ltd.</w:t>
      </w:r>
    </w:p>
    <w:p w:rsidR="001C734F" w:rsidRPr="001C734F" w:rsidRDefault="001C734F" w:rsidP="001C734F">
      <w:pPr>
        <w:pStyle w:val="ListParagraph"/>
        <w:numPr>
          <w:ilvl w:val="0"/>
          <w:numId w:val="12"/>
        </w:numPr>
        <w:rPr>
          <w:sz w:val="24"/>
        </w:rPr>
      </w:pPr>
      <w:r>
        <w:rPr>
          <w:sz w:val="24"/>
        </w:rPr>
        <w:t xml:space="preserve">Hansen, A. (2012) </w:t>
      </w:r>
      <w:r>
        <w:rPr>
          <w:i/>
          <w:sz w:val="24"/>
        </w:rPr>
        <w:t xml:space="preserve">Reflective Learning and Teaching in Primary Schools. </w:t>
      </w:r>
      <w:r>
        <w:rPr>
          <w:sz w:val="24"/>
        </w:rPr>
        <w:t>London: SAGE Publications Ltd.</w:t>
      </w:r>
    </w:p>
    <w:p w:rsidR="001C734F" w:rsidRDefault="001C734F" w:rsidP="001C734F">
      <w:pPr>
        <w:pStyle w:val="ListParagraph"/>
        <w:numPr>
          <w:ilvl w:val="0"/>
          <w:numId w:val="12"/>
        </w:numPr>
        <w:rPr>
          <w:sz w:val="24"/>
        </w:rPr>
      </w:pPr>
      <w:r w:rsidRPr="00FE30F9">
        <w:rPr>
          <w:sz w:val="24"/>
        </w:rPr>
        <w:t xml:space="preserve">Herrlitz-Biro, L., Elbers, E. And De Haan, M. (2013) ‘European Journal of Psychology of Education’, </w:t>
      </w:r>
      <w:r w:rsidRPr="00FE30F9">
        <w:rPr>
          <w:i/>
          <w:sz w:val="24"/>
        </w:rPr>
        <w:t xml:space="preserve">Key words and the analysis of exploratory talk. </w:t>
      </w:r>
      <w:r w:rsidRPr="00FE30F9">
        <w:rPr>
          <w:sz w:val="24"/>
        </w:rPr>
        <w:t>28(4), pp. 1397-1415.</w:t>
      </w:r>
      <w:r w:rsidRPr="00FE30F9">
        <w:t xml:space="preserve"> </w:t>
      </w:r>
      <w:hyperlink r:id="rId12" w:history="1">
        <w:r w:rsidRPr="0026321C">
          <w:rPr>
            <w:rStyle w:val="Hyperlink"/>
            <w:sz w:val="24"/>
          </w:rPr>
          <w:t>https://search-proquest-com.ezproxy.uwtsd.ac.uk/docview/1871523245?accountid=130472&amp;rfr_id=info%3Axri%2Fsid%3Aprimo</w:t>
        </w:r>
      </w:hyperlink>
    </w:p>
    <w:p w:rsidR="001C734F" w:rsidRDefault="001C734F" w:rsidP="001C734F">
      <w:pPr>
        <w:pStyle w:val="ListParagraph"/>
        <w:numPr>
          <w:ilvl w:val="0"/>
          <w:numId w:val="12"/>
        </w:numPr>
        <w:rPr>
          <w:sz w:val="24"/>
        </w:rPr>
      </w:pPr>
      <w:r>
        <w:rPr>
          <w:sz w:val="24"/>
        </w:rPr>
        <w:t xml:space="preserve">Hobart, C. and Frankel, J. (2004) </w:t>
      </w:r>
      <w:r>
        <w:rPr>
          <w:i/>
          <w:sz w:val="24"/>
        </w:rPr>
        <w:t xml:space="preserve">A Practical Guid to Child Observation and Assessment. </w:t>
      </w:r>
      <w:r>
        <w:rPr>
          <w:sz w:val="24"/>
        </w:rPr>
        <w:t>3</w:t>
      </w:r>
      <w:r w:rsidRPr="00003E13">
        <w:rPr>
          <w:sz w:val="24"/>
          <w:vertAlign w:val="superscript"/>
        </w:rPr>
        <w:t>rd</w:t>
      </w:r>
      <w:r>
        <w:rPr>
          <w:sz w:val="24"/>
        </w:rPr>
        <w:t xml:space="preserve"> ed. United Kingdom: Nelson Thornes</w:t>
      </w:r>
      <w:r w:rsidRPr="00FE30F9">
        <w:rPr>
          <w:sz w:val="24"/>
        </w:rPr>
        <w:t xml:space="preserve"> </w:t>
      </w:r>
    </w:p>
    <w:p w:rsidR="001C734F" w:rsidRPr="001C734F" w:rsidRDefault="001C734F" w:rsidP="001C734F">
      <w:pPr>
        <w:pStyle w:val="ListParagraph"/>
        <w:numPr>
          <w:ilvl w:val="0"/>
          <w:numId w:val="12"/>
        </w:numPr>
        <w:rPr>
          <w:sz w:val="24"/>
        </w:rPr>
      </w:pPr>
      <w:r w:rsidRPr="00FE30F9">
        <w:rPr>
          <w:sz w:val="24"/>
        </w:rPr>
        <w:t xml:space="preserve">Isaacs, B. (2010) </w:t>
      </w:r>
      <w:r w:rsidRPr="00FE30F9">
        <w:rPr>
          <w:i/>
          <w:sz w:val="24"/>
        </w:rPr>
        <w:t xml:space="preserve">Bringing the Motessori Approach to Early Years Practice. </w:t>
      </w:r>
      <w:r w:rsidRPr="00FE30F9">
        <w:rPr>
          <w:sz w:val="24"/>
        </w:rPr>
        <w:t>2</w:t>
      </w:r>
      <w:r w:rsidRPr="00FE30F9">
        <w:rPr>
          <w:sz w:val="24"/>
          <w:vertAlign w:val="superscript"/>
        </w:rPr>
        <w:t>nd</w:t>
      </w:r>
      <w:r w:rsidRPr="00FE30F9">
        <w:rPr>
          <w:sz w:val="24"/>
        </w:rPr>
        <w:t xml:space="preserve"> ed. London &amp; New York: Routledge.</w:t>
      </w:r>
    </w:p>
    <w:p w:rsidR="001C734F" w:rsidRDefault="001C734F" w:rsidP="001C734F">
      <w:pPr>
        <w:pStyle w:val="ListParagraph"/>
        <w:numPr>
          <w:ilvl w:val="0"/>
          <w:numId w:val="12"/>
        </w:numPr>
        <w:rPr>
          <w:sz w:val="24"/>
        </w:rPr>
      </w:pPr>
      <w:r w:rsidRPr="00FE30F9">
        <w:rPr>
          <w:sz w:val="24"/>
        </w:rPr>
        <w:t xml:space="preserve">Kamii, C. and Ewing, J.K. (1996) ‘Childhood Education’, </w:t>
      </w:r>
      <w:r w:rsidRPr="00FE30F9">
        <w:rPr>
          <w:i/>
          <w:sz w:val="24"/>
        </w:rPr>
        <w:t xml:space="preserve">Basing teaching on Piaget’s constructivism. </w:t>
      </w:r>
      <w:r w:rsidRPr="00FE30F9">
        <w:rPr>
          <w:sz w:val="24"/>
        </w:rPr>
        <w:t xml:space="preserve">72 (5), p. 260. </w:t>
      </w:r>
      <w:hyperlink r:id="rId13" w:history="1">
        <w:r w:rsidRPr="00FE30F9">
          <w:rPr>
            <w:rStyle w:val="Hyperlink"/>
            <w:sz w:val="24"/>
          </w:rPr>
          <w:t>https://search-proquest-com.ezproxy.uwtsd.ac.uk/docview/210394682?accountid=130472&amp;rfr_id=info%3Axri%2Fsid%3Aprimo</w:t>
        </w:r>
      </w:hyperlink>
      <w:r w:rsidRPr="00FE30F9">
        <w:rPr>
          <w:sz w:val="24"/>
        </w:rPr>
        <w:t xml:space="preserve"> </w:t>
      </w:r>
    </w:p>
    <w:p w:rsidR="001C734F" w:rsidRDefault="001C734F" w:rsidP="001C734F">
      <w:pPr>
        <w:pStyle w:val="ListParagraph"/>
        <w:numPr>
          <w:ilvl w:val="0"/>
          <w:numId w:val="12"/>
        </w:numPr>
        <w:rPr>
          <w:sz w:val="24"/>
        </w:rPr>
      </w:pPr>
      <w:r>
        <w:rPr>
          <w:sz w:val="24"/>
        </w:rPr>
        <w:lastRenderedPageBreak/>
        <w:t xml:space="preserve">Kerry, T. (2015) </w:t>
      </w:r>
      <w:r>
        <w:rPr>
          <w:i/>
          <w:sz w:val="24"/>
        </w:rPr>
        <w:t xml:space="preserve">Cross-Curricular Teaching in Primary School. </w:t>
      </w:r>
      <w:r>
        <w:rPr>
          <w:sz w:val="24"/>
        </w:rPr>
        <w:t>London and New York: Routledge.</w:t>
      </w:r>
    </w:p>
    <w:p w:rsidR="001C734F" w:rsidRDefault="001C734F" w:rsidP="001C734F">
      <w:pPr>
        <w:pStyle w:val="ListParagraph"/>
        <w:numPr>
          <w:ilvl w:val="0"/>
          <w:numId w:val="12"/>
        </w:numPr>
        <w:rPr>
          <w:rFonts w:cstheme="minorHAnsi"/>
          <w:sz w:val="24"/>
          <w:szCs w:val="24"/>
          <w:shd w:val="clear" w:color="auto" w:fill="FFFFFF"/>
        </w:rPr>
      </w:pPr>
      <w:r w:rsidRPr="00FE30F9">
        <w:rPr>
          <w:rFonts w:cstheme="minorHAnsi"/>
          <w:sz w:val="24"/>
          <w:szCs w:val="24"/>
          <w:shd w:val="clear" w:color="auto" w:fill="FFFFFF"/>
        </w:rPr>
        <w:t xml:space="preserve">Lloyd, P. and Fernyhough, C. (1999) </w:t>
      </w:r>
      <w:r w:rsidRPr="00FE30F9">
        <w:rPr>
          <w:rFonts w:cstheme="minorHAnsi"/>
          <w:i/>
          <w:sz w:val="24"/>
          <w:szCs w:val="24"/>
          <w:shd w:val="clear" w:color="auto" w:fill="FFFFFF"/>
        </w:rPr>
        <w:t xml:space="preserve">Lev Vygotsky: Critical Assessments, Volume 3. </w:t>
      </w:r>
      <w:r w:rsidRPr="00FE30F9">
        <w:rPr>
          <w:rFonts w:cstheme="minorHAnsi"/>
          <w:sz w:val="24"/>
          <w:szCs w:val="24"/>
          <w:shd w:val="clear" w:color="auto" w:fill="FFFFFF"/>
        </w:rPr>
        <w:t xml:space="preserve">London: Routledge. </w:t>
      </w:r>
    </w:p>
    <w:p w:rsidR="001C734F" w:rsidRPr="001C734F" w:rsidRDefault="001C734F" w:rsidP="001C734F">
      <w:pPr>
        <w:pStyle w:val="ListParagraph"/>
        <w:numPr>
          <w:ilvl w:val="0"/>
          <w:numId w:val="12"/>
        </w:numPr>
        <w:rPr>
          <w:sz w:val="24"/>
        </w:rPr>
      </w:pPr>
      <w:r>
        <w:rPr>
          <w:sz w:val="24"/>
        </w:rPr>
        <w:t xml:space="preserve">Matheson-Graham, L. (2015) </w:t>
      </w:r>
      <w:r>
        <w:rPr>
          <w:i/>
          <w:sz w:val="24"/>
        </w:rPr>
        <w:t xml:space="preserve">Essential Theory for Primary Teachers. </w:t>
      </w:r>
      <w:r>
        <w:rPr>
          <w:sz w:val="24"/>
        </w:rPr>
        <w:t>London and New York: Routledge.</w:t>
      </w:r>
    </w:p>
    <w:p w:rsidR="001C734F" w:rsidRPr="001C734F" w:rsidRDefault="001C734F" w:rsidP="001C734F">
      <w:pPr>
        <w:pStyle w:val="ListParagraph"/>
        <w:numPr>
          <w:ilvl w:val="0"/>
          <w:numId w:val="12"/>
        </w:numPr>
        <w:rPr>
          <w:rFonts w:cstheme="minorHAnsi"/>
          <w:sz w:val="24"/>
          <w:szCs w:val="24"/>
          <w:shd w:val="clear" w:color="auto" w:fill="FFFFFF"/>
        </w:rPr>
      </w:pPr>
      <w:r w:rsidRPr="00FE30F9">
        <w:rPr>
          <w:rFonts w:cstheme="minorHAnsi"/>
          <w:sz w:val="24"/>
          <w:szCs w:val="24"/>
          <w:shd w:val="clear" w:color="auto" w:fill="FFFFFF"/>
        </w:rPr>
        <w:t xml:space="preserve">Maurice, G. (1987) ‘Oxford Review of Education’, </w:t>
      </w:r>
      <w:r w:rsidRPr="00FE30F9">
        <w:rPr>
          <w:rFonts w:cstheme="minorHAnsi"/>
          <w:i/>
          <w:sz w:val="24"/>
          <w:szCs w:val="24"/>
          <w:shd w:val="clear" w:color="auto" w:fill="FFFFFF"/>
        </w:rPr>
        <w:t xml:space="preserve">Change and Continuity in the Primary School: The Research Evidence. </w:t>
      </w:r>
      <w:r w:rsidRPr="00FE30F9">
        <w:rPr>
          <w:rFonts w:cstheme="minorHAnsi"/>
          <w:sz w:val="24"/>
          <w:szCs w:val="24"/>
          <w:shd w:val="clear" w:color="auto" w:fill="FFFFFF"/>
        </w:rPr>
        <w:t xml:space="preserve">13 (1), pp. 81-93 </w:t>
      </w:r>
      <w:r w:rsidRPr="00FE30F9">
        <w:rPr>
          <w:rFonts w:ascii="Arial" w:hAnsi="Arial" w:cs="Arial"/>
          <w:color w:val="333333"/>
          <w:sz w:val="26"/>
          <w:szCs w:val="26"/>
          <w:shd w:val="clear" w:color="auto" w:fill="FFFFFF"/>
        </w:rPr>
        <w:t xml:space="preserve"> </w:t>
      </w:r>
      <w:hyperlink r:id="rId14" w:history="1">
        <w:r w:rsidRPr="00FE30F9">
          <w:rPr>
            <w:rStyle w:val="Hyperlink"/>
            <w:rFonts w:ascii="Arial" w:hAnsi="Arial" w:cs="Arial"/>
            <w:sz w:val="26"/>
            <w:szCs w:val="26"/>
            <w:shd w:val="clear" w:color="auto" w:fill="FFFFFF"/>
          </w:rPr>
          <w:t>www.jstor.org/stable/1050513</w:t>
        </w:r>
      </w:hyperlink>
    </w:p>
    <w:p w:rsidR="001C734F" w:rsidRDefault="001C734F" w:rsidP="001C734F">
      <w:pPr>
        <w:pStyle w:val="ListParagraph"/>
        <w:numPr>
          <w:ilvl w:val="0"/>
          <w:numId w:val="12"/>
        </w:numPr>
        <w:rPr>
          <w:rFonts w:cstheme="minorHAnsi"/>
          <w:sz w:val="24"/>
          <w:szCs w:val="24"/>
          <w:shd w:val="clear" w:color="auto" w:fill="FFFFFF"/>
        </w:rPr>
      </w:pPr>
      <w:r w:rsidRPr="00FE30F9">
        <w:rPr>
          <w:rFonts w:cstheme="minorHAnsi"/>
          <w:sz w:val="24"/>
          <w:szCs w:val="24"/>
          <w:shd w:val="clear" w:color="auto" w:fill="FFFFFF"/>
        </w:rPr>
        <w:t xml:space="preserve">Mercer, N. and Hodgkinson, S. (2008) </w:t>
      </w:r>
      <w:r w:rsidRPr="00FE30F9">
        <w:rPr>
          <w:rFonts w:cstheme="minorHAnsi"/>
          <w:i/>
          <w:sz w:val="24"/>
          <w:szCs w:val="24"/>
          <w:shd w:val="clear" w:color="auto" w:fill="FFFFFF"/>
        </w:rPr>
        <w:t xml:space="preserve">Exploring Talk in School. </w:t>
      </w:r>
      <w:r w:rsidRPr="00FE30F9">
        <w:rPr>
          <w:rFonts w:cstheme="minorHAnsi"/>
          <w:sz w:val="24"/>
          <w:szCs w:val="24"/>
          <w:shd w:val="clear" w:color="auto" w:fill="FFFFFF"/>
        </w:rPr>
        <w:t>London: Sage.</w:t>
      </w:r>
    </w:p>
    <w:p w:rsidR="001C734F" w:rsidRPr="001C734F" w:rsidRDefault="001C734F" w:rsidP="001C734F">
      <w:pPr>
        <w:pStyle w:val="ListParagraph"/>
        <w:numPr>
          <w:ilvl w:val="0"/>
          <w:numId w:val="12"/>
        </w:numPr>
        <w:rPr>
          <w:rFonts w:cstheme="minorHAnsi"/>
          <w:sz w:val="24"/>
          <w:szCs w:val="24"/>
          <w:shd w:val="clear" w:color="auto" w:fill="FFFFFF"/>
        </w:rPr>
      </w:pPr>
      <w:r>
        <w:t xml:space="preserve">Mercer, N., Wegerif, R., Dawes, L. (1999) ‘British Educational Research Journal’, </w:t>
      </w:r>
      <w:r w:rsidRPr="00FE30F9">
        <w:rPr>
          <w:i/>
        </w:rPr>
        <w:t xml:space="preserve">Children’s talk and the development of reasoning. </w:t>
      </w:r>
      <w:r>
        <w:t>25 (1), pp. 95-111.</w:t>
      </w:r>
      <w:r w:rsidR="006D1B4F">
        <w:t xml:space="preserve"> </w:t>
      </w:r>
      <w:hyperlink r:id="rId15" w:history="1">
        <w:r w:rsidR="006D1B4F" w:rsidRPr="0026321C">
          <w:rPr>
            <w:rStyle w:val="Hyperlink"/>
          </w:rPr>
          <w:t>https://onlinelibrary.wiley.com/doi/full/10.1080/0141192990250107</w:t>
        </w:r>
      </w:hyperlink>
      <w:r w:rsidR="006D1B4F">
        <w:t xml:space="preserve"> </w:t>
      </w:r>
    </w:p>
    <w:p w:rsidR="001C734F" w:rsidRPr="001C734F" w:rsidRDefault="001C734F" w:rsidP="001C734F">
      <w:pPr>
        <w:pStyle w:val="ListParagraph"/>
        <w:numPr>
          <w:ilvl w:val="0"/>
          <w:numId w:val="12"/>
        </w:numPr>
        <w:rPr>
          <w:color w:val="7030A0"/>
          <w:sz w:val="24"/>
        </w:rPr>
      </w:pPr>
      <w:r>
        <w:t xml:space="preserve">McCormich Rambusch, N. (1965) </w:t>
      </w:r>
      <w:r w:rsidRPr="00FE30F9">
        <w:rPr>
          <w:i/>
        </w:rPr>
        <w:t xml:space="preserve">Dr. Montessori’s Handbook. </w:t>
      </w:r>
      <w:r>
        <w:t>New York: Schoken Books.</w:t>
      </w:r>
      <w:r w:rsidRPr="00FE30F9">
        <w:rPr>
          <w:color w:val="7030A0"/>
          <w:sz w:val="24"/>
        </w:rPr>
        <w:t xml:space="preserve"> </w:t>
      </w:r>
    </w:p>
    <w:p w:rsidR="001C734F" w:rsidRDefault="001C734F" w:rsidP="001C734F">
      <w:pPr>
        <w:pStyle w:val="ListParagraph"/>
        <w:numPr>
          <w:ilvl w:val="0"/>
          <w:numId w:val="12"/>
        </w:numPr>
        <w:rPr>
          <w:rFonts w:cstheme="minorHAnsi"/>
          <w:sz w:val="24"/>
          <w:szCs w:val="24"/>
          <w:shd w:val="clear" w:color="auto" w:fill="FFFFFF"/>
        </w:rPr>
      </w:pPr>
      <w:r w:rsidRPr="00FE30F9">
        <w:rPr>
          <w:rFonts w:cstheme="minorHAnsi"/>
          <w:sz w:val="24"/>
          <w:szCs w:val="24"/>
          <w:shd w:val="clear" w:color="auto" w:fill="FFFFFF"/>
        </w:rPr>
        <w:t xml:space="preserve">Miller, R. (2011) </w:t>
      </w:r>
      <w:r w:rsidRPr="00FE30F9">
        <w:rPr>
          <w:rFonts w:cstheme="minorHAnsi"/>
          <w:i/>
          <w:sz w:val="24"/>
          <w:szCs w:val="24"/>
          <w:shd w:val="clear" w:color="auto" w:fill="FFFFFF"/>
        </w:rPr>
        <w:t xml:space="preserve">Vygotsky in Perspective. </w:t>
      </w:r>
      <w:r w:rsidRPr="00FE30F9">
        <w:rPr>
          <w:rFonts w:cstheme="minorHAnsi"/>
          <w:sz w:val="24"/>
          <w:szCs w:val="24"/>
          <w:shd w:val="clear" w:color="auto" w:fill="FFFFFF"/>
        </w:rPr>
        <w:t xml:space="preserve">Cambridge: Cambridge University Press. </w:t>
      </w:r>
    </w:p>
    <w:p w:rsidR="006D1B4F" w:rsidRPr="006D1B4F" w:rsidRDefault="006D1B4F" w:rsidP="006D1B4F">
      <w:pPr>
        <w:pStyle w:val="ListParagraph"/>
        <w:numPr>
          <w:ilvl w:val="0"/>
          <w:numId w:val="12"/>
        </w:numPr>
        <w:rPr>
          <w:sz w:val="24"/>
        </w:rPr>
      </w:pPr>
      <w:r>
        <w:rPr>
          <w:sz w:val="24"/>
        </w:rPr>
        <w:t xml:space="preserve">Pollard, A. et al. (2008) </w:t>
      </w:r>
      <w:r>
        <w:rPr>
          <w:i/>
          <w:sz w:val="24"/>
        </w:rPr>
        <w:t xml:space="preserve">Reflective Teaching. </w:t>
      </w:r>
      <w:r>
        <w:rPr>
          <w:sz w:val="24"/>
        </w:rPr>
        <w:t>3</w:t>
      </w:r>
      <w:r w:rsidRPr="007302EF">
        <w:rPr>
          <w:sz w:val="24"/>
          <w:vertAlign w:val="superscript"/>
        </w:rPr>
        <w:t>rd</w:t>
      </w:r>
      <w:r>
        <w:rPr>
          <w:sz w:val="24"/>
        </w:rPr>
        <w:t xml:space="preserve"> ed. London: Continuum.</w:t>
      </w:r>
    </w:p>
    <w:p w:rsidR="006D1B4F" w:rsidRPr="006D1B4F" w:rsidRDefault="006D1B4F" w:rsidP="006D1B4F">
      <w:pPr>
        <w:pStyle w:val="ListParagraph"/>
        <w:numPr>
          <w:ilvl w:val="0"/>
          <w:numId w:val="12"/>
        </w:numPr>
      </w:pPr>
      <w:r>
        <w:t xml:space="preserve">Siraj-Blatchford, I. (2009) ‘Education and Child Psychology’, </w:t>
      </w:r>
      <w:r w:rsidRPr="00FE30F9">
        <w:rPr>
          <w:i/>
        </w:rPr>
        <w:t>Conceptualising progression in the pedagogy of play and sustained shared thinking in early childhood education: A Vygotskian Perspective.</w:t>
      </w:r>
      <w:r>
        <w:t xml:space="preserve"> 26(2), University of London. </w:t>
      </w:r>
      <w:hyperlink r:id="rId16" w:history="1">
        <w:r w:rsidRPr="0026321C">
          <w:rPr>
            <w:rStyle w:val="Hyperlink"/>
          </w:rPr>
          <w:t>http://discovery.ucl.ac.uk/10006091/1/Siraj-Blatchford2009Conceptualising77.pdf</w:t>
        </w:r>
      </w:hyperlink>
      <w:r>
        <w:t xml:space="preserve"> </w:t>
      </w:r>
    </w:p>
    <w:p w:rsidR="006D1B4F" w:rsidRDefault="004A351E" w:rsidP="00FE30F9">
      <w:pPr>
        <w:pStyle w:val="ListParagraph"/>
        <w:numPr>
          <w:ilvl w:val="0"/>
          <w:numId w:val="12"/>
        </w:numPr>
        <w:rPr>
          <w:rFonts w:cstheme="minorHAnsi"/>
          <w:sz w:val="24"/>
          <w:szCs w:val="24"/>
          <w:shd w:val="clear" w:color="auto" w:fill="FFFFFF"/>
        </w:rPr>
      </w:pPr>
      <w:r w:rsidRPr="00FE30F9">
        <w:rPr>
          <w:rFonts w:cstheme="minorHAnsi"/>
          <w:sz w:val="24"/>
          <w:szCs w:val="24"/>
          <w:shd w:val="clear" w:color="auto" w:fill="FFFFFF"/>
        </w:rPr>
        <w:t xml:space="preserve">Taylor, T. (2005) </w:t>
      </w:r>
      <w:r w:rsidRPr="00FE30F9">
        <w:rPr>
          <w:rFonts w:cstheme="minorHAnsi"/>
          <w:i/>
          <w:sz w:val="24"/>
          <w:szCs w:val="24"/>
          <w:shd w:val="clear" w:color="auto" w:fill="FFFFFF"/>
        </w:rPr>
        <w:t xml:space="preserve">Introducing Cognitive Development. </w:t>
      </w:r>
      <w:r w:rsidRPr="00FE30F9">
        <w:rPr>
          <w:rFonts w:cstheme="minorHAnsi"/>
          <w:sz w:val="24"/>
          <w:szCs w:val="24"/>
          <w:shd w:val="clear" w:color="auto" w:fill="FFFFFF"/>
        </w:rPr>
        <w:t>Sussex: Psychology Press.</w:t>
      </w:r>
    </w:p>
    <w:p w:rsidR="004A351E" w:rsidRPr="006D1B4F" w:rsidRDefault="006D1B4F" w:rsidP="006D1B4F">
      <w:pPr>
        <w:pStyle w:val="ListParagraph"/>
        <w:numPr>
          <w:ilvl w:val="0"/>
          <w:numId w:val="12"/>
        </w:numPr>
        <w:rPr>
          <w:sz w:val="24"/>
        </w:rPr>
      </w:pPr>
      <w:r w:rsidRPr="00072472">
        <w:rPr>
          <w:sz w:val="24"/>
        </w:rPr>
        <w:t xml:space="preserve">Unicef (2017) </w:t>
      </w:r>
      <w:r w:rsidRPr="00072472">
        <w:rPr>
          <w:i/>
          <w:sz w:val="24"/>
        </w:rPr>
        <w:t xml:space="preserve">Teaching and learning about child rights. </w:t>
      </w:r>
      <w:r w:rsidRPr="00072472">
        <w:rPr>
          <w:sz w:val="24"/>
        </w:rPr>
        <w:t>Ar gael</w:t>
      </w:r>
      <w:r>
        <w:rPr>
          <w:sz w:val="24"/>
        </w:rPr>
        <w:t xml:space="preserve">: </w:t>
      </w:r>
      <w:hyperlink r:id="rId17" w:history="1">
        <w:r w:rsidRPr="00072472">
          <w:rPr>
            <w:rStyle w:val="Hyperlink"/>
            <w:sz w:val="24"/>
          </w:rPr>
          <w:t>https://www.unicef.org/crc/index_30184.html</w:t>
        </w:r>
      </w:hyperlink>
      <w:r>
        <w:rPr>
          <w:sz w:val="24"/>
        </w:rPr>
        <w:t xml:space="preserve"> [Mynediad ar Hydref 14eg 2018]</w:t>
      </w:r>
      <w:r w:rsidR="00C14900">
        <w:rPr>
          <w:sz w:val="24"/>
        </w:rPr>
        <w:t xml:space="preserve"> </w:t>
      </w:r>
      <w:r w:rsidR="004A351E" w:rsidRPr="006D1B4F">
        <w:rPr>
          <w:rFonts w:cstheme="minorHAnsi"/>
          <w:sz w:val="24"/>
          <w:szCs w:val="24"/>
          <w:shd w:val="clear" w:color="auto" w:fill="FFFFFF"/>
        </w:rPr>
        <w:t xml:space="preserve"> </w:t>
      </w:r>
    </w:p>
    <w:p w:rsidR="00FE30F9" w:rsidRDefault="00FE30F9" w:rsidP="00FE30F9">
      <w:pPr>
        <w:pStyle w:val="ListParagraph"/>
        <w:numPr>
          <w:ilvl w:val="0"/>
          <w:numId w:val="12"/>
        </w:numPr>
        <w:rPr>
          <w:sz w:val="24"/>
        </w:rPr>
      </w:pPr>
      <w:r w:rsidRPr="00FE30F9">
        <w:rPr>
          <w:sz w:val="24"/>
        </w:rPr>
        <w:t xml:space="preserve">Vygotsky, L., S. (1962) </w:t>
      </w:r>
      <w:r w:rsidRPr="00FE30F9">
        <w:rPr>
          <w:i/>
          <w:sz w:val="24"/>
        </w:rPr>
        <w:t xml:space="preserve">Thought and Language. </w:t>
      </w:r>
      <w:r w:rsidRPr="00FE30F9">
        <w:rPr>
          <w:sz w:val="24"/>
        </w:rPr>
        <w:t>Massachusetts: The Massachusetts Institute of Technology.</w:t>
      </w:r>
    </w:p>
    <w:p w:rsidR="001C734F" w:rsidRPr="001C734F" w:rsidRDefault="001C734F" w:rsidP="001C734F">
      <w:pPr>
        <w:pStyle w:val="ListParagraph"/>
        <w:numPr>
          <w:ilvl w:val="0"/>
          <w:numId w:val="12"/>
        </w:numPr>
      </w:pPr>
      <w:r w:rsidRPr="001C734F">
        <w:rPr>
          <w:rFonts w:cstheme="minorHAnsi"/>
          <w:sz w:val="24"/>
          <w:szCs w:val="24"/>
          <w:shd w:val="clear" w:color="auto" w:fill="FFFFFF"/>
        </w:rPr>
        <w:t xml:space="preserve">Waller, T., Whitmarsh, J., Clarke, K., (2011) </w:t>
      </w:r>
      <w:r w:rsidRPr="001C734F">
        <w:rPr>
          <w:rFonts w:cstheme="minorHAnsi"/>
          <w:i/>
          <w:sz w:val="24"/>
          <w:szCs w:val="24"/>
          <w:shd w:val="clear" w:color="auto" w:fill="FFFFFF"/>
        </w:rPr>
        <w:t xml:space="preserve">Making Sense of Theory &amp; Practice in Early Childhood: The Power of Ideas. </w:t>
      </w:r>
      <w:r w:rsidRPr="001C734F">
        <w:rPr>
          <w:rFonts w:cstheme="minorHAnsi"/>
          <w:sz w:val="24"/>
          <w:szCs w:val="24"/>
          <w:shd w:val="clear" w:color="auto" w:fill="FFFFFF"/>
        </w:rPr>
        <w:t xml:space="preserve">England: Open University Press. </w:t>
      </w:r>
    </w:p>
    <w:p w:rsidR="001C734F" w:rsidRDefault="001C734F" w:rsidP="001C734F">
      <w:pPr>
        <w:pStyle w:val="ListParagraph"/>
        <w:ind w:left="502"/>
        <w:rPr>
          <w:sz w:val="24"/>
        </w:rPr>
      </w:pPr>
    </w:p>
    <w:p w:rsidR="000B4F78" w:rsidRDefault="000B4F78" w:rsidP="000B4F78">
      <w:pPr>
        <w:rPr>
          <w:sz w:val="24"/>
        </w:rPr>
      </w:pPr>
    </w:p>
    <w:p w:rsidR="00183223" w:rsidRPr="00183223" w:rsidRDefault="00183223" w:rsidP="000B4F78">
      <w:pPr>
        <w:rPr>
          <w:b/>
          <w:sz w:val="24"/>
          <w:u w:val="single"/>
        </w:rPr>
      </w:pPr>
      <w:r w:rsidRPr="00183223">
        <w:rPr>
          <w:b/>
          <w:sz w:val="24"/>
          <w:u w:val="single"/>
        </w:rPr>
        <w:t>Llyfryddiaeth Lluniau</w:t>
      </w:r>
    </w:p>
    <w:p w:rsidR="000B4F78" w:rsidRDefault="00183223"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1, Wal Hunan Asesu </w:t>
      </w:r>
      <w:hyperlink r:id="rId18" w:history="1">
        <w:r w:rsidRPr="008A11E0">
          <w:rPr>
            <w:rStyle w:val="Hyperlink"/>
            <w:rFonts w:cstheme="minorHAnsi"/>
            <w:sz w:val="24"/>
            <w:szCs w:val="24"/>
            <w:shd w:val="clear" w:color="auto" w:fill="FFFFFF"/>
          </w:rPr>
          <w:t>https://www.pinterest.co.uk/pin/511791945151744369/visual-search/?x=16&amp;y=16&amp;w=530&amp;h=671</w:t>
        </w:r>
      </w:hyperlink>
      <w:r>
        <w:rPr>
          <w:rFonts w:cstheme="minorHAnsi"/>
          <w:sz w:val="24"/>
          <w:szCs w:val="24"/>
          <w:shd w:val="clear" w:color="auto" w:fill="FFFFFF"/>
        </w:rPr>
        <w:t xml:space="preserve"> [Mynediad Medi 29ain 2018]</w:t>
      </w:r>
    </w:p>
    <w:p w:rsidR="00183223" w:rsidRDefault="00183223"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3, Wal Mathemateg a Rhifedd </w:t>
      </w:r>
      <w:hyperlink r:id="rId19" w:history="1">
        <w:r w:rsidRPr="008A11E0">
          <w:rPr>
            <w:rStyle w:val="Hyperlink"/>
            <w:rFonts w:cstheme="minorHAnsi"/>
            <w:sz w:val="24"/>
            <w:szCs w:val="24"/>
            <w:shd w:val="clear" w:color="auto" w:fill="FFFFFF"/>
          </w:rPr>
          <w:t>https://www.pinterest.co.uk/pin/511791945151558541/visual-search/?x=16&amp;y=12&amp;w=530&amp;h=397</w:t>
        </w:r>
      </w:hyperlink>
      <w:r>
        <w:rPr>
          <w:rFonts w:cstheme="minorHAnsi"/>
          <w:sz w:val="24"/>
          <w:szCs w:val="24"/>
          <w:shd w:val="clear" w:color="auto" w:fill="FFFFFF"/>
        </w:rPr>
        <w:t xml:space="preserve"> [Mynediad Medi 29ain 2018]</w:t>
      </w:r>
    </w:p>
    <w:p w:rsidR="00183223" w:rsidRDefault="00183223"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5, Wal i ddathlu gwaith arbennig </w:t>
      </w:r>
      <w:hyperlink r:id="rId20" w:history="1">
        <w:r w:rsidRPr="008A11E0">
          <w:rPr>
            <w:rStyle w:val="Hyperlink"/>
            <w:rFonts w:cstheme="minorHAnsi"/>
            <w:sz w:val="24"/>
            <w:szCs w:val="24"/>
            <w:shd w:val="clear" w:color="auto" w:fill="FFFFFF"/>
          </w:rPr>
          <w:t>https://www.pinterest.co.uk/pin/511791945151558538/visual-search/?x=16&amp;y=16&amp;w=530&amp;h=671</w:t>
        </w:r>
      </w:hyperlink>
      <w:r>
        <w:rPr>
          <w:rFonts w:cstheme="minorHAnsi"/>
          <w:sz w:val="24"/>
          <w:szCs w:val="24"/>
          <w:shd w:val="clear" w:color="auto" w:fill="FFFFFF"/>
        </w:rPr>
        <w:t xml:space="preserve"> [Mynediad Hydref 10fed 2018]</w:t>
      </w:r>
    </w:p>
    <w:p w:rsidR="00183223" w:rsidRDefault="00183223"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6, Cornel TGCh </w:t>
      </w:r>
      <w:hyperlink r:id="rId21" w:history="1">
        <w:r w:rsidRPr="008A11E0">
          <w:rPr>
            <w:rStyle w:val="Hyperlink"/>
            <w:rFonts w:cstheme="minorHAnsi"/>
            <w:sz w:val="24"/>
            <w:szCs w:val="24"/>
            <w:shd w:val="clear" w:color="auto" w:fill="FFFFFF"/>
          </w:rPr>
          <w:t>http://littlegreenhouse.com.sg/portfolio/computer-area-s553/computer-area-s553-2/</w:t>
        </w:r>
      </w:hyperlink>
      <w:r>
        <w:rPr>
          <w:rFonts w:cstheme="minorHAnsi"/>
          <w:sz w:val="24"/>
          <w:szCs w:val="24"/>
          <w:shd w:val="clear" w:color="auto" w:fill="FFFFFF"/>
        </w:rPr>
        <w:t xml:space="preserve"> [Mynediad Hydref 13eg</w:t>
      </w:r>
      <w:r w:rsidR="00E5460E">
        <w:rPr>
          <w:rFonts w:cstheme="minorHAnsi"/>
          <w:sz w:val="24"/>
          <w:szCs w:val="24"/>
          <w:shd w:val="clear" w:color="auto" w:fill="FFFFFF"/>
        </w:rPr>
        <w:t xml:space="preserve"> 2018</w:t>
      </w:r>
      <w:r>
        <w:rPr>
          <w:rFonts w:cstheme="minorHAnsi"/>
          <w:sz w:val="24"/>
          <w:szCs w:val="24"/>
          <w:shd w:val="clear" w:color="auto" w:fill="FFFFFF"/>
        </w:rPr>
        <w:t>]</w:t>
      </w:r>
    </w:p>
    <w:p w:rsidR="00183223" w:rsidRDefault="00183223"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7, Wal Thema </w:t>
      </w:r>
      <w:hyperlink r:id="rId22" w:history="1">
        <w:r w:rsidRPr="008A11E0">
          <w:rPr>
            <w:rStyle w:val="Hyperlink"/>
            <w:rFonts w:cstheme="minorHAnsi"/>
            <w:sz w:val="24"/>
            <w:szCs w:val="24"/>
            <w:shd w:val="clear" w:color="auto" w:fill="FFFFFF"/>
          </w:rPr>
          <w:t>https://www.pinterest.co.uk/pin/511791945151744163/visual-search/?x=6&amp;y=52&amp;w=526&amp;h=370</w:t>
        </w:r>
      </w:hyperlink>
      <w:r>
        <w:rPr>
          <w:rFonts w:cstheme="minorHAnsi"/>
          <w:sz w:val="24"/>
          <w:szCs w:val="24"/>
          <w:shd w:val="clear" w:color="auto" w:fill="FFFFFF"/>
        </w:rPr>
        <w:t xml:space="preserve"> [Mynediad Hydref 10fed 2018]</w:t>
      </w:r>
    </w:p>
    <w:p w:rsidR="00183223" w:rsidRDefault="00183223"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8, Wal Llythrenned </w:t>
      </w:r>
      <w:hyperlink r:id="rId23" w:history="1">
        <w:r w:rsidR="00E5460E" w:rsidRPr="008A11E0">
          <w:rPr>
            <w:rStyle w:val="Hyperlink"/>
            <w:rFonts w:cstheme="minorHAnsi"/>
            <w:sz w:val="24"/>
            <w:szCs w:val="24"/>
            <w:shd w:val="clear" w:color="auto" w:fill="FFFFFF"/>
          </w:rPr>
          <w:t>https://www.pinterest.co.uk/pin/489203578256870396/visual-search/?x=16&amp;y=12&amp;w=530&amp;h=397</w:t>
        </w:r>
      </w:hyperlink>
      <w:r w:rsidR="00E5460E">
        <w:rPr>
          <w:rFonts w:cstheme="minorHAnsi"/>
          <w:sz w:val="24"/>
          <w:szCs w:val="24"/>
          <w:shd w:val="clear" w:color="auto" w:fill="FFFFFF"/>
        </w:rPr>
        <w:t xml:space="preserve"> [Mynediad Hydreg 14eg 2018]</w:t>
      </w:r>
    </w:p>
    <w:p w:rsidR="00183223" w:rsidRDefault="00183223"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9, Ardal allanol </w:t>
      </w:r>
      <w:hyperlink r:id="rId24" w:history="1">
        <w:r w:rsidR="00E5460E" w:rsidRPr="008A11E0">
          <w:rPr>
            <w:rStyle w:val="Hyperlink"/>
            <w:rFonts w:cstheme="minorHAnsi"/>
            <w:sz w:val="24"/>
            <w:szCs w:val="24"/>
            <w:shd w:val="clear" w:color="auto" w:fill="FFFFFF"/>
          </w:rPr>
          <w:t>https://www.pinterest.co.uk/pin/434738170259440290/visual-search/?x=16&amp;y=11&amp;w=530&amp;h=352</w:t>
        </w:r>
      </w:hyperlink>
      <w:r w:rsidR="00E5460E">
        <w:rPr>
          <w:rFonts w:cstheme="minorHAnsi"/>
          <w:sz w:val="24"/>
          <w:szCs w:val="24"/>
          <w:shd w:val="clear" w:color="auto" w:fill="FFFFFF"/>
        </w:rPr>
        <w:t xml:space="preserve"> [Mynediad Hydref 14eg 2018]</w:t>
      </w:r>
    </w:p>
    <w:p w:rsidR="00E5460E" w:rsidRPr="00183223" w:rsidRDefault="00E5460E" w:rsidP="00183223">
      <w:pPr>
        <w:pStyle w:val="ListParagraph"/>
        <w:numPr>
          <w:ilvl w:val="0"/>
          <w:numId w:val="13"/>
        </w:numPr>
        <w:rPr>
          <w:rFonts w:cstheme="minorHAnsi"/>
          <w:sz w:val="24"/>
          <w:szCs w:val="24"/>
          <w:shd w:val="clear" w:color="auto" w:fill="FFFFFF"/>
        </w:rPr>
      </w:pPr>
      <w:r>
        <w:rPr>
          <w:rFonts w:cstheme="minorHAnsi"/>
          <w:sz w:val="24"/>
          <w:szCs w:val="24"/>
          <w:shd w:val="clear" w:color="auto" w:fill="FFFFFF"/>
        </w:rPr>
        <w:t xml:space="preserve">Llun 10, Wal Hawliau Plant </w:t>
      </w:r>
      <w:hyperlink r:id="rId25" w:history="1">
        <w:r w:rsidRPr="008A11E0">
          <w:rPr>
            <w:rStyle w:val="Hyperlink"/>
            <w:rFonts w:cstheme="minorHAnsi"/>
            <w:sz w:val="24"/>
            <w:szCs w:val="24"/>
            <w:shd w:val="clear" w:color="auto" w:fill="FFFFFF"/>
          </w:rPr>
          <w:t>https://www.pinterest.co.uk/pin/511791945151754943/visual-search/?x=16&amp;y=16&amp;w=530&amp;h=671</w:t>
        </w:r>
      </w:hyperlink>
      <w:r>
        <w:rPr>
          <w:rFonts w:cstheme="minorHAnsi"/>
          <w:sz w:val="24"/>
          <w:szCs w:val="24"/>
          <w:shd w:val="clear" w:color="auto" w:fill="FFFFFF"/>
        </w:rPr>
        <w:t xml:space="preserve"> [Mynediad Hydref 10fed]</w:t>
      </w:r>
    </w:p>
    <w:p w:rsidR="000B4F78" w:rsidRDefault="000B4F78" w:rsidP="008124FA">
      <w:pPr>
        <w:spacing w:line="480" w:lineRule="auto"/>
        <w:rPr>
          <w:rFonts w:cstheme="minorHAnsi"/>
          <w:sz w:val="24"/>
          <w:szCs w:val="24"/>
          <w:shd w:val="clear" w:color="auto" w:fill="FFFFFF"/>
        </w:rPr>
      </w:pPr>
    </w:p>
    <w:p w:rsidR="00AB3A28" w:rsidRPr="00841561" w:rsidRDefault="00AB3A28" w:rsidP="008124FA">
      <w:pPr>
        <w:spacing w:line="480" w:lineRule="auto"/>
        <w:rPr>
          <w:rFonts w:cstheme="minorHAnsi"/>
          <w:sz w:val="24"/>
          <w:szCs w:val="24"/>
          <w:shd w:val="clear" w:color="auto" w:fill="FFFFFF"/>
        </w:rPr>
      </w:pPr>
    </w:p>
    <w:sectPr w:rsidR="00AB3A28" w:rsidRPr="00841561" w:rsidSect="00FB52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6FB" w:rsidRDefault="00E366FB" w:rsidP="00E366FB">
      <w:pPr>
        <w:spacing w:after="0" w:line="240" w:lineRule="auto"/>
      </w:pPr>
      <w:r>
        <w:separator/>
      </w:r>
    </w:p>
  </w:endnote>
  <w:endnote w:type="continuationSeparator" w:id="0">
    <w:p w:rsidR="00E366FB" w:rsidRDefault="00E366FB" w:rsidP="00E36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6FB" w:rsidRDefault="00E366FB" w:rsidP="00E366FB">
      <w:pPr>
        <w:spacing w:after="0" w:line="240" w:lineRule="auto"/>
      </w:pPr>
      <w:r>
        <w:separator/>
      </w:r>
    </w:p>
  </w:footnote>
  <w:footnote w:type="continuationSeparator" w:id="0">
    <w:p w:rsidR="00E366FB" w:rsidRDefault="00E366FB" w:rsidP="00E36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20C06"/>
    <w:multiLevelType w:val="hybridMultilevel"/>
    <w:tmpl w:val="0B82D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65CB7"/>
    <w:multiLevelType w:val="hybridMultilevel"/>
    <w:tmpl w:val="720C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E317A"/>
    <w:multiLevelType w:val="hybridMultilevel"/>
    <w:tmpl w:val="03367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0129B"/>
    <w:multiLevelType w:val="hybridMultilevel"/>
    <w:tmpl w:val="4D38B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E4246D"/>
    <w:multiLevelType w:val="hybridMultilevel"/>
    <w:tmpl w:val="49AA5A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FAC4520"/>
    <w:multiLevelType w:val="hybridMultilevel"/>
    <w:tmpl w:val="2B2C9266"/>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6" w15:restartNumberingAfterBreak="0">
    <w:nsid w:val="65037738"/>
    <w:multiLevelType w:val="hybridMultilevel"/>
    <w:tmpl w:val="008AF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6A2695"/>
    <w:multiLevelType w:val="multilevel"/>
    <w:tmpl w:val="9D0C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895729"/>
    <w:multiLevelType w:val="hybridMultilevel"/>
    <w:tmpl w:val="05C23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E622A9"/>
    <w:multiLevelType w:val="hybridMultilevel"/>
    <w:tmpl w:val="3ED4CB1C"/>
    <w:lvl w:ilvl="0" w:tplc="95A20F62">
      <w:start w:val="1"/>
      <w:numFmt w:val="decimal"/>
      <w:lvlText w:val="%1."/>
      <w:lvlJc w:val="left"/>
      <w:pPr>
        <w:ind w:left="502"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D24953"/>
    <w:multiLevelType w:val="hybridMultilevel"/>
    <w:tmpl w:val="5D3A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A634F7"/>
    <w:multiLevelType w:val="hybridMultilevel"/>
    <w:tmpl w:val="6846D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BD3F9C"/>
    <w:multiLevelType w:val="hybridMultilevel"/>
    <w:tmpl w:val="0EFE8A4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4"/>
  </w:num>
  <w:num w:numId="4">
    <w:abstractNumId w:val="5"/>
  </w:num>
  <w:num w:numId="5">
    <w:abstractNumId w:val="8"/>
  </w:num>
  <w:num w:numId="6">
    <w:abstractNumId w:val="0"/>
  </w:num>
  <w:num w:numId="7">
    <w:abstractNumId w:val="6"/>
  </w:num>
  <w:num w:numId="8">
    <w:abstractNumId w:val="11"/>
  </w:num>
  <w:num w:numId="9">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3"/>
  </w:num>
  <w:num w:numId="11">
    <w:abstractNumId w:val="12"/>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0C2"/>
    <w:rsid w:val="00003E13"/>
    <w:rsid w:val="000215C7"/>
    <w:rsid w:val="000247C9"/>
    <w:rsid w:val="000260D5"/>
    <w:rsid w:val="0002634F"/>
    <w:rsid w:val="00032ADA"/>
    <w:rsid w:val="00034324"/>
    <w:rsid w:val="00041A61"/>
    <w:rsid w:val="0005274C"/>
    <w:rsid w:val="00071DC0"/>
    <w:rsid w:val="00072472"/>
    <w:rsid w:val="000B4F78"/>
    <w:rsid w:val="000F2513"/>
    <w:rsid w:val="000F3FFA"/>
    <w:rsid w:val="001040ED"/>
    <w:rsid w:val="00127ED4"/>
    <w:rsid w:val="00135E77"/>
    <w:rsid w:val="00137F8A"/>
    <w:rsid w:val="00183223"/>
    <w:rsid w:val="001B4E0A"/>
    <w:rsid w:val="001C2063"/>
    <w:rsid w:val="001C3FE8"/>
    <w:rsid w:val="001C4000"/>
    <w:rsid w:val="001C734F"/>
    <w:rsid w:val="001D4C3A"/>
    <w:rsid w:val="00216402"/>
    <w:rsid w:val="0025403A"/>
    <w:rsid w:val="002554E7"/>
    <w:rsid w:val="00267B49"/>
    <w:rsid w:val="00296924"/>
    <w:rsid w:val="002A7A5D"/>
    <w:rsid w:val="002B7F71"/>
    <w:rsid w:val="002C6E98"/>
    <w:rsid w:val="00303021"/>
    <w:rsid w:val="00314077"/>
    <w:rsid w:val="00314186"/>
    <w:rsid w:val="00393548"/>
    <w:rsid w:val="003B717D"/>
    <w:rsid w:val="003E09F2"/>
    <w:rsid w:val="003F6B46"/>
    <w:rsid w:val="0041529A"/>
    <w:rsid w:val="0042760B"/>
    <w:rsid w:val="004348C8"/>
    <w:rsid w:val="0044379A"/>
    <w:rsid w:val="004551C8"/>
    <w:rsid w:val="0047720D"/>
    <w:rsid w:val="004A351E"/>
    <w:rsid w:val="004B7820"/>
    <w:rsid w:val="004D373A"/>
    <w:rsid w:val="004D4466"/>
    <w:rsid w:val="004E13D8"/>
    <w:rsid w:val="004E4FA8"/>
    <w:rsid w:val="004F46EB"/>
    <w:rsid w:val="00502B47"/>
    <w:rsid w:val="0051243C"/>
    <w:rsid w:val="0053728C"/>
    <w:rsid w:val="005439F6"/>
    <w:rsid w:val="00554874"/>
    <w:rsid w:val="005659E0"/>
    <w:rsid w:val="00572061"/>
    <w:rsid w:val="00574EFD"/>
    <w:rsid w:val="0058292B"/>
    <w:rsid w:val="00587BB4"/>
    <w:rsid w:val="005A1413"/>
    <w:rsid w:val="005B20C2"/>
    <w:rsid w:val="005B7930"/>
    <w:rsid w:val="005D4E83"/>
    <w:rsid w:val="00611824"/>
    <w:rsid w:val="00630430"/>
    <w:rsid w:val="00650F6A"/>
    <w:rsid w:val="006762AE"/>
    <w:rsid w:val="006A2070"/>
    <w:rsid w:val="006A6CAD"/>
    <w:rsid w:val="006B2C14"/>
    <w:rsid w:val="006D1B4F"/>
    <w:rsid w:val="006D5606"/>
    <w:rsid w:val="006E3322"/>
    <w:rsid w:val="006E3827"/>
    <w:rsid w:val="006E3BDB"/>
    <w:rsid w:val="007302EF"/>
    <w:rsid w:val="0073539E"/>
    <w:rsid w:val="00741A63"/>
    <w:rsid w:val="00743932"/>
    <w:rsid w:val="00774950"/>
    <w:rsid w:val="0077665A"/>
    <w:rsid w:val="00777F30"/>
    <w:rsid w:val="00786DCB"/>
    <w:rsid w:val="007E73A5"/>
    <w:rsid w:val="007F400F"/>
    <w:rsid w:val="007F668C"/>
    <w:rsid w:val="008124FA"/>
    <w:rsid w:val="00837E4D"/>
    <w:rsid w:val="00841561"/>
    <w:rsid w:val="008541DE"/>
    <w:rsid w:val="00872807"/>
    <w:rsid w:val="00876E4F"/>
    <w:rsid w:val="0088187F"/>
    <w:rsid w:val="00895004"/>
    <w:rsid w:val="008A6BBC"/>
    <w:rsid w:val="008B31B5"/>
    <w:rsid w:val="008B4130"/>
    <w:rsid w:val="008C3E2D"/>
    <w:rsid w:val="008D44F5"/>
    <w:rsid w:val="008D5F51"/>
    <w:rsid w:val="008F7B24"/>
    <w:rsid w:val="009218E7"/>
    <w:rsid w:val="009825C7"/>
    <w:rsid w:val="009A3DBF"/>
    <w:rsid w:val="009B1E3A"/>
    <w:rsid w:val="009B4A46"/>
    <w:rsid w:val="009B7846"/>
    <w:rsid w:val="009C3154"/>
    <w:rsid w:val="009C4EF1"/>
    <w:rsid w:val="009D499B"/>
    <w:rsid w:val="009E1A25"/>
    <w:rsid w:val="009F226D"/>
    <w:rsid w:val="00A04923"/>
    <w:rsid w:val="00A06909"/>
    <w:rsid w:val="00A27666"/>
    <w:rsid w:val="00A72E63"/>
    <w:rsid w:val="00A8750C"/>
    <w:rsid w:val="00AB3A28"/>
    <w:rsid w:val="00AC659D"/>
    <w:rsid w:val="00AD2A4D"/>
    <w:rsid w:val="00B142A2"/>
    <w:rsid w:val="00B1603C"/>
    <w:rsid w:val="00B4210A"/>
    <w:rsid w:val="00B509AF"/>
    <w:rsid w:val="00B83F1E"/>
    <w:rsid w:val="00B91F0F"/>
    <w:rsid w:val="00BB211E"/>
    <w:rsid w:val="00BC1694"/>
    <w:rsid w:val="00BE0BCE"/>
    <w:rsid w:val="00BE23F0"/>
    <w:rsid w:val="00BF4A45"/>
    <w:rsid w:val="00C14900"/>
    <w:rsid w:val="00C251AD"/>
    <w:rsid w:val="00C3616B"/>
    <w:rsid w:val="00CB7E8A"/>
    <w:rsid w:val="00CC4D25"/>
    <w:rsid w:val="00D054DE"/>
    <w:rsid w:val="00D1263C"/>
    <w:rsid w:val="00D228AD"/>
    <w:rsid w:val="00D32669"/>
    <w:rsid w:val="00D63569"/>
    <w:rsid w:val="00DD08DE"/>
    <w:rsid w:val="00DE436B"/>
    <w:rsid w:val="00E17BD9"/>
    <w:rsid w:val="00E35DD5"/>
    <w:rsid w:val="00E366FB"/>
    <w:rsid w:val="00E5460E"/>
    <w:rsid w:val="00E9090E"/>
    <w:rsid w:val="00E97D7B"/>
    <w:rsid w:val="00EE0149"/>
    <w:rsid w:val="00F01852"/>
    <w:rsid w:val="00F0337C"/>
    <w:rsid w:val="00F441EF"/>
    <w:rsid w:val="00F44608"/>
    <w:rsid w:val="00FB11CB"/>
    <w:rsid w:val="00FB2EBD"/>
    <w:rsid w:val="00FB51E0"/>
    <w:rsid w:val="00FB526A"/>
    <w:rsid w:val="00FC6B42"/>
    <w:rsid w:val="00FE30F9"/>
    <w:rsid w:val="00FE3B0C"/>
    <w:rsid w:val="00FE4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B40A"/>
  <w15:docId w15:val="{2A7CDA4E-491F-4076-A5FD-76C60966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2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A72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72E63"/>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B83F1E"/>
    <w:rPr>
      <w:color w:val="0000FF" w:themeColor="hyperlink"/>
      <w:u w:val="single"/>
    </w:rPr>
  </w:style>
  <w:style w:type="paragraph" w:styleId="ListParagraph">
    <w:name w:val="List Paragraph"/>
    <w:basedOn w:val="Normal"/>
    <w:uiPriority w:val="34"/>
    <w:qFormat/>
    <w:rsid w:val="006E3322"/>
    <w:pPr>
      <w:ind w:left="720"/>
      <w:contextualSpacing/>
    </w:pPr>
  </w:style>
  <w:style w:type="paragraph" w:styleId="BalloonText">
    <w:name w:val="Balloon Text"/>
    <w:basedOn w:val="Normal"/>
    <w:link w:val="BalloonTextChar"/>
    <w:uiPriority w:val="99"/>
    <w:semiHidden/>
    <w:unhideWhenUsed/>
    <w:rsid w:val="005720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061"/>
    <w:rPr>
      <w:rFonts w:ascii="Tahoma" w:hAnsi="Tahoma" w:cs="Tahoma"/>
      <w:sz w:val="16"/>
      <w:szCs w:val="16"/>
    </w:rPr>
  </w:style>
  <w:style w:type="character" w:styleId="HTMLCite">
    <w:name w:val="HTML Cite"/>
    <w:basedOn w:val="DefaultParagraphFont"/>
    <w:uiPriority w:val="99"/>
    <w:semiHidden/>
    <w:unhideWhenUsed/>
    <w:rsid w:val="00F01852"/>
    <w:rPr>
      <w:i/>
      <w:iCs/>
    </w:rPr>
  </w:style>
  <w:style w:type="paragraph" w:styleId="NormalWeb">
    <w:name w:val="Normal (Web)"/>
    <w:basedOn w:val="Normal"/>
    <w:uiPriority w:val="99"/>
    <w:semiHidden/>
    <w:unhideWhenUsed/>
    <w:rsid w:val="008D5F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D5F51"/>
    <w:rPr>
      <w:b/>
      <w:bCs/>
    </w:rPr>
  </w:style>
  <w:style w:type="paragraph" w:styleId="Header">
    <w:name w:val="header"/>
    <w:basedOn w:val="Normal"/>
    <w:link w:val="HeaderChar"/>
    <w:uiPriority w:val="99"/>
    <w:semiHidden/>
    <w:unhideWhenUsed/>
    <w:rsid w:val="00E366F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366FB"/>
  </w:style>
  <w:style w:type="paragraph" w:styleId="Footer">
    <w:name w:val="footer"/>
    <w:basedOn w:val="Normal"/>
    <w:link w:val="FooterChar"/>
    <w:uiPriority w:val="99"/>
    <w:unhideWhenUsed/>
    <w:rsid w:val="00E36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6FB"/>
  </w:style>
  <w:style w:type="character" w:customStyle="1" w:styleId="UnresolvedMention">
    <w:name w:val="Unresolved Mention"/>
    <w:basedOn w:val="DefaultParagraphFont"/>
    <w:uiPriority w:val="99"/>
    <w:semiHidden/>
    <w:unhideWhenUsed/>
    <w:rsid w:val="00183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4649">
      <w:bodyDiv w:val="1"/>
      <w:marLeft w:val="0"/>
      <w:marRight w:val="0"/>
      <w:marTop w:val="0"/>
      <w:marBottom w:val="0"/>
      <w:divBdr>
        <w:top w:val="none" w:sz="0" w:space="0" w:color="auto"/>
        <w:left w:val="none" w:sz="0" w:space="0" w:color="auto"/>
        <w:bottom w:val="none" w:sz="0" w:space="0" w:color="auto"/>
        <w:right w:val="none" w:sz="0" w:space="0" w:color="auto"/>
      </w:divBdr>
    </w:div>
    <w:div w:id="390232838">
      <w:bodyDiv w:val="1"/>
      <w:marLeft w:val="0"/>
      <w:marRight w:val="0"/>
      <w:marTop w:val="0"/>
      <w:marBottom w:val="0"/>
      <w:divBdr>
        <w:top w:val="none" w:sz="0" w:space="0" w:color="auto"/>
        <w:left w:val="none" w:sz="0" w:space="0" w:color="auto"/>
        <w:bottom w:val="none" w:sz="0" w:space="0" w:color="auto"/>
        <w:right w:val="none" w:sz="0" w:space="0" w:color="auto"/>
      </w:divBdr>
    </w:div>
    <w:div w:id="928734169">
      <w:bodyDiv w:val="1"/>
      <w:marLeft w:val="0"/>
      <w:marRight w:val="0"/>
      <w:marTop w:val="0"/>
      <w:marBottom w:val="0"/>
      <w:divBdr>
        <w:top w:val="none" w:sz="0" w:space="0" w:color="auto"/>
        <w:left w:val="none" w:sz="0" w:space="0" w:color="auto"/>
        <w:bottom w:val="none" w:sz="0" w:space="0" w:color="auto"/>
        <w:right w:val="none" w:sz="0" w:space="0" w:color="auto"/>
      </w:divBdr>
    </w:div>
    <w:div w:id="971862355">
      <w:bodyDiv w:val="1"/>
      <w:marLeft w:val="0"/>
      <w:marRight w:val="0"/>
      <w:marTop w:val="0"/>
      <w:marBottom w:val="0"/>
      <w:divBdr>
        <w:top w:val="none" w:sz="0" w:space="0" w:color="auto"/>
        <w:left w:val="none" w:sz="0" w:space="0" w:color="auto"/>
        <w:bottom w:val="none" w:sz="0" w:space="0" w:color="auto"/>
        <w:right w:val="none" w:sz="0" w:space="0" w:color="auto"/>
      </w:divBdr>
      <w:divsChild>
        <w:div w:id="1987466553">
          <w:marLeft w:val="0"/>
          <w:marRight w:val="0"/>
          <w:marTop w:val="0"/>
          <w:marBottom w:val="0"/>
          <w:divBdr>
            <w:top w:val="none" w:sz="0" w:space="0" w:color="auto"/>
            <w:left w:val="none" w:sz="0" w:space="0" w:color="auto"/>
            <w:bottom w:val="none" w:sz="0" w:space="0" w:color="auto"/>
            <w:right w:val="none" w:sz="0" w:space="0" w:color="auto"/>
          </w:divBdr>
        </w:div>
        <w:div w:id="2143574531">
          <w:marLeft w:val="0"/>
          <w:marRight w:val="0"/>
          <w:marTop w:val="0"/>
          <w:marBottom w:val="0"/>
          <w:divBdr>
            <w:top w:val="none" w:sz="0" w:space="0" w:color="auto"/>
            <w:left w:val="none" w:sz="0" w:space="0" w:color="auto"/>
            <w:bottom w:val="none" w:sz="0" w:space="0" w:color="auto"/>
            <w:right w:val="none" w:sz="0" w:space="0" w:color="auto"/>
          </w:divBdr>
        </w:div>
        <w:div w:id="1501387293">
          <w:marLeft w:val="0"/>
          <w:marRight w:val="0"/>
          <w:marTop w:val="0"/>
          <w:marBottom w:val="0"/>
          <w:divBdr>
            <w:top w:val="none" w:sz="0" w:space="0" w:color="auto"/>
            <w:left w:val="none" w:sz="0" w:space="0" w:color="auto"/>
            <w:bottom w:val="none" w:sz="0" w:space="0" w:color="auto"/>
            <w:right w:val="none" w:sz="0" w:space="0" w:color="auto"/>
          </w:divBdr>
        </w:div>
      </w:divsChild>
    </w:div>
    <w:div w:id="1200582731">
      <w:bodyDiv w:val="1"/>
      <w:marLeft w:val="0"/>
      <w:marRight w:val="0"/>
      <w:marTop w:val="0"/>
      <w:marBottom w:val="0"/>
      <w:divBdr>
        <w:top w:val="none" w:sz="0" w:space="0" w:color="auto"/>
        <w:left w:val="none" w:sz="0" w:space="0" w:color="auto"/>
        <w:bottom w:val="none" w:sz="0" w:space="0" w:color="auto"/>
        <w:right w:val="none" w:sz="0" w:space="0" w:color="auto"/>
      </w:divBdr>
    </w:div>
    <w:div w:id="1218005724">
      <w:bodyDiv w:val="1"/>
      <w:marLeft w:val="0"/>
      <w:marRight w:val="0"/>
      <w:marTop w:val="0"/>
      <w:marBottom w:val="0"/>
      <w:divBdr>
        <w:top w:val="none" w:sz="0" w:space="0" w:color="auto"/>
        <w:left w:val="none" w:sz="0" w:space="0" w:color="auto"/>
        <w:bottom w:val="none" w:sz="0" w:space="0" w:color="auto"/>
        <w:right w:val="none" w:sz="0" w:space="0" w:color="auto"/>
      </w:divBdr>
    </w:div>
    <w:div w:id="1511411354">
      <w:bodyDiv w:val="1"/>
      <w:marLeft w:val="0"/>
      <w:marRight w:val="0"/>
      <w:marTop w:val="0"/>
      <w:marBottom w:val="0"/>
      <w:divBdr>
        <w:top w:val="none" w:sz="0" w:space="0" w:color="auto"/>
        <w:left w:val="none" w:sz="0" w:space="0" w:color="auto"/>
        <w:bottom w:val="none" w:sz="0" w:space="0" w:color="auto"/>
        <w:right w:val="none" w:sz="0" w:space="0" w:color="auto"/>
      </w:divBdr>
    </w:div>
    <w:div w:id="1626353531">
      <w:bodyDiv w:val="1"/>
      <w:marLeft w:val="0"/>
      <w:marRight w:val="0"/>
      <w:marTop w:val="0"/>
      <w:marBottom w:val="0"/>
      <w:divBdr>
        <w:top w:val="none" w:sz="0" w:space="0" w:color="auto"/>
        <w:left w:val="none" w:sz="0" w:space="0" w:color="auto"/>
        <w:bottom w:val="none" w:sz="0" w:space="0" w:color="auto"/>
        <w:right w:val="none" w:sz="0" w:space="0" w:color="auto"/>
      </w:divBdr>
    </w:div>
    <w:div w:id="1743676288">
      <w:bodyDiv w:val="1"/>
      <w:marLeft w:val="0"/>
      <w:marRight w:val="0"/>
      <w:marTop w:val="0"/>
      <w:marBottom w:val="0"/>
      <w:divBdr>
        <w:top w:val="none" w:sz="0" w:space="0" w:color="auto"/>
        <w:left w:val="none" w:sz="0" w:space="0" w:color="auto"/>
        <w:bottom w:val="none" w:sz="0" w:space="0" w:color="auto"/>
        <w:right w:val="none" w:sz="0" w:space="0" w:color="auto"/>
      </w:divBdr>
    </w:div>
    <w:div w:id="203380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gitalcommons.unl.edu/cgi/viewcontent.cgi?article=1351&amp;context=podimproveacad" TargetMode="External"/><Relationship Id="rId13" Type="http://schemas.openxmlformats.org/officeDocument/2006/relationships/hyperlink" Target="https://search-proquest-com.ezproxy.uwtsd.ac.uk/docview/210394682?accountid=130472&amp;rfr_id=info%3Axri%2Fsid%3Aprimo" TargetMode="External"/><Relationship Id="rId18" Type="http://schemas.openxmlformats.org/officeDocument/2006/relationships/hyperlink" Target="https://www.pinterest.co.uk/pin/511791945151744369/visual-search/?x=16&amp;y=16&amp;w=530&amp;h=67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littlegreenhouse.com.sg/portfolio/computer-area-s553/computer-area-s553-2/" TargetMode="External"/><Relationship Id="rId7" Type="http://schemas.openxmlformats.org/officeDocument/2006/relationships/endnotes" Target="endnotes.xml"/><Relationship Id="rId12" Type="http://schemas.openxmlformats.org/officeDocument/2006/relationships/hyperlink" Target="https://search-proquest-com.ezproxy.uwtsd.ac.uk/docview/1871523245?accountid=130472&amp;rfr_id=info%3Axri%2Fsid%3Aprimo" TargetMode="External"/><Relationship Id="rId17" Type="http://schemas.openxmlformats.org/officeDocument/2006/relationships/hyperlink" Target="https://www.unicef.org/crc/index_30184.html" TargetMode="External"/><Relationship Id="rId25" Type="http://schemas.openxmlformats.org/officeDocument/2006/relationships/hyperlink" Target="https://www.pinterest.co.uk/pin/511791945151754943/visual-search/?x=16&amp;y=16&amp;w=530&amp;h=671" TargetMode="External"/><Relationship Id="rId2" Type="http://schemas.openxmlformats.org/officeDocument/2006/relationships/numbering" Target="numbering.xml"/><Relationship Id="rId16" Type="http://schemas.openxmlformats.org/officeDocument/2006/relationships/hyperlink" Target="http://discovery.ucl.ac.uk/10006091/1/Siraj-Blatchford2009Conceptualising77.pdf" TargetMode="External"/><Relationship Id="rId20" Type="http://schemas.openxmlformats.org/officeDocument/2006/relationships/hyperlink" Target="https://www.pinterest.co.uk/pin/511791945151558538/visual-search/?x=16&amp;y=16&amp;w=530&amp;h=6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public/files/Publications/Campaigns%20/Literacy/KS2_Literacy_Guidance_2017.p" TargetMode="External"/><Relationship Id="rId24" Type="http://schemas.openxmlformats.org/officeDocument/2006/relationships/hyperlink" Target="https://www.pinterest.co.uk/pin/434738170259440290/visual-search/?x=16&amp;y=11&amp;w=530&amp;h=352" TargetMode="External"/><Relationship Id="rId5" Type="http://schemas.openxmlformats.org/officeDocument/2006/relationships/webSettings" Target="webSettings.xml"/><Relationship Id="rId15" Type="http://schemas.openxmlformats.org/officeDocument/2006/relationships/hyperlink" Target="https://onlinelibrary.wiley.com/doi/full/10.1080/0141192990250107" TargetMode="External"/><Relationship Id="rId23" Type="http://schemas.openxmlformats.org/officeDocument/2006/relationships/hyperlink" Target="https://www.pinterest.co.uk/pin/489203578256870396/visual-search/?x=16&amp;y=12&amp;w=530&amp;h=397" TargetMode="External"/><Relationship Id="rId10" Type="http://schemas.openxmlformats.org/officeDocument/2006/relationships/hyperlink" Target="http://learning.gov.wales/resources/browse-all/nlnf/?lang=cy" TargetMode="External"/><Relationship Id="rId19" Type="http://schemas.openxmlformats.org/officeDocument/2006/relationships/hyperlink" Target="https://www.pinterest.co.uk/pin/511791945151558541/visual-search/?x=16&amp;y=12&amp;w=530&amp;h=397" TargetMode="External"/><Relationship Id="rId4" Type="http://schemas.openxmlformats.org/officeDocument/2006/relationships/settings" Target="settings.xml"/><Relationship Id="rId9" Type="http://schemas.openxmlformats.org/officeDocument/2006/relationships/hyperlink" Target="http://gov.wales/docs/dcells/publications/150225-successful-futures-cy.pdf" TargetMode="External"/><Relationship Id="rId14" Type="http://schemas.openxmlformats.org/officeDocument/2006/relationships/hyperlink" Target="http://www.jstor.org/stable/1050513" TargetMode="External"/><Relationship Id="rId22" Type="http://schemas.openxmlformats.org/officeDocument/2006/relationships/hyperlink" Target="https://www.pinterest.co.uk/pin/511791945151744163/visual-search/?x=6&amp;y=52&amp;w=526&amp;h=37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52482-5105-42E7-AD46-9184F129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5261</Words>
  <Characters>29991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Alice Cole (1004349)</dc:creator>
  <cp:lastModifiedBy>Alice Cole (1004349)</cp:lastModifiedBy>
  <cp:revision>3</cp:revision>
  <dcterms:created xsi:type="dcterms:W3CDTF">2018-10-14T19:19:00Z</dcterms:created>
  <dcterms:modified xsi:type="dcterms:W3CDTF">2018-10-15T10:31:00Z</dcterms:modified>
</cp:coreProperties>
</file>