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nil"/>
          <w:left w:val="nil"/>
          <w:bottom w:val="nil"/>
          <w:right w:val="nil"/>
          <w:insideH w:val="nil"/>
          <w:insideV w:val="nil"/>
        </w:tblBorders>
        <w:tblLayout w:type="fixed"/>
        <w:tblLook w:val="04A0" w:firstRow="1" w:lastRow="0" w:firstColumn="1" w:lastColumn="0" w:noHBand="0" w:noVBand="1"/>
      </w:tblPr>
      <w:tblGrid>
        <w:gridCol w:w="9360"/>
      </w:tblGrid>
      <w:tr w:rsidR="00D67A93" w14:paraId="090CFFA9" w14:textId="77777777">
        <w:trPr>
          <w:jc w:val="center"/>
        </w:trPr>
        <w:tc>
          <w:tcPr>
            <w:tcW w:w="9360" w:type="dxa"/>
            <w:shd w:val="clear" w:color="auto" w:fill="17365D"/>
          </w:tcPr>
          <w:p w14:paraId="0AFF8E91" w14:textId="77777777" w:rsidR="00D67A93" w:rsidRDefault="00D67A93"/>
        </w:tc>
      </w:tr>
    </w:tbl>
    <w:p w14:paraId="52B8A599" w14:textId="77777777" w:rsidR="00D67A93" w:rsidRDefault="00000000">
      <w:pPr>
        <w:spacing w:before="320" w:after="160"/>
        <w:jc w:val="center"/>
      </w:pPr>
      <w:r>
        <w:rPr>
          <w:noProof/>
        </w:rPr>
        <w:drawing>
          <wp:inline distT="0" distB="0" distL="0" distR="0" wp14:anchorId="3E79FB42" wp14:editId="68A8EE63">
            <wp:extent cx="1600200" cy="640080"/>
            <wp:effectExtent l="0" t="0" r="0" b="0"/>
            <wp:docPr id="2047035310" name="Picture 2047035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8"/>
                    <a:stretch>
                      <a:fillRect/>
                    </a:stretch>
                  </pic:blipFill>
                  <pic:spPr>
                    <a:xfrm>
                      <a:off x="0" y="0"/>
                      <a:ext cx="1600200" cy="640080"/>
                    </a:xfrm>
                    <a:prstGeom prst="rect">
                      <a:avLst/>
                    </a:prstGeom>
                  </pic:spPr>
                </pic:pic>
              </a:graphicData>
            </a:graphic>
          </wp:inline>
        </w:drawing>
      </w:r>
    </w:p>
    <w:p w14:paraId="10B5C90F" w14:textId="77777777" w:rsidR="00D67A93" w:rsidRDefault="00000000">
      <w:pPr>
        <w:spacing w:after="40" w:line="240" w:lineRule="auto"/>
        <w:jc w:val="center"/>
      </w:pPr>
      <w:r>
        <w:rPr>
          <w:b/>
          <w:color w:val="17365D"/>
          <w:sz w:val="30"/>
        </w:rPr>
        <w:t>University of Wales Trinity Saint David</w:t>
      </w:r>
    </w:p>
    <w:p w14:paraId="28EEFC33" w14:textId="77777777" w:rsidR="00D67A93" w:rsidRDefault="00000000">
      <w:pPr>
        <w:spacing w:after="360" w:line="240" w:lineRule="auto"/>
        <w:jc w:val="center"/>
      </w:pPr>
      <w:r>
        <w:rPr>
          <w:color w:val="555555"/>
          <w:sz w:val="22"/>
        </w:rPr>
        <w:t>MASTER OF BUSINESS ADMINISTRATION</w:t>
      </w:r>
    </w:p>
    <w:p w14:paraId="734DE965" w14:textId="77777777" w:rsidR="00D67A93" w:rsidRDefault="00000000">
      <w:pPr>
        <w:spacing w:after="100" w:line="240" w:lineRule="auto"/>
        <w:jc w:val="center"/>
      </w:pPr>
      <w:r>
        <w:rPr>
          <w:b/>
          <w:color w:val="17365D"/>
          <w:sz w:val="48"/>
        </w:rPr>
        <w:t>Strategic Management Report</w:t>
      </w:r>
    </w:p>
    <w:p w14:paraId="0EFFC2BA" w14:textId="77777777" w:rsidR="00D67A93" w:rsidRDefault="00000000">
      <w:pPr>
        <w:spacing w:after="240" w:line="240" w:lineRule="auto"/>
        <w:jc w:val="center"/>
      </w:pPr>
      <w:r>
        <w:rPr>
          <w:color w:val="4F4F4F"/>
          <w:sz w:val="30"/>
        </w:rPr>
        <w:t>for the Board of Directors</w:t>
      </w:r>
    </w:p>
    <w:p w14:paraId="04DE16F1" w14:textId="77777777" w:rsidR="00D67A93" w:rsidRDefault="00000000">
      <w:pPr>
        <w:spacing w:after="360" w:line="240" w:lineRule="auto"/>
        <w:jc w:val="center"/>
      </w:pPr>
      <w:r>
        <w:rPr>
          <w:b/>
          <w:color w:val="A67C00"/>
          <w:sz w:val="34"/>
        </w:rPr>
        <w:t>Tesco PLC in the UK Grocery Retail Market</w:t>
      </w:r>
    </w:p>
    <w:tbl>
      <w:tblPr>
        <w:tblW w:w="0" w:type="auto"/>
        <w:jc w:val="center"/>
        <w:tblBorders>
          <w:top w:val="nil"/>
          <w:left w:val="nil"/>
          <w:bottom w:val="nil"/>
          <w:right w:val="nil"/>
          <w:insideH w:val="nil"/>
          <w:insideV w:val="nil"/>
        </w:tblBorders>
        <w:tblLayout w:type="fixed"/>
        <w:tblLook w:val="04A0" w:firstRow="1" w:lastRow="0" w:firstColumn="1" w:lastColumn="0" w:noHBand="0" w:noVBand="1"/>
      </w:tblPr>
      <w:tblGrid>
        <w:gridCol w:w="9360"/>
      </w:tblGrid>
      <w:tr w:rsidR="00D67A93" w14:paraId="6C1140DC" w14:textId="77777777">
        <w:trPr>
          <w:jc w:val="center"/>
        </w:trPr>
        <w:tc>
          <w:tcPr>
            <w:tcW w:w="9360" w:type="dxa"/>
            <w:shd w:val="clear" w:color="auto" w:fill="D6B656"/>
          </w:tcPr>
          <w:p w14:paraId="5722C5F6" w14:textId="77777777" w:rsidR="00D67A93" w:rsidRDefault="00D67A93"/>
        </w:tc>
      </w:tr>
    </w:tbl>
    <w:p w14:paraId="6CF23799" w14:textId="77777777" w:rsidR="00D67A93" w:rsidRDefault="00D67A93">
      <w:pPr>
        <w:spacing w:after="240" w:line="240" w:lineRule="auto"/>
        <w:jc w:val="center"/>
      </w:pPr>
    </w:p>
    <w:tbl>
      <w:tblPr>
        <w:tblW w:w="0" w:type="auto"/>
        <w:jc w:val="center"/>
        <w:tblBorders>
          <w:top w:val="single" w:sz="4" w:space="0" w:color="C8D2DF"/>
          <w:left w:val="single" w:sz="4" w:space="0" w:color="C8D2DF"/>
          <w:bottom w:val="single" w:sz="4" w:space="0" w:color="C8D2DF"/>
          <w:right w:val="single" w:sz="4" w:space="0" w:color="C8D2DF"/>
          <w:insideH w:val="single" w:sz="4" w:space="0" w:color="C8D2DF"/>
          <w:insideV w:val="single" w:sz="4" w:space="0" w:color="C8D2DF"/>
        </w:tblBorders>
        <w:tblLayout w:type="fixed"/>
        <w:tblLook w:val="04A0" w:firstRow="1" w:lastRow="0" w:firstColumn="1" w:lastColumn="0" w:noHBand="0" w:noVBand="1"/>
      </w:tblPr>
      <w:tblGrid>
        <w:gridCol w:w="4680"/>
        <w:gridCol w:w="4680"/>
      </w:tblGrid>
      <w:tr w:rsidR="00D67A93" w14:paraId="5E0E02AD" w14:textId="77777777">
        <w:trPr>
          <w:jc w:val="center"/>
        </w:trPr>
        <w:tc>
          <w:tcPr>
            <w:tcW w:w="4680" w:type="dxa"/>
            <w:shd w:val="clear" w:color="auto" w:fill="EAF0F7"/>
            <w:tcMar>
              <w:top w:w="110" w:type="dxa"/>
              <w:left w:w="150" w:type="dxa"/>
              <w:bottom w:w="110" w:type="dxa"/>
              <w:right w:w="150" w:type="dxa"/>
            </w:tcMar>
            <w:vAlign w:val="center"/>
          </w:tcPr>
          <w:p w14:paraId="234BD634" w14:textId="77777777" w:rsidR="00D67A93" w:rsidRDefault="00000000">
            <w:r>
              <w:rPr>
                <w:b/>
                <w:color w:val="17365D"/>
                <w:sz w:val="21"/>
              </w:rPr>
              <w:t>Programme</w:t>
            </w:r>
          </w:p>
        </w:tc>
        <w:tc>
          <w:tcPr>
            <w:tcW w:w="4680" w:type="dxa"/>
            <w:tcMar>
              <w:top w:w="110" w:type="dxa"/>
              <w:left w:w="170" w:type="dxa"/>
              <w:bottom w:w="110" w:type="dxa"/>
              <w:right w:w="170" w:type="dxa"/>
            </w:tcMar>
            <w:vAlign w:val="center"/>
          </w:tcPr>
          <w:p w14:paraId="2F6558D7" w14:textId="77777777" w:rsidR="00D67A93" w:rsidRDefault="00000000">
            <w:r>
              <w:rPr>
                <w:color w:val="333333"/>
                <w:sz w:val="21"/>
              </w:rPr>
              <w:t>MBA in International Business</w:t>
            </w:r>
          </w:p>
        </w:tc>
      </w:tr>
      <w:tr w:rsidR="00D67A93" w14:paraId="6EC419A8" w14:textId="77777777">
        <w:trPr>
          <w:jc w:val="center"/>
        </w:trPr>
        <w:tc>
          <w:tcPr>
            <w:tcW w:w="4680" w:type="dxa"/>
            <w:shd w:val="clear" w:color="auto" w:fill="EAF0F7"/>
            <w:tcMar>
              <w:top w:w="110" w:type="dxa"/>
              <w:left w:w="150" w:type="dxa"/>
              <w:bottom w:w="110" w:type="dxa"/>
              <w:right w:w="150" w:type="dxa"/>
            </w:tcMar>
            <w:vAlign w:val="center"/>
          </w:tcPr>
          <w:p w14:paraId="5A898721" w14:textId="77777777" w:rsidR="00D67A93" w:rsidRDefault="00000000">
            <w:r>
              <w:rPr>
                <w:b/>
                <w:color w:val="17365D"/>
                <w:sz w:val="21"/>
              </w:rPr>
              <w:t>Module</w:t>
            </w:r>
          </w:p>
        </w:tc>
        <w:tc>
          <w:tcPr>
            <w:tcW w:w="4680" w:type="dxa"/>
            <w:tcMar>
              <w:top w:w="110" w:type="dxa"/>
              <w:left w:w="170" w:type="dxa"/>
              <w:bottom w:w="110" w:type="dxa"/>
              <w:right w:w="170" w:type="dxa"/>
            </w:tcMar>
            <w:vAlign w:val="center"/>
          </w:tcPr>
          <w:p w14:paraId="6911E67C" w14:textId="77777777" w:rsidR="00D67A93" w:rsidRDefault="00000000">
            <w:r>
              <w:rPr>
                <w:color w:val="333333"/>
                <w:sz w:val="21"/>
              </w:rPr>
              <w:t>Strategic Management</w:t>
            </w:r>
          </w:p>
        </w:tc>
      </w:tr>
      <w:tr w:rsidR="00D67A93" w14:paraId="232991B7" w14:textId="77777777">
        <w:trPr>
          <w:jc w:val="center"/>
        </w:trPr>
        <w:tc>
          <w:tcPr>
            <w:tcW w:w="4680" w:type="dxa"/>
            <w:shd w:val="clear" w:color="auto" w:fill="EAF0F7"/>
            <w:tcMar>
              <w:top w:w="110" w:type="dxa"/>
              <w:left w:w="150" w:type="dxa"/>
              <w:bottom w:w="110" w:type="dxa"/>
              <w:right w:w="150" w:type="dxa"/>
            </w:tcMar>
            <w:vAlign w:val="center"/>
          </w:tcPr>
          <w:p w14:paraId="74193079" w14:textId="77777777" w:rsidR="00D67A93" w:rsidRDefault="00000000">
            <w:r>
              <w:rPr>
                <w:b/>
                <w:color w:val="17365D"/>
                <w:sz w:val="21"/>
              </w:rPr>
              <w:t>Module code</w:t>
            </w:r>
          </w:p>
        </w:tc>
        <w:tc>
          <w:tcPr>
            <w:tcW w:w="4680" w:type="dxa"/>
            <w:tcMar>
              <w:top w:w="110" w:type="dxa"/>
              <w:left w:w="170" w:type="dxa"/>
              <w:bottom w:w="110" w:type="dxa"/>
              <w:right w:w="170" w:type="dxa"/>
            </w:tcMar>
            <w:vAlign w:val="center"/>
          </w:tcPr>
          <w:p w14:paraId="05658846" w14:textId="77777777" w:rsidR="00D67A93" w:rsidRDefault="00000000">
            <w:r>
              <w:rPr>
                <w:color w:val="333333"/>
                <w:sz w:val="21"/>
              </w:rPr>
              <w:t>LCMB7003</w:t>
            </w:r>
          </w:p>
        </w:tc>
      </w:tr>
      <w:tr w:rsidR="00D67A93" w14:paraId="300C64AB" w14:textId="77777777">
        <w:trPr>
          <w:jc w:val="center"/>
        </w:trPr>
        <w:tc>
          <w:tcPr>
            <w:tcW w:w="4680" w:type="dxa"/>
            <w:shd w:val="clear" w:color="auto" w:fill="EAF0F7"/>
            <w:tcMar>
              <w:top w:w="110" w:type="dxa"/>
              <w:left w:w="150" w:type="dxa"/>
              <w:bottom w:w="110" w:type="dxa"/>
              <w:right w:w="150" w:type="dxa"/>
            </w:tcMar>
            <w:vAlign w:val="center"/>
          </w:tcPr>
          <w:p w14:paraId="0CC7DA5F" w14:textId="77777777" w:rsidR="00D67A93" w:rsidRDefault="00000000">
            <w:r>
              <w:rPr>
                <w:b/>
                <w:color w:val="17365D"/>
                <w:sz w:val="21"/>
              </w:rPr>
              <w:t>Assessment</w:t>
            </w:r>
          </w:p>
        </w:tc>
        <w:tc>
          <w:tcPr>
            <w:tcW w:w="4680" w:type="dxa"/>
            <w:tcMar>
              <w:top w:w="110" w:type="dxa"/>
              <w:left w:w="170" w:type="dxa"/>
              <w:bottom w:w="110" w:type="dxa"/>
              <w:right w:w="170" w:type="dxa"/>
            </w:tcMar>
            <w:vAlign w:val="center"/>
          </w:tcPr>
          <w:p w14:paraId="6A112D86" w14:textId="77777777" w:rsidR="00D67A93" w:rsidRDefault="00000000">
            <w:r>
              <w:rPr>
                <w:color w:val="333333"/>
                <w:sz w:val="21"/>
              </w:rPr>
              <w:t>Individual Report</w:t>
            </w:r>
          </w:p>
        </w:tc>
      </w:tr>
      <w:tr w:rsidR="00D67A93" w14:paraId="0FDF6814" w14:textId="77777777">
        <w:trPr>
          <w:jc w:val="center"/>
        </w:trPr>
        <w:tc>
          <w:tcPr>
            <w:tcW w:w="4680" w:type="dxa"/>
            <w:shd w:val="clear" w:color="auto" w:fill="EAF0F7"/>
            <w:tcMar>
              <w:top w:w="110" w:type="dxa"/>
              <w:left w:w="150" w:type="dxa"/>
              <w:bottom w:w="110" w:type="dxa"/>
              <w:right w:w="150" w:type="dxa"/>
            </w:tcMar>
            <w:vAlign w:val="center"/>
          </w:tcPr>
          <w:p w14:paraId="667EB8AE" w14:textId="77777777" w:rsidR="00D67A93" w:rsidRDefault="00000000">
            <w:r>
              <w:rPr>
                <w:b/>
                <w:color w:val="17365D"/>
                <w:sz w:val="21"/>
              </w:rPr>
              <w:t>Lecturer</w:t>
            </w:r>
          </w:p>
        </w:tc>
        <w:tc>
          <w:tcPr>
            <w:tcW w:w="4680" w:type="dxa"/>
            <w:tcMar>
              <w:top w:w="110" w:type="dxa"/>
              <w:left w:w="170" w:type="dxa"/>
              <w:bottom w:w="110" w:type="dxa"/>
              <w:right w:w="170" w:type="dxa"/>
            </w:tcMar>
            <w:vAlign w:val="center"/>
          </w:tcPr>
          <w:p w14:paraId="267FCCC5" w14:textId="77777777" w:rsidR="00D67A93" w:rsidRDefault="00000000">
            <w:r>
              <w:rPr>
                <w:color w:val="333333"/>
                <w:sz w:val="21"/>
              </w:rPr>
              <w:t>Amare Desta / Ejike Udeogu</w:t>
            </w:r>
          </w:p>
        </w:tc>
      </w:tr>
      <w:tr w:rsidR="00D67A93" w14:paraId="01C31052" w14:textId="77777777">
        <w:trPr>
          <w:jc w:val="center"/>
        </w:trPr>
        <w:tc>
          <w:tcPr>
            <w:tcW w:w="4680" w:type="dxa"/>
            <w:shd w:val="clear" w:color="auto" w:fill="EAF0F7"/>
            <w:tcMar>
              <w:top w:w="110" w:type="dxa"/>
              <w:left w:w="150" w:type="dxa"/>
              <w:bottom w:w="110" w:type="dxa"/>
              <w:right w:w="150" w:type="dxa"/>
            </w:tcMar>
            <w:vAlign w:val="center"/>
          </w:tcPr>
          <w:p w14:paraId="08A877D3" w14:textId="77777777" w:rsidR="00D67A93" w:rsidRDefault="00000000">
            <w:r>
              <w:rPr>
                <w:b/>
                <w:color w:val="17365D"/>
                <w:sz w:val="21"/>
              </w:rPr>
              <w:t>Student name</w:t>
            </w:r>
          </w:p>
        </w:tc>
        <w:tc>
          <w:tcPr>
            <w:tcW w:w="4680" w:type="dxa"/>
            <w:tcMar>
              <w:top w:w="110" w:type="dxa"/>
              <w:left w:w="170" w:type="dxa"/>
              <w:bottom w:w="110" w:type="dxa"/>
              <w:right w:w="170" w:type="dxa"/>
            </w:tcMar>
            <w:vAlign w:val="center"/>
          </w:tcPr>
          <w:p w14:paraId="420981BD" w14:textId="77777777" w:rsidR="00D67A93" w:rsidRDefault="00000000">
            <w:r>
              <w:rPr>
                <w:color w:val="333333"/>
                <w:sz w:val="21"/>
              </w:rPr>
              <w:t>MD JUEL MIAH</w:t>
            </w:r>
          </w:p>
        </w:tc>
      </w:tr>
      <w:tr w:rsidR="00D67A93" w14:paraId="3F09048E" w14:textId="77777777">
        <w:trPr>
          <w:jc w:val="center"/>
        </w:trPr>
        <w:tc>
          <w:tcPr>
            <w:tcW w:w="4680" w:type="dxa"/>
            <w:shd w:val="clear" w:color="auto" w:fill="EAF0F7"/>
            <w:tcMar>
              <w:top w:w="110" w:type="dxa"/>
              <w:left w:w="150" w:type="dxa"/>
              <w:bottom w:w="110" w:type="dxa"/>
              <w:right w:w="150" w:type="dxa"/>
            </w:tcMar>
            <w:vAlign w:val="center"/>
          </w:tcPr>
          <w:p w14:paraId="3355D967" w14:textId="77777777" w:rsidR="00D67A93" w:rsidRDefault="00000000">
            <w:r>
              <w:rPr>
                <w:b/>
                <w:color w:val="17365D"/>
                <w:sz w:val="21"/>
              </w:rPr>
              <w:t>Student ID</w:t>
            </w:r>
          </w:p>
        </w:tc>
        <w:tc>
          <w:tcPr>
            <w:tcW w:w="4680" w:type="dxa"/>
            <w:tcMar>
              <w:top w:w="110" w:type="dxa"/>
              <w:left w:w="170" w:type="dxa"/>
              <w:bottom w:w="110" w:type="dxa"/>
              <w:right w:w="170" w:type="dxa"/>
            </w:tcMar>
            <w:vAlign w:val="center"/>
          </w:tcPr>
          <w:p w14:paraId="7F82266C" w14:textId="77777777" w:rsidR="00D67A93" w:rsidRDefault="00000000">
            <w:r>
              <w:rPr>
                <w:color w:val="333333"/>
                <w:sz w:val="21"/>
              </w:rPr>
              <w:t>2522339</w:t>
            </w:r>
          </w:p>
        </w:tc>
      </w:tr>
      <w:tr w:rsidR="00D67A93" w14:paraId="508845D5" w14:textId="77777777">
        <w:trPr>
          <w:jc w:val="center"/>
        </w:trPr>
        <w:tc>
          <w:tcPr>
            <w:tcW w:w="4680" w:type="dxa"/>
            <w:shd w:val="clear" w:color="auto" w:fill="EAF0F7"/>
            <w:tcMar>
              <w:top w:w="110" w:type="dxa"/>
              <w:left w:w="150" w:type="dxa"/>
              <w:bottom w:w="110" w:type="dxa"/>
              <w:right w:w="150" w:type="dxa"/>
            </w:tcMar>
            <w:vAlign w:val="center"/>
          </w:tcPr>
          <w:p w14:paraId="58009739" w14:textId="77777777" w:rsidR="00D67A93" w:rsidRDefault="00000000">
            <w:r>
              <w:rPr>
                <w:b/>
                <w:color w:val="17365D"/>
                <w:sz w:val="21"/>
              </w:rPr>
              <w:t>Word count</w:t>
            </w:r>
          </w:p>
        </w:tc>
        <w:tc>
          <w:tcPr>
            <w:tcW w:w="4680" w:type="dxa"/>
            <w:tcMar>
              <w:top w:w="110" w:type="dxa"/>
              <w:left w:w="170" w:type="dxa"/>
              <w:bottom w:w="110" w:type="dxa"/>
              <w:right w:w="170" w:type="dxa"/>
            </w:tcMar>
            <w:vAlign w:val="center"/>
          </w:tcPr>
          <w:p w14:paraId="29B6452B" w14:textId="1B5D2178" w:rsidR="00D67A93" w:rsidRDefault="00000000">
            <w:r>
              <w:rPr>
                <w:color w:val="333333"/>
                <w:sz w:val="21"/>
              </w:rPr>
              <w:t>5,4</w:t>
            </w:r>
            <w:r w:rsidR="004F6CEC">
              <w:rPr>
                <w:color w:val="333333"/>
                <w:sz w:val="21"/>
              </w:rPr>
              <w:t>6</w:t>
            </w:r>
            <w:r>
              <w:rPr>
                <w:color w:val="333333"/>
                <w:sz w:val="21"/>
              </w:rPr>
              <w:t>3 words</w:t>
            </w:r>
          </w:p>
        </w:tc>
      </w:tr>
    </w:tbl>
    <w:p w14:paraId="16EBD399" w14:textId="77777777" w:rsidR="00D67A93" w:rsidRPr="004F6CEC" w:rsidRDefault="00000000">
      <w:pPr>
        <w:spacing w:before="360" w:after="160" w:line="240" w:lineRule="auto"/>
        <w:jc w:val="center"/>
        <w:rPr>
          <w:b/>
          <w:bCs/>
          <w:sz w:val="32"/>
          <w:szCs w:val="28"/>
        </w:rPr>
      </w:pPr>
      <w:r w:rsidRPr="004F6CEC">
        <w:rPr>
          <w:b/>
          <w:bCs/>
          <w:color w:val="555555"/>
          <w:szCs w:val="28"/>
        </w:rPr>
        <w:t>Submission date: 16 July 2026</w:t>
      </w:r>
    </w:p>
    <w:sdt>
      <w:sdtPr>
        <w:rPr>
          <w:rFonts w:ascii="Arial" w:eastAsia="Arial" w:hAnsi="Arial" w:cstheme="minorBidi"/>
          <w:b w:val="0"/>
          <w:bCs w:val="0"/>
          <w:color w:val="auto"/>
          <w:sz w:val="24"/>
          <w:szCs w:val="22"/>
        </w:rPr>
        <w:id w:val="-281882283"/>
        <w:docPartObj>
          <w:docPartGallery w:val="Table of Contents"/>
          <w:docPartUnique/>
        </w:docPartObj>
      </w:sdtPr>
      <w:sdtEndPr>
        <w:rPr>
          <w:noProof/>
        </w:rPr>
      </w:sdtEndPr>
      <w:sdtContent>
        <w:p w14:paraId="4A4E9CAB" w14:textId="77777777" w:rsidR="00710CD0" w:rsidRDefault="00710CD0">
          <w:pPr>
            <w:pStyle w:val="TOCHeading"/>
          </w:pPr>
          <w:r>
            <w:t>Table of Contents</w:t>
          </w:r>
        </w:p>
        <w:p w14:paraId="44DD33BF" w14:textId="48414834" w:rsidR="006C49B6" w:rsidRDefault="00710CD0">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34069034" w:history="1">
            <w:r w:rsidR="006C49B6" w:rsidRPr="00BA5BE8">
              <w:rPr>
                <w:rStyle w:val="Hyperlink"/>
                <w:noProof/>
              </w:rPr>
              <w:t>Executive Summary</w:t>
            </w:r>
            <w:r w:rsidR="006C49B6">
              <w:rPr>
                <w:noProof/>
                <w:webHidden/>
              </w:rPr>
              <w:tab/>
            </w:r>
            <w:r w:rsidR="006C49B6">
              <w:rPr>
                <w:noProof/>
                <w:webHidden/>
              </w:rPr>
              <w:fldChar w:fldCharType="begin"/>
            </w:r>
            <w:r w:rsidR="006C49B6">
              <w:rPr>
                <w:noProof/>
                <w:webHidden/>
              </w:rPr>
              <w:instrText xml:space="preserve"> PAGEREF _Toc234069034 \h </w:instrText>
            </w:r>
            <w:r w:rsidR="006C49B6">
              <w:rPr>
                <w:noProof/>
                <w:webHidden/>
              </w:rPr>
            </w:r>
            <w:r w:rsidR="006C49B6">
              <w:rPr>
                <w:noProof/>
                <w:webHidden/>
              </w:rPr>
              <w:fldChar w:fldCharType="separate"/>
            </w:r>
            <w:r w:rsidR="006C214D">
              <w:rPr>
                <w:noProof/>
                <w:webHidden/>
              </w:rPr>
              <w:t>3</w:t>
            </w:r>
            <w:r w:rsidR="006C49B6">
              <w:rPr>
                <w:noProof/>
                <w:webHidden/>
              </w:rPr>
              <w:fldChar w:fldCharType="end"/>
            </w:r>
          </w:hyperlink>
        </w:p>
        <w:p w14:paraId="7517083D" w14:textId="141ADF71" w:rsidR="006C49B6" w:rsidRDefault="006C49B6">
          <w:pPr>
            <w:pStyle w:val="TOC1"/>
            <w:tabs>
              <w:tab w:val="right" w:leader="dot" w:pos="9350"/>
            </w:tabs>
            <w:rPr>
              <w:rFonts w:asciiTheme="minorHAnsi" w:eastAsiaTheme="minorEastAsia" w:hAnsiTheme="minorHAnsi"/>
              <w:noProof/>
              <w:kern w:val="2"/>
              <w:szCs w:val="24"/>
              <w14:ligatures w14:val="standardContextual"/>
            </w:rPr>
          </w:pPr>
          <w:hyperlink w:anchor="_Toc234069035" w:history="1">
            <w:r w:rsidRPr="00BA5BE8">
              <w:rPr>
                <w:rStyle w:val="Hyperlink"/>
                <w:noProof/>
              </w:rPr>
              <w:t>Section 1: Strategic Management Report</w:t>
            </w:r>
            <w:r>
              <w:rPr>
                <w:noProof/>
                <w:webHidden/>
              </w:rPr>
              <w:tab/>
            </w:r>
            <w:r>
              <w:rPr>
                <w:noProof/>
                <w:webHidden/>
              </w:rPr>
              <w:fldChar w:fldCharType="begin"/>
            </w:r>
            <w:r>
              <w:rPr>
                <w:noProof/>
                <w:webHidden/>
              </w:rPr>
              <w:instrText xml:space="preserve"> PAGEREF _Toc234069035 \h </w:instrText>
            </w:r>
            <w:r>
              <w:rPr>
                <w:noProof/>
                <w:webHidden/>
              </w:rPr>
            </w:r>
            <w:r>
              <w:rPr>
                <w:noProof/>
                <w:webHidden/>
              </w:rPr>
              <w:fldChar w:fldCharType="separate"/>
            </w:r>
            <w:r w:rsidR="006C214D">
              <w:rPr>
                <w:noProof/>
                <w:webHidden/>
              </w:rPr>
              <w:t>4</w:t>
            </w:r>
            <w:r>
              <w:rPr>
                <w:noProof/>
                <w:webHidden/>
              </w:rPr>
              <w:fldChar w:fldCharType="end"/>
            </w:r>
          </w:hyperlink>
        </w:p>
        <w:p w14:paraId="0FA414E8" w14:textId="1148920F" w:rsidR="006C49B6" w:rsidRDefault="006C49B6">
          <w:pPr>
            <w:pStyle w:val="TOC1"/>
            <w:tabs>
              <w:tab w:val="right" w:leader="dot" w:pos="9350"/>
            </w:tabs>
            <w:rPr>
              <w:rFonts w:asciiTheme="minorHAnsi" w:eastAsiaTheme="minorEastAsia" w:hAnsiTheme="minorHAnsi"/>
              <w:noProof/>
              <w:kern w:val="2"/>
              <w:szCs w:val="24"/>
              <w14:ligatures w14:val="standardContextual"/>
            </w:rPr>
          </w:pPr>
          <w:hyperlink w:anchor="_Toc234069036" w:history="1">
            <w:r w:rsidRPr="00BA5BE8">
              <w:rPr>
                <w:rStyle w:val="Hyperlink"/>
                <w:noProof/>
              </w:rPr>
              <w:t>1. Organisational Context and Overview</w:t>
            </w:r>
            <w:r>
              <w:rPr>
                <w:noProof/>
                <w:webHidden/>
              </w:rPr>
              <w:tab/>
            </w:r>
            <w:r>
              <w:rPr>
                <w:noProof/>
                <w:webHidden/>
              </w:rPr>
              <w:fldChar w:fldCharType="begin"/>
            </w:r>
            <w:r>
              <w:rPr>
                <w:noProof/>
                <w:webHidden/>
              </w:rPr>
              <w:instrText xml:space="preserve"> PAGEREF _Toc234069036 \h </w:instrText>
            </w:r>
            <w:r>
              <w:rPr>
                <w:noProof/>
                <w:webHidden/>
              </w:rPr>
            </w:r>
            <w:r>
              <w:rPr>
                <w:noProof/>
                <w:webHidden/>
              </w:rPr>
              <w:fldChar w:fldCharType="separate"/>
            </w:r>
            <w:r w:rsidR="006C214D">
              <w:rPr>
                <w:noProof/>
                <w:webHidden/>
              </w:rPr>
              <w:t>4</w:t>
            </w:r>
            <w:r>
              <w:rPr>
                <w:noProof/>
                <w:webHidden/>
              </w:rPr>
              <w:fldChar w:fldCharType="end"/>
            </w:r>
          </w:hyperlink>
        </w:p>
        <w:p w14:paraId="24C2CECA" w14:textId="6419827A" w:rsidR="006C49B6" w:rsidRDefault="006C49B6">
          <w:pPr>
            <w:pStyle w:val="TOC1"/>
            <w:tabs>
              <w:tab w:val="right" w:leader="dot" w:pos="9350"/>
            </w:tabs>
            <w:rPr>
              <w:rFonts w:asciiTheme="minorHAnsi" w:eastAsiaTheme="minorEastAsia" w:hAnsiTheme="minorHAnsi"/>
              <w:noProof/>
              <w:kern w:val="2"/>
              <w:szCs w:val="24"/>
              <w14:ligatures w14:val="standardContextual"/>
            </w:rPr>
          </w:pPr>
          <w:hyperlink w:anchor="_Toc234069037" w:history="1">
            <w:r w:rsidRPr="00BA5BE8">
              <w:rPr>
                <w:rStyle w:val="Hyperlink"/>
                <w:noProof/>
              </w:rPr>
              <w:t>2. External and Internal Analysis</w:t>
            </w:r>
            <w:r>
              <w:rPr>
                <w:noProof/>
                <w:webHidden/>
              </w:rPr>
              <w:tab/>
            </w:r>
            <w:r>
              <w:rPr>
                <w:noProof/>
                <w:webHidden/>
              </w:rPr>
              <w:fldChar w:fldCharType="begin"/>
            </w:r>
            <w:r>
              <w:rPr>
                <w:noProof/>
                <w:webHidden/>
              </w:rPr>
              <w:instrText xml:space="preserve"> PAGEREF _Toc234069037 \h </w:instrText>
            </w:r>
            <w:r>
              <w:rPr>
                <w:noProof/>
                <w:webHidden/>
              </w:rPr>
            </w:r>
            <w:r>
              <w:rPr>
                <w:noProof/>
                <w:webHidden/>
              </w:rPr>
              <w:fldChar w:fldCharType="separate"/>
            </w:r>
            <w:r w:rsidR="006C214D">
              <w:rPr>
                <w:noProof/>
                <w:webHidden/>
              </w:rPr>
              <w:t>6</w:t>
            </w:r>
            <w:r>
              <w:rPr>
                <w:noProof/>
                <w:webHidden/>
              </w:rPr>
              <w:fldChar w:fldCharType="end"/>
            </w:r>
          </w:hyperlink>
        </w:p>
        <w:p w14:paraId="6083F24C" w14:textId="7A416F3D"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38" w:history="1">
            <w:r w:rsidRPr="00BA5BE8">
              <w:rPr>
                <w:rStyle w:val="Hyperlink"/>
                <w:noProof/>
              </w:rPr>
              <w:t>2.1 External Analysis Using PESTEL</w:t>
            </w:r>
            <w:r>
              <w:rPr>
                <w:noProof/>
                <w:webHidden/>
              </w:rPr>
              <w:tab/>
            </w:r>
            <w:r>
              <w:rPr>
                <w:noProof/>
                <w:webHidden/>
              </w:rPr>
              <w:fldChar w:fldCharType="begin"/>
            </w:r>
            <w:r>
              <w:rPr>
                <w:noProof/>
                <w:webHidden/>
              </w:rPr>
              <w:instrText xml:space="preserve"> PAGEREF _Toc234069038 \h </w:instrText>
            </w:r>
            <w:r>
              <w:rPr>
                <w:noProof/>
                <w:webHidden/>
              </w:rPr>
            </w:r>
            <w:r>
              <w:rPr>
                <w:noProof/>
                <w:webHidden/>
              </w:rPr>
              <w:fldChar w:fldCharType="separate"/>
            </w:r>
            <w:r w:rsidR="006C214D">
              <w:rPr>
                <w:noProof/>
                <w:webHidden/>
              </w:rPr>
              <w:t>6</w:t>
            </w:r>
            <w:r>
              <w:rPr>
                <w:noProof/>
                <w:webHidden/>
              </w:rPr>
              <w:fldChar w:fldCharType="end"/>
            </w:r>
          </w:hyperlink>
        </w:p>
        <w:p w14:paraId="40F3426C" w14:textId="1E330526"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39" w:history="1">
            <w:r w:rsidRPr="00BA5BE8">
              <w:rPr>
                <w:rStyle w:val="Hyperlink"/>
                <w:noProof/>
              </w:rPr>
              <w:t>2.2 Internal Analysis Using VRIO</w:t>
            </w:r>
            <w:r>
              <w:rPr>
                <w:noProof/>
                <w:webHidden/>
              </w:rPr>
              <w:tab/>
            </w:r>
            <w:r>
              <w:rPr>
                <w:noProof/>
                <w:webHidden/>
              </w:rPr>
              <w:fldChar w:fldCharType="begin"/>
            </w:r>
            <w:r>
              <w:rPr>
                <w:noProof/>
                <w:webHidden/>
              </w:rPr>
              <w:instrText xml:space="preserve"> PAGEREF _Toc234069039 \h </w:instrText>
            </w:r>
            <w:r>
              <w:rPr>
                <w:noProof/>
                <w:webHidden/>
              </w:rPr>
            </w:r>
            <w:r>
              <w:rPr>
                <w:noProof/>
                <w:webHidden/>
              </w:rPr>
              <w:fldChar w:fldCharType="separate"/>
            </w:r>
            <w:r w:rsidR="006C214D">
              <w:rPr>
                <w:noProof/>
                <w:webHidden/>
              </w:rPr>
              <w:t>9</w:t>
            </w:r>
            <w:r>
              <w:rPr>
                <w:noProof/>
                <w:webHidden/>
              </w:rPr>
              <w:fldChar w:fldCharType="end"/>
            </w:r>
          </w:hyperlink>
        </w:p>
        <w:p w14:paraId="4F4809E4" w14:textId="44853051"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40" w:history="1">
            <w:r w:rsidRPr="00BA5BE8">
              <w:rPr>
                <w:rStyle w:val="Hyperlink"/>
                <w:noProof/>
              </w:rPr>
              <w:t>2.3 SWOT Synthesis</w:t>
            </w:r>
            <w:r>
              <w:rPr>
                <w:noProof/>
                <w:webHidden/>
              </w:rPr>
              <w:tab/>
            </w:r>
            <w:r>
              <w:rPr>
                <w:noProof/>
                <w:webHidden/>
              </w:rPr>
              <w:fldChar w:fldCharType="begin"/>
            </w:r>
            <w:r>
              <w:rPr>
                <w:noProof/>
                <w:webHidden/>
              </w:rPr>
              <w:instrText xml:space="preserve"> PAGEREF _Toc234069040 \h </w:instrText>
            </w:r>
            <w:r>
              <w:rPr>
                <w:noProof/>
                <w:webHidden/>
              </w:rPr>
            </w:r>
            <w:r>
              <w:rPr>
                <w:noProof/>
                <w:webHidden/>
              </w:rPr>
              <w:fldChar w:fldCharType="separate"/>
            </w:r>
            <w:r w:rsidR="006C214D">
              <w:rPr>
                <w:noProof/>
                <w:webHidden/>
              </w:rPr>
              <w:t>11</w:t>
            </w:r>
            <w:r>
              <w:rPr>
                <w:noProof/>
                <w:webHidden/>
              </w:rPr>
              <w:fldChar w:fldCharType="end"/>
            </w:r>
          </w:hyperlink>
        </w:p>
        <w:p w14:paraId="19B055CF" w14:textId="2646232A" w:rsidR="006C49B6" w:rsidRDefault="006C49B6">
          <w:pPr>
            <w:pStyle w:val="TOC1"/>
            <w:tabs>
              <w:tab w:val="right" w:leader="dot" w:pos="9350"/>
            </w:tabs>
            <w:rPr>
              <w:rFonts w:asciiTheme="minorHAnsi" w:eastAsiaTheme="minorEastAsia" w:hAnsiTheme="minorHAnsi"/>
              <w:noProof/>
              <w:kern w:val="2"/>
              <w:szCs w:val="24"/>
              <w14:ligatures w14:val="standardContextual"/>
            </w:rPr>
          </w:pPr>
          <w:hyperlink w:anchor="_Toc234069041" w:history="1">
            <w:r w:rsidRPr="00BA5BE8">
              <w:rPr>
                <w:rStyle w:val="Hyperlink"/>
                <w:noProof/>
              </w:rPr>
              <w:t>3. Comprehensive and Holistic View of the Organisation</w:t>
            </w:r>
            <w:r>
              <w:rPr>
                <w:noProof/>
                <w:webHidden/>
              </w:rPr>
              <w:tab/>
            </w:r>
            <w:r>
              <w:rPr>
                <w:noProof/>
                <w:webHidden/>
              </w:rPr>
              <w:fldChar w:fldCharType="begin"/>
            </w:r>
            <w:r>
              <w:rPr>
                <w:noProof/>
                <w:webHidden/>
              </w:rPr>
              <w:instrText xml:space="preserve"> PAGEREF _Toc234069041 \h </w:instrText>
            </w:r>
            <w:r>
              <w:rPr>
                <w:noProof/>
                <w:webHidden/>
              </w:rPr>
            </w:r>
            <w:r>
              <w:rPr>
                <w:noProof/>
                <w:webHidden/>
              </w:rPr>
              <w:fldChar w:fldCharType="separate"/>
            </w:r>
            <w:r w:rsidR="006C214D">
              <w:rPr>
                <w:noProof/>
                <w:webHidden/>
              </w:rPr>
              <w:t>11</w:t>
            </w:r>
            <w:r>
              <w:rPr>
                <w:noProof/>
                <w:webHidden/>
              </w:rPr>
              <w:fldChar w:fldCharType="end"/>
            </w:r>
          </w:hyperlink>
        </w:p>
        <w:p w14:paraId="1CD8A1D8" w14:textId="4358B5E0"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42" w:history="1">
            <w:r w:rsidRPr="00BA5BE8">
              <w:rPr>
                <w:rStyle w:val="Hyperlink"/>
                <w:noProof/>
              </w:rPr>
              <w:t>3.1 CSR Strategy and Alignment with Business Objectives</w:t>
            </w:r>
            <w:r>
              <w:rPr>
                <w:noProof/>
                <w:webHidden/>
              </w:rPr>
              <w:tab/>
            </w:r>
            <w:r>
              <w:rPr>
                <w:noProof/>
                <w:webHidden/>
              </w:rPr>
              <w:fldChar w:fldCharType="begin"/>
            </w:r>
            <w:r>
              <w:rPr>
                <w:noProof/>
                <w:webHidden/>
              </w:rPr>
              <w:instrText xml:space="preserve"> PAGEREF _Toc234069042 \h </w:instrText>
            </w:r>
            <w:r>
              <w:rPr>
                <w:noProof/>
                <w:webHidden/>
              </w:rPr>
            </w:r>
            <w:r>
              <w:rPr>
                <w:noProof/>
                <w:webHidden/>
              </w:rPr>
              <w:fldChar w:fldCharType="separate"/>
            </w:r>
            <w:r w:rsidR="006C214D">
              <w:rPr>
                <w:noProof/>
                <w:webHidden/>
              </w:rPr>
              <w:t>11</w:t>
            </w:r>
            <w:r>
              <w:rPr>
                <w:noProof/>
                <w:webHidden/>
              </w:rPr>
              <w:fldChar w:fldCharType="end"/>
            </w:r>
          </w:hyperlink>
        </w:p>
        <w:p w14:paraId="3DC5A56C" w14:textId="7C0F021C"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43" w:history="1">
            <w:r w:rsidRPr="00BA5BE8">
              <w:rPr>
                <w:rStyle w:val="Hyperlink"/>
                <w:noProof/>
              </w:rPr>
              <w:t>3.2 Balanced Scorecard</w:t>
            </w:r>
            <w:r>
              <w:rPr>
                <w:noProof/>
                <w:webHidden/>
              </w:rPr>
              <w:tab/>
            </w:r>
            <w:r>
              <w:rPr>
                <w:noProof/>
                <w:webHidden/>
              </w:rPr>
              <w:fldChar w:fldCharType="begin"/>
            </w:r>
            <w:r>
              <w:rPr>
                <w:noProof/>
                <w:webHidden/>
              </w:rPr>
              <w:instrText xml:space="preserve"> PAGEREF _Toc234069043 \h </w:instrText>
            </w:r>
            <w:r>
              <w:rPr>
                <w:noProof/>
                <w:webHidden/>
              </w:rPr>
            </w:r>
            <w:r>
              <w:rPr>
                <w:noProof/>
                <w:webHidden/>
              </w:rPr>
              <w:fldChar w:fldCharType="separate"/>
            </w:r>
            <w:r w:rsidR="006C214D">
              <w:rPr>
                <w:noProof/>
                <w:webHidden/>
              </w:rPr>
              <w:t>12</w:t>
            </w:r>
            <w:r>
              <w:rPr>
                <w:noProof/>
                <w:webHidden/>
              </w:rPr>
              <w:fldChar w:fldCharType="end"/>
            </w:r>
          </w:hyperlink>
        </w:p>
        <w:p w14:paraId="626804C9" w14:textId="18614833" w:rsidR="006C49B6" w:rsidRDefault="006C49B6">
          <w:pPr>
            <w:pStyle w:val="TOC1"/>
            <w:tabs>
              <w:tab w:val="right" w:leader="dot" w:pos="9350"/>
            </w:tabs>
            <w:rPr>
              <w:rFonts w:asciiTheme="minorHAnsi" w:eastAsiaTheme="minorEastAsia" w:hAnsiTheme="minorHAnsi"/>
              <w:noProof/>
              <w:kern w:val="2"/>
              <w:szCs w:val="24"/>
              <w14:ligatures w14:val="standardContextual"/>
            </w:rPr>
          </w:pPr>
          <w:hyperlink w:anchor="_Toc234069044" w:history="1">
            <w:r w:rsidRPr="00BA5BE8">
              <w:rPr>
                <w:rStyle w:val="Hyperlink"/>
                <w:noProof/>
              </w:rPr>
              <w:t>4. Strategic Choices and Implementation</w:t>
            </w:r>
            <w:r>
              <w:rPr>
                <w:noProof/>
                <w:webHidden/>
              </w:rPr>
              <w:tab/>
            </w:r>
            <w:r>
              <w:rPr>
                <w:noProof/>
                <w:webHidden/>
              </w:rPr>
              <w:fldChar w:fldCharType="begin"/>
            </w:r>
            <w:r>
              <w:rPr>
                <w:noProof/>
                <w:webHidden/>
              </w:rPr>
              <w:instrText xml:space="preserve"> PAGEREF _Toc234069044 \h </w:instrText>
            </w:r>
            <w:r>
              <w:rPr>
                <w:noProof/>
                <w:webHidden/>
              </w:rPr>
            </w:r>
            <w:r>
              <w:rPr>
                <w:noProof/>
                <w:webHidden/>
              </w:rPr>
              <w:fldChar w:fldCharType="separate"/>
            </w:r>
            <w:r w:rsidR="006C214D">
              <w:rPr>
                <w:noProof/>
                <w:webHidden/>
              </w:rPr>
              <w:t>16</w:t>
            </w:r>
            <w:r>
              <w:rPr>
                <w:noProof/>
                <w:webHidden/>
              </w:rPr>
              <w:fldChar w:fldCharType="end"/>
            </w:r>
          </w:hyperlink>
        </w:p>
        <w:p w14:paraId="4B8C8A15" w14:textId="02E56DBE"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45" w:history="1">
            <w:r w:rsidRPr="00BA5BE8">
              <w:rPr>
                <w:rStyle w:val="Hyperlink"/>
                <w:noProof/>
              </w:rPr>
              <w:t>4.1 Strategic Options</w:t>
            </w:r>
            <w:r>
              <w:rPr>
                <w:noProof/>
                <w:webHidden/>
              </w:rPr>
              <w:tab/>
            </w:r>
            <w:r>
              <w:rPr>
                <w:noProof/>
                <w:webHidden/>
              </w:rPr>
              <w:fldChar w:fldCharType="begin"/>
            </w:r>
            <w:r>
              <w:rPr>
                <w:noProof/>
                <w:webHidden/>
              </w:rPr>
              <w:instrText xml:space="preserve"> PAGEREF _Toc234069045 \h </w:instrText>
            </w:r>
            <w:r>
              <w:rPr>
                <w:noProof/>
                <w:webHidden/>
              </w:rPr>
            </w:r>
            <w:r>
              <w:rPr>
                <w:noProof/>
                <w:webHidden/>
              </w:rPr>
              <w:fldChar w:fldCharType="separate"/>
            </w:r>
            <w:r w:rsidR="006C214D">
              <w:rPr>
                <w:noProof/>
                <w:webHidden/>
              </w:rPr>
              <w:t>16</w:t>
            </w:r>
            <w:r>
              <w:rPr>
                <w:noProof/>
                <w:webHidden/>
              </w:rPr>
              <w:fldChar w:fldCharType="end"/>
            </w:r>
          </w:hyperlink>
        </w:p>
        <w:p w14:paraId="699A1328" w14:textId="77DDDE03"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46" w:history="1">
            <w:r w:rsidRPr="00BA5BE8">
              <w:rPr>
                <w:rStyle w:val="Hyperlink"/>
                <w:noProof/>
              </w:rPr>
              <w:t>4.2 Recommended Strategy and Implementation Plan</w:t>
            </w:r>
            <w:r>
              <w:rPr>
                <w:noProof/>
                <w:webHidden/>
              </w:rPr>
              <w:tab/>
            </w:r>
            <w:r>
              <w:rPr>
                <w:noProof/>
                <w:webHidden/>
              </w:rPr>
              <w:fldChar w:fldCharType="begin"/>
            </w:r>
            <w:r>
              <w:rPr>
                <w:noProof/>
                <w:webHidden/>
              </w:rPr>
              <w:instrText xml:space="preserve"> PAGEREF _Toc234069046 \h </w:instrText>
            </w:r>
            <w:r>
              <w:rPr>
                <w:noProof/>
                <w:webHidden/>
              </w:rPr>
            </w:r>
            <w:r>
              <w:rPr>
                <w:noProof/>
                <w:webHidden/>
              </w:rPr>
              <w:fldChar w:fldCharType="separate"/>
            </w:r>
            <w:r w:rsidR="006C214D">
              <w:rPr>
                <w:noProof/>
                <w:webHidden/>
              </w:rPr>
              <w:t>17</w:t>
            </w:r>
            <w:r>
              <w:rPr>
                <w:noProof/>
                <w:webHidden/>
              </w:rPr>
              <w:fldChar w:fldCharType="end"/>
            </w:r>
          </w:hyperlink>
        </w:p>
        <w:p w14:paraId="56DDC2F7" w14:textId="620E2704"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47" w:history="1">
            <w:r w:rsidRPr="00BA5BE8">
              <w:rPr>
                <w:rStyle w:val="Hyperlink"/>
                <w:noProof/>
              </w:rPr>
              <w:t>4.3 Implementation Challenges and Mitigation</w:t>
            </w:r>
            <w:r>
              <w:rPr>
                <w:noProof/>
                <w:webHidden/>
              </w:rPr>
              <w:tab/>
            </w:r>
            <w:r>
              <w:rPr>
                <w:noProof/>
                <w:webHidden/>
              </w:rPr>
              <w:fldChar w:fldCharType="begin"/>
            </w:r>
            <w:r>
              <w:rPr>
                <w:noProof/>
                <w:webHidden/>
              </w:rPr>
              <w:instrText xml:space="preserve"> PAGEREF _Toc234069047 \h </w:instrText>
            </w:r>
            <w:r>
              <w:rPr>
                <w:noProof/>
                <w:webHidden/>
              </w:rPr>
            </w:r>
            <w:r>
              <w:rPr>
                <w:noProof/>
                <w:webHidden/>
              </w:rPr>
              <w:fldChar w:fldCharType="separate"/>
            </w:r>
            <w:r w:rsidR="006C214D">
              <w:rPr>
                <w:noProof/>
                <w:webHidden/>
              </w:rPr>
              <w:t>20</w:t>
            </w:r>
            <w:r>
              <w:rPr>
                <w:noProof/>
                <w:webHidden/>
              </w:rPr>
              <w:fldChar w:fldCharType="end"/>
            </w:r>
          </w:hyperlink>
        </w:p>
        <w:p w14:paraId="148D6AFB" w14:textId="2EEF9473" w:rsidR="006C49B6" w:rsidRDefault="006C49B6">
          <w:pPr>
            <w:pStyle w:val="TOC1"/>
            <w:tabs>
              <w:tab w:val="right" w:leader="dot" w:pos="9350"/>
            </w:tabs>
            <w:rPr>
              <w:rFonts w:asciiTheme="minorHAnsi" w:eastAsiaTheme="minorEastAsia" w:hAnsiTheme="minorHAnsi"/>
              <w:noProof/>
              <w:kern w:val="2"/>
              <w:szCs w:val="24"/>
              <w14:ligatures w14:val="standardContextual"/>
            </w:rPr>
          </w:pPr>
          <w:hyperlink w:anchor="_Toc234069048" w:history="1">
            <w:r w:rsidRPr="00BA5BE8">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_Toc234069048 \h </w:instrText>
            </w:r>
            <w:r>
              <w:rPr>
                <w:noProof/>
                <w:webHidden/>
              </w:rPr>
            </w:r>
            <w:r>
              <w:rPr>
                <w:noProof/>
                <w:webHidden/>
              </w:rPr>
              <w:fldChar w:fldCharType="separate"/>
            </w:r>
            <w:r w:rsidR="006C214D">
              <w:rPr>
                <w:noProof/>
                <w:webHidden/>
              </w:rPr>
              <w:t>22</w:t>
            </w:r>
            <w:r>
              <w:rPr>
                <w:noProof/>
                <w:webHidden/>
              </w:rPr>
              <w:fldChar w:fldCharType="end"/>
            </w:r>
          </w:hyperlink>
        </w:p>
        <w:p w14:paraId="104DCC38" w14:textId="44B2743B"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49" w:history="1">
            <w:r w:rsidRPr="00BA5BE8">
              <w:rPr>
                <w:rStyle w:val="Hyperlink"/>
                <w:noProof/>
              </w:rPr>
              <w:t>Description</w:t>
            </w:r>
            <w:r>
              <w:rPr>
                <w:noProof/>
                <w:webHidden/>
              </w:rPr>
              <w:tab/>
            </w:r>
            <w:r>
              <w:rPr>
                <w:noProof/>
                <w:webHidden/>
              </w:rPr>
              <w:fldChar w:fldCharType="begin"/>
            </w:r>
            <w:r>
              <w:rPr>
                <w:noProof/>
                <w:webHidden/>
              </w:rPr>
              <w:instrText xml:space="preserve"> PAGEREF _Toc234069049 \h </w:instrText>
            </w:r>
            <w:r>
              <w:rPr>
                <w:noProof/>
                <w:webHidden/>
              </w:rPr>
            </w:r>
            <w:r>
              <w:rPr>
                <w:noProof/>
                <w:webHidden/>
              </w:rPr>
              <w:fldChar w:fldCharType="separate"/>
            </w:r>
            <w:r w:rsidR="006C214D">
              <w:rPr>
                <w:noProof/>
                <w:webHidden/>
              </w:rPr>
              <w:t>22</w:t>
            </w:r>
            <w:r>
              <w:rPr>
                <w:noProof/>
                <w:webHidden/>
              </w:rPr>
              <w:fldChar w:fldCharType="end"/>
            </w:r>
          </w:hyperlink>
        </w:p>
        <w:p w14:paraId="13A03A31" w14:textId="4AABA965"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50" w:history="1">
            <w:r w:rsidRPr="00BA5BE8">
              <w:rPr>
                <w:rStyle w:val="Hyperlink"/>
                <w:noProof/>
              </w:rPr>
              <w:t>Feelings</w:t>
            </w:r>
            <w:r>
              <w:rPr>
                <w:noProof/>
                <w:webHidden/>
              </w:rPr>
              <w:tab/>
            </w:r>
            <w:r>
              <w:rPr>
                <w:noProof/>
                <w:webHidden/>
              </w:rPr>
              <w:fldChar w:fldCharType="begin"/>
            </w:r>
            <w:r>
              <w:rPr>
                <w:noProof/>
                <w:webHidden/>
              </w:rPr>
              <w:instrText xml:space="preserve"> PAGEREF _Toc234069050 \h </w:instrText>
            </w:r>
            <w:r>
              <w:rPr>
                <w:noProof/>
                <w:webHidden/>
              </w:rPr>
            </w:r>
            <w:r>
              <w:rPr>
                <w:noProof/>
                <w:webHidden/>
              </w:rPr>
              <w:fldChar w:fldCharType="separate"/>
            </w:r>
            <w:r w:rsidR="006C214D">
              <w:rPr>
                <w:noProof/>
                <w:webHidden/>
              </w:rPr>
              <w:t>22</w:t>
            </w:r>
            <w:r>
              <w:rPr>
                <w:noProof/>
                <w:webHidden/>
              </w:rPr>
              <w:fldChar w:fldCharType="end"/>
            </w:r>
          </w:hyperlink>
        </w:p>
        <w:p w14:paraId="04E525F9" w14:textId="09BB64EB"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51" w:history="1">
            <w:r w:rsidRPr="00BA5BE8">
              <w:rPr>
                <w:rStyle w:val="Hyperlink"/>
                <w:noProof/>
              </w:rPr>
              <w:t>Evaluation</w:t>
            </w:r>
            <w:r>
              <w:rPr>
                <w:noProof/>
                <w:webHidden/>
              </w:rPr>
              <w:tab/>
            </w:r>
            <w:r>
              <w:rPr>
                <w:noProof/>
                <w:webHidden/>
              </w:rPr>
              <w:fldChar w:fldCharType="begin"/>
            </w:r>
            <w:r>
              <w:rPr>
                <w:noProof/>
                <w:webHidden/>
              </w:rPr>
              <w:instrText xml:space="preserve"> PAGEREF _Toc234069051 \h </w:instrText>
            </w:r>
            <w:r>
              <w:rPr>
                <w:noProof/>
                <w:webHidden/>
              </w:rPr>
            </w:r>
            <w:r>
              <w:rPr>
                <w:noProof/>
                <w:webHidden/>
              </w:rPr>
              <w:fldChar w:fldCharType="separate"/>
            </w:r>
            <w:r w:rsidR="006C214D">
              <w:rPr>
                <w:noProof/>
                <w:webHidden/>
              </w:rPr>
              <w:t>22</w:t>
            </w:r>
            <w:r>
              <w:rPr>
                <w:noProof/>
                <w:webHidden/>
              </w:rPr>
              <w:fldChar w:fldCharType="end"/>
            </w:r>
          </w:hyperlink>
        </w:p>
        <w:p w14:paraId="65EE6F76" w14:textId="7BE146CB"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52" w:history="1">
            <w:r w:rsidRPr="00BA5BE8">
              <w:rPr>
                <w:rStyle w:val="Hyperlink"/>
                <w:noProof/>
              </w:rPr>
              <w:t>Analysis</w:t>
            </w:r>
            <w:r>
              <w:rPr>
                <w:noProof/>
                <w:webHidden/>
              </w:rPr>
              <w:tab/>
            </w:r>
            <w:r>
              <w:rPr>
                <w:noProof/>
                <w:webHidden/>
              </w:rPr>
              <w:fldChar w:fldCharType="begin"/>
            </w:r>
            <w:r>
              <w:rPr>
                <w:noProof/>
                <w:webHidden/>
              </w:rPr>
              <w:instrText xml:space="preserve"> PAGEREF _Toc234069052 \h </w:instrText>
            </w:r>
            <w:r>
              <w:rPr>
                <w:noProof/>
                <w:webHidden/>
              </w:rPr>
            </w:r>
            <w:r>
              <w:rPr>
                <w:noProof/>
                <w:webHidden/>
              </w:rPr>
              <w:fldChar w:fldCharType="separate"/>
            </w:r>
            <w:r w:rsidR="006C214D">
              <w:rPr>
                <w:noProof/>
                <w:webHidden/>
              </w:rPr>
              <w:t>23</w:t>
            </w:r>
            <w:r>
              <w:rPr>
                <w:noProof/>
                <w:webHidden/>
              </w:rPr>
              <w:fldChar w:fldCharType="end"/>
            </w:r>
          </w:hyperlink>
        </w:p>
        <w:p w14:paraId="0736EFF1" w14:textId="33B62891"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53" w:history="1">
            <w:r w:rsidRPr="00BA5BE8">
              <w:rPr>
                <w:rStyle w:val="Hyperlink"/>
                <w:noProof/>
              </w:rPr>
              <w:t>Conclusion</w:t>
            </w:r>
            <w:r>
              <w:rPr>
                <w:noProof/>
                <w:webHidden/>
              </w:rPr>
              <w:tab/>
            </w:r>
            <w:r>
              <w:rPr>
                <w:noProof/>
                <w:webHidden/>
              </w:rPr>
              <w:fldChar w:fldCharType="begin"/>
            </w:r>
            <w:r>
              <w:rPr>
                <w:noProof/>
                <w:webHidden/>
              </w:rPr>
              <w:instrText xml:space="preserve"> PAGEREF _Toc234069053 \h </w:instrText>
            </w:r>
            <w:r>
              <w:rPr>
                <w:noProof/>
                <w:webHidden/>
              </w:rPr>
            </w:r>
            <w:r>
              <w:rPr>
                <w:noProof/>
                <w:webHidden/>
              </w:rPr>
              <w:fldChar w:fldCharType="separate"/>
            </w:r>
            <w:r w:rsidR="006C214D">
              <w:rPr>
                <w:noProof/>
                <w:webHidden/>
              </w:rPr>
              <w:t>23</w:t>
            </w:r>
            <w:r>
              <w:rPr>
                <w:noProof/>
                <w:webHidden/>
              </w:rPr>
              <w:fldChar w:fldCharType="end"/>
            </w:r>
          </w:hyperlink>
        </w:p>
        <w:p w14:paraId="619F9D82" w14:textId="2C44EDE8" w:rsidR="006C49B6" w:rsidRDefault="006C49B6">
          <w:pPr>
            <w:pStyle w:val="TOC2"/>
            <w:tabs>
              <w:tab w:val="right" w:leader="dot" w:pos="9350"/>
            </w:tabs>
            <w:rPr>
              <w:rFonts w:asciiTheme="minorHAnsi" w:eastAsiaTheme="minorEastAsia" w:hAnsiTheme="minorHAnsi"/>
              <w:noProof/>
              <w:kern w:val="2"/>
              <w:szCs w:val="24"/>
              <w14:ligatures w14:val="standardContextual"/>
            </w:rPr>
          </w:pPr>
          <w:hyperlink w:anchor="_Toc234069054" w:history="1">
            <w:r w:rsidRPr="00BA5BE8">
              <w:rPr>
                <w:rStyle w:val="Hyperlink"/>
                <w:noProof/>
              </w:rPr>
              <w:t>Action Plan</w:t>
            </w:r>
            <w:r>
              <w:rPr>
                <w:noProof/>
                <w:webHidden/>
              </w:rPr>
              <w:tab/>
            </w:r>
            <w:r>
              <w:rPr>
                <w:noProof/>
                <w:webHidden/>
              </w:rPr>
              <w:fldChar w:fldCharType="begin"/>
            </w:r>
            <w:r>
              <w:rPr>
                <w:noProof/>
                <w:webHidden/>
              </w:rPr>
              <w:instrText xml:space="preserve"> PAGEREF _Toc234069054 \h </w:instrText>
            </w:r>
            <w:r>
              <w:rPr>
                <w:noProof/>
                <w:webHidden/>
              </w:rPr>
            </w:r>
            <w:r>
              <w:rPr>
                <w:noProof/>
                <w:webHidden/>
              </w:rPr>
              <w:fldChar w:fldCharType="separate"/>
            </w:r>
            <w:r w:rsidR="006C214D">
              <w:rPr>
                <w:noProof/>
                <w:webHidden/>
              </w:rPr>
              <w:t>24</w:t>
            </w:r>
            <w:r>
              <w:rPr>
                <w:noProof/>
                <w:webHidden/>
              </w:rPr>
              <w:fldChar w:fldCharType="end"/>
            </w:r>
          </w:hyperlink>
        </w:p>
        <w:p w14:paraId="436A5D77" w14:textId="001DE2EF" w:rsidR="006C49B6" w:rsidRDefault="006C49B6">
          <w:pPr>
            <w:pStyle w:val="TOC1"/>
            <w:tabs>
              <w:tab w:val="right" w:leader="dot" w:pos="9350"/>
            </w:tabs>
            <w:rPr>
              <w:rFonts w:asciiTheme="minorHAnsi" w:eastAsiaTheme="minorEastAsia" w:hAnsiTheme="minorHAnsi"/>
              <w:noProof/>
              <w:kern w:val="2"/>
              <w:szCs w:val="24"/>
              <w14:ligatures w14:val="standardContextual"/>
            </w:rPr>
          </w:pPr>
          <w:hyperlink w:anchor="_Toc234069055" w:history="1">
            <w:r w:rsidRPr="00BA5BE8">
              <w:rPr>
                <w:rStyle w:val="Hyperlink"/>
                <w:noProof/>
              </w:rPr>
              <w:t>References</w:t>
            </w:r>
            <w:r>
              <w:rPr>
                <w:noProof/>
                <w:webHidden/>
              </w:rPr>
              <w:tab/>
            </w:r>
            <w:r>
              <w:rPr>
                <w:noProof/>
                <w:webHidden/>
              </w:rPr>
              <w:fldChar w:fldCharType="begin"/>
            </w:r>
            <w:r>
              <w:rPr>
                <w:noProof/>
                <w:webHidden/>
              </w:rPr>
              <w:instrText xml:space="preserve"> PAGEREF _Toc234069055 \h </w:instrText>
            </w:r>
            <w:r>
              <w:rPr>
                <w:noProof/>
                <w:webHidden/>
              </w:rPr>
            </w:r>
            <w:r>
              <w:rPr>
                <w:noProof/>
                <w:webHidden/>
              </w:rPr>
              <w:fldChar w:fldCharType="separate"/>
            </w:r>
            <w:r w:rsidR="006C214D">
              <w:rPr>
                <w:noProof/>
                <w:webHidden/>
              </w:rPr>
              <w:t>25</w:t>
            </w:r>
            <w:r>
              <w:rPr>
                <w:noProof/>
                <w:webHidden/>
              </w:rPr>
              <w:fldChar w:fldCharType="end"/>
            </w:r>
          </w:hyperlink>
        </w:p>
        <w:p w14:paraId="629084E1" w14:textId="77777777" w:rsidR="00710CD0" w:rsidRDefault="00710CD0">
          <w:r>
            <w:rPr>
              <w:b/>
              <w:bCs/>
              <w:noProof/>
            </w:rPr>
            <w:fldChar w:fldCharType="end"/>
          </w:r>
        </w:p>
      </w:sdtContent>
    </w:sdt>
    <w:p w14:paraId="5D46A618" w14:textId="77777777" w:rsidR="003561CE" w:rsidRDefault="00000000">
      <w:pPr>
        <w:spacing w:after="120" w:line="360" w:lineRule="auto"/>
      </w:pPr>
      <w:r>
        <w:br w:type="page"/>
      </w:r>
    </w:p>
    <w:p w14:paraId="7A5ED84F" w14:textId="77777777" w:rsidR="003561CE" w:rsidRPr="00B235EA" w:rsidRDefault="00000000">
      <w:pPr>
        <w:pStyle w:val="Heading1"/>
        <w:spacing w:before="0" w:after="120" w:line="360" w:lineRule="auto"/>
        <w:rPr>
          <w:sz w:val="36"/>
          <w:szCs w:val="32"/>
        </w:rPr>
      </w:pPr>
      <w:bookmarkStart w:id="0" w:name="_Toc234069034"/>
      <w:r w:rsidRPr="00B235EA">
        <w:rPr>
          <w:rFonts w:ascii="Arial" w:eastAsia="Arial" w:hAnsi="Arial"/>
          <w:sz w:val="28"/>
          <w:szCs w:val="32"/>
        </w:rPr>
        <w:lastRenderedPageBreak/>
        <w:t>Executive Summary</w:t>
      </w:r>
      <w:bookmarkEnd w:id="0"/>
    </w:p>
    <w:p w14:paraId="239D36A0" w14:textId="77777777" w:rsidR="00535096" w:rsidRDefault="00535096" w:rsidP="006235CE">
      <w:pPr>
        <w:spacing w:line="360" w:lineRule="auto"/>
        <w:jc w:val="both"/>
      </w:pPr>
      <w:r w:rsidRPr="00535096">
        <w:t xml:space="preserve">Tesco PLC is currently the top full-line grocery retailer in the UK, yet its competitiveness is more and more based on the factors beyond the scope and the quantity of the stores. The company has now the ability to compete based on everyday value, customer insight conducted by the Clubcard and innovation in own labels, online capabilities, convenient formats and responsible supply chain. The UK grocery market is still large and vibrant; nevertheless, Tesco suffers due to the lack of growth, inflation, higher </w:t>
      </w:r>
      <w:proofErr w:type="spellStart"/>
      <w:r w:rsidRPr="00535096">
        <w:t>labour</w:t>
      </w:r>
      <w:proofErr w:type="spellEnd"/>
      <w:r w:rsidRPr="00535096">
        <w:t xml:space="preserve"> and packaging expenses, and the growing threat of rivalry among discounters. Fiscal performance acquires good sales and market share, yet low profits growth indicates that the higher cost inflation and price investments are lowering the bottom lines. As such, Tesco needs to employ differentiation through the utilization of data-driven values as opposed to competing on prices with discounters. Tesco can create </w:t>
      </w:r>
      <w:proofErr w:type="spellStart"/>
      <w:r w:rsidRPr="00535096">
        <w:t>personalised</w:t>
      </w:r>
      <w:proofErr w:type="spellEnd"/>
      <w:r w:rsidRPr="00535096">
        <w:t>, trusted value by using the data of its Clubcard, enhancing its own-label product, enhancing its convenience and online services, and enhancing the sustainability of its supply chain remain profitable and have a long competitive advantage.</w:t>
      </w:r>
    </w:p>
    <w:p w14:paraId="61456F91" w14:textId="77777777" w:rsidR="003561CE" w:rsidRDefault="00710CD0" w:rsidP="00710CD0">
      <w:r>
        <w:br w:type="page"/>
      </w:r>
    </w:p>
    <w:p w14:paraId="3FD5E68B" w14:textId="77777777" w:rsidR="003561CE" w:rsidRPr="00B235EA" w:rsidRDefault="00000000">
      <w:pPr>
        <w:pStyle w:val="Heading1"/>
        <w:spacing w:before="0" w:after="120" w:line="360" w:lineRule="auto"/>
        <w:rPr>
          <w:sz w:val="36"/>
          <w:szCs w:val="32"/>
        </w:rPr>
      </w:pPr>
      <w:bookmarkStart w:id="1" w:name="_Toc234069035"/>
      <w:r w:rsidRPr="00B235EA">
        <w:rPr>
          <w:rFonts w:ascii="Arial" w:eastAsia="Arial" w:hAnsi="Arial"/>
          <w:sz w:val="28"/>
          <w:szCs w:val="32"/>
        </w:rPr>
        <w:lastRenderedPageBreak/>
        <w:t>Section 1: Strategic Management Report</w:t>
      </w:r>
      <w:bookmarkEnd w:id="1"/>
    </w:p>
    <w:p w14:paraId="0BFA264F" w14:textId="77777777" w:rsidR="003561CE" w:rsidRDefault="00000000">
      <w:pPr>
        <w:pStyle w:val="Heading1"/>
        <w:spacing w:before="0" w:after="120" w:line="360" w:lineRule="auto"/>
      </w:pPr>
      <w:bookmarkStart w:id="2" w:name="_Toc234069036"/>
      <w:r>
        <w:rPr>
          <w:rFonts w:ascii="Arial" w:eastAsia="Arial" w:hAnsi="Arial"/>
          <w:sz w:val="24"/>
        </w:rPr>
        <w:t>1. Organisational Context and Overview</w:t>
      </w:r>
      <w:bookmarkEnd w:id="2"/>
    </w:p>
    <w:p w14:paraId="169C66F0" w14:textId="77777777" w:rsidR="00172D76" w:rsidRDefault="00172D76" w:rsidP="006235CE">
      <w:pPr>
        <w:spacing w:after="120" w:line="360" w:lineRule="auto"/>
        <w:jc w:val="both"/>
      </w:pPr>
      <w:r w:rsidRPr="00172D76">
        <w:t xml:space="preserve">This report provides an analysis of Tesco PLC strategic position in the UK grocery retail market in terms of its supermarket, convenience and online grocery business. The UK market is </w:t>
      </w:r>
      <w:proofErr w:type="spellStart"/>
      <w:r w:rsidRPr="00172D76">
        <w:t>analysed</w:t>
      </w:r>
      <w:proofErr w:type="spellEnd"/>
      <w:r w:rsidRPr="00172D76">
        <w:t xml:space="preserve"> as the </w:t>
      </w:r>
      <w:proofErr w:type="spellStart"/>
      <w:r w:rsidRPr="00172D76">
        <w:t>analysed</w:t>
      </w:r>
      <w:proofErr w:type="spellEnd"/>
      <w:r w:rsidRPr="00172D76">
        <w:t xml:space="preserve"> market is the </w:t>
      </w:r>
      <w:proofErr w:type="spellStart"/>
      <w:r w:rsidRPr="00172D76">
        <w:t>centre</w:t>
      </w:r>
      <w:proofErr w:type="spellEnd"/>
      <w:r w:rsidRPr="00172D76">
        <w:t xml:space="preserve"> of the business setting of Tesco and the market where competition, customer loyalty, online convenience, sustainability and regulatory forces have the most significant effects on the performance. The analysis does not account for Tesco bank and assumes that Booker is purely a subsidiary wholesale business because the analysis is focused on the area of Tesco dealing directly with consumers in their grocery outlets. Founded in 1919, Tesco has built a robust market presence in the form of bulk buying, own label items, Clubcard information and internet features and massive supplier networks (Tesco PLC, 2025a). Its strategic direction is to make the company better in serving customers, communities, and the planet on a day-by-day basis. </w:t>
      </w:r>
    </w:p>
    <w:p w14:paraId="0925CE8C" w14:textId="77777777" w:rsidR="003561CE" w:rsidRPr="006235CE" w:rsidRDefault="00000000">
      <w:pPr>
        <w:pStyle w:val="Caption"/>
        <w:spacing w:after="80"/>
        <w:rPr>
          <w:i w:val="0"/>
          <w:iCs/>
          <w:color w:val="000000" w:themeColor="text1"/>
          <w:sz w:val="24"/>
          <w:szCs w:val="24"/>
        </w:rPr>
      </w:pPr>
      <w:r w:rsidRPr="006235CE">
        <w:rPr>
          <w:i w:val="0"/>
          <w:iCs/>
          <w:color w:val="000000" w:themeColor="text1"/>
          <w:sz w:val="24"/>
          <w:szCs w:val="24"/>
        </w:rPr>
        <w:t>Table 1. Organisational profile and strategic relevance.</w:t>
      </w:r>
    </w:p>
    <w:tbl>
      <w:tblPr>
        <w:tblStyle w:val="TableGrid"/>
        <w:tblW w:w="0" w:type="auto"/>
        <w:jc w:val="center"/>
        <w:tblLook w:val="04A0" w:firstRow="1" w:lastRow="0" w:firstColumn="1" w:lastColumn="0" w:noHBand="0" w:noVBand="1"/>
      </w:tblPr>
      <w:tblGrid>
        <w:gridCol w:w="1849"/>
        <w:gridCol w:w="3726"/>
        <w:gridCol w:w="3775"/>
      </w:tblGrid>
      <w:tr w:rsidR="003561CE" w:rsidRPr="00172D76" w14:paraId="2F221F3C" w14:textId="77777777" w:rsidTr="00D92E81">
        <w:trPr>
          <w:tblHeader/>
          <w:jc w:val="center"/>
        </w:trPr>
        <w:tc>
          <w:tcPr>
            <w:tcW w:w="1849" w:type="dxa"/>
            <w:shd w:val="clear" w:color="auto" w:fill="D9EAF7"/>
          </w:tcPr>
          <w:p w14:paraId="0A717DAC" w14:textId="77777777" w:rsidR="003561CE" w:rsidRPr="00172D76" w:rsidRDefault="00000000">
            <w:pPr>
              <w:spacing w:after="40"/>
              <w:rPr>
                <w:szCs w:val="36"/>
              </w:rPr>
            </w:pPr>
            <w:r w:rsidRPr="00172D76">
              <w:rPr>
                <w:b/>
                <w:szCs w:val="36"/>
              </w:rPr>
              <w:t>Area</w:t>
            </w:r>
          </w:p>
        </w:tc>
        <w:tc>
          <w:tcPr>
            <w:tcW w:w="3726" w:type="dxa"/>
            <w:shd w:val="clear" w:color="auto" w:fill="D9EAF7"/>
          </w:tcPr>
          <w:p w14:paraId="3EEED46D" w14:textId="77777777" w:rsidR="003561CE" w:rsidRPr="00172D76" w:rsidRDefault="00000000">
            <w:pPr>
              <w:spacing w:after="40"/>
              <w:rPr>
                <w:szCs w:val="36"/>
              </w:rPr>
            </w:pPr>
            <w:r w:rsidRPr="00172D76">
              <w:rPr>
                <w:b/>
                <w:szCs w:val="36"/>
              </w:rPr>
              <w:t>Evidence</w:t>
            </w:r>
          </w:p>
        </w:tc>
        <w:tc>
          <w:tcPr>
            <w:tcW w:w="3775" w:type="dxa"/>
            <w:shd w:val="clear" w:color="auto" w:fill="D9EAF7"/>
          </w:tcPr>
          <w:p w14:paraId="6B582220" w14:textId="77777777" w:rsidR="003561CE" w:rsidRPr="00172D76" w:rsidRDefault="00000000">
            <w:pPr>
              <w:spacing w:after="40"/>
              <w:rPr>
                <w:szCs w:val="36"/>
              </w:rPr>
            </w:pPr>
            <w:r w:rsidRPr="00172D76">
              <w:rPr>
                <w:b/>
                <w:szCs w:val="36"/>
              </w:rPr>
              <w:t>Strategic implication</w:t>
            </w:r>
          </w:p>
        </w:tc>
      </w:tr>
      <w:tr w:rsidR="003561CE" w:rsidRPr="00172D76" w14:paraId="18EFC483" w14:textId="77777777" w:rsidTr="00D92E81">
        <w:trPr>
          <w:jc w:val="center"/>
        </w:trPr>
        <w:tc>
          <w:tcPr>
            <w:tcW w:w="1849" w:type="dxa"/>
          </w:tcPr>
          <w:p w14:paraId="4B151325" w14:textId="77777777" w:rsidR="003561CE" w:rsidRPr="00172D76" w:rsidRDefault="00000000">
            <w:pPr>
              <w:spacing w:after="40"/>
              <w:rPr>
                <w:szCs w:val="36"/>
              </w:rPr>
            </w:pPr>
            <w:r w:rsidRPr="00172D76">
              <w:rPr>
                <w:szCs w:val="36"/>
              </w:rPr>
              <w:t>Company and focus</w:t>
            </w:r>
          </w:p>
        </w:tc>
        <w:tc>
          <w:tcPr>
            <w:tcW w:w="3726" w:type="dxa"/>
          </w:tcPr>
          <w:p w14:paraId="028C3DD3" w14:textId="77777777" w:rsidR="003561CE" w:rsidRPr="00172D76" w:rsidRDefault="00000000">
            <w:pPr>
              <w:spacing w:after="40"/>
              <w:rPr>
                <w:szCs w:val="36"/>
              </w:rPr>
            </w:pPr>
            <w:r w:rsidRPr="00172D76">
              <w:rPr>
                <w:szCs w:val="36"/>
              </w:rPr>
              <w:t>Tesco PLC, UK food and grocery retail operations, including stores and online grocery.</w:t>
            </w:r>
          </w:p>
        </w:tc>
        <w:tc>
          <w:tcPr>
            <w:tcW w:w="3775" w:type="dxa"/>
          </w:tcPr>
          <w:p w14:paraId="592C70C9" w14:textId="77777777" w:rsidR="003561CE" w:rsidRPr="00172D76" w:rsidRDefault="00000000">
            <w:pPr>
              <w:spacing w:after="40"/>
              <w:rPr>
                <w:szCs w:val="36"/>
              </w:rPr>
            </w:pPr>
            <w:r w:rsidRPr="00172D76">
              <w:rPr>
                <w:szCs w:val="36"/>
              </w:rPr>
              <w:t>The focus is strategically coherent because grocery remains the recurring, high-frequency activity through which Tesco builds loyalty and data.</w:t>
            </w:r>
          </w:p>
        </w:tc>
      </w:tr>
      <w:tr w:rsidR="003561CE" w:rsidRPr="00172D76" w14:paraId="14C84BB8" w14:textId="77777777" w:rsidTr="00D92E81">
        <w:trPr>
          <w:jc w:val="center"/>
        </w:trPr>
        <w:tc>
          <w:tcPr>
            <w:tcW w:w="1849" w:type="dxa"/>
          </w:tcPr>
          <w:p w14:paraId="415298E0" w14:textId="77777777" w:rsidR="003561CE" w:rsidRPr="00172D76" w:rsidRDefault="00000000">
            <w:pPr>
              <w:spacing w:after="40"/>
              <w:rPr>
                <w:szCs w:val="36"/>
              </w:rPr>
            </w:pPr>
            <w:r w:rsidRPr="00172D76">
              <w:rPr>
                <w:szCs w:val="36"/>
              </w:rPr>
              <w:t>Scale</w:t>
            </w:r>
          </w:p>
        </w:tc>
        <w:tc>
          <w:tcPr>
            <w:tcW w:w="3726" w:type="dxa"/>
          </w:tcPr>
          <w:p w14:paraId="18BFA790" w14:textId="77777777" w:rsidR="003561CE" w:rsidRPr="00172D76" w:rsidRDefault="00000000">
            <w:pPr>
              <w:spacing w:after="40"/>
              <w:rPr>
                <w:szCs w:val="36"/>
              </w:rPr>
            </w:pPr>
            <w:r w:rsidRPr="00172D76">
              <w:rPr>
                <w:szCs w:val="36"/>
              </w:rPr>
              <w:t>Tesco reported group sales excluding VAT and fuel of £63.6bn in FY2024/25 and £66.6bn on a 52-week comparable basis in FY2025/26.</w:t>
            </w:r>
          </w:p>
        </w:tc>
        <w:tc>
          <w:tcPr>
            <w:tcW w:w="3775" w:type="dxa"/>
          </w:tcPr>
          <w:p w14:paraId="0B8BFF28" w14:textId="77777777" w:rsidR="003561CE" w:rsidRPr="00172D76" w:rsidRDefault="00000000">
            <w:pPr>
              <w:spacing w:after="40"/>
              <w:rPr>
                <w:szCs w:val="36"/>
              </w:rPr>
            </w:pPr>
            <w:r w:rsidRPr="00172D76">
              <w:rPr>
                <w:szCs w:val="36"/>
              </w:rPr>
              <w:t>Scale supports procurement, brand investment and technology investment, but scale alone is not rare because major rivals also operate large networks.</w:t>
            </w:r>
          </w:p>
        </w:tc>
      </w:tr>
      <w:tr w:rsidR="003561CE" w:rsidRPr="00172D76" w14:paraId="4D6D3193" w14:textId="77777777" w:rsidTr="00D92E81">
        <w:trPr>
          <w:jc w:val="center"/>
        </w:trPr>
        <w:tc>
          <w:tcPr>
            <w:tcW w:w="1849" w:type="dxa"/>
          </w:tcPr>
          <w:p w14:paraId="630D8F6F" w14:textId="77777777" w:rsidR="003561CE" w:rsidRPr="00172D76" w:rsidRDefault="00000000">
            <w:pPr>
              <w:spacing w:after="40"/>
              <w:rPr>
                <w:szCs w:val="36"/>
              </w:rPr>
            </w:pPr>
            <w:r w:rsidRPr="00172D76">
              <w:rPr>
                <w:szCs w:val="36"/>
              </w:rPr>
              <w:t>Market position</w:t>
            </w:r>
          </w:p>
        </w:tc>
        <w:tc>
          <w:tcPr>
            <w:tcW w:w="3726" w:type="dxa"/>
          </w:tcPr>
          <w:p w14:paraId="1A447B01" w14:textId="77777777" w:rsidR="00D67A93" w:rsidRDefault="00000000">
            <w:r>
              <w:t>Tesco held 28.3% of the UK grocery market in July 2025 and 28.5% in a subsequent Worldpanel update reported by IGD in 2026 (Kantar, 2025; IGD, 2026).</w:t>
            </w:r>
          </w:p>
        </w:tc>
        <w:tc>
          <w:tcPr>
            <w:tcW w:w="3775" w:type="dxa"/>
          </w:tcPr>
          <w:p w14:paraId="502F9B7F" w14:textId="77777777" w:rsidR="003561CE" w:rsidRPr="00172D76" w:rsidRDefault="00000000">
            <w:pPr>
              <w:spacing w:after="40"/>
              <w:rPr>
                <w:szCs w:val="36"/>
              </w:rPr>
            </w:pPr>
            <w:r w:rsidRPr="00172D76">
              <w:rPr>
                <w:szCs w:val="36"/>
              </w:rPr>
              <w:t>Leadership provides bargaining power and customer reach, but also attracts scrutiny and makes growth harder without taking share from rivals.</w:t>
            </w:r>
          </w:p>
        </w:tc>
      </w:tr>
      <w:tr w:rsidR="003561CE" w:rsidRPr="00172D76" w14:paraId="06777BA0" w14:textId="77777777" w:rsidTr="00D92E81">
        <w:trPr>
          <w:jc w:val="center"/>
        </w:trPr>
        <w:tc>
          <w:tcPr>
            <w:tcW w:w="1849" w:type="dxa"/>
          </w:tcPr>
          <w:p w14:paraId="7113B774" w14:textId="77777777" w:rsidR="003561CE" w:rsidRPr="00172D76" w:rsidRDefault="00000000">
            <w:pPr>
              <w:spacing w:after="40"/>
              <w:rPr>
                <w:szCs w:val="36"/>
              </w:rPr>
            </w:pPr>
            <w:r w:rsidRPr="00172D76">
              <w:rPr>
                <w:szCs w:val="36"/>
              </w:rPr>
              <w:t>Strategic proposition</w:t>
            </w:r>
          </w:p>
        </w:tc>
        <w:tc>
          <w:tcPr>
            <w:tcW w:w="3726" w:type="dxa"/>
          </w:tcPr>
          <w:p w14:paraId="1C71E24A" w14:textId="77777777" w:rsidR="003561CE" w:rsidRPr="00172D76" w:rsidRDefault="00000000">
            <w:pPr>
              <w:spacing w:after="40"/>
              <w:rPr>
                <w:szCs w:val="36"/>
              </w:rPr>
            </w:pPr>
            <w:r w:rsidRPr="00172D76">
              <w:rPr>
                <w:szCs w:val="36"/>
              </w:rPr>
              <w:t>Aldi Price Match, Low Everyday Prices and around 8,000 Clubcard Prices offers per week were central to the 2024/25 UK offer.</w:t>
            </w:r>
          </w:p>
        </w:tc>
        <w:tc>
          <w:tcPr>
            <w:tcW w:w="3775" w:type="dxa"/>
          </w:tcPr>
          <w:p w14:paraId="5803022E" w14:textId="77777777" w:rsidR="003561CE" w:rsidRPr="00172D76" w:rsidRDefault="00000000">
            <w:pPr>
              <w:spacing w:after="40"/>
              <w:rPr>
                <w:szCs w:val="36"/>
              </w:rPr>
            </w:pPr>
            <w:r w:rsidRPr="00172D76">
              <w:rPr>
                <w:szCs w:val="36"/>
              </w:rPr>
              <w:t>Tesco is not using a pure cost-leadership model; it is creating value through a hybrid of price, data and range architecture.</w:t>
            </w:r>
          </w:p>
        </w:tc>
      </w:tr>
      <w:tr w:rsidR="003561CE" w:rsidRPr="00172D76" w14:paraId="1940F304" w14:textId="77777777" w:rsidTr="00D92E81">
        <w:trPr>
          <w:jc w:val="center"/>
        </w:trPr>
        <w:tc>
          <w:tcPr>
            <w:tcW w:w="1849" w:type="dxa"/>
          </w:tcPr>
          <w:p w14:paraId="30CE6598" w14:textId="77777777" w:rsidR="003561CE" w:rsidRPr="00172D76" w:rsidRDefault="00000000">
            <w:pPr>
              <w:spacing w:after="40"/>
              <w:rPr>
                <w:szCs w:val="36"/>
              </w:rPr>
            </w:pPr>
            <w:r w:rsidRPr="00172D76">
              <w:rPr>
                <w:szCs w:val="36"/>
              </w:rPr>
              <w:lastRenderedPageBreak/>
              <w:t>CSR and sustainability</w:t>
            </w:r>
          </w:p>
        </w:tc>
        <w:tc>
          <w:tcPr>
            <w:tcW w:w="3726" w:type="dxa"/>
          </w:tcPr>
          <w:p w14:paraId="791C4218" w14:textId="77777777" w:rsidR="003561CE" w:rsidRPr="00172D76" w:rsidRDefault="00000000">
            <w:pPr>
              <w:spacing w:after="40"/>
              <w:rPr>
                <w:szCs w:val="36"/>
              </w:rPr>
            </w:pPr>
            <w:r w:rsidRPr="00172D76">
              <w:rPr>
                <w:szCs w:val="36"/>
              </w:rPr>
              <w:t>Tesco reported a 65% reduction in operational emissions and 82% redistribution of unsold UK food safe for consumption to humans or animals in 2024/25.</w:t>
            </w:r>
          </w:p>
        </w:tc>
        <w:tc>
          <w:tcPr>
            <w:tcW w:w="3775" w:type="dxa"/>
          </w:tcPr>
          <w:p w14:paraId="4C2096AB" w14:textId="77777777" w:rsidR="003561CE" w:rsidRPr="00172D76" w:rsidRDefault="00000000">
            <w:pPr>
              <w:spacing w:after="40"/>
              <w:rPr>
                <w:szCs w:val="36"/>
              </w:rPr>
            </w:pPr>
            <w:r w:rsidRPr="00172D76">
              <w:rPr>
                <w:szCs w:val="36"/>
              </w:rPr>
              <w:t>CSR is strategically material because food retail depends on resilient suppliers, trusted sourcing, waste reduction and social legitimacy.</w:t>
            </w:r>
          </w:p>
        </w:tc>
      </w:tr>
    </w:tbl>
    <w:p w14:paraId="6BB7B292" w14:textId="77777777" w:rsidR="003561CE" w:rsidRPr="00710CD0" w:rsidRDefault="00710CD0" w:rsidP="00710CD0">
      <w:pPr>
        <w:spacing w:after="120" w:line="360" w:lineRule="auto"/>
        <w:jc w:val="center"/>
        <w:rPr>
          <w:i/>
          <w:iCs/>
        </w:rPr>
      </w:pPr>
      <w:r>
        <w:rPr>
          <w:i/>
        </w:rPr>
        <w:t>Source: Author's analysis based on Tesco PLC (2025a), Tesco PLC (2026), Kantar (2025), IGD (2026) and Savills (2025).</w:t>
      </w:r>
    </w:p>
    <w:p w14:paraId="014A8E3E" w14:textId="77777777" w:rsidR="00172D76" w:rsidRDefault="00172D76">
      <w:pPr>
        <w:spacing w:after="120" w:line="360" w:lineRule="auto"/>
        <w:jc w:val="both"/>
      </w:pPr>
      <w:r w:rsidRPr="00172D76">
        <w:t>The industry environment supports the argument of Tesco being a good case study in strategic analysis. Savills projects the UK food and grocery market to at 195.3bn with a view to a growth of £214bn by 2028 meaning that it is resilient but with a modest growth (Savills, 2025). According to Kantar (2025), as of July 2025 Tesco is leading Sainsbury, Asda, Aldi, Morrisons and Lidl by a wide margin as online grocery has captured 12.0 percent of all of the grocer sales and 23</w:t>
      </w:r>
      <w:r>
        <w:t>%</w:t>
      </w:r>
      <w:r w:rsidRPr="00172D76">
        <w:t xml:space="preserve"> of households had made at least one online shopping trip within the timeframe in question (Kantar, 2025). The market is thus endowed with absolute size and unattractive in competitive intensity. The difficulty of gains arises because households’ food demand is already fairly developed and share growth must be either price invested or promoted, store convenient, made different or loyalty-based </w:t>
      </w:r>
      <w:proofErr w:type="spellStart"/>
      <w:r w:rsidRPr="00172D76">
        <w:t>personalised</w:t>
      </w:r>
      <w:proofErr w:type="spellEnd"/>
      <w:r w:rsidRPr="00172D76">
        <w:t>.</w:t>
      </w:r>
    </w:p>
    <w:p w14:paraId="243F9619" w14:textId="77777777" w:rsidR="003561CE" w:rsidRDefault="006235CE">
      <w:pPr>
        <w:spacing w:after="120" w:line="360" w:lineRule="auto"/>
        <w:jc w:val="center"/>
      </w:pPr>
      <w:r>
        <w:rPr>
          <w:noProof/>
        </w:rPr>
        <w:drawing>
          <wp:inline distT="0" distB="0" distL="0" distR="0" wp14:anchorId="33971860" wp14:editId="0378DEBC">
            <wp:extent cx="5920105" cy="3185160"/>
            <wp:effectExtent l="0" t="0" r="4445" b="0"/>
            <wp:docPr id="2047035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4857" cy="3193097"/>
                    </a:xfrm>
                    <a:prstGeom prst="rect">
                      <a:avLst/>
                    </a:prstGeom>
                    <a:noFill/>
                  </pic:spPr>
                </pic:pic>
              </a:graphicData>
            </a:graphic>
          </wp:inline>
        </w:drawing>
      </w:r>
    </w:p>
    <w:p w14:paraId="366E120E" w14:textId="77777777" w:rsidR="003561CE" w:rsidRPr="006235CE" w:rsidRDefault="00000000" w:rsidP="006235CE">
      <w:pPr>
        <w:pStyle w:val="Caption"/>
        <w:spacing w:after="80"/>
        <w:jc w:val="center"/>
        <w:rPr>
          <w:i w:val="0"/>
          <w:iCs/>
          <w:color w:val="000000" w:themeColor="text1"/>
          <w:sz w:val="24"/>
          <w:szCs w:val="24"/>
        </w:rPr>
      </w:pPr>
      <w:r w:rsidRPr="006235CE">
        <w:rPr>
          <w:i w:val="0"/>
          <w:iCs/>
          <w:color w:val="000000" w:themeColor="text1"/>
          <w:sz w:val="24"/>
          <w:szCs w:val="24"/>
        </w:rPr>
        <w:lastRenderedPageBreak/>
        <w:t>Figure 2. Market share of selected UK grocery retailers, July 2025. Source: Author's chart based on Kantar (2025).</w:t>
      </w:r>
    </w:p>
    <w:p w14:paraId="37B76151" w14:textId="77777777" w:rsidR="00172D76" w:rsidRDefault="00172D76">
      <w:pPr>
        <w:spacing w:after="120" w:line="360" w:lineRule="auto"/>
        <w:jc w:val="both"/>
      </w:pPr>
      <w:r w:rsidRPr="00172D76">
        <w:t xml:space="preserve">As Figure 2 indicates, Tesco is far ahead but this should not be interpreted as strategic safety. Aldi and Lidl have rigorous, low complexity operating models which still adjust the reference price of grocery shoppers. The stronger full-line competitor of Sainsbury and Asda is trying to prove that it can maintain its size by use of price-based turnaround strategies. The key issue of Tesco is that customers are all as demanding range, convenience, quality and digital convenience that they are also demanding discounter-like value. </w:t>
      </w:r>
    </w:p>
    <w:p w14:paraId="111D2177" w14:textId="77777777" w:rsidR="003561CE" w:rsidRPr="00B235EA" w:rsidRDefault="00000000">
      <w:pPr>
        <w:pStyle w:val="Heading1"/>
        <w:spacing w:before="0" w:after="120" w:line="360" w:lineRule="auto"/>
        <w:rPr>
          <w:sz w:val="36"/>
          <w:szCs w:val="32"/>
        </w:rPr>
      </w:pPr>
      <w:bookmarkStart w:id="3" w:name="_Toc234069037"/>
      <w:r w:rsidRPr="00B235EA">
        <w:rPr>
          <w:rFonts w:ascii="Arial" w:eastAsia="Arial" w:hAnsi="Arial"/>
          <w:sz w:val="28"/>
          <w:szCs w:val="32"/>
        </w:rPr>
        <w:t>2. External and Internal Analysis</w:t>
      </w:r>
      <w:bookmarkEnd w:id="3"/>
    </w:p>
    <w:p w14:paraId="25999F2F" w14:textId="77777777" w:rsidR="003561CE" w:rsidRDefault="00000000">
      <w:pPr>
        <w:pStyle w:val="Heading2"/>
        <w:spacing w:before="0" w:after="120" w:line="360" w:lineRule="auto"/>
      </w:pPr>
      <w:bookmarkStart w:id="4" w:name="_Toc234069038"/>
      <w:r>
        <w:rPr>
          <w:rFonts w:ascii="Arial" w:eastAsia="Arial" w:hAnsi="Arial"/>
          <w:sz w:val="24"/>
        </w:rPr>
        <w:t>2.1 External Analysis Using PESTEL</w:t>
      </w:r>
      <w:bookmarkEnd w:id="4"/>
    </w:p>
    <w:p w14:paraId="117C9675" w14:textId="77777777" w:rsidR="00172D76" w:rsidRDefault="00172D76">
      <w:pPr>
        <w:spacing w:after="120" w:line="360" w:lineRule="auto"/>
        <w:jc w:val="both"/>
      </w:pPr>
      <w:r w:rsidRPr="00172D76">
        <w:t xml:space="preserve">PESTEL is also helpful in that the competitive position of Tesco is not only revealed to direct competitors but also public policy, family disposable income, food mechanisms, technology, impact of climate risks and regulatory anticipations. Nonetheless, PESTEL cannot be considered as a checklist. Its strategic importance is in determining the external forces that vary the foundation of competition. In the case of Tesco, the pressure of cost-of-living, </w:t>
      </w:r>
      <w:proofErr w:type="spellStart"/>
      <w:r w:rsidRPr="00172D76">
        <w:t>labour</w:t>
      </w:r>
      <w:proofErr w:type="spellEnd"/>
      <w:r w:rsidRPr="00172D76">
        <w:t xml:space="preserve"> and packaging regulation, the digital grocery </w:t>
      </w:r>
      <w:proofErr w:type="spellStart"/>
      <w:r w:rsidRPr="00172D76">
        <w:t>behaviour</w:t>
      </w:r>
      <w:proofErr w:type="spellEnd"/>
      <w:r w:rsidRPr="00172D76">
        <w:t>, the climate risk in the supply-chain and the data-driven loyalty pricing scrutiny are the material forces most significant.</w:t>
      </w:r>
    </w:p>
    <w:p w14:paraId="73A4CBCF" w14:textId="77777777" w:rsidR="003561CE" w:rsidRPr="006235CE" w:rsidRDefault="00000000">
      <w:pPr>
        <w:pStyle w:val="Caption"/>
        <w:spacing w:after="80"/>
        <w:rPr>
          <w:i w:val="0"/>
          <w:iCs/>
          <w:color w:val="000000" w:themeColor="text1"/>
          <w:sz w:val="24"/>
          <w:szCs w:val="24"/>
        </w:rPr>
      </w:pPr>
      <w:r w:rsidRPr="006235CE">
        <w:rPr>
          <w:i w:val="0"/>
          <w:iCs/>
          <w:color w:val="000000" w:themeColor="text1"/>
          <w:sz w:val="24"/>
          <w:szCs w:val="24"/>
        </w:rPr>
        <w:t>Table 2. PESTEL analysis of Tesco in the UK grocery retail market.</w:t>
      </w:r>
    </w:p>
    <w:tbl>
      <w:tblPr>
        <w:tblStyle w:val="TableGrid"/>
        <w:tblW w:w="0" w:type="auto"/>
        <w:jc w:val="center"/>
        <w:tblLook w:val="04A0" w:firstRow="1" w:lastRow="0" w:firstColumn="1" w:lastColumn="0" w:noHBand="0" w:noVBand="1"/>
      </w:tblPr>
      <w:tblGrid>
        <w:gridCol w:w="1751"/>
        <w:gridCol w:w="2025"/>
        <w:gridCol w:w="1721"/>
        <w:gridCol w:w="1835"/>
        <w:gridCol w:w="2018"/>
      </w:tblGrid>
      <w:tr w:rsidR="003561CE" w:rsidRPr="00172D76" w14:paraId="3B439A4D" w14:textId="77777777" w:rsidTr="006235CE">
        <w:trPr>
          <w:tblHeader/>
          <w:jc w:val="center"/>
        </w:trPr>
        <w:tc>
          <w:tcPr>
            <w:tcW w:w="1343" w:type="dxa"/>
            <w:shd w:val="clear" w:color="auto" w:fill="D9EAF7"/>
          </w:tcPr>
          <w:p w14:paraId="142BC514" w14:textId="77777777" w:rsidR="003561CE" w:rsidRPr="00172D76" w:rsidRDefault="00000000">
            <w:pPr>
              <w:spacing w:after="40"/>
              <w:rPr>
                <w:szCs w:val="36"/>
              </w:rPr>
            </w:pPr>
            <w:r w:rsidRPr="00172D76">
              <w:rPr>
                <w:b/>
                <w:szCs w:val="36"/>
              </w:rPr>
              <w:t>Factor</w:t>
            </w:r>
          </w:p>
        </w:tc>
        <w:tc>
          <w:tcPr>
            <w:tcW w:w="2110" w:type="dxa"/>
            <w:shd w:val="clear" w:color="auto" w:fill="D9EAF7"/>
          </w:tcPr>
          <w:p w14:paraId="6E3453EC" w14:textId="77777777" w:rsidR="003561CE" w:rsidRPr="00172D76" w:rsidRDefault="00000000">
            <w:pPr>
              <w:spacing w:after="40"/>
              <w:rPr>
                <w:szCs w:val="36"/>
              </w:rPr>
            </w:pPr>
            <w:r w:rsidRPr="00172D76">
              <w:rPr>
                <w:b/>
                <w:szCs w:val="36"/>
              </w:rPr>
              <w:t>Key evidence</w:t>
            </w:r>
          </w:p>
        </w:tc>
        <w:tc>
          <w:tcPr>
            <w:tcW w:w="1771" w:type="dxa"/>
            <w:shd w:val="clear" w:color="auto" w:fill="D9EAF7"/>
          </w:tcPr>
          <w:p w14:paraId="688485C2" w14:textId="77777777" w:rsidR="003561CE" w:rsidRPr="00172D76" w:rsidRDefault="00000000">
            <w:pPr>
              <w:spacing w:after="40"/>
              <w:rPr>
                <w:szCs w:val="36"/>
              </w:rPr>
            </w:pPr>
            <w:r w:rsidRPr="00172D76">
              <w:rPr>
                <w:b/>
                <w:szCs w:val="36"/>
              </w:rPr>
              <w:t>Opportunity</w:t>
            </w:r>
          </w:p>
        </w:tc>
        <w:tc>
          <w:tcPr>
            <w:tcW w:w="1890" w:type="dxa"/>
            <w:shd w:val="clear" w:color="auto" w:fill="D9EAF7"/>
          </w:tcPr>
          <w:p w14:paraId="3F0C5B96" w14:textId="77777777" w:rsidR="003561CE" w:rsidRPr="00172D76" w:rsidRDefault="00000000">
            <w:pPr>
              <w:spacing w:after="40"/>
              <w:rPr>
                <w:szCs w:val="36"/>
              </w:rPr>
            </w:pPr>
            <w:r w:rsidRPr="00172D76">
              <w:rPr>
                <w:b/>
                <w:szCs w:val="36"/>
              </w:rPr>
              <w:t>Threat or constraint</w:t>
            </w:r>
          </w:p>
        </w:tc>
        <w:tc>
          <w:tcPr>
            <w:tcW w:w="2236" w:type="dxa"/>
            <w:shd w:val="clear" w:color="auto" w:fill="D9EAF7"/>
          </w:tcPr>
          <w:p w14:paraId="582269D9" w14:textId="77777777" w:rsidR="003561CE" w:rsidRPr="00172D76" w:rsidRDefault="00000000">
            <w:pPr>
              <w:spacing w:after="40"/>
              <w:rPr>
                <w:szCs w:val="36"/>
              </w:rPr>
            </w:pPr>
            <w:r w:rsidRPr="00172D76">
              <w:rPr>
                <w:b/>
                <w:szCs w:val="36"/>
              </w:rPr>
              <w:t>Strategic judgement</w:t>
            </w:r>
          </w:p>
        </w:tc>
      </w:tr>
      <w:tr w:rsidR="003561CE" w:rsidRPr="00172D76" w14:paraId="7B3D52AF" w14:textId="77777777" w:rsidTr="006235CE">
        <w:trPr>
          <w:jc w:val="center"/>
        </w:trPr>
        <w:tc>
          <w:tcPr>
            <w:tcW w:w="1343" w:type="dxa"/>
          </w:tcPr>
          <w:p w14:paraId="2B83481A" w14:textId="77777777" w:rsidR="003561CE" w:rsidRPr="00172D76" w:rsidRDefault="00000000">
            <w:pPr>
              <w:spacing w:after="40"/>
              <w:rPr>
                <w:szCs w:val="36"/>
              </w:rPr>
            </w:pPr>
            <w:r w:rsidRPr="00172D76">
              <w:rPr>
                <w:szCs w:val="36"/>
              </w:rPr>
              <w:t>Political</w:t>
            </w:r>
          </w:p>
        </w:tc>
        <w:tc>
          <w:tcPr>
            <w:tcW w:w="2110" w:type="dxa"/>
          </w:tcPr>
          <w:p w14:paraId="6671D5E6" w14:textId="77777777" w:rsidR="003561CE" w:rsidRPr="00172D76" w:rsidRDefault="00000000">
            <w:pPr>
              <w:spacing w:after="40"/>
              <w:rPr>
                <w:szCs w:val="36"/>
              </w:rPr>
            </w:pPr>
            <w:r w:rsidRPr="00172D76">
              <w:rPr>
                <w:szCs w:val="36"/>
              </w:rPr>
              <w:t>Retailers face higher labour costs, employer national insurance changes and Extended Producer Responsibility packaging costs.</w:t>
            </w:r>
          </w:p>
        </w:tc>
        <w:tc>
          <w:tcPr>
            <w:tcW w:w="1771" w:type="dxa"/>
          </w:tcPr>
          <w:p w14:paraId="3827CB32" w14:textId="77777777" w:rsidR="003561CE" w:rsidRPr="00172D76" w:rsidRDefault="00000000">
            <w:pPr>
              <w:spacing w:after="40"/>
              <w:rPr>
                <w:szCs w:val="36"/>
              </w:rPr>
            </w:pPr>
            <w:r w:rsidRPr="00172D76">
              <w:rPr>
                <w:szCs w:val="36"/>
              </w:rPr>
              <w:t>Scale retailers can absorb and manage compliance better than smaller operators.</w:t>
            </w:r>
          </w:p>
        </w:tc>
        <w:tc>
          <w:tcPr>
            <w:tcW w:w="1890" w:type="dxa"/>
          </w:tcPr>
          <w:p w14:paraId="69AB138E" w14:textId="77777777" w:rsidR="003561CE" w:rsidRPr="00172D76" w:rsidRDefault="00000000">
            <w:pPr>
              <w:spacing w:after="40"/>
              <w:rPr>
                <w:szCs w:val="36"/>
              </w:rPr>
            </w:pPr>
            <w:r w:rsidRPr="00172D76">
              <w:rPr>
                <w:szCs w:val="36"/>
              </w:rPr>
              <w:t>Rising statutory costs reduce room for price investment and may intensify automation pressure.</w:t>
            </w:r>
          </w:p>
        </w:tc>
        <w:tc>
          <w:tcPr>
            <w:tcW w:w="2236" w:type="dxa"/>
          </w:tcPr>
          <w:p w14:paraId="631A18FB" w14:textId="77777777" w:rsidR="003561CE" w:rsidRPr="00172D76" w:rsidRDefault="00000000">
            <w:pPr>
              <w:spacing w:after="40"/>
              <w:rPr>
                <w:szCs w:val="36"/>
              </w:rPr>
            </w:pPr>
            <w:r w:rsidRPr="00172D76">
              <w:rPr>
                <w:szCs w:val="36"/>
              </w:rPr>
              <w:t>Tesco should use productivity savings to fund value, but must avoid reducing service quality in labour-intensive formats.</w:t>
            </w:r>
          </w:p>
        </w:tc>
      </w:tr>
      <w:tr w:rsidR="003561CE" w:rsidRPr="00172D76" w14:paraId="0FB54098" w14:textId="77777777" w:rsidTr="006235CE">
        <w:trPr>
          <w:jc w:val="center"/>
        </w:trPr>
        <w:tc>
          <w:tcPr>
            <w:tcW w:w="1343" w:type="dxa"/>
          </w:tcPr>
          <w:p w14:paraId="7A9A0D4A" w14:textId="77777777" w:rsidR="003561CE" w:rsidRPr="00172D76" w:rsidRDefault="00000000">
            <w:pPr>
              <w:spacing w:after="40"/>
              <w:rPr>
                <w:szCs w:val="36"/>
              </w:rPr>
            </w:pPr>
            <w:r w:rsidRPr="00172D76">
              <w:rPr>
                <w:szCs w:val="36"/>
              </w:rPr>
              <w:t>Economic</w:t>
            </w:r>
          </w:p>
        </w:tc>
        <w:tc>
          <w:tcPr>
            <w:tcW w:w="2110" w:type="dxa"/>
          </w:tcPr>
          <w:p w14:paraId="02FCCAB2" w14:textId="77777777" w:rsidR="003561CE" w:rsidRPr="00172D76" w:rsidRDefault="00000000">
            <w:pPr>
              <w:spacing w:after="40"/>
              <w:rPr>
                <w:szCs w:val="36"/>
              </w:rPr>
            </w:pPr>
            <w:r w:rsidRPr="00172D76">
              <w:rPr>
                <w:szCs w:val="36"/>
              </w:rPr>
              <w:t xml:space="preserve">Food and non-alcoholic drink inflation rose </w:t>
            </w:r>
            <w:r w:rsidRPr="00172D76">
              <w:rPr>
                <w:szCs w:val="36"/>
              </w:rPr>
              <w:lastRenderedPageBreak/>
              <w:t>during 2025, while grocery inflation was still 3.0% in the four weeks to 14 June 2026.</w:t>
            </w:r>
          </w:p>
        </w:tc>
        <w:tc>
          <w:tcPr>
            <w:tcW w:w="1771" w:type="dxa"/>
          </w:tcPr>
          <w:p w14:paraId="36F8B70D" w14:textId="77777777" w:rsidR="003561CE" w:rsidRPr="00172D76" w:rsidRDefault="00000000">
            <w:pPr>
              <w:spacing w:after="40"/>
              <w:rPr>
                <w:szCs w:val="36"/>
              </w:rPr>
            </w:pPr>
            <w:r w:rsidRPr="00172D76">
              <w:rPr>
                <w:szCs w:val="36"/>
              </w:rPr>
              <w:lastRenderedPageBreak/>
              <w:t xml:space="preserve">Value propositions, own label and </w:t>
            </w:r>
            <w:r w:rsidRPr="00172D76">
              <w:rPr>
                <w:szCs w:val="36"/>
              </w:rPr>
              <w:lastRenderedPageBreak/>
              <w:t>loyalty promotions become more relevant to pressured households.</w:t>
            </w:r>
          </w:p>
        </w:tc>
        <w:tc>
          <w:tcPr>
            <w:tcW w:w="1890" w:type="dxa"/>
          </w:tcPr>
          <w:p w14:paraId="7E9343E4" w14:textId="77777777" w:rsidR="003561CE" w:rsidRPr="00172D76" w:rsidRDefault="00000000">
            <w:pPr>
              <w:spacing w:after="40"/>
              <w:rPr>
                <w:szCs w:val="36"/>
              </w:rPr>
            </w:pPr>
            <w:r w:rsidRPr="00172D76">
              <w:rPr>
                <w:szCs w:val="36"/>
              </w:rPr>
              <w:lastRenderedPageBreak/>
              <w:t xml:space="preserve">Lower real basket volumes can </w:t>
            </w:r>
            <w:r w:rsidRPr="00172D76">
              <w:rPr>
                <w:szCs w:val="36"/>
              </w:rPr>
              <w:lastRenderedPageBreak/>
              <w:t>weaken margins if revenue growth is driven by price rather than volume.</w:t>
            </w:r>
          </w:p>
        </w:tc>
        <w:tc>
          <w:tcPr>
            <w:tcW w:w="2236" w:type="dxa"/>
          </w:tcPr>
          <w:p w14:paraId="72A06E52" w14:textId="77777777" w:rsidR="003561CE" w:rsidRPr="00172D76" w:rsidRDefault="00000000">
            <w:pPr>
              <w:spacing w:after="40"/>
              <w:rPr>
                <w:szCs w:val="36"/>
              </w:rPr>
            </w:pPr>
            <w:r w:rsidRPr="00172D76">
              <w:rPr>
                <w:szCs w:val="36"/>
              </w:rPr>
              <w:lastRenderedPageBreak/>
              <w:t xml:space="preserve">Tesco must defend affordability </w:t>
            </w:r>
            <w:r w:rsidRPr="00172D76">
              <w:rPr>
                <w:szCs w:val="36"/>
              </w:rPr>
              <w:lastRenderedPageBreak/>
              <w:t>while protecting gross margin through own label mix and supplier efficiency.</w:t>
            </w:r>
          </w:p>
        </w:tc>
      </w:tr>
      <w:tr w:rsidR="003561CE" w:rsidRPr="00172D76" w14:paraId="4086EC31" w14:textId="77777777" w:rsidTr="006235CE">
        <w:trPr>
          <w:jc w:val="center"/>
        </w:trPr>
        <w:tc>
          <w:tcPr>
            <w:tcW w:w="1343" w:type="dxa"/>
          </w:tcPr>
          <w:p w14:paraId="377BC3FD" w14:textId="77777777" w:rsidR="003561CE" w:rsidRPr="00172D76" w:rsidRDefault="00000000">
            <w:pPr>
              <w:spacing w:after="40"/>
              <w:rPr>
                <w:szCs w:val="36"/>
              </w:rPr>
            </w:pPr>
            <w:r w:rsidRPr="00172D76">
              <w:rPr>
                <w:szCs w:val="36"/>
              </w:rPr>
              <w:lastRenderedPageBreak/>
              <w:t>Social</w:t>
            </w:r>
          </w:p>
        </w:tc>
        <w:tc>
          <w:tcPr>
            <w:tcW w:w="2110" w:type="dxa"/>
          </w:tcPr>
          <w:p w14:paraId="221A804D" w14:textId="77777777" w:rsidR="003561CE" w:rsidRPr="00172D76" w:rsidRDefault="00000000">
            <w:pPr>
              <w:spacing w:after="40"/>
              <w:rPr>
                <w:szCs w:val="36"/>
              </w:rPr>
            </w:pPr>
            <w:r w:rsidRPr="00172D76">
              <w:rPr>
                <w:szCs w:val="36"/>
              </w:rPr>
              <w:t>Customers continue to seek promotions, own-label alternatives, healthier choices and convenient shopping missions.</w:t>
            </w:r>
          </w:p>
        </w:tc>
        <w:tc>
          <w:tcPr>
            <w:tcW w:w="1771" w:type="dxa"/>
          </w:tcPr>
          <w:p w14:paraId="6DB8D712" w14:textId="77777777" w:rsidR="003561CE" w:rsidRPr="00172D76" w:rsidRDefault="00000000">
            <w:pPr>
              <w:spacing w:after="40"/>
              <w:rPr>
                <w:szCs w:val="36"/>
              </w:rPr>
            </w:pPr>
            <w:r w:rsidRPr="00172D76">
              <w:rPr>
                <w:szCs w:val="36"/>
              </w:rPr>
              <w:t>Tesco can serve multiple missions through Express, superstores, Finest, value tiers and online.</w:t>
            </w:r>
          </w:p>
        </w:tc>
        <w:tc>
          <w:tcPr>
            <w:tcW w:w="1890" w:type="dxa"/>
          </w:tcPr>
          <w:p w14:paraId="671FCA38" w14:textId="77777777" w:rsidR="003561CE" w:rsidRPr="00172D76" w:rsidRDefault="00000000">
            <w:pPr>
              <w:spacing w:after="40"/>
              <w:rPr>
                <w:szCs w:val="36"/>
              </w:rPr>
            </w:pPr>
            <w:r w:rsidRPr="00172D76">
              <w:rPr>
                <w:szCs w:val="36"/>
              </w:rPr>
              <w:t>Customer trust can weaken if loyalty pricing is perceived as confusing or unfair.</w:t>
            </w:r>
          </w:p>
        </w:tc>
        <w:tc>
          <w:tcPr>
            <w:tcW w:w="2236" w:type="dxa"/>
          </w:tcPr>
          <w:p w14:paraId="499DA9C6" w14:textId="77777777" w:rsidR="003561CE" w:rsidRPr="00172D76" w:rsidRDefault="00000000">
            <w:pPr>
              <w:spacing w:after="40"/>
              <w:rPr>
                <w:szCs w:val="36"/>
              </w:rPr>
            </w:pPr>
            <w:r w:rsidRPr="00172D76">
              <w:rPr>
                <w:szCs w:val="36"/>
              </w:rPr>
              <w:t>The company should emphasise transparent, easy-to-understand value and healthier basket nudges.</w:t>
            </w:r>
          </w:p>
        </w:tc>
      </w:tr>
      <w:tr w:rsidR="003561CE" w:rsidRPr="00172D76" w14:paraId="2EA90829" w14:textId="77777777" w:rsidTr="006235CE">
        <w:trPr>
          <w:jc w:val="center"/>
        </w:trPr>
        <w:tc>
          <w:tcPr>
            <w:tcW w:w="1343" w:type="dxa"/>
          </w:tcPr>
          <w:p w14:paraId="131FF6C9" w14:textId="77777777" w:rsidR="003561CE" w:rsidRPr="00172D76" w:rsidRDefault="00000000">
            <w:pPr>
              <w:spacing w:after="40"/>
              <w:rPr>
                <w:szCs w:val="36"/>
              </w:rPr>
            </w:pPr>
            <w:r w:rsidRPr="00172D76">
              <w:rPr>
                <w:szCs w:val="36"/>
              </w:rPr>
              <w:t>Technological</w:t>
            </w:r>
          </w:p>
        </w:tc>
        <w:tc>
          <w:tcPr>
            <w:tcW w:w="2110" w:type="dxa"/>
          </w:tcPr>
          <w:p w14:paraId="4C4B2E79" w14:textId="77777777" w:rsidR="003561CE" w:rsidRPr="00172D76" w:rsidRDefault="00000000">
            <w:pPr>
              <w:spacing w:after="40"/>
              <w:rPr>
                <w:szCs w:val="36"/>
              </w:rPr>
            </w:pPr>
            <w:r w:rsidRPr="00172D76">
              <w:rPr>
                <w:szCs w:val="36"/>
              </w:rPr>
              <w:t>Clubcard, personalisation, online grocery, rapid delivery and retail media are increasingly important.</w:t>
            </w:r>
          </w:p>
        </w:tc>
        <w:tc>
          <w:tcPr>
            <w:tcW w:w="1771" w:type="dxa"/>
          </w:tcPr>
          <w:p w14:paraId="7B42AD4C" w14:textId="77777777" w:rsidR="003561CE" w:rsidRPr="00172D76" w:rsidRDefault="00000000">
            <w:pPr>
              <w:spacing w:after="40"/>
              <w:rPr>
                <w:szCs w:val="36"/>
              </w:rPr>
            </w:pPr>
            <w:r w:rsidRPr="00172D76">
              <w:rPr>
                <w:szCs w:val="36"/>
              </w:rPr>
              <w:t>Data can improve pricing, demand forecasting, waste reduction and supplier collaboration.</w:t>
            </w:r>
          </w:p>
        </w:tc>
        <w:tc>
          <w:tcPr>
            <w:tcW w:w="1890" w:type="dxa"/>
          </w:tcPr>
          <w:p w14:paraId="47FF388A" w14:textId="77777777" w:rsidR="003561CE" w:rsidRPr="00172D76" w:rsidRDefault="00000000">
            <w:pPr>
              <w:spacing w:after="40"/>
              <w:rPr>
                <w:szCs w:val="36"/>
              </w:rPr>
            </w:pPr>
            <w:r w:rsidRPr="00172D76">
              <w:rPr>
                <w:szCs w:val="36"/>
              </w:rPr>
              <w:t>Cybersecurity, data governance and unequal digital access create reputational and regulatory risks.</w:t>
            </w:r>
          </w:p>
        </w:tc>
        <w:tc>
          <w:tcPr>
            <w:tcW w:w="2236" w:type="dxa"/>
          </w:tcPr>
          <w:p w14:paraId="2528F0C2" w14:textId="77777777" w:rsidR="003561CE" w:rsidRPr="00172D76" w:rsidRDefault="00000000">
            <w:pPr>
              <w:spacing w:after="40"/>
              <w:rPr>
                <w:szCs w:val="36"/>
              </w:rPr>
            </w:pPr>
            <w:r w:rsidRPr="00172D76">
              <w:rPr>
                <w:szCs w:val="36"/>
              </w:rPr>
              <w:t>Digital advantage is strategically valuable only if it improves customer outcomes, not merely advertising income.</w:t>
            </w:r>
          </w:p>
        </w:tc>
      </w:tr>
      <w:tr w:rsidR="003561CE" w:rsidRPr="00172D76" w14:paraId="0E9FB29C" w14:textId="77777777" w:rsidTr="006235CE">
        <w:trPr>
          <w:jc w:val="center"/>
        </w:trPr>
        <w:tc>
          <w:tcPr>
            <w:tcW w:w="1343" w:type="dxa"/>
          </w:tcPr>
          <w:p w14:paraId="25AAE3E3" w14:textId="77777777" w:rsidR="003561CE" w:rsidRPr="00172D76" w:rsidRDefault="00000000">
            <w:pPr>
              <w:spacing w:after="40"/>
              <w:rPr>
                <w:szCs w:val="36"/>
              </w:rPr>
            </w:pPr>
            <w:r w:rsidRPr="00172D76">
              <w:rPr>
                <w:szCs w:val="36"/>
              </w:rPr>
              <w:t>Environmental</w:t>
            </w:r>
          </w:p>
        </w:tc>
        <w:tc>
          <w:tcPr>
            <w:tcW w:w="2110" w:type="dxa"/>
          </w:tcPr>
          <w:p w14:paraId="27F550E3" w14:textId="77777777" w:rsidR="003561CE" w:rsidRPr="00172D76" w:rsidRDefault="00000000">
            <w:pPr>
              <w:spacing w:after="40"/>
              <w:rPr>
                <w:szCs w:val="36"/>
              </w:rPr>
            </w:pPr>
            <w:r w:rsidRPr="00172D76">
              <w:rPr>
                <w:szCs w:val="36"/>
              </w:rPr>
              <w:t>Climate shocks affect food supply chains; Tesco reported progress on operational emissions, food waste and packaging.</w:t>
            </w:r>
          </w:p>
        </w:tc>
        <w:tc>
          <w:tcPr>
            <w:tcW w:w="1771" w:type="dxa"/>
          </w:tcPr>
          <w:p w14:paraId="092CCAA4" w14:textId="77777777" w:rsidR="003561CE" w:rsidRPr="00172D76" w:rsidRDefault="00000000">
            <w:pPr>
              <w:spacing w:after="40"/>
              <w:rPr>
                <w:szCs w:val="36"/>
              </w:rPr>
            </w:pPr>
            <w:r w:rsidRPr="00172D76">
              <w:rPr>
                <w:szCs w:val="36"/>
              </w:rPr>
              <w:t>Sustainable sourcing and waste reduction can reduce risk and strengthen legitimacy.</w:t>
            </w:r>
          </w:p>
        </w:tc>
        <w:tc>
          <w:tcPr>
            <w:tcW w:w="1890" w:type="dxa"/>
          </w:tcPr>
          <w:p w14:paraId="1666B592" w14:textId="77777777" w:rsidR="003561CE" w:rsidRPr="00172D76" w:rsidRDefault="00000000">
            <w:pPr>
              <w:spacing w:after="40"/>
              <w:rPr>
                <w:szCs w:val="36"/>
              </w:rPr>
            </w:pPr>
            <w:r w:rsidRPr="00172D76">
              <w:rPr>
                <w:szCs w:val="36"/>
              </w:rPr>
              <w:t>Some targets, especially full food-waste reduction, are difficult because external infrastructure and supplier systems matter.</w:t>
            </w:r>
          </w:p>
        </w:tc>
        <w:tc>
          <w:tcPr>
            <w:tcW w:w="2236" w:type="dxa"/>
          </w:tcPr>
          <w:p w14:paraId="7D505A28" w14:textId="77777777" w:rsidR="003561CE" w:rsidRPr="00172D76" w:rsidRDefault="00000000">
            <w:pPr>
              <w:spacing w:after="40"/>
              <w:rPr>
                <w:szCs w:val="36"/>
              </w:rPr>
            </w:pPr>
            <w:r w:rsidRPr="00172D76">
              <w:rPr>
                <w:szCs w:val="36"/>
              </w:rPr>
              <w:t>CSR should be treated as supply-chain resilience, not reputation management.</w:t>
            </w:r>
          </w:p>
        </w:tc>
      </w:tr>
      <w:tr w:rsidR="003561CE" w:rsidRPr="00172D76" w14:paraId="7FB6CE76" w14:textId="77777777" w:rsidTr="006235CE">
        <w:trPr>
          <w:jc w:val="center"/>
        </w:trPr>
        <w:tc>
          <w:tcPr>
            <w:tcW w:w="1343" w:type="dxa"/>
          </w:tcPr>
          <w:p w14:paraId="1F93CABD" w14:textId="77777777" w:rsidR="003561CE" w:rsidRPr="00172D76" w:rsidRDefault="00000000">
            <w:pPr>
              <w:spacing w:after="40"/>
              <w:rPr>
                <w:szCs w:val="36"/>
              </w:rPr>
            </w:pPr>
            <w:r w:rsidRPr="00172D76">
              <w:rPr>
                <w:szCs w:val="36"/>
              </w:rPr>
              <w:t>Legal</w:t>
            </w:r>
          </w:p>
        </w:tc>
        <w:tc>
          <w:tcPr>
            <w:tcW w:w="2110" w:type="dxa"/>
          </w:tcPr>
          <w:p w14:paraId="03D573C1" w14:textId="77777777" w:rsidR="003561CE" w:rsidRPr="00172D76" w:rsidRDefault="00000000">
            <w:pPr>
              <w:spacing w:after="40"/>
              <w:rPr>
                <w:szCs w:val="36"/>
              </w:rPr>
            </w:pPr>
            <w:r w:rsidRPr="00172D76">
              <w:rPr>
                <w:szCs w:val="36"/>
              </w:rPr>
              <w:t xml:space="preserve">Food safety, competition law, data protection, employment law, environmental reporting and </w:t>
            </w:r>
            <w:r w:rsidRPr="00172D76">
              <w:rPr>
                <w:szCs w:val="36"/>
              </w:rPr>
              <w:lastRenderedPageBreak/>
              <w:t>packaging obligations all affect operations.</w:t>
            </w:r>
          </w:p>
        </w:tc>
        <w:tc>
          <w:tcPr>
            <w:tcW w:w="1771" w:type="dxa"/>
          </w:tcPr>
          <w:p w14:paraId="2EC66458" w14:textId="77777777" w:rsidR="003561CE" w:rsidRPr="00172D76" w:rsidRDefault="00000000">
            <w:pPr>
              <w:spacing w:after="40"/>
              <w:rPr>
                <w:szCs w:val="36"/>
              </w:rPr>
            </w:pPr>
            <w:r w:rsidRPr="00172D76">
              <w:rPr>
                <w:szCs w:val="36"/>
              </w:rPr>
              <w:lastRenderedPageBreak/>
              <w:t>Strong governance can differentiate Tesco from less well-</w:t>
            </w:r>
            <w:r w:rsidRPr="00172D76">
              <w:rPr>
                <w:szCs w:val="36"/>
              </w:rPr>
              <w:lastRenderedPageBreak/>
              <w:t>resourced rivals.</w:t>
            </w:r>
          </w:p>
        </w:tc>
        <w:tc>
          <w:tcPr>
            <w:tcW w:w="1890" w:type="dxa"/>
          </w:tcPr>
          <w:p w14:paraId="0C044469" w14:textId="77777777" w:rsidR="003561CE" w:rsidRPr="00172D76" w:rsidRDefault="00000000">
            <w:pPr>
              <w:spacing w:after="40"/>
              <w:rPr>
                <w:szCs w:val="36"/>
              </w:rPr>
            </w:pPr>
            <w:r w:rsidRPr="00172D76">
              <w:rPr>
                <w:szCs w:val="36"/>
              </w:rPr>
              <w:lastRenderedPageBreak/>
              <w:t xml:space="preserve">Complex compliance raises cost and limits aggressive </w:t>
            </w:r>
            <w:r w:rsidRPr="00172D76">
              <w:rPr>
                <w:szCs w:val="36"/>
              </w:rPr>
              <w:lastRenderedPageBreak/>
              <w:t>pricing or data practices.</w:t>
            </w:r>
          </w:p>
        </w:tc>
        <w:tc>
          <w:tcPr>
            <w:tcW w:w="2236" w:type="dxa"/>
          </w:tcPr>
          <w:p w14:paraId="1AC12BB7" w14:textId="77777777" w:rsidR="003561CE" w:rsidRPr="00172D76" w:rsidRDefault="00000000">
            <w:pPr>
              <w:spacing w:after="40"/>
              <w:rPr>
                <w:szCs w:val="36"/>
              </w:rPr>
            </w:pPr>
            <w:r w:rsidRPr="00172D76">
              <w:rPr>
                <w:szCs w:val="36"/>
              </w:rPr>
              <w:lastRenderedPageBreak/>
              <w:t>Tesco should integrate legal compliance into strategy governance and balanced-</w:t>
            </w:r>
            <w:r w:rsidRPr="00172D76">
              <w:rPr>
                <w:szCs w:val="36"/>
              </w:rPr>
              <w:lastRenderedPageBreak/>
              <w:t>scorecard controls.</w:t>
            </w:r>
          </w:p>
        </w:tc>
      </w:tr>
    </w:tbl>
    <w:p w14:paraId="231B93E8" w14:textId="77777777" w:rsidR="006235CE" w:rsidRPr="00B235EA" w:rsidRDefault="006235CE" w:rsidP="006235CE">
      <w:pPr>
        <w:pStyle w:val="Caption"/>
        <w:spacing w:after="80"/>
        <w:jc w:val="center"/>
        <w:rPr>
          <w:b w:val="0"/>
          <w:bCs w:val="0"/>
          <w:color w:val="000000" w:themeColor="text1"/>
          <w:sz w:val="32"/>
          <w:szCs w:val="32"/>
        </w:rPr>
      </w:pPr>
      <w:r w:rsidRPr="00B235EA">
        <w:rPr>
          <w:b w:val="0"/>
          <w:bCs w:val="0"/>
          <w:i w:val="0"/>
          <w:color w:val="000000" w:themeColor="text1"/>
          <w:sz w:val="22"/>
          <w:szCs w:val="22"/>
        </w:rPr>
        <w:lastRenderedPageBreak/>
        <w:t>Source: Author's analysis based on ONS (2026), House of Commons Library (2026), BRC (2025), Savills (2025), Reuters (2026), Kantar (2025), Tesco PLC (2025a) and Tesco PLC (2025b).</w:t>
      </w:r>
    </w:p>
    <w:p w14:paraId="7405FBAD" w14:textId="77777777" w:rsidR="003561CE" w:rsidRDefault="003561CE">
      <w:pPr>
        <w:spacing w:after="120" w:line="360" w:lineRule="auto"/>
      </w:pPr>
    </w:p>
    <w:p w14:paraId="2495183B" w14:textId="77777777" w:rsidR="00A56797" w:rsidRDefault="00A56797">
      <w:pPr>
        <w:spacing w:after="120" w:line="360" w:lineRule="auto"/>
        <w:jc w:val="both"/>
      </w:pPr>
      <w:r w:rsidRPr="00A56797">
        <w:t xml:space="preserve">The PESTEL analysis shows that there is a strategic paradox. External circumstances enhance demand of the Tesco value proposition, yet these same circumstances also increase the cost of Tesco value delivery. Household pressure combined with food inflation makes price more important, although higher </w:t>
      </w:r>
      <w:proofErr w:type="spellStart"/>
      <w:r w:rsidRPr="00A56797">
        <w:t>labour</w:t>
      </w:r>
      <w:proofErr w:type="spellEnd"/>
      <w:r w:rsidRPr="00A56797">
        <w:t xml:space="preserve"> and national insurance and packaging costs </w:t>
      </w:r>
      <w:proofErr w:type="spellStart"/>
      <w:r w:rsidRPr="00A56797">
        <w:t>minimise</w:t>
      </w:r>
      <w:proofErr w:type="spellEnd"/>
      <w:r w:rsidRPr="00A56797">
        <w:t xml:space="preserve"> the margin to finance price reductions. According to the House of Commons Library, UK food and non-alcoholic inflation increased by 2.0% in December 2024, then by 5.1% in August 2025 and has since decreased to 4.2% in November 2025, and Reuters says that the UK grocery inflation was 3.0% in the four weeks to 14 June 2026 (House of Commons Library, 2026; Reuters, 2026). It implies that the greatest opportunity that Tesco would have in the external environment is not merely to be lower, but to ensure that the customers feel that value, range and convenience are being guarded as real in times of uncertainty.</w:t>
      </w:r>
    </w:p>
    <w:p w14:paraId="06CF56FE" w14:textId="77777777" w:rsidR="00A56797" w:rsidRDefault="00A56797">
      <w:pPr>
        <w:spacing w:after="120" w:line="360" w:lineRule="auto"/>
        <w:jc w:val="both"/>
      </w:pPr>
      <w:r w:rsidRPr="00A56797">
        <w:t xml:space="preserve">A second challenge is in the political and regulatory environment. BRC estimated that higher National Living Wage and employer national insurance changes would cost the retail industry over £5bn a year, increasing to £7bn when packaging-related costs are included (BRC, 2025). In the case of Tesco, the Save to Invest </w:t>
      </w:r>
      <w:proofErr w:type="spellStart"/>
      <w:r w:rsidRPr="00A56797">
        <w:t>programme</w:t>
      </w:r>
      <w:proofErr w:type="spellEnd"/>
      <w:r w:rsidRPr="00A56797">
        <w:t xml:space="preserve"> is strategic. In 2025/26, Tesco stated that on top of covering customer investment and operating cost inflation with further Save to Invest savings, further savings of another £500m was forecasted (Tesco PLC, 2026). The danger is that sustained productivity savings might be used as a defense mechanism instead of creating strategic regeneration when not reinvested in customer-facing improvements.</w:t>
      </w:r>
    </w:p>
    <w:p w14:paraId="5B4913A8" w14:textId="77777777" w:rsidR="003561CE" w:rsidRDefault="00000000">
      <w:pPr>
        <w:pStyle w:val="Heading2"/>
        <w:spacing w:before="0" w:after="120" w:line="360" w:lineRule="auto"/>
      </w:pPr>
      <w:bookmarkStart w:id="5" w:name="_Toc234069039"/>
      <w:r>
        <w:rPr>
          <w:rFonts w:ascii="Arial" w:eastAsia="Arial" w:hAnsi="Arial"/>
          <w:sz w:val="24"/>
        </w:rPr>
        <w:lastRenderedPageBreak/>
        <w:t>2.2 Internal Analysis Using VRIO</w:t>
      </w:r>
      <w:bookmarkEnd w:id="5"/>
    </w:p>
    <w:p w14:paraId="1D83F584" w14:textId="77777777" w:rsidR="00A56797" w:rsidRPr="00A56797" w:rsidRDefault="00A56797" w:rsidP="00A56797">
      <w:pPr>
        <w:spacing w:after="120" w:line="360" w:lineRule="auto"/>
        <w:jc w:val="both"/>
      </w:pPr>
      <w:r w:rsidRPr="00A56797">
        <w:t xml:space="preserve">The resource-based perspective claims that long-lasting benefit is conditional on resources of value, scarceness, imitability and </w:t>
      </w:r>
      <w:proofErr w:type="spellStart"/>
      <w:r w:rsidRPr="00A56797">
        <w:t>organisation</w:t>
      </w:r>
      <w:proofErr w:type="spellEnd"/>
      <w:r w:rsidRPr="00A56797">
        <w:t xml:space="preserve"> to be exploited (Barney, 1991). In the case of Tesco, the combination of scale, customer information, supply-chain practices, own-label experience and cross-channel implementation are the best resources that can never be copied by individual stores or products. VRIO is accordingly taken to resource bundles, as opposed to individual assets.</w:t>
      </w:r>
    </w:p>
    <w:p w14:paraId="6A6E887D" w14:textId="77777777" w:rsidR="003561CE" w:rsidRPr="006235CE" w:rsidRDefault="00000000">
      <w:pPr>
        <w:pStyle w:val="Caption"/>
        <w:spacing w:after="80"/>
        <w:rPr>
          <w:i w:val="0"/>
          <w:iCs/>
          <w:color w:val="000000" w:themeColor="text1"/>
          <w:sz w:val="24"/>
          <w:szCs w:val="24"/>
        </w:rPr>
      </w:pPr>
      <w:r w:rsidRPr="006235CE">
        <w:rPr>
          <w:i w:val="0"/>
          <w:iCs/>
          <w:color w:val="000000" w:themeColor="text1"/>
          <w:sz w:val="24"/>
          <w:szCs w:val="24"/>
        </w:rPr>
        <w:t xml:space="preserve">Table 3. VRIO assessment of Tesco UK strategic resources. </w:t>
      </w:r>
    </w:p>
    <w:tbl>
      <w:tblPr>
        <w:tblStyle w:val="TableGrid"/>
        <w:tblW w:w="0" w:type="auto"/>
        <w:jc w:val="center"/>
        <w:tblLook w:val="04A0" w:firstRow="1" w:lastRow="0" w:firstColumn="1" w:lastColumn="0" w:noHBand="0" w:noVBand="1"/>
      </w:tblPr>
      <w:tblGrid>
        <w:gridCol w:w="1681"/>
        <w:gridCol w:w="1378"/>
        <w:gridCol w:w="1572"/>
        <w:gridCol w:w="1621"/>
        <w:gridCol w:w="1682"/>
        <w:gridCol w:w="1416"/>
      </w:tblGrid>
      <w:tr w:rsidR="003561CE" w:rsidRPr="00A56797" w14:paraId="3742150D" w14:textId="77777777" w:rsidTr="006235CE">
        <w:trPr>
          <w:tblHeader/>
          <w:jc w:val="center"/>
        </w:trPr>
        <w:tc>
          <w:tcPr>
            <w:tcW w:w="1676" w:type="dxa"/>
            <w:shd w:val="clear" w:color="auto" w:fill="D9EAF7"/>
          </w:tcPr>
          <w:p w14:paraId="2D7724D0" w14:textId="77777777" w:rsidR="003561CE" w:rsidRPr="00A56797" w:rsidRDefault="00000000">
            <w:pPr>
              <w:spacing w:after="40"/>
              <w:rPr>
                <w:szCs w:val="36"/>
              </w:rPr>
            </w:pPr>
            <w:r w:rsidRPr="00A56797">
              <w:rPr>
                <w:b/>
                <w:szCs w:val="36"/>
              </w:rPr>
              <w:t>Resource or capability</w:t>
            </w:r>
          </w:p>
        </w:tc>
        <w:tc>
          <w:tcPr>
            <w:tcW w:w="1498" w:type="dxa"/>
            <w:shd w:val="clear" w:color="auto" w:fill="D9EAF7"/>
          </w:tcPr>
          <w:p w14:paraId="4ECC0DA3" w14:textId="77777777" w:rsidR="003561CE" w:rsidRPr="00A56797" w:rsidRDefault="00000000">
            <w:pPr>
              <w:spacing w:after="40"/>
              <w:rPr>
                <w:szCs w:val="36"/>
              </w:rPr>
            </w:pPr>
            <w:r w:rsidRPr="00A56797">
              <w:rPr>
                <w:b/>
                <w:szCs w:val="36"/>
              </w:rPr>
              <w:t>Valuable?</w:t>
            </w:r>
          </w:p>
        </w:tc>
        <w:tc>
          <w:tcPr>
            <w:tcW w:w="1377" w:type="dxa"/>
            <w:shd w:val="clear" w:color="auto" w:fill="D9EAF7"/>
          </w:tcPr>
          <w:p w14:paraId="05340A66" w14:textId="77777777" w:rsidR="003561CE" w:rsidRPr="00A56797" w:rsidRDefault="00000000">
            <w:pPr>
              <w:spacing w:after="40"/>
              <w:rPr>
                <w:szCs w:val="36"/>
              </w:rPr>
            </w:pPr>
            <w:r w:rsidRPr="00A56797">
              <w:rPr>
                <w:b/>
                <w:szCs w:val="36"/>
              </w:rPr>
              <w:t>Rare?</w:t>
            </w:r>
          </w:p>
        </w:tc>
        <w:tc>
          <w:tcPr>
            <w:tcW w:w="1436" w:type="dxa"/>
            <w:shd w:val="clear" w:color="auto" w:fill="D9EAF7"/>
          </w:tcPr>
          <w:p w14:paraId="387F98E9" w14:textId="77777777" w:rsidR="003561CE" w:rsidRPr="00A56797" w:rsidRDefault="00000000">
            <w:pPr>
              <w:spacing w:after="40"/>
              <w:rPr>
                <w:szCs w:val="36"/>
              </w:rPr>
            </w:pPr>
            <w:r w:rsidRPr="00A56797">
              <w:rPr>
                <w:b/>
                <w:szCs w:val="36"/>
              </w:rPr>
              <w:t>Inimitable?</w:t>
            </w:r>
          </w:p>
        </w:tc>
        <w:tc>
          <w:tcPr>
            <w:tcW w:w="1454" w:type="dxa"/>
            <w:shd w:val="clear" w:color="auto" w:fill="D9EAF7"/>
          </w:tcPr>
          <w:p w14:paraId="121A02C8" w14:textId="77777777" w:rsidR="003561CE" w:rsidRPr="00A56797" w:rsidRDefault="00000000">
            <w:pPr>
              <w:spacing w:after="40"/>
              <w:rPr>
                <w:szCs w:val="36"/>
              </w:rPr>
            </w:pPr>
            <w:r w:rsidRPr="00A56797">
              <w:rPr>
                <w:b/>
                <w:szCs w:val="36"/>
              </w:rPr>
              <w:t>Organised?</w:t>
            </w:r>
          </w:p>
        </w:tc>
        <w:tc>
          <w:tcPr>
            <w:tcW w:w="1909" w:type="dxa"/>
            <w:shd w:val="clear" w:color="auto" w:fill="D9EAF7"/>
          </w:tcPr>
          <w:p w14:paraId="0AE967DC" w14:textId="77777777" w:rsidR="003561CE" w:rsidRPr="00A56797" w:rsidRDefault="00000000">
            <w:pPr>
              <w:spacing w:after="40"/>
              <w:rPr>
                <w:szCs w:val="36"/>
              </w:rPr>
            </w:pPr>
            <w:r w:rsidRPr="00A56797">
              <w:rPr>
                <w:b/>
                <w:szCs w:val="36"/>
              </w:rPr>
              <w:t>Strategic conclusion</w:t>
            </w:r>
          </w:p>
        </w:tc>
      </w:tr>
      <w:tr w:rsidR="003561CE" w:rsidRPr="00A56797" w14:paraId="131E3C79" w14:textId="77777777" w:rsidTr="006235CE">
        <w:trPr>
          <w:jc w:val="center"/>
        </w:trPr>
        <w:tc>
          <w:tcPr>
            <w:tcW w:w="1676" w:type="dxa"/>
          </w:tcPr>
          <w:p w14:paraId="7D2E5B0D" w14:textId="77777777" w:rsidR="003561CE" w:rsidRPr="00A56797" w:rsidRDefault="00000000">
            <w:pPr>
              <w:spacing w:after="40"/>
              <w:rPr>
                <w:szCs w:val="36"/>
              </w:rPr>
            </w:pPr>
            <w:r w:rsidRPr="00A56797">
              <w:rPr>
                <w:szCs w:val="36"/>
              </w:rPr>
              <w:t>UK scale and procurement power</w:t>
            </w:r>
          </w:p>
        </w:tc>
        <w:tc>
          <w:tcPr>
            <w:tcW w:w="1498" w:type="dxa"/>
          </w:tcPr>
          <w:p w14:paraId="7667FEED" w14:textId="77777777" w:rsidR="003561CE" w:rsidRPr="00A56797" w:rsidRDefault="00000000">
            <w:pPr>
              <w:spacing w:after="40"/>
              <w:rPr>
                <w:szCs w:val="36"/>
              </w:rPr>
            </w:pPr>
            <w:r w:rsidRPr="00A56797">
              <w:rPr>
                <w:szCs w:val="36"/>
              </w:rPr>
              <w:t>Yes, because scale supports price investment, buying terms and national campaigns.</w:t>
            </w:r>
          </w:p>
        </w:tc>
        <w:tc>
          <w:tcPr>
            <w:tcW w:w="1377" w:type="dxa"/>
          </w:tcPr>
          <w:p w14:paraId="0EABB805" w14:textId="77777777" w:rsidR="003561CE" w:rsidRPr="00A56797" w:rsidRDefault="00000000">
            <w:pPr>
              <w:spacing w:after="40"/>
              <w:rPr>
                <w:szCs w:val="36"/>
              </w:rPr>
            </w:pPr>
            <w:r w:rsidRPr="00A56797">
              <w:rPr>
                <w:szCs w:val="36"/>
              </w:rPr>
              <w:t>Partly. Only a few rivals operate at comparable scale.</w:t>
            </w:r>
          </w:p>
        </w:tc>
        <w:tc>
          <w:tcPr>
            <w:tcW w:w="1436" w:type="dxa"/>
          </w:tcPr>
          <w:p w14:paraId="6CBF5D46" w14:textId="77777777" w:rsidR="003561CE" w:rsidRPr="00A56797" w:rsidRDefault="00000000">
            <w:pPr>
              <w:spacing w:after="40"/>
              <w:rPr>
                <w:szCs w:val="36"/>
              </w:rPr>
            </w:pPr>
            <w:r w:rsidRPr="00A56797">
              <w:rPr>
                <w:szCs w:val="36"/>
              </w:rPr>
              <w:t>Partly. Scale can be built slowly but not quickly replicated.</w:t>
            </w:r>
          </w:p>
        </w:tc>
        <w:tc>
          <w:tcPr>
            <w:tcW w:w="1454" w:type="dxa"/>
          </w:tcPr>
          <w:p w14:paraId="046A2EE2" w14:textId="77777777" w:rsidR="003561CE" w:rsidRPr="00A56797" w:rsidRDefault="00000000">
            <w:pPr>
              <w:spacing w:after="40"/>
              <w:rPr>
                <w:szCs w:val="36"/>
              </w:rPr>
            </w:pPr>
            <w:r w:rsidRPr="00A56797">
              <w:rPr>
                <w:szCs w:val="36"/>
              </w:rPr>
              <w:t>Yes. Tesco links scale to stores, online and supplier relationships.</w:t>
            </w:r>
          </w:p>
        </w:tc>
        <w:tc>
          <w:tcPr>
            <w:tcW w:w="1909" w:type="dxa"/>
          </w:tcPr>
          <w:p w14:paraId="78954FAB" w14:textId="77777777" w:rsidR="003561CE" w:rsidRPr="00A56797" w:rsidRDefault="00000000">
            <w:pPr>
              <w:spacing w:after="40"/>
              <w:rPr>
                <w:szCs w:val="36"/>
              </w:rPr>
            </w:pPr>
            <w:r w:rsidRPr="00A56797">
              <w:rPr>
                <w:szCs w:val="36"/>
              </w:rPr>
              <w:t>Temporary to sustained advantage when combined with data and own label.</w:t>
            </w:r>
          </w:p>
        </w:tc>
      </w:tr>
      <w:tr w:rsidR="003561CE" w:rsidRPr="00A56797" w14:paraId="4422FAD9" w14:textId="77777777" w:rsidTr="006235CE">
        <w:trPr>
          <w:jc w:val="center"/>
        </w:trPr>
        <w:tc>
          <w:tcPr>
            <w:tcW w:w="1676" w:type="dxa"/>
          </w:tcPr>
          <w:p w14:paraId="0A02B06C" w14:textId="77777777" w:rsidR="003561CE" w:rsidRPr="00A56797" w:rsidRDefault="00000000">
            <w:pPr>
              <w:spacing w:after="40"/>
              <w:rPr>
                <w:szCs w:val="36"/>
              </w:rPr>
            </w:pPr>
            <w:r w:rsidRPr="00A56797">
              <w:rPr>
                <w:szCs w:val="36"/>
              </w:rPr>
              <w:t>Clubcard data and personalisation capability</w:t>
            </w:r>
          </w:p>
        </w:tc>
        <w:tc>
          <w:tcPr>
            <w:tcW w:w="1498" w:type="dxa"/>
          </w:tcPr>
          <w:p w14:paraId="2436D722" w14:textId="77777777" w:rsidR="003561CE" w:rsidRPr="00A56797" w:rsidRDefault="00000000">
            <w:pPr>
              <w:spacing w:after="40"/>
              <w:rPr>
                <w:szCs w:val="36"/>
              </w:rPr>
            </w:pPr>
            <w:r w:rsidRPr="00A56797">
              <w:rPr>
                <w:szCs w:val="36"/>
              </w:rPr>
              <w:t>Yes. It supports loyalty, targeted value, retail media and demand forecasting.</w:t>
            </w:r>
          </w:p>
        </w:tc>
        <w:tc>
          <w:tcPr>
            <w:tcW w:w="1377" w:type="dxa"/>
          </w:tcPr>
          <w:p w14:paraId="66E7FA28" w14:textId="77777777" w:rsidR="003561CE" w:rsidRPr="00A56797" w:rsidRDefault="00000000">
            <w:pPr>
              <w:spacing w:after="40"/>
              <w:rPr>
                <w:szCs w:val="36"/>
              </w:rPr>
            </w:pPr>
            <w:r w:rsidRPr="00A56797">
              <w:rPr>
                <w:szCs w:val="36"/>
              </w:rPr>
              <w:t>Yes. Rival loyalty schemes exist, but Tesco has depth, heritage and reach.</w:t>
            </w:r>
          </w:p>
        </w:tc>
        <w:tc>
          <w:tcPr>
            <w:tcW w:w="1436" w:type="dxa"/>
          </w:tcPr>
          <w:p w14:paraId="6C74C352" w14:textId="77777777" w:rsidR="003561CE" w:rsidRPr="00A56797" w:rsidRDefault="00000000">
            <w:pPr>
              <w:spacing w:after="40"/>
              <w:rPr>
                <w:szCs w:val="36"/>
              </w:rPr>
            </w:pPr>
            <w:r w:rsidRPr="00A56797">
              <w:rPr>
                <w:szCs w:val="36"/>
              </w:rPr>
              <w:t>Partly high. Data history and customer habit are difficult to copy quickly.</w:t>
            </w:r>
          </w:p>
        </w:tc>
        <w:tc>
          <w:tcPr>
            <w:tcW w:w="1454" w:type="dxa"/>
          </w:tcPr>
          <w:p w14:paraId="5676051E" w14:textId="77777777" w:rsidR="003561CE" w:rsidRPr="00A56797" w:rsidRDefault="00000000">
            <w:pPr>
              <w:spacing w:after="40"/>
              <w:rPr>
                <w:szCs w:val="36"/>
              </w:rPr>
            </w:pPr>
            <w:r w:rsidRPr="00A56797">
              <w:rPr>
                <w:szCs w:val="36"/>
              </w:rPr>
              <w:t>Yes. Tesco is expanding personalisation and digital engagement.</w:t>
            </w:r>
          </w:p>
        </w:tc>
        <w:tc>
          <w:tcPr>
            <w:tcW w:w="1909" w:type="dxa"/>
          </w:tcPr>
          <w:p w14:paraId="08AF3222" w14:textId="77777777" w:rsidR="003561CE" w:rsidRPr="00A56797" w:rsidRDefault="00000000">
            <w:pPr>
              <w:spacing w:after="40"/>
              <w:rPr>
                <w:szCs w:val="36"/>
              </w:rPr>
            </w:pPr>
            <w:r w:rsidRPr="00A56797">
              <w:rPr>
                <w:szCs w:val="36"/>
              </w:rPr>
              <w:t>Potential sustained advantage, but dependent on trust and governance.</w:t>
            </w:r>
          </w:p>
        </w:tc>
      </w:tr>
      <w:tr w:rsidR="003561CE" w:rsidRPr="00A56797" w14:paraId="3DC505A5" w14:textId="77777777" w:rsidTr="006235CE">
        <w:trPr>
          <w:jc w:val="center"/>
        </w:trPr>
        <w:tc>
          <w:tcPr>
            <w:tcW w:w="1676" w:type="dxa"/>
          </w:tcPr>
          <w:p w14:paraId="0CFE2F07" w14:textId="77777777" w:rsidR="003561CE" w:rsidRPr="00A56797" w:rsidRDefault="00000000">
            <w:pPr>
              <w:spacing w:after="40"/>
              <w:rPr>
                <w:szCs w:val="36"/>
              </w:rPr>
            </w:pPr>
            <w:r w:rsidRPr="00A56797">
              <w:rPr>
                <w:szCs w:val="36"/>
              </w:rPr>
              <w:t>Own-label range architecture</w:t>
            </w:r>
          </w:p>
        </w:tc>
        <w:tc>
          <w:tcPr>
            <w:tcW w:w="1498" w:type="dxa"/>
          </w:tcPr>
          <w:p w14:paraId="0E5ECB01" w14:textId="77777777" w:rsidR="003561CE" w:rsidRPr="00A56797" w:rsidRDefault="00000000">
            <w:pPr>
              <w:spacing w:after="40"/>
              <w:rPr>
                <w:szCs w:val="36"/>
              </w:rPr>
            </w:pPr>
            <w:r w:rsidRPr="00A56797">
              <w:rPr>
                <w:szCs w:val="36"/>
              </w:rPr>
              <w:t xml:space="preserve">Yes. It allows value, mainstream and Finest tiers to address </w:t>
            </w:r>
            <w:r w:rsidRPr="00A56797">
              <w:rPr>
                <w:szCs w:val="36"/>
              </w:rPr>
              <w:lastRenderedPageBreak/>
              <w:t>different budgets.</w:t>
            </w:r>
          </w:p>
        </w:tc>
        <w:tc>
          <w:tcPr>
            <w:tcW w:w="1377" w:type="dxa"/>
          </w:tcPr>
          <w:p w14:paraId="659EA653" w14:textId="77777777" w:rsidR="003561CE" w:rsidRPr="00A56797" w:rsidRDefault="00000000">
            <w:pPr>
              <w:spacing w:after="40"/>
              <w:rPr>
                <w:szCs w:val="36"/>
              </w:rPr>
            </w:pPr>
            <w:r w:rsidRPr="00A56797">
              <w:rPr>
                <w:szCs w:val="36"/>
              </w:rPr>
              <w:lastRenderedPageBreak/>
              <w:t>Moderately. Rivals have own label, but Tesco combines range breadth with scale.</w:t>
            </w:r>
          </w:p>
        </w:tc>
        <w:tc>
          <w:tcPr>
            <w:tcW w:w="1436" w:type="dxa"/>
          </w:tcPr>
          <w:p w14:paraId="125FAA80" w14:textId="77777777" w:rsidR="003561CE" w:rsidRPr="00A56797" w:rsidRDefault="00000000">
            <w:pPr>
              <w:spacing w:after="40"/>
              <w:rPr>
                <w:szCs w:val="36"/>
              </w:rPr>
            </w:pPr>
            <w:r w:rsidRPr="00A56797">
              <w:rPr>
                <w:szCs w:val="36"/>
              </w:rPr>
              <w:t>Moderate. Products can be copied, but supplier networks and range management are harder.</w:t>
            </w:r>
          </w:p>
        </w:tc>
        <w:tc>
          <w:tcPr>
            <w:tcW w:w="1454" w:type="dxa"/>
          </w:tcPr>
          <w:p w14:paraId="7B1CBD00" w14:textId="77777777" w:rsidR="003561CE" w:rsidRPr="00A56797" w:rsidRDefault="00000000">
            <w:pPr>
              <w:spacing w:after="40"/>
              <w:rPr>
                <w:szCs w:val="36"/>
              </w:rPr>
            </w:pPr>
            <w:r w:rsidRPr="00A56797">
              <w:rPr>
                <w:szCs w:val="36"/>
              </w:rPr>
              <w:t>Yes. Integrated with pricing, merchandising and Clubcard.</w:t>
            </w:r>
          </w:p>
        </w:tc>
        <w:tc>
          <w:tcPr>
            <w:tcW w:w="1909" w:type="dxa"/>
          </w:tcPr>
          <w:p w14:paraId="188B944D" w14:textId="77777777" w:rsidR="003561CE" w:rsidRPr="00A56797" w:rsidRDefault="00000000">
            <w:pPr>
              <w:spacing w:after="40"/>
              <w:rPr>
                <w:szCs w:val="36"/>
              </w:rPr>
            </w:pPr>
            <w:r w:rsidRPr="00A56797">
              <w:rPr>
                <w:szCs w:val="36"/>
              </w:rPr>
              <w:t xml:space="preserve">Strong competitive parity to advantage, especially against discounters and </w:t>
            </w:r>
            <w:r w:rsidRPr="00A56797">
              <w:rPr>
                <w:szCs w:val="36"/>
              </w:rPr>
              <w:lastRenderedPageBreak/>
              <w:t>premium rivals.</w:t>
            </w:r>
          </w:p>
        </w:tc>
      </w:tr>
      <w:tr w:rsidR="003561CE" w:rsidRPr="00A56797" w14:paraId="467F5C46" w14:textId="77777777" w:rsidTr="006235CE">
        <w:trPr>
          <w:jc w:val="center"/>
        </w:trPr>
        <w:tc>
          <w:tcPr>
            <w:tcW w:w="1676" w:type="dxa"/>
          </w:tcPr>
          <w:p w14:paraId="4A766335" w14:textId="77777777" w:rsidR="003561CE" w:rsidRPr="00A56797" w:rsidRDefault="00000000">
            <w:pPr>
              <w:spacing w:after="40"/>
              <w:rPr>
                <w:szCs w:val="36"/>
              </w:rPr>
            </w:pPr>
            <w:r w:rsidRPr="00A56797">
              <w:rPr>
                <w:szCs w:val="36"/>
              </w:rPr>
              <w:lastRenderedPageBreak/>
              <w:t>Online grocery and fulfilment capability</w:t>
            </w:r>
          </w:p>
        </w:tc>
        <w:tc>
          <w:tcPr>
            <w:tcW w:w="1498" w:type="dxa"/>
          </w:tcPr>
          <w:p w14:paraId="3AC8C10B" w14:textId="77777777" w:rsidR="003561CE" w:rsidRPr="00A56797" w:rsidRDefault="00000000">
            <w:pPr>
              <w:spacing w:after="40"/>
              <w:rPr>
                <w:szCs w:val="36"/>
              </w:rPr>
            </w:pPr>
            <w:r w:rsidRPr="00A56797">
              <w:rPr>
                <w:szCs w:val="36"/>
              </w:rPr>
              <w:t>Yes. Online represented a significant market channel and Tesco has store-based reach.</w:t>
            </w:r>
          </w:p>
        </w:tc>
        <w:tc>
          <w:tcPr>
            <w:tcW w:w="1377" w:type="dxa"/>
          </w:tcPr>
          <w:p w14:paraId="42A2A634" w14:textId="77777777" w:rsidR="003561CE" w:rsidRPr="00A56797" w:rsidRDefault="00000000">
            <w:pPr>
              <w:spacing w:after="40"/>
              <w:rPr>
                <w:szCs w:val="36"/>
              </w:rPr>
            </w:pPr>
            <w:r w:rsidRPr="00A56797">
              <w:rPr>
                <w:szCs w:val="36"/>
              </w:rPr>
              <w:t>No. Ocado, Sainsbury's and others compete strongly.</w:t>
            </w:r>
          </w:p>
        </w:tc>
        <w:tc>
          <w:tcPr>
            <w:tcW w:w="1436" w:type="dxa"/>
          </w:tcPr>
          <w:p w14:paraId="74CEDF3F" w14:textId="77777777" w:rsidR="003561CE" w:rsidRPr="00A56797" w:rsidRDefault="00000000">
            <w:pPr>
              <w:spacing w:after="40"/>
              <w:rPr>
                <w:szCs w:val="36"/>
              </w:rPr>
            </w:pPr>
            <w:r w:rsidRPr="00A56797">
              <w:rPr>
                <w:szCs w:val="36"/>
              </w:rPr>
              <w:t>Moderate. Fulfilment routines and density matter.</w:t>
            </w:r>
          </w:p>
        </w:tc>
        <w:tc>
          <w:tcPr>
            <w:tcW w:w="1454" w:type="dxa"/>
          </w:tcPr>
          <w:p w14:paraId="3F57633B" w14:textId="77777777" w:rsidR="003561CE" w:rsidRPr="00A56797" w:rsidRDefault="00000000">
            <w:pPr>
              <w:spacing w:after="40"/>
              <w:rPr>
                <w:szCs w:val="36"/>
              </w:rPr>
            </w:pPr>
            <w:r w:rsidRPr="00A56797">
              <w:rPr>
                <w:szCs w:val="36"/>
              </w:rPr>
              <w:t>Partly. Profitability remains challenging across the industry.</w:t>
            </w:r>
          </w:p>
        </w:tc>
        <w:tc>
          <w:tcPr>
            <w:tcW w:w="1909" w:type="dxa"/>
          </w:tcPr>
          <w:p w14:paraId="1686A547" w14:textId="77777777" w:rsidR="003561CE" w:rsidRPr="00A56797" w:rsidRDefault="00000000">
            <w:pPr>
              <w:spacing w:after="40"/>
              <w:rPr>
                <w:szCs w:val="36"/>
              </w:rPr>
            </w:pPr>
            <w:r w:rsidRPr="00A56797">
              <w:rPr>
                <w:szCs w:val="36"/>
              </w:rPr>
              <w:t>Necessary capability, but must become more profitable to be advantaged.</w:t>
            </w:r>
          </w:p>
        </w:tc>
      </w:tr>
      <w:tr w:rsidR="003561CE" w:rsidRPr="00A56797" w14:paraId="65D9D07A" w14:textId="77777777" w:rsidTr="006235CE">
        <w:trPr>
          <w:jc w:val="center"/>
        </w:trPr>
        <w:tc>
          <w:tcPr>
            <w:tcW w:w="1676" w:type="dxa"/>
          </w:tcPr>
          <w:p w14:paraId="1F03CE36" w14:textId="77777777" w:rsidR="003561CE" w:rsidRPr="00A56797" w:rsidRDefault="00000000">
            <w:pPr>
              <w:spacing w:after="40"/>
              <w:rPr>
                <w:szCs w:val="36"/>
              </w:rPr>
            </w:pPr>
            <w:r w:rsidRPr="00A56797">
              <w:rPr>
                <w:szCs w:val="36"/>
              </w:rPr>
              <w:t>CSR and supply-chain sustainability</w:t>
            </w:r>
          </w:p>
        </w:tc>
        <w:tc>
          <w:tcPr>
            <w:tcW w:w="1498" w:type="dxa"/>
          </w:tcPr>
          <w:p w14:paraId="700AACDB" w14:textId="77777777" w:rsidR="003561CE" w:rsidRPr="00A56797" w:rsidRDefault="00000000">
            <w:pPr>
              <w:spacing w:after="40"/>
              <w:rPr>
                <w:szCs w:val="36"/>
              </w:rPr>
            </w:pPr>
            <w:r w:rsidRPr="00A56797">
              <w:rPr>
                <w:szCs w:val="36"/>
              </w:rPr>
              <w:t>Yes. It supports legitimacy, waste reduction and supplier resilience.</w:t>
            </w:r>
          </w:p>
        </w:tc>
        <w:tc>
          <w:tcPr>
            <w:tcW w:w="1377" w:type="dxa"/>
          </w:tcPr>
          <w:p w14:paraId="64963316" w14:textId="77777777" w:rsidR="003561CE" w:rsidRPr="00A56797" w:rsidRDefault="00000000">
            <w:pPr>
              <w:spacing w:after="40"/>
              <w:rPr>
                <w:szCs w:val="36"/>
              </w:rPr>
            </w:pPr>
            <w:r w:rsidRPr="00A56797">
              <w:rPr>
                <w:szCs w:val="36"/>
              </w:rPr>
              <w:t>No to moderate. Competitors also report sustainability commitments.</w:t>
            </w:r>
          </w:p>
        </w:tc>
        <w:tc>
          <w:tcPr>
            <w:tcW w:w="1436" w:type="dxa"/>
          </w:tcPr>
          <w:p w14:paraId="7132B1A0" w14:textId="77777777" w:rsidR="003561CE" w:rsidRPr="00A56797" w:rsidRDefault="00000000">
            <w:pPr>
              <w:spacing w:after="40"/>
              <w:rPr>
                <w:szCs w:val="36"/>
              </w:rPr>
            </w:pPr>
            <w:r w:rsidRPr="00A56797">
              <w:rPr>
                <w:szCs w:val="36"/>
              </w:rPr>
              <w:t>Moderate. Deep supplier collaboration is harder to copy than targets.</w:t>
            </w:r>
          </w:p>
        </w:tc>
        <w:tc>
          <w:tcPr>
            <w:tcW w:w="1454" w:type="dxa"/>
          </w:tcPr>
          <w:p w14:paraId="40D530C6" w14:textId="77777777" w:rsidR="003561CE" w:rsidRPr="00A56797" w:rsidRDefault="00000000">
            <w:pPr>
              <w:spacing w:after="40"/>
              <w:rPr>
                <w:szCs w:val="36"/>
              </w:rPr>
            </w:pPr>
            <w:r w:rsidRPr="00A56797">
              <w:rPr>
                <w:szCs w:val="36"/>
              </w:rPr>
              <w:t>Partly. Some targets remain hard to achieve.</w:t>
            </w:r>
          </w:p>
        </w:tc>
        <w:tc>
          <w:tcPr>
            <w:tcW w:w="1909" w:type="dxa"/>
          </w:tcPr>
          <w:p w14:paraId="4DBCFA44" w14:textId="77777777" w:rsidR="003561CE" w:rsidRPr="00A56797" w:rsidRDefault="00000000">
            <w:pPr>
              <w:spacing w:after="40"/>
              <w:rPr>
                <w:szCs w:val="36"/>
              </w:rPr>
            </w:pPr>
            <w:r w:rsidRPr="00A56797">
              <w:rPr>
                <w:szCs w:val="36"/>
              </w:rPr>
              <w:t>Emerging advantage if tied to operational productivity and customer trust.</w:t>
            </w:r>
          </w:p>
        </w:tc>
      </w:tr>
      <w:tr w:rsidR="003561CE" w:rsidRPr="00A56797" w14:paraId="43826930" w14:textId="77777777" w:rsidTr="006235CE">
        <w:trPr>
          <w:jc w:val="center"/>
        </w:trPr>
        <w:tc>
          <w:tcPr>
            <w:tcW w:w="1676" w:type="dxa"/>
          </w:tcPr>
          <w:p w14:paraId="701FC6FD" w14:textId="77777777" w:rsidR="003561CE" w:rsidRPr="00A56797" w:rsidRDefault="00000000">
            <w:pPr>
              <w:spacing w:after="40"/>
              <w:rPr>
                <w:szCs w:val="36"/>
              </w:rPr>
            </w:pPr>
            <w:r w:rsidRPr="00A56797">
              <w:rPr>
                <w:szCs w:val="36"/>
              </w:rPr>
              <w:t>Save to Invest productivity system</w:t>
            </w:r>
          </w:p>
        </w:tc>
        <w:tc>
          <w:tcPr>
            <w:tcW w:w="1498" w:type="dxa"/>
          </w:tcPr>
          <w:p w14:paraId="0E21BC9E" w14:textId="77777777" w:rsidR="003561CE" w:rsidRPr="00A56797" w:rsidRDefault="00000000">
            <w:pPr>
              <w:spacing w:after="40"/>
              <w:rPr>
                <w:szCs w:val="36"/>
              </w:rPr>
            </w:pPr>
            <w:r w:rsidRPr="00A56797">
              <w:rPr>
                <w:szCs w:val="36"/>
              </w:rPr>
              <w:t>Yes. It funds customer investment and cost absorption.</w:t>
            </w:r>
          </w:p>
        </w:tc>
        <w:tc>
          <w:tcPr>
            <w:tcW w:w="1377" w:type="dxa"/>
          </w:tcPr>
          <w:p w14:paraId="3F4DB1AC" w14:textId="77777777" w:rsidR="003561CE" w:rsidRPr="00A56797" w:rsidRDefault="00000000">
            <w:pPr>
              <w:spacing w:after="40"/>
              <w:rPr>
                <w:szCs w:val="36"/>
              </w:rPr>
            </w:pPr>
            <w:r w:rsidRPr="00A56797">
              <w:rPr>
                <w:szCs w:val="36"/>
              </w:rPr>
              <w:t>Moderate. Efficiency programmes are common but execution quality varies.</w:t>
            </w:r>
          </w:p>
        </w:tc>
        <w:tc>
          <w:tcPr>
            <w:tcW w:w="1436" w:type="dxa"/>
          </w:tcPr>
          <w:p w14:paraId="22A5D6C6" w14:textId="77777777" w:rsidR="003561CE" w:rsidRPr="00A56797" w:rsidRDefault="00000000">
            <w:pPr>
              <w:spacing w:after="40"/>
              <w:rPr>
                <w:szCs w:val="36"/>
              </w:rPr>
            </w:pPr>
            <w:r w:rsidRPr="00A56797">
              <w:rPr>
                <w:szCs w:val="36"/>
              </w:rPr>
              <w:t>Moderate. Organisational routines are hard to copy exactly.</w:t>
            </w:r>
          </w:p>
        </w:tc>
        <w:tc>
          <w:tcPr>
            <w:tcW w:w="1454" w:type="dxa"/>
          </w:tcPr>
          <w:p w14:paraId="4F2D21C0" w14:textId="77777777" w:rsidR="003561CE" w:rsidRPr="00A56797" w:rsidRDefault="00000000">
            <w:pPr>
              <w:spacing w:after="40"/>
              <w:rPr>
                <w:szCs w:val="36"/>
              </w:rPr>
            </w:pPr>
            <w:r w:rsidRPr="00A56797">
              <w:rPr>
                <w:szCs w:val="36"/>
              </w:rPr>
              <w:t>Yes. It is embedded in financial and operating plans.</w:t>
            </w:r>
          </w:p>
        </w:tc>
        <w:tc>
          <w:tcPr>
            <w:tcW w:w="1909" w:type="dxa"/>
          </w:tcPr>
          <w:p w14:paraId="1174A8F5" w14:textId="77777777" w:rsidR="003561CE" w:rsidRPr="00A56797" w:rsidRDefault="00000000">
            <w:pPr>
              <w:spacing w:after="40"/>
              <w:rPr>
                <w:szCs w:val="36"/>
              </w:rPr>
            </w:pPr>
            <w:r w:rsidRPr="00A56797">
              <w:rPr>
                <w:szCs w:val="36"/>
              </w:rPr>
              <w:t>Strategically important, but not sufficient unless reinvested visibly.</w:t>
            </w:r>
          </w:p>
        </w:tc>
      </w:tr>
    </w:tbl>
    <w:p w14:paraId="7D0A3A63" w14:textId="77777777" w:rsidR="003561CE" w:rsidRPr="006235CE" w:rsidRDefault="006235CE" w:rsidP="006235CE">
      <w:pPr>
        <w:spacing w:after="120" w:line="360" w:lineRule="auto"/>
        <w:jc w:val="center"/>
        <w:rPr>
          <w:i/>
          <w:iCs/>
        </w:rPr>
      </w:pPr>
      <w:r w:rsidRPr="006235CE">
        <w:rPr>
          <w:i/>
          <w:iCs/>
        </w:rPr>
        <w:t>Source: Author's analysis based on Barney (1991), Tesco PLC (2025a), Tesco PLC (2025b) and Tesco PLC (2026).</w:t>
      </w:r>
    </w:p>
    <w:p w14:paraId="0C6EF402" w14:textId="77777777" w:rsidR="00A56797" w:rsidRDefault="00A56797">
      <w:pPr>
        <w:spacing w:after="120" w:line="360" w:lineRule="auto"/>
        <w:jc w:val="both"/>
      </w:pPr>
      <w:r w:rsidRPr="00A56797">
        <w:t xml:space="preserve">The VRIO analysis indicates that Tesco has a combinative advantage. One aspect, like a big store estate, is not sufficient since competitors can match price on the chosen lines as well as customers can split baskets between retailers. The more justifiable benefit is the combination of value commitments and Clubcard data, individual label purchase, purchasing volume and easy satisfaction. The dynamic capabilities perspective proposed by Teece, Pisano and </w:t>
      </w:r>
      <w:proofErr w:type="spellStart"/>
      <w:r w:rsidRPr="00A56797">
        <w:t>Shuen</w:t>
      </w:r>
      <w:proofErr w:type="spellEnd"/>
      <w:r w:rsidRPr="00A56797">
        <w:t xml:space="preserve"> (1997) is applicable because Tesco needs to reconfigure </w:t>
      </w:r>
      <w:r w:rsidRPr="00A56797">
        <w:lastRenderedPageBreak/>
        <w:t xml:space="preserve">these assets multiple times as increasing inflation, adoption of digital technology and discounter competition alter customer </w:t>
      </w:r>
      <w:proofErr w:type="spellStart"/>
      <w:r w:rsidRPr="00A56797">
        <w:t>behaviour</w:t>
      </w:r>
      <w:proofErr w:type="spellEnd"/>
      <w:r w:rsidRPr="00A56797">
        <w:t>.</w:t>
      </w:r>
    </w:p>
    <w:p w14:paraId="1793B6F0" w14:textId="77777777" w:rsidR="003561CE" w:rsidRDefault="00000000">
      <w:pPr>
        <w:pStyle w:val="Heading2"/>
        <w:spacing w:before="0" w:after="120" w:line="360" w:lineRule="auto"/>
      </w:pPr>
      <w:bookmarkStart w:id="6" w:name="_Toc234069040"/>
      <w:r>
        <w:rPr>
          <w:rFonts w:ascii="Arial" w:eastAsia="Arial" w:hAnsi="Arial"/>
          <w:sz w:val="24"/>
        </w:rPr>
        <w:t>2.3 SWOT Synthesis</w:t>
      </w:r>
      <w:bookmarkEnd w:id="6"/>
    </w:p>
    <w:p w14:paraId="18DDD03C" w14:textId="77777777" w:rsidR="003561CE" w:rsidRPr="006235CE" w:rsidRDefault="00000000">
      <w:pPr>
        <w:pStyle w:val="Caption"/>
        <w:spacing w:after="80"/>
        <w:rPr>
          <w:i w:val="0"/>
          <w:iCs/>
          <w:color w:val="000000" w:themeColor="text1"/>
          <w:sz w:val="24"/>
          <w:szCs w:val="24"/>
        </w:rPr>
      </w:pPr>
      <w:r w:rsidRPr="006235CE">
        <w:rPr>
          <w:i w:val="0"/>
          <w:iCs/>
          <w:color w:val="000000" w:themeColor="text1"/>
          <w:sz w:val="24"/>
          <w:szCs w:val="24"/>
        </w:rPr>
        <w:t xml:space="preserve">Table 4. SWOT synthesis for Tesco UK grocery retail. </w:t>
      </w:r>
    </w:p>
    <w:tbl>
      <w:tblPr>
        <w:tblStyle w:val="TableGrid"/>
        <w:tblW w:w="0" w:type="auto"/>
        <w:jc w:val="center"/>
        <w:tblLook w:val="04A0" w:firstRow="1" w:lastRow="0" w:firstColumn="1" w:lastColumn="0" w:noHBand="0" w:noVBand="1"/>
      </w:tblPr>
      <w:tblGrid>
        <w:gridCol w:w="2328"/>
        <w:gridCol w:w="2334"/>
        <w:gridCol w:w="2359"/>
        <w:gridCol w:w="2329"/>
      </w:tblGrid>
      <w:tr w:rsidR="003561CE" w:rsidRPr="00A56797" w14:paraId="5FEFF7F0" w14:textId="77777777" w:rsidTr="006235CE">
        <w:trPr>
          <w:tblHeader/>
          <w:jc w:val="center"/>
        </w:trPr>
        <w:tc>
          <w:tcPr>
            <w:tcW w:w="2328" w:type="dxa"/>
            <w:shd w:val="clear" w:color="auto" w:fill="D9EAF7"/>
          </w:tcPr>
          <w:p w14:paraId="108A465F" w14:textId="77777777" w:rsidR="003561CE" w:rsidRPr="00A56797" w:rsidRDefault="00000000">
            <w:pPr>
              <w:spacing w:after="40"/>
              <w:rPr>
                <w:szCs w:val="36"/>
              </w:rPr>
            </w:pPr>
            <w:r w:rsidRPr="00A56797">
              <w:rPr>
                <w:b/>
                <w:szCs w:val="36"/>
              </w:rPr>
              <w:t>Strengths</w:t>
            </w:r>
          </w:p>
        </w:tc>
        <w:tc>
          <w:tcPr>
            <w:tcW w:w="2334" w:type="dxa"/>
            <w:shd w:val="clear" w:color="auto" w:fill="D9EAF7"/>
          </w:tcPr>
          <w:p w14:paraId="23BA634F" w14:textId="77777777" w:rsidR="003561CE" w:rsidRPr="00A56797" w:rsidRDefault="00000000">
            <w:pPr>
              <w:spacing w:after="40"/>
              <w:rPr>
                <w:szCs w:val="36"/>
              </w:rPr>
            </w:pPr>
            <w:r w:rsidRPr="00A56797">
              <w:rPr>
                <w:b/>
                <w:szCs w:val="36"/>
              </w:rPr>
              <w:t>Weaknesses</w:t>
            </w:r>
          </w:p>
        </w:tc>
        <w:tc>
          <w:tcPr>
            <w:tcW w:w="2359" w:type="dxa"/>
            <w:shd w:val="clear" w:color="auto" w:fill="D9EAF7"/>
          </w:tcPr>
          <w:p w14:paraId="40809B66" w14:textId="77777777" w:rsidR="003561CE" w:rsidRPr="00A56797" w:rsidRDefault="00000000">
            <w:pPr>
              <w:spacing w:after="40"/>
              <w:rPr>
                <w:szCs w:val="36"/>
              </w:rPr>
            </w:pPr>
            <w:r w:rsidRPr="00A56797">
              <w:rPr>
                <w:b/>
                <w:szCs w:val="36"/>
              </w:rPr>
              <w:t>Opportunities</w:t>
            </w:r>
          </w:p>
        </w:tc>
        <w:tc>
          <w:tcPr>
            <w:tcW w:w="2329" w:type="dxa"/>
            <w:shd w:val="clear" w:color="auto" w:fill="D9EAF7"/>
          </w:tcPr>
          <w:p w14:paraId="20D67FC2" w14:textId="77777777" w:rsidR="003561CE" w:rsidRPr="00A56797" w:rsidRDefault="00000000">
            <w:pPr>
              <w:spacing w:after="40"/>
              <w:rPr>
                <w:szCs w:val="36"/>
              </w:rPr>
            </w:pPr>
            <w:r w:rsidRPr="00A56797">
              <w:rPr>
                <w:b/>
                <w:szCs w:val="36"/>
              </w:rPr>
              <w:t>Threats</w:t>
            </w:r>
          </w:p>
        </w:tc>
      </w:tr>
      <w:tr w:rsidR="003561CE" w:rsidRPr="00A56797" w14:paraId="37461FB0" w14:textId="77777777" w:rsidTr="006235CE">
        <w:trPr>
          <w:jc w:val="center"/>
        </w:trPr>
        <w:tc>
          <w:tcPr>
            <w:tcW w:w="2328" w:type="dxa"/>
          </w:tcPr>
          <w:p w14:paraId="14079073" w14:textId="77777777" w:rsidR="003561CE" w:rsidRPr="00A56797" w:rsidRDefault="00000000">
            <w:pPr>
              <w:spacing w:after="40"/>
              <w:rPr>
                <w:szCs w:val="36"/>
              </w:rPr>
            </w:pPr>
            <w:r w:rsidRPr="00A56797">
              <w:rPr>
                <w:szCs w:val="36"/>
              </w:rPr>
              <w:t>Market leadership; large-scale procurement; Clubcard data; broad store formats; strong own-label tiers; positive cash generation; CSR progress in emissions and packaging.</w:t>
            </w:r>
          </w:p>
        </w:tc>
        <w:tc>
          <w:tcPr>
            <w:tcW w:w="2334" w:type="dxa"/>
          </w:tcPr>
          <w:p w14:paraId="013D5297" w14:textId="77777777" w:rsidR="003561CE" w:rsidRPr="00A56797" w:rsidRDefault="00000000">
            <w:pPr>
              <w:spacing w:after="40"/>
              <w:rPr>
                <w:szCs w:val="36"/>
              </w:rPr>
            </w:pPr>
            <w:r w:rsidRPr="00A56797">
              <w:rPr>
                <w:szCs w:val="36"/>
              </w:rPr>
              <w:t>Exposure to UK household pressure; margin pressure from price investment; complexity of large store and online operations; risk that loyalty pricing appears opaque; some sustainability targets remain difficult.</w:t>
            </w:r>
          </w:p>
        </w:tc>
        <w:tc>
          <w:tcPr>
            <w:tcW w:w="2359" w:type="dxa"/>
          </w:tcPr>
          <w:p w14:paraId="289610EC" w14:textId="77777777" w:rsidR="003561CE" w:rsidRPr="00A56797" w:rsidRDefault="00000000">
            <w:pPr>
              <w:spacing w:after="40"/>
              <w:rPr>
                <w:szCs w:val="36"/>
              </w:rPr>
            </w:pPr>
            <w:r w:rsidRPr="00A56797">
              <w:rPr>
                <w:szCs w:val="36"/>
              </w:rPr>
              <w:t>Personalised value; profitable online and click-and-collect growth; retail media; healthier own-label range; supplier productivity; waste reduction; convenience missions and rapid delivery.</w:t>
            </w:r>
          </w:p>
        </w:tc>
        <w:tc>
          <w:tcPr>
            <w:tcW w:w="2329" w:type="dxa"/>
          </w:tcPr>
          <w:p w14:paraId="2013EBB4" w14:textId="77777777" w:rsidR="003561CE" w:rsidRPr="00A56797" w:rsidRDefault="00000000">
            <w:pPr>
              <w:spacing w:after="40"/>
              <w:rPr>
                <w:szCs w:val="36"/>
              </w:rPr>
            </w:pPr>
            <w:r w:rsidRPr="00A56797">
              <w:rPr>
                <w:szCs w:val="36"/>
              </w:rPr>
              <w:t>Discounters reset price expectations; Sainsbury's strengthens Aldi price matching; Asda price-led recovery attempts; labour and packaging cost inflation; food supply shocks; data and competition scrutiny.</w:t>
            </w:r>
          </w:p>
        </w:tc>
      </w:tr>
    </w:tbl>
    <w:p w14:paraId="183A631E" w14:textId="77777777" w:rsidR="006235CE" w:rsidRPr="00B235EA" w:rsidRDefault="006235CE" w:rsidP="006235CE">
      <w:pPr>
        <w:pStyle w:val="Caption"/>
        <w:spacing w:after="80"/>
        <w:jc w:val="center"/>
        <w:rPr>
          <w:b w:val="0"/>
          <w:bCs w:val="0"/>
          <w:color w:val="000000" w:themeColor="text1"/>
          <w:sz w:val="32"/>
          <w:szCs w:val="32"/>
        </w:rPr>
      </w:pPr>
      <w:r w:rsidRPr="00B235EA">
        <w:rPr>
          <w:b w:val="0"/>
          <w:bCs w:val="0"/>
          <w:i w:val="0"/>
          <w:color w:val="000000" w:themeColor="text1"/>
          <w:sz w:val="22"/>
          <w:szCs w:val="22"/>
        </w:rPr>
        <w:t>Source: Author's synthesis based on PESTEL, VRIO, Kantar (2025), Savills (2025), Reuters (2026), Tesco PLC (2025a) and Tesco PLC (2025b).</w:t>
      </w:r>
    </w:p>
    <w:p w14:paraId="12F92C4D" w14:textId="77777777" w:rsidR="003561CE" w:rsidRDefault="003561CE">
      <w:pPr>
        <w:spacing w:after="120" w:line="360" w:lineRule="auto"/>
      </w:pPr>
    </w:p>
    <w:p w14:paraId="7C253480" w14:textId="77777777" w:rsidR="00C64B3A" w:rsidRDefault="00C64B3A">
      <w:pPr>
        <w:spacing w:after="120" w:line="360" w:lineRule="auto"/>
        <w:jc w:val="both"/>
      </w:pPr>
      <w:r w:rsidRPr="00C64B3A">
        <w:t>The SWOT synthesis shows that the current strategy that Tesco is using is generally applicable but not complete. It offers a differentiated value proposal with its market leadership and data capability and strategic flexibility with its cash generation. However, the threats are not peripheral. Discounters are organized in a manner to engage price competition, whereas regulatory costs and food inflation impose limits to the extent to which Tesco may match price competition without harming profit quality. The most justifiable midway is the differentiation of values based on data.</w:t>
      </w:r>
    </w:p>
    <w:p w14:paraId="3A5C0AFC" w14:textId="77777777" w:rsidR="003561CE" w:rsidRPr="00B235EA" w:rsidRDefault="00000000">
      <w:pPr>
        <w:pStyle w:val="Heading1"/>
        <w:spacing w:before="0" w:after="120" w:line="360" w:lineRule="auto"/>
        <w:rPr>
          <w:sz w:val="36"/>
          <w:szCs w:val="32"/>
        </w:rPr>
      </w:pPr>
      <w:bookmarkStart w:id="7" w:name="_Toc234069041"/>
      <w:r w:rsidRPr="00B235EA">
        <w:rPr>
          <w:rFonts w:ascii="Arial" w:eastAsia="Arial" w:hAnsi="Arial"/>
          <w:sz w:val="28"/>
          <w:szCs w:val="32"/>
        </w:rPr>
        <w:t>3. Comprehensive and Holistic View of the Organisation</w:t>
      </w:r>
      <w:bookmarkEnd w:id="7"/>
    </w:p>
    <w:p w14:paraId="781E4261" w14:textId="77777777" w:rsidR="003561CE" w:rsidRDefault="00000000">
      <w:pPr>
        <w:pStyle w:val="Heading2"/>
        <w:spacing w:before="0" w:after="120" w:line="360" w:lineRule="auto"/>
      </w:pPr>
      <w:bookmarkStart w:id="8" w:name="_Toc234069042"/>
      <w:r>
        <w:rPr>
          <w:rFonts w:ascii="Arial" w:eastAsia="Arial" w:hAnsi="Arial"/>
          <w:sz w:val="24"/>
        </w:rPr>
        <w:t>3.1 CSR Strategy and Alignment with Business Objectives</w:t>
      </w:r>
      <w:bookmarkEnd w:id="8"/>
    </w:p>
    <w:p w14:paraId="3BE58577" w14:textId="77777777" w:rsidR="00C64B3A" w:rsidRDefault="00C64B3A">
      <w:pPr>
        <w:spacing w:after="120" w:line="360" w:lineRule="auto"/>
        <w:jc w:val="both"/>
      </w:pPr>
      <w:r w:rsidRPr="00C64B3A">
        <w:t xml:space="preserve">CSR within UK grocery retail cannot be looked at as an independent philanthropic affair. This model of CSR described by Carroll (1991) demonstrates that responsible business incorporates economic, legal, ethical and discretionary responsibilities and stakeholder theory states that firms rely on relationships with customers, employees, suppliers, </w:t>
      </w:r>
      <w:r w:rsidRPr="00C64B3A">
        <w:lastRenderedPageBreak/>
        <w:t>communities and regulators. When social and environmental activities are combined with business value-generation, strategic CSR is best (Carroll, 1991; Freeman, 1984; Porter and Kramer, 2006). By minimizing waste, enhancing supply-chain resilience, preserving trust, backing healthier choices and deepening colleague engagement, CSR at Tesco merges with business goals. It is also weak in the case where it emerges as target reporting with lack of adequate delivery of operation.</w:t>
      </w:r>
    </w:p>
    <w:p w14:paraId="6F3DF461" w14:textId="77777777" w:rsidR="00C64B3A" w:rsidRDefault="00C64B3A">
      <w:pPr>
        <w:spacing w:after="120" w:line="360" w:lineRule="auto"/>
        <w:jc w:val="both"/>
      </w:pPr>
      <w:r w:rsidRPr="00C64B3A">
        <w:t xml:space="preserve">The 2024/25 sustainability evidence of Tesco is huge. The business claimed that it has cut its operational emissions by 65% compared to its ground point but 70% of UK and ROI grocery suppliers by value have pledged net zero, 87% of own brand packaging is recyclable at the kerbside and 99% of its packaging is recyclable when added to UK collection points (Tesco PLC, 2025b). It also said that 82% of unsold UK food fit to be consumed by humans had been redistributed to humans or animals, although it admitted that by December 2025, it was highly unlikely to achieve its goal of halving food waste in its operations (Tesco PLC, 2025b). This admission is strategically important. It reflects the maturity in the disclosure and also indicates that Tesco sustainability performance relies on the systems that cannot be controlled through direct management like the national recycling infrastructure, the </w:t>
      </w:r>
      <w:proofErr w:type="spellStart"/>
      <w:r w:rsidRPr="00C64B3A">
        <w:t>behaviour</w:t>
      </w:r>
      <w:proofErr w:type="spellEnd"/>
      <w:r w:rsidRPr="00C64B3A">
        <w:t xml:space="preserve"> of suppliers, and the processing capacity of food waste.</w:t>
      </w:r>
    </w:p>
    <w:p w14:paraId="36D51863" w14:textId="77777777" w:rsidR="00C64B3A" w:rsidRDefault="00C64B3A">
      <w:pPr>
        <w:spacing w:after="120" w:line="360" w:lineRule="auto"/>
        <w:jc w:val="both"/>
      </w:pPr>
      <w:r w:rsidRPr="00C64B3A">
        <w:t>The point of contention is whether CSR enhances competitive advantage. This is conditional in the case of Tesco. Cost and regulatory risk can be minimized with emissions removal, packaging redesign and food-waste prevention, whereas differentiation can be supported by healthier and more sustainable own-label product. Nonetheless, CSR may interfere with affordability when sustainable sourcing reduces the cost of inputs when customers are price sensitive. Sustainability should thus be placed as operational efficiency and customer help by Tesco; less waste, more accurate packaging, robust suppliers and cheaper healthier food. Such a policy is more defensible in terms of being strategic than making sustainability a premium add-on.</w:t>
      </w:r>
    </w:p>
    <w:p w14:paraId="28155E37" w14:textId="77777777" w:rsidR="003561CE" w:rsidRDefault="00000000">
      <w:pPr>
        <w:pStyle w:val="Heading2"/>
        <w:spacing w:before="0" w:after="120" w:line="360" w:lineRule="auto"/>
      </w:pPr>
      <w:bookmarkStart w:id="9" w:name="_Toc234069043"/>
      <w:r>
        <w:rPr>
          <w:rFonts w:ascii="Arial" w:eastAsia="Arial" w:hAnsi="Arial"/>
          <w:sz w:val="24"/>
        </w:rPr>
        <w:t>3.2 Balanced Scorecard</w:t>
      </w:r>
      <w:bookmarkEnd w:id="9"/>
    </w:p>
    <w:p w14:paraId="56CC2C0F" w14:textId="77777777" w:rsidR="00C64B3A" w:rsidRDefault="00C64B3A">
      <w:pPr>
        <w:spacing w:after="120" w:line="360" w:lineRule="auto"/>
        <w:jc w:val="both"/>
      </w:pPr>
      <w:r w:rsidRPr="00C64B3A">
        <w:t xml:space="preserve">Kaplan and Norton (1992) argue that strategy should be translated into a balanced set of financial and non-financial measures. In the case of Tesco, the balanced scorecard </w:t>
      </w:r>
      <w:r w:rsidRPr="00C64B3A">
        <w:lastRenderedPageBreak/>
        <w:t>comes in handy since the strategy suggested involves trade-offs. The Board needs to follow not the sales and profit only, but the perception of the customers, online interactions, supply-chain efficiency, the ability and sustainability of colleagues. The scorecard below converts the proposed data-driven value differentiation strategy into measurable objectives.</w:t>
      </w:r>
    </w:p>
    <w:p w14:paraId="71C3319C" w14:textId="77777777" w:rsidR="003561CE" w:rsidRDefault="00C64B3A">
      <w:pPr>
        <w:spacing w:after="120" w:line="360" w:lineRule="auto"/>
        <w:jc w:val="center"/>
      </w:pPr>
      <w:r>
        <w:rPr>
          <w:noProof/>
        </w:rPr>
        <w:drawing>
          <wp:inline distT="0" distB="0" distL="0" distR="0" wp14:anchorId="0FD1B6AE" wp14:editId="40850B4B">
            <wp:extent cx="5779946" cy="3472254"/>
            <wp:effectExtent l="0" t="0" r="0" b="0"/>
            <wp:docPr id="628083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2102" cy="3479557"/>
                    </a:xfrm>
                    <a:prstGeom prst="rect">
                      <a:avLst/>
                    </a:prstGeom>
                    <a:noFill/>
                  </pic:spPr>
                </pic:pic>
              </a:graphicData>
            </a:graphic>
          </wp:inline>
        </w:drawing>
      </w:r>
    </w:p>
    <w:p w14:paraId="685318AB" w14:textId="77777777" w:rsidR="003561CE" w:rsidRPr="00447130" w:rsidRDefault="00000000" w:rsidP="00447130">
      <w:pPr>
        <w:pStyle w:val="Caption"/>
        <w:spacing w:after="80"/>
        <w:jc w:val="center"/>
        <w:rPr>
          <w:b w:val="0"/>
          <w:bCs w:val="0"/>
          <w:color w:val="000000" w:themeColor="text1"/>
          <w:sz w:val="24"/>
          <w:szCs w:val="24"/>
        </w:rPr>
      </w:pPr>
      <w:r w:rsidRPr="00447130">
        <w:rPr>
          <w:b w:val="0"/>
          <w:bCs w:val="0"/>
          <w:color w:val="000000" w:themeColor="text1"/>
          <w:sz w:val="24"/>
          <w:szCs w:val="24"/>
        </w:rPr>
        <w:t>Figure 3. Indexed Tesco financial performance, FY2024/25 to FY2025/26. Source: Author's chart based on Tesco PLC (2025a) and Tesco PLC (2026).</w:t>
      </w:r>
    </w:p>
    <w:p w14:paraId="56E640A5" w14:textId="77777777" w:rsidR="00C64B3A" w:rsidRDefault="00C64B3A">
      <w:pPr>
        <w:spacing w:after="120" w:line="360" w:lineRule="auto"/>
        <w:jc w:val="both"/>
      </w:pPr>
      <w:r w:rsidRPr="00C64B3A">
        <w:t>The strategic diagnosis is supported in figure 3. Between FY2024/25 and FY2025/26, the sales and free cash flow have increased but the adjusted operating profit has only increased marginally on the 52-week comparable basis (Tesco PLC, 2026). It is not a failure, as the company invested in value, quality and service with a well-planned strategy and went through the cost inflation. However, it points to the indication that Tesco should not count on revenue growth to serve as its next stage.</w:t>
      </w:r>
    </w:p>
    <w:p w14:paraId="5A4AE2B1" w14:textId="77777777" w:rsidR="003561CE" w:rsidRPr="00447130" w:rsidRDefault="00000000" w:rsidP="00447130">
      <w:pPr>
        <w:pStyle w:val="Caption"/>
        <w:spacing w:after="80"/>
        <w:rPr>
          <w:i w:val="0"/>
          <w:iCs/>
          <w:color w:val="000000" w:themeColor="text1"/>
          <w:sz w:val="24"/>
          <w:szCs w:val="24"/>
        </w:rPr>
      </w:pPr>
      <w:r w:rsidRPr="00447130">
        <w:rPr>
          <w:i w:val="0"/>
          <w:iCs/>
          <w:color w:val="000000" w:themeColor="text1"/>
          <w:sz w:val="24"/>
          <w:szCs w:val="24"/>
        </w:rPr>
        <w:t>Table 5. Balanced scorecard for data-driven value differentiation.</w:t>
      </w:r>
    </w:p>
    <w:tbl>
      <w:tblPr>
        <w:tblStyle w:val="TableGrid"/>
        <w:tblW w:w="0" w:type="auto"/>
        <w:jc w:val="center"/>
        <w:tblLook w:val="04A0" w:firstRow="1" w:lastRow="0" w:firstColumn="1" w:lastColumn="0" w:noHBand="0" w:noVBand="1"/>
      </w:tblPr>
      <w:tblGrid>
        <w:gridCol w:w="1564"/>
        <w:gridCol w:w="1925"/>
        <w:gridCol w:w="2020"/>
        <w:gridCol w:w="1748"/>
        <w:gridCol w:w="2093"/>
      </w:tblGrid>
      <w:tr w:rsidR="003561CE" w:rsidRPr="00C64B3A" w14:paraId="5D3D9583" w14:textId="77777777" w:rsidTr="00447130">
        <w:trPr>
          <w:tblHeader/>
          <w:jc w:val="center"/>
        </w:trPr>
        <w:tc>
          <w:tcPr>
            <w:tcW w:w="1390" w:type="dxa"/>
            <w:shd w:val="clear" w:color="auto" w:fill="D9EAF7"/>
          </w:tcPr>
          <w:p w14:paraId="05E77799" w14:textId="77777777" w:rsidR="003561CE" w:rsidRPr="00C64B3A" w:rsidRDefault="00000000">
            <w:pPr>
              <w:spacing w:after="40"/>
              <w:rPr>
                <w:szCs w:val="36"/>
              </w:rPr>
            </w:pPr>
            <w:r w:rsidRPr="00C64B3A">
              <w:rPr>
                <w:b/>
                <w:szCs w:val="36"/>
              </w:rPr>
              <w:t>Perspective</w:t>
            </w:r>
          </w:p>
        </w:tc>
        <w:tc>
          <w:tcPr>
            <w:tcW w:w="1966" w:type="dxa"/>
            <w:shd w:val="clear" w:color="auto" w:fill="D9EAF7"/>
          </w:tcPr>
          <w:p w14:paraId="1BE3CD26" w14:textId="77777777" w:rsidR="003561CE" w:rsidRPr="00C64B3A" w:rsidRDefault="00000000">
            <w:pPr>
              <w:spacing w:after="40"/>
              <w:rPr>
                <w:szCs w:val="36"/>
              </w:rPr>
            </w:pPr>
            <w:r w:rsidRPr="00C64B3A">
              <w:rPr>
                <w:b/>
                <w:szCs w:val="36"/>
              </w:rPr>
              <w:t>Strategic objective</w:t>
            </w:r>
          </w:p>
        </w:tc>
        <w:tc>
          <w:tcPr>
            <w:tcW w:w="2069" w:type="dxa"/>
            <w:shd w:val="clear" w:color="auto" w:fill="D9EAF7"/>
          </w:tcPr>
          <w:p w14:paraId="0D41F6DC" w14:textId="77777777" w:rsidR="003561CE" w:rsidRPr="00C64B3A" w:rsidRDefault="00000000">
            <w:pPr>
              <w:spacing w:after="40"/>
              <w:rPr>
                <w:szCs w:val="36"/>
              </w:rPr>
            </w:pPr>
            <w:r w:rsidRPr="00C64B3A">
              <w:rPr>
                <w:b/>
                <w:szCs w:val="36"/>
              </w:rPr>
              <w:t>Key performance indicators</w:t>
            </w:r>
          </w:p>
        </w:tc>
        <w:tc>
          <w:tcPr>
            <w:tcW w:w="1770" w:type="dxa"/>
            <w:shd w:val="clear" w:color="auto" w:fill="D9EAF7"/>
          </w:tcPr>
          <w:p w14:paraId="36A81769" w14:textId="77777777" w:rsidR="003561CE" w:rsidRPr="00C64B3A" w:rsidRDefault="00000000">
            <w:pPr>
              <w:spacing w:after="40"/>
              <w:rPr>
                <w:szCs w:val="36"/>
              </w:rPr>
            </w:pPr>
            <w:r w:rsidRPr="00C64B3A">
              <w:rPr>
                <w:b/>
                <w:szCs w:val="36"/>
              </w:rPr>
              <w:t>Indicative targets</w:t>
            </w:r>
          </w:p>
        </w:tc>
        <w:tc>
          <w:tcPr>
            <w:tcW w:w="2155" w:type="dxa"/>
            <w:shd w:val="clear" w:color="auto" w:fill="D9EAF7"/>
          </w:tcPr>
          <w:p w14:paraId="6996E78A" w14:textId="77777777" w:rsidR="003561CE" w:rsidRPr="00C64B3A" w:rsidRDefault="00000000">
            <w:pPr>
              <w:spacing w:after="40"/>
              <w:rPr>
                <w:szCs w:val="36"/>
              </w:rPr>
            </w:pPr>
            <w:r w:rsidRPr="00C64B3A">
              <w:rPr>
                <w:b/>
                <w:szCs w:val="36"/>
              </w:rPr>
              <w:t>Strategic initiatives</w:t>
            </w:r>
          </w:p>
        </w:tc>
      </w:tr>
      <w:tr w:rsidR="003561CE" w:rsidRPr="00C64B3A" w14:paraId="7FF899C3" w14:textId="77777777" w:rsidTr="00447130">
        <w:trPr>
          <w:jc w:val="center"/>
        </w:trPr>
        <w:tc>
          <w:tcPr>
            <w:tcW w:w="1390" w:type="dxa"/>
          </w:tcPr>
          <w:p w14:paraId="1E9DB083" w14:textId="77777777" w:rsidR="003561CE" w:rsidRPr="00C64B3A" w:rsidRDefault="00000000">
            <w:pPr>
              <w:spacing w:after="40"/>
              <w:rPr>
                <w:szCs w:val="36"/>
              </w:rPr>
            </w:pPr>
            <w:r w:rsidRPr="00C64B3A">
              <w:rPr>
                <w:szCs w:val="36"/>
              </w:rPr>
              <w:t>Financial</w:t>
            </w:r>
          </w:p>
        </w:tc>
        <w:tc>
          <w:tcPr>
            <w:tcW w:w="1966" w:type="dxa"/>
          </w:tcPr>
          <w:p w14:paraId="228956FA" w14:textId="77777777" w:rsidR="003561CE" w:rsidRPr="00C64B3A" w:rsidRDefault="00000000">
            <w:pPr>
              <w:spacing w:after="40"/>
              <w:rPr>
                <w:szCs w:val="36"/>
              </w:rPr>
            </w:pPr>
            <w:r w:rsidRPr="00C64B3A">
              <w:rPr>
                <w:szCs w:val="36"/>
              </w:rPr>
              <w:t xml:space="preserve">Grow sales while protecting </w:t>
            </w:r>
            <w:r w:rsidRPr="00C64B3A">
              <w:rPr>
                <w:szCs w:val="36"/>
              </w:rPr>
              <w:lastRenderedPageBreak/>
              <w:t>sector-leading margins and cash generation.</w:t>
            </w:r>
          </w:p>
        </w:tc>
        <w:tc>
          <w:tcPr>
            <w:tcW w:w="2069" w:type="dxa"/>
          </w:tcPr>
          <w:p w14:paraId="09DA6FF1" w14:textId="77777777" w:rsidR="003561CE" w:rsidRPr="00C64B3A" w:rsidRDefault="00000000">
            <w:pPr>
              <w:spacing w:after="40"/>
              <w:rPr>
                <w:szCs w:val="36"/>
              </w:rPr>
            </w:pPr>
            <w:r w:rsidRPr="00C64B3A">
              <w:rPr>
                <w:szCs w:val="36"/>
              </w:rPr>
              <w:lastRenderedPageBreak/>
              <w:t xml:space="preserve">Like-for-like sales; adjusted </w:t>
            </w:r>
            <w:r w:rsidRPr="00C64B3A">
              <w:rPr>
                <w:szCs w:val="36"/>
              </w:rPr>
              <w:lastRenderedPageBreak/>
              <w:t>operating margin; free cash flow; cost savings reinvested into customer value.</w:t>
            </w:r>
          </w:p>
        </w:tc>
        <w:tc>
          <w:tcPr>
            <w:tcW w:w="1770" w:type="dxa"/>
          </w:tcPr>
          <w:p w14:paraId="1C053018" w14:textId="77777777" w:rsidR="003561CE" w:rsidRPr="00C64B3A" w:rsidRDefault="00000000">
            <w:pPr>
              <w:spacing w:after="40"/>
              <w:rPr>
                <w:szCs w:val="36"/>
              </w:rPr>
            </w:pPr>
            <w:r w:rsidRPr="00C64B3A">
              <w:rPr>
                <w:szCs w:val="36"/>
              </w:rPr>
              <w:lastRenderedPageBreak/>
              <w:t xml:space="preserve">Maintain UK grocery share </w:t>
            </w:r>
            <w:r w:rsidRPr="00C64B3A">
              <w:rPr>
                <w:szCs w:val="36"/>
              </w:rPr>
              <w:lastRenderedPageBreak/>
              <w:t>at or above 28%; keep group adjusted operating profit within guidance; generate £1.5bn to £2.0bn free cash flow; reinvest at least 50% of verified productivity savings into customer-visible value.</w:t>
            </w:r>
          </w:p>
        </w:tc>
        <w:tc>
          <w:tcPr>
            <w:tcW w:w="2155" w:type="dxa"/>
          </w:tcPr>
          <w:p w14:paraId="0E12BD66" w14:textId="77777777" w:rsidR="003561CE" w:rsidRPr="00C64B3A" w:rsidRDefault="00000000">
            <w:pPr>
              <w:spacing w:after="40"/>
              <w:rPr>
                <w:szCs w:val="36"/>
              </w:rPr>
            </w:pPr>
            <w:r w:rsidRPr="00C64B3A">
              <w:rPr>
                <w:szCs w:val="36"/>
              </w:rPr>
              <w:lastRenderedPageBreak/>
              <w:t xml:space="preserve">Prioritise high-return price </w:t>
            </w:r>
            <w:r w:rsidRPr="00C64B3A">
              <w:rPr>
                <w:szCs w:val="36"/>
              </w:rPr>
              <w:lastRenderedPageBreak/>
              <w:t>investment; expand automation in distribution; reduce waste and shrink; protect own-label margin mix.</w:t>
            </w:r>
          </w:p>
        </w:tc>
      </w:tr>
      <w:tr w:rsidR="003561CE" w:rsidRPr="00C64B3A" w14:paraId="1F7501DA" w14:textId="77777777" w:rsidTr="00447130">
        <w:trPr>
          <w:jc w:val="center"/>
        </w:trPr>
        <w:tc>
          <w:tcPr>
            <w:tcW w:w="1390" w:type="dxa"/>
          </w:tcPr>
          <w:p w14:paraId="7F2FD861" w14:textId="77777777" w:rsidR="003561CE" w:rsidRPr="00C64B3A" w:rsidRDefault="00000000">
            <w:pPr>
              <w:spacing w:after="40"/>
              <w:rPr>
                <w:szCs w:val="36"/>
              </w:rPr>
            </w:pPr>
            <w:r w:rsidRPr="00C64B3A">
              <w:rPr>
                <w:szCs w:val="36"/>
              </w:rPr>
              <w:lastRenderedPageBreak/>
              <w:t>Customer</w:t>
            </w:r>
          </w:p>
        </w:tc>
        <w:tc>
          <w:tcPr>
            <w:tcW w:w="1966" w:type="dxa"/>
          </w:tcPr>
          <w:p w14:paraId="698CFBE5" w14:textId="77777777" w:rsidR="003561CE" w:rsidRPr="00C64B3A" w:rsidRDefault="00000000">
            <w:pPr>
              <w:spacing w:after="40"/>
              <w:rPr>
                <w:szCs w:val="36"/>
              </w:rPr>
            </w:pPr>
            <w:r w:rsidRPr="00C64B3A">
              <w:rPr>
                <w:szCs w:val="36"/>
              </w:rPr>
              <w:t>Make Tesco the trusted choice for value, quality and convenience.</w:t>
            </w:r>
          </w:p>
        </w:tc>
        <w:tc>
          <w:tcPr>
            <w:tcW w:w="2069" w:type="dxa"/>
          </w:tcPr>
          <w:p w14:paraId="60A8675E" w14:textId="77777777" w:rsidR="003561CE" w:rsidRPr="00C64B3A" w:rsidRDefault="00000000">
            <w:pPr>
              <w:spacing w:after="40"/>
              <w:rPr>
                <w:szCs w:val="36"/>
              </w:rPr>
            </w:pPr>
            <w:r w:rsidRPr="00C64B3A">
              <w:rPr>
                <w:szCs w:val="36"/>
              </w:rPr>
              <w:t>NPS; customer satisfaction; Clubcard engagement; price perception; online repeat rate.</w:t>
            </w:r>
          </w:p>
        </w:tc>
        <w:tc>
          <w:tcPr>
            <w:tcW w:w="1770" w:type="dxa"/>
          </w:tcPr>
          <w:p w14:paraId="37925F8F" w14:textId="77777777" w:rsidR="003561CE" w:rsidRPr="00C64B3A" w:rsidRDefault="00000000">
            <w:pPr>
              <w:spacing w:after="40"/>
              <w:rPr>
                <w:szCs w:val="36"/>
              </w:rPr>
            </w:pPr>
            <w:r w:rsidRPr="00C64B3A">
              <w:rPr>
                <w:szCs w:val="36"/>
              </w:rPr>
              <w:t>Improve relative customer satisfaction; increase personalised offer redemption by 5% within 12 months; reduce complaints about price complexity by 10%; grow online repeat rate in profitable fulfilment zones.</w:t>
            </w:r>
          </w:p>
        </w:tc>
        <w:tc>
          <w:tcPr>
            <w:tcW w:w="2155" w:type="dxa"/>
          </w:tcPr>
          <w:p w14:paraId="0568C5B2" w14:textId="77777777" w:rsidR="003561CE" w:rsidRPr="00C64B3A" w:rsidRDefault="00000000">
            <w:pPr>
              <w:spacing w:after="40"/>
              <w:rPr>
                <w:szCs w:val="36"/>
              </w:rPr>
            </w:pPr>
            <w:r w:rsidRPr="00C64B3A">
              <w:rPr>
                <w:szCs w:val="36"/>
              </w:rPr>
              <w:t>Simplify Clubcard messaging; strengthen Aldi Price Match on key lines; publish clearer value comparisons; expand healthier and affordable own-label products.</w:t>
            </w:r>
          </w:p>
        </w:tc>
      </w:tr>
      <w:tr w:rsidR="003561CE" w:rsidRPr="00C64B3A" w14:paraId="70F33734" w14:textId="77777777" w:rsidTr="00447130">
        <w:trPr>
          <w:jc w:val="center"/>
        </w:trPr>
        <w:tc>
          <w:tcPr>
            <w:tcW w:w="1390" w:type="dxa"/>
          </w:tcPr>
          <w:p w14:paraId="66D4C6E9" w14:textId="77777777" w:rsidR="003561CE" w:rsidRPr="00C64B3A" w:rsidRDefault="00000000">
            <w:pPr>
              <w:spacing w:after="40"/>
              <w:rPr>
                <w:szCs w:val="36"/>
              </w:rPr>
            </w:pPr>
            <w:r w:rsidRPr="00C64B3A">
              <w:rPr>
                <w:szCs w:val="36"/>
              </w:rPr>
              <w:t>Internal processes</w:t>
            </w:r>
          </w:p>
        </w:tc>
        <w:tc>
          <w:tcPr>
            <w:tcW w:w="1966" w:type="dxa"/>
          </w:tcPr>
          <w:p w14:paraId="0BDFB3C3" w14:textId="77777777" w:rsidR="003561CE" w:rsidRPr="00C64B3A" w:rsidRDefault="00000000">
            <w:pPr>
              <w:spacing w:after="40"/>
              <w:rPr>
                <w:szCs w:val="36"/>
              </w:rPr>
            </w:pPr>
            <w:r w:rsidRPr="00C64B3A">
              <w:rPr>
                <w:szCs w:val="36"/>
              </w:rPr>
              <w:t xml:space="preserve">Improve operating efficiency across stores, </w:t>
            </w:r>
            <w:r w:rsidRPr="00C64B3A">
              <w:rPr>
                <w:szCs w:val="36"/>
              </w:rPr>
              <w:lastRenderedPageBreak/>
              <w:t>online fulfilment and suppliers.</w:t>
            </w:r>
          </w:p>
        </w:tc>
        <w:tc>
          <w:tcPr>
            <w:tcW w:w="2069" w:type="dxa"/>
          </w:tcPr>
          <w:p w14:paraId="1FFFEE86" w14:textId="77777777" w:rsidR="003561CE" w:rsidRPr="00C64B3A" w:rsidRDefault="00000000">
            <w:pPr>
              <w:spacing w:after="40"/>
              <w:rPr>
                <w:szCs w:val="36"/>
              </w:rPr>
            </w:pPr>
            <w:r w:rsidRPr="00C64B3A">
              <w:rPr>
                <w:szCs w:val="36"/>
              </w:rPr>
              <w:lastRenderedPageBreak/>
              <w:t xml:space="preserve">Order-picking productivity; availability; food-waste rate; supplier service </w:t>
            </w:r>
            <w:r w:rsidRPr="00C64B3A">
              <w:rPr>
                <w:szCs w:val="36"/>
              </w:rPr>
              <w:lastRenderedPageBreak/>
              <w:t>level; delivery cost per order.</w:t>
            </w:r>
          </w:p>
        </w:tc>
        <w:tc>
          <w:tcPr>
            <w:tcW w:w="1770" w:type="dxa"/>
          </w:tcPr>
          <w:p w14:paraId="386E4460" w14:textId="77777777" w:rsidR="003561CE" w:rsidRPr="00C64B3A" w:rsidRDefault="00000000">
            <w:pPr>
              <w:spacing w:after="40"/>
              <w:rPr>
                <w:szCs w:val="36"/>
              </w:rPr>
            </w:pPr>
            <w:r w:rsidRPr="00C64B3A">
              <w:rPr>
                <w:szCs w:val="36"/>
              </w:rPr>
              <w:lastRenderedPageBreak/>
              <w:t xml:space="preserve">Reduce cost per online order by 5-8% in 18 months; keep on-shelf </w:t>
            </w:r>
            <w:r w:rsidRPr="00C64B3A">
              <w:rPr>
                <w:szCs w:val="36"/>
              </w:rPr>
              <w:lastRenderedPageBreak/>
              <w:t>availability above 96%; reduce waste tonnes by 5%; increase redistribution of safe surplus food to at least 85%.</w:t>
            </w:r>
          </w:p>
        </w:tc>
        <w:tc>
          <w:tcPr>
            <w:tcW w:w="2155" w:type="dxa"/>
          </w:tcPr>
          <w:p w14:paraId="7941EB77" w14:textId="77777777" w:rsidR="003561CE" w:rsidRPr="00C64B3A" w:rsidRDefault="00000000">
            <w:pPr>
              <w:spacing w:after="40"/>
              <w:rPr>
                <w:szCs w:val="36"/>
              </w:rPr>
            </w:pPr>
            <w:r w:rsidRPr="00C64B3A">
              <w:rPr>
                <w:szCs w:val="36"/>
              </w:rPr>
              <w:lastRenderedPageBreak/>
              <w:t xml:space="preserve">AI-enabled demand forecasting; supplier joint-business </w:t>
            </w:r>
            <w:r w:rsidRPr="00C64B3A">
              <w:rPr>
                <w:szCs w:val="36"/>
              </w:rPr>
              <w:lastRenderedPageBreak/>
              <w:t>planning; click-and-collect optimisation; waste processing partnerships; monthly review of fulfilment density and delivery cost.</w:t>
            </w:r>
          </w:p>
        </w:tc>
      </w:tr>
      <w:tr w:rsidR="003561CE" w:rsidRPr="00C64B3A" w14:paraId="507BD40A" w14:textId="77777777" w:rsidTr="00447130">
        <w:trPr>
          <w:jc w:val="center"/>
        </w:trPr>
        <w:tc>
          <w:tcPr>
            <w:tcW w:w="1390" w:type="dxa"/>
          </w:tcPr>
          <w:p w14:paraId="3D99B336" w14:textId="77777777" w:rsidR="003561CE" w:rsidRPr="00C64B3A" w:rsidRDefault="00000000">
            <w:pPr>
              <w:spacing w:after="40"/>
              <w:rPr>
                <w:szCs w:val="36"/>
              </w:rPr>
            </w:pPr>
            <w:r w:rsidRPr="00C64B3A">
              <w:rPr>
                <w:szCs w:val="36"/>
              </w:rPr>
              <w:lastRenderedPageBreak/>
              <w:t>Learning and growth</w:t>
            </w:r>
          </w:p>
        </w:tc>
        <w:tc>
          <w:tcPr>
            <w:tcW w:w="1966" w:type="dxa"/>
          </w:tcPr>
          <w:p w14:paraId="4C7CF90E" w14:textId="77777777" w:rsidR="003561CE" w:rsidRPr="00C64B3A" w:rsidRDefault="00000000">
            <w:pPr>
              <w:spacing w:after="40"/>
              <w:rPr>
                <w:szCs w:val="36"/>
              </w:rPr>
            </w:pPr>
            <w:r w:rsidRPr="00C64B3A">
              <w:rPr>
                <w:szCs w:val="36"/>
              </w:rPr>
              <w:t>Build digital, data, sustainability and service capabilities.</w:t>
            </w:r>
          </w:p>
        </w:tc>
        <w:tc>
          <w:tcPr>
            <w:tcW w:w="2069" w:type="dxa"/>
          </w:tcPr>
          <w:p w14:paraId="716B7123" w14:textId="77777777" w:rsidR="003561CE" w:rsidRPr="00C64B3A" w:rsidRDefault="00000000">
            <w:pPr>
              <w:spacing w:after="40"/>
              <w:rPr>
                <w:szCs w:val="36"/>
              </w:rPr>
            </w:pPr>
            <w:r w:rsidRPr="00C64B3A">
              <w:rPr>
                <w:szCs w:val="36"/>
              </w:rPr>
              <w:t>Colleague engagement; training hours; digital skill coverage; leadership diversity; retention.</w:t>
            </w:r>
          </w:p>
        </w:tc>
        <w:tc>
          <w:tcPr>
            <w:tcW w:w="1770" w:type="dxa"/>
          </w:tcPr>
          <w:p w14:paraId="41E050DD" w14:textId="77777777" w:rsidR="003561CE" w:rsidRPr="00C64B3A" w:rsidRDefault="00000000">
            <w:pPr>
              <w:spacing w:after="40"/>
              <w:rPr>
                <w:szCs w:val="36"/>
              </w:rPr>
            </w:pPr>
            <w:r w:rsidRPr="00C64B3A">
              <w:rPr>
                <w:szCs w:val="36"/>
              </w:rPr>
              <w:t>Train 90% of store, commercial and online managers in data-led value decisions and sustainability execution; sustain colleague advocacy; reduce avoidable turnover in priority service roles.</w:t>
            </w:r>
          </w:p>
        </w:tc>
        <w:tc>
          <w:tcPr>
            <w:tcW w:w="2155" w:type="dxa"/>
          </w:tcPr>
          <w:p w14:paraId="558AFF95" w14:textId="77777777" w:rsidR="003561CE" w:rsidRPr="00C64B3A" w:rsidRDefault="00000000">
            <w:pPr>
              <w:spacing w:after="40"/>
              <w:rPr>
                <w:szCs w:val="36"/>
              </w:rPr>
            </w:pPr>
            <w:r w:rsidRPr="00C64B3A">
              <w:rPr>
                <w:szCs w:val="36"/>
              </w:rPr>
              <w:t>Upskill managers in data ethics, productivity tools and category innovation; link incentives to customer, availability, waste and CSR outcomes.</w:t>
            </w:r>
          </w:p>
        </w:tc>
      </w:tr>
    </w:tbl>
    <w:p w14:paraId="39826677" w14:textId="77777777" w:rsidR="003561CE" w:rsidRPr="00447130" w:rsidRDefault="00447130" w:rsidP="00447130">
      <w:pPr>
        <w:spacing w:after="120" w:line="360" w:lineRule="auto"/>
        <w:jc w:val="center"/>
        <w:rPr>
          <w:i/>
          <w:iCs/>
        </w:rPr>
      </w:pPr>
      <w:r w:rsidRPr="00447130">
        <w:rPr>
          <w:i/>
          <w:iCs/>
        </w:rPr>
        <w:t>Source: Author's proposed scorecard based on Kaplan and Norton (1992), Tesco PLC (2025a), Tesco PLC (2025b), Tesco PLC (2026), Kantar (2025) and Reuters (2026).</w:t>
      </w:r>
    </w:p>
    <w:p w14:paraId="5AA1AD1C" w14:textId="77777777" w:rsidR="00C64B3A" w:rsidRDefault="00C64B3A">
      <w:pPr>
        <w:spacing w:after="120" w:line="360" w:lineRule="auto"/>
        <w:jc w:val="both"/>
      </w:pPr>
      <w:r w:rsidRPr="00C64B3A">
        <w:t xml:space="preserve">The scorecard prevents the drift of strategy as well. A small financial scorecard can lead to reinforcement of cushioning the margins at the peril of customer confidence; a small customer scorecard may lead to unsustainable discounting. The composite one compels Tesco to question whether every endeavor adds value, profitability, resilience and capability of functioning jointly. </w:t>
      </w:r>
    </w:p>
    <w:p w14:paraId="077AE8C3" w14:textId="77777777" w:rsidR="003561CE" w:rsidRPr="00B235EA" w:rsidRDefault="00000000">
      <w:pPr>
        <w:pStyle w:val="Heading1"/>
        <w:spacing w:before="0" w:after="120" w:line="360" w:lineRule="auto"/>
        <w:rPr>
          <w:sz w:val="36"/>
          <w:szCs w:val="32"/>
        </w:rPr>
      </w:pPr>
      <w:bookmarkStart w:id="10" w:name="_Toc234069044"/>
      <w:r w:rsidRPr="00B235EA">
        <w:rPr>
          <w:rFonts w:ascii="Arial" w:eastAsia="Arial" w:hAnsi="Arial"/>
          <w:sz w:val="28"/>
          <w:szCs w:val="32"/>
        </w:rPr>
        <w:lastRenderedPageBreak/>
        <w:t>4. Strategic Choices and Implementation</w:t>
      </w:r>
      <w:bookmarkEnd w:id="10"/>
    </w:p>
    <w:p w14:paraId="11402F4C" w14:textId="77777777" w:rsidR="003561CE" w:rsidRDefault="00000000">
      <w:pPr>
        <w:pStyle w:val="Heading2"/>
        <w:spacing w:before="0" w:after="120" w:line="360" w:lineRule="auto"/>
      </w:pPr>
      <w:bookmarkStart w:id="11" w:name="_Toc234069045"/>
      <w:r>
        <w:rPr>
          <w:rFonts w:ascii="Arial" w:eastAsia="Arial" w:hAnsi="Arial"/>
          <w:sz w:val="24"/>
        </w:rPr>
        <w:t>4.1 Strategic Options</w:t>
      </w:r>
      <w:bookmarkEnd w:id="11"/>
    </w:p>
    <w:p w14:paraId="666341C3" w14:textId="77777777" w:rsidR="00C64B3A" w:rsidRDefault="00C64B3A" w:rsidP="00C64B3A">
      <w:pPr>
        <w:spacing w:after="120" w:line="360" w:lineRule="auto"/>
        <w:jc w:val="both"/>
      </w:pPr>
      <w:r w:rsidRPr="00C64B3A">
        <w:t>Porters’ generic strategies imply that companies may pursue cost leadership, differentiation or focus, but that grocery retail is becoming more and more in need of hybrid modes of advantage as consumer comparison of prices coexists with location, availability, range and convenience as priorities (Porter, 1980; Porter, 1985). Bowman and Ambrosini (2000) also differentiate between value creation and value capture which is helpful in this case: Value is created by Tesco in terms of price, range and convenience, and has to be captured by the company at an adequate level to enable reinvestment. The three strategic options are discussed as below utilizing suitability, acceptability and feasibility.</w:t>
      </w:r>
    </w:p>
    <w:p w14:paraId="08DEB6CD" w14:textId="77777777" w:rsidR="00C64B3A" w:rsidRDefault="00C64B3A" w:rsidP="00C64B3A">
      <w:pPr>
        <w:spacing w:after="120" w:line="360" w:lineRule="auto"/>
        <w:jc w:val="both"/>
      </w:pPr>
      <w:r w:rsidRPr="00C64B3A">
        <w:t>Porter's Five Forces and BCG portfolio check. The Five Forces analysis indicates that rivalry is high, buyer power is high, supplier power is moderate, risk of new entry is low-to-moderate and discounters, delivery platforms and eating out constitute a significant threat of substitutes (Porter, 1980; Porter, 1985).</w:t>
      </w:r>
    </w:p>
    <w:p w14:paraId="63178B98" w14:textId="77777777" w:rsidR="00C64B3A" w:rsidRDefault="00C64B3A" w:rsidP="00C64B3A">
      <w:pPr>
        <w:spacing w:after="120" w:line="360" w:lineRule="auto"/>
        <w:jc w:val="both"/>
      </w:pPr>
      <w:r w:rsidRPr="00C64B3A">
        <w:t xml:space="preserve">Selective investment is also supported with the help of BCG logic. Cash is generated through core UK grocery, own-label ranges, Clubcard </w:t>
      </w:r>
      <w:proofErr w:type="spellStart"/>
      <w:r w:rsidRPr="00C64B3A">
        <w:t>personalisation</w:t>
      </w:r>
      <w:proofErr w:type="spellEnd"/>
      <w:r w:rsidRPr="00C64B3A">
        <w:t xml:space="preserve"> and retail media are growth drivers, online fulfilment demand density to be appealing and low-productivity space needs to be recycled or put under tight control (Henderson, 1970).</w:t>
      </w:r>
    </w:p>
    <w:p w14:paraId="19533E1B" w14:textId="77777777" w:rsidR="003561CE" w:rsidRPr="00447130" w:rsidRDefault="00000000">
      <w:pPr>
        <w:pStyle w:val="Caption"/>
        <w:spacing w:after="80"/>
        <w:rPr>
          <w:i w:val="0"/>
          <w:iCs/>
          <w:color w:val="000000" w:themeColor="text1"/>
          <w:sz w:val="24"/>
          <w:szCs w:val="24"/>
        </w:rPr>
      </w:pPr>
      <w:r w:rsidRPr="00447130">
        <w:rPr>
          <w:i w:val="0"/>
          <w:iCs/>
          <w:color w:val="000000" w:themeColor="text1"/>
          <w:sz w:val="24"/>
          <w:szCs w:val="24"/>
        </w:rPr>
        <w:t xml:space="preserve">Table 6. Evaluation of strategic options using SAFe logic. </w:t>
      </w:r>
    </w:p>
    <w:tbl>
      <w:tblPr>
        <w:tblStyle w:val="TableGrid"/>
        <w:tblW w:w="0" w:type="auto"/>
        <w:jc w:val="center"/>
        <w:tblLook w:val="04A0" w:firstRow="1" w:lastRow="0" w:firstColumn="1" w:lastColumn="0" w:noHBand="0" w:noVBand="1"/>
      </w:tblPr>
      <w:tblGrid>
        <w:gridCol w:w="1767"/>
        <w:gridCol w:w="1873"/>
        <w:gridCol w:w="1780"/>
        <w:gridCol w:w="1738"/>
        <w:gridCol w:w="2192"/>
      </w:tblGrid>
      <w:tr w:rsidR="003561CE" w:rsidRPr="00C64B3A" w14:paraId="164957A7" w14:textId="77777777" w:rsidTr="00447130">
        <w:trPr>
          <w:tblHeader/>
          <w:jc w:val="center"/>
        </w:trPr>
        <w:tc>
          <w:tcPr>
            <w:tcW w:w="1767" w:type="dxa"/>
            <w:shd w:val="clear" w:color="auto" w:fill="D9EAF7"/>
          </w:tcPr>
          <w:p w14:paraId="29825D43" w14:textId="77777777" w:rsidR="003561CE" w:rsidRPr="00C64B3A" w:rsidRDefault="00000000">
            <w:pPr>
              <w:spacing w:after="40"/>
              <w:rPr>
                <w:szCs w:val="36"/>
              </w:rPr>
            </w:pPr>
            <w:r w:rsidRPr="00C64B3A">
              <w:rPr>
                <w:b/>
                <w:szCs w:val="36"/>
              </w:rPr>
              <w:t>Strategic option</w:t>
            </w:r>
          </w:p>
        </w:tc>
        <w:tc>
          <w:tcPr>
            <w:tcW w:w="1873" w:type="dxa"/>
            <w:shd w:val="clear" w:color="auto" w:fill="D9EAF7"/>
          </w:tcPr>
          <w:p w14:paraId="0940A9D0" w14:textId="77777777" w:rsidR="003561CE" w:rsidRPr="00C64B3A" w:rsidRDefault="00000000">
            <w:pPr>
              <w:spacing w:after="40"/>
              <w:rPr>
                <w:szCs w:val="36"/>
              </w:rPr>
            </w:pPr>
            <w:r w:rsidRPr="00C64B3A">
              <w:rPr>
                <w:b/>
                <w:szCs w:val="36"/>
              </w:rPr>
              <w:t>Suitability</w:t>
            </w:r>
          </w:p>
        </w:tc>
        <w:tc>
          <w:tcPr>
            <w:tcW w:w="1780" w:type="dxa"/>
            <w:shd w:val="clear" w:color="auto" w:fill="D9EAF7"/>
          </w:tcPr>
          <w:p w14:paraId="10BF3535" w14:textId="77777777" w:rsidR="003561CE" w:rsidRPr="00C64B3A" w:rsidRDefault="00000000">
            <w:pPr>
              <w:spacing w:after="40"/>
              <w:rPr>
                <w:szCs w:val="36"/>
              </w:rPr>
            </w:pPr>
            <w:r w:rsidRPr="00C64B3A">
              <w:rPr>
                <w:b/>
                <w:szCs w:val="36"/>
              </w:rPr>
              <w:t>Acceptability</w:t>
            </w:r>
          </w:p>
        </w:tc>
        <w:tc>
          <w:tcPr>
            <w:tcW w:w="1738" w:type="dxa"/>
            <w:shd w:val="clear" w:color="auto" w:fill="D9EAF7"/>
          </w:tcPr>
          <w:p w14:paraId="1268DEEA" w14:textId="77777777" w:rsidR="003561CE" w:rsidRPr="00C64B3A" w:rsidRDefault="00000000">
            <w:pPr>
              <w:spacing w:after="40"/>
              <w:rPr>
                <w:szCs w:val="36"/>
              </w:rPr>
            </w:pPr>
            <w:r w:rsidRPr="00C64B3A">
              <w:rPr>
                <w:b/>
                <w:szCs w:val="36"/>
              </w:rPr>
              <w:t>Feasibility</w:t>
            </w:r>
          </w:p>
        </w:tc>
        <w:tc>
          <w:tcPr>
            <w:tcW w:w="2192" w:type="dxa"/>
            <w:shd w:val="clear" w:color="auto" w:fill="D9EAF7"/>
          </w:tcPr>
          <w:p w14:paraId="5C3C745F" w14:textId="77777777" w:rsidR="003561CE" w:rsidRPr="00C64B3A" w:rsidRDefault="00000000">
            <w:pPr>
              <w:spacing w:after="40"/>
              <w:rPr>
                <w:szCs w:val="36"/>
              </w:rPr>
            </w:pPr>
            <w:r w:rsidRPr="00C64B3A">
              <w:rPr>
                <w:b/>
                <w:szCs w:val="36"/>
              </w:rPr>
              <w:t>Overall judgement</w:t>
            </w:r>
          </w:p>
        </w:tc>
      </w:tr>
      <w:tr w:rsidR="003561CE" w:rsidRPr="00C64B3A" w14:paraId="5DD6576D" w14:textId="77777777" w:rsidTr="00447130">
        <w:trPr>
          <w:jc w:val="center"/>
        </w:trPr>
        <w:tc>
          <w:tcPr>
            <w:tcW w:w="1767" w:type="dxa"/>
          </w:tcPr>
          <w:p w14:paraId="16B44DCE" w14:textId="77777777" w:rsidR="003561CE" w:rsidRPr="00C64B3A" w:rsidRDefault="00000000">
            <w:pPr>
              <w:spacing w:after="40"/>
              <w:rPr>
                <w:szCs w:val="36"/>
              </w:rPr>
            </w:pPr>
            <w:r w:rsidRPr="00C64B3A">
              <w:rPr>
                <w:szCs w:val="36"/>
              </w:rPr>
              <w:t>Pure cost leadership against discounters</w:t>
            </w:r>
          </w:p>
        </w:tc>
        <w:tc>
          <w:tcPr>
            <w:tcW w:w="1873" w:type="dxa"/>
          </w:tcPr>
          <w:p w14:paraId="1E198ACA" w14:textId="77777777" w:rsidR="003561CE" w:rsidRPr="00C64B3A" w:rsidRDefault="00000000">
            <w:pPr>
              <w:spacing w:after="40"/>
              <w:rPr>
                <w:szCs w:val="36"/>
              </w:rPr>
            </w:pPr>
            <w:r w:rsidRPr="00C64B3A">
              <w:rPr>
                <w:szCs w:val="36"/>
              </w:rPr>
              <w:t>Partly suitable because value matters to households, but it narrows competition to price.</w:t>
            </w:r>
          </w:p>
        </w:tc>
        <w:tc>
          <w:tcPr>
            <w:tcW w:w="1780" w:type="dxa"/>
          </w:tcPr>
          <w:p w14:paraId="54EE2EA3" w14:textId="77777777" w:rsidR="003561CE" w:rsidRPr="00C64B3A" w:rsidRDefault="00000000">
            <w:pPr>
              <w:spacing w:after="40"/>
              <w:rPr>
                <w:szCs w:val="36"/>
              </w:rPr>
            </w:pPr>
            <w:r w:rsidRPr="00C64B3A">
              <w:rPr>
                <w:szCs w:val="36"/>
              </w:rPr>
              <w:t>Low to moderate because shareholders may reject margin erosion and suppliers may face pressure.</w:t>
            </w:r>
          </w:p>
        </w:tc>
        <w:tc>
          <w:tcPr>
            <w:tcW w:w="1738" w:type="dxa"/>
          </w:tcPr>
          <w:p w14:paraId="50801973" w14:textId="77777777" w:rsidR="003561CE" w:rsidRPr="00C64B3A" w:rsidRDefault="00000000">
            <w:pPr>
              <w:spacing w:after="40"/>
              <w:rPr>
                <w:szCs w:val="36"/>
              </w:rPr>
            </w:pPr>
            <w:r w:rsidRPr="00C64B3A">
              <w:rPr>
                <w:szCs w:val="36"/>
              </w:rPr>
              <w:t>Difficult because Aldi and Lidl have simpler operating models.</w:t>
            </w:r>
          </w:p>
        </w:tc>
        <w:tc>
          <w:tcPr>
            <w:tcW w:w="2192" w:type="dxa"/>
          </w:tcPr>
          <w:p w14:paraId="5D5D42BE" w14:textId="77777777" w:rsidR="003561CE" w:rsidRPr="00C64B3A" w:rsidRDefault="00000000">
            <w:pPr>
              <w:spacing w:after="40"/>
              <w:rPr>
                <w:szCs w:val="36"/>
              </w:rPr>
            </w:pPr>
            <w:r w:rsidRPr="00C64B3A">
              <w:rPr>
                <w:szCs w:val="36"/>
              </w:rPr>
              <w:t>Reject as primary strategy. Tesco should match prices selectively, not define itself solely by lowest price.</w:t>
            </w:r>
          </w:p>
        </w:tc>
      </w:tr>
      <w:tr w:rsidR="003561CE" w:rsidRPr="00C64B3A" w14:paraId="07E3EC0B" w14:textId="77777777" w:rsidTr="00447130">
        <w:trPr>
          <w:jc w:val="center"/>
        </w:trPr>
        <w:tc>
          <w:tcPr>
            <w:tcW w:w="1767" w:type="dxa"/>
          </w:tcPr>
          <w:p w14:paraId="02E4D9BA" w14:textId="77777777" w:rsidR="003561CE" w:rsidRPr="00C64B3A" w:rsidRDefault="00000000">
            <w:pPr>
              <w:spacing w:after="40"/>
              <w:rPr>
                <w:szCs w:val="36"/>
              </w:rPr>
            </w:pPr>
            <w:r w:rsidRPr="00C64B3A">
              <w:rPr>
                <w:szCs w:val="36"/>
              </w:rPr>
              <w:t xml:space="preserve">Premium differentiation through </w:t>
            </w:r>
            <w:r w:rsidRPr="00C64B3A">
              <w:rPr>
                <w:szCs w:val="36"/>
              </w:rPr>
              <w:lastRenderedPageBreak/>
              <w:t>quality and service</w:t>
            </w:r>
          </w:p>
        </w:tc>
        <w:tc>
          <w:tcPr>
            <w:tcW w:w="1873" w:type="dxa"/>
          </w:tcPr>
          <w:p w14:paraId="208161FB" w14:textId="77777777" w:rsidR="003561CE" w:rsidRPr="00C64B3A" w:rsidRDefault="00000000">
            <w:pPr>
              <w:spacing w:after="40"/>
              <w:rPr>
                <w:szCs w:val="36"/>
              </w:rPr>
            </w:pPr>
            <w:r w:rsidRPr="00C64B3A">
              <w:rPr>
                <w:szCs w:val="36"/>
              </w:rPr>
              <w:lastRenderedPageBreak/>
              <w:t xml:space="preserve">Partly suitable because Tesco Finest and </w:t>
            </w:r>
            <w:r w:rsidRPr="00C64B3A">
              <w:rPr>
                <w:szCs w:val="36"/>
              </w:rPr>
              <w:lastRenderedPageBreak/>
              <w:t>quality improvements support trade-up missions.</w:t>
            </w:r>
          </w:p>
        </w:tc>
        <w:tc>
          <w:tcPr>
            <w:tcW w:w="1780" w:type="dxa"/>
          </w:tcPr>
          <w:p w14:paraId="1E989083" w14:textId="77777777" w:rsidR="003561CE" w:rsidRPr="00C64B3A" w:rsidRDefault="00000000">
            <w:pPr>
              <w:spacing w:after="40"/>
              <w:rPr>
                <w:szCs w:val="36"/>
              </w:rPr>
            </w:pPr>
            <w:r w:rsidRPr="00C64B3A">
              <w:rPr>
                <w:szCs w:val="36"/>
              </w:rPr>
              <w:lastRenderedPageBreak/>
              <w:t xml:space="preserve">Moderate, but risky during household </w:t>
            </w:r>
            <w:r w:rsidRPr="00C64B3A">
              <w:rPr>
                <w:szCs w:val="36"/>
              </w:rPr>
              <w:lastRenderedPageBreak/>
              <w:t>budget pressure.</w:t>
            </w:r>
          </w:p>
        </w:tc>
        <w:tc>
          <w:tcPr>
            <w:tcW w:w="1738" w:type="dxa"/>
          </w:tcPr>
          <w:p w14:paraId="5DECB027" w14:textId="77777777" w:rsidR="003561CE" w:rsidRPr="00C64B3A" w:rsidRDefault="00000000">
            <w:pPr>
              <w:spacing w:after="40"/>
              <w:rPr>
                <w:szCs w:val="36"/>
              </w:rPr>
            </w:pPr>
            <w:r w:rsidRPr="00C64B3A">
              <w:rPr>
                <w:szCs w:val="36"/>
              </w:rPr>
              <w:lastRenderedPageBreak/>
              <w:t xml:space="preserve">Feasible within ranges, but not as a </w:t>
            </w:r>
            <w:r w:rsidRPr="00C64B3A">
              <w:rPr>
                <w:szCs w:val="36"/>
              </w:rPr>
              <w:lastRenderedPageBreak/>
              <w:t>whole-market positioning.</w:t>
            </w:r>
          </w:p>
        </w:tc>
        <w:tc>
          <w:tcPr>
            <w:tcW w:w="2192" w:type="dxa"/>
          </w:tcPr>
          <w:p w14:paraId="5C2EBBB5" w14:textId="77777777" w:rsidR="003561CE" w:rsidRPr="00C64B3A" w:rsidRDefault="00000000">
            <w:pPr>
              <w:spacing w:after="40"/>
              <w:rPr>
                <w:szCs w:val="36"/>
              </w:rPr>
            </w:pPr>
            <w:r w:rsidRPr="00C64B3A">
              <w:rPr>
                <w:szCs w:val="36"/>
              </w:rPr>
              <w:lastRenderedPageBreak/>
              <w:t xml:space="preserve">Use selectively. Premium own label should </w:t>
            </w:r>
            <w:r w:rsidRPr="00C64B3A">
              <w:rPr>
                <w:szCs w:val="36"/>
              </w:rPr>
              <w:lastRenderedPageBreak/>
              <w:t>complement, not replace, value leadership.</w:t>
            </w:r>
          </w:p>
        </w:tc>
      </w:tr>
      <w:tr w:rsidR="003561CE" w:rsidRPr="00C64B3A" w14:paraId="32C5A611" w14:textId="77777777" w:rsidTr="00447130">
        <w:trPr>
          <w:jc w:val="center"/>
        </w:trPr>
        <w:tc>
          <w:tcPr>
            <w:tcW w:w="1767" w:type="dxa"/>
          </w:tcPr>
          <w:p w14:paraId="4DE31AF1" w14:textId="77777777" w:rsidR="003561CE" w:rsidRPr="00C64B3A" w:rsidRDefault="00000000">
            <w:pPr>
              <w:spacing w:after="40"/>
              <w:rPr>
                <w:szCs w:val="36"/>
              </w:rPr>
            </w:pPr>
            <w:r w:rsidRPr="00C64B3A">
              <w:rPr>
                <w:szCs w:val="36"/>
              </w:rPr>
              <w:lastRenderedPageBreak/>
              <w:t>Data-driven value differentiation</w:t>
            </w:r>
          </w:p>
        </w:tc>
        <w:tc>
          <w:tcPr>
            <w:tcW w:w="1873" w:type="dxa"/>
          </w:tcPr>
          <w:p w14:paraId="1C8D6B31" w14:textId="77777777" w:rsidR="003561CE" w:rsidRPr="00C64B3A" w:rsidRDefault="00000000">
            <w:pPr>
              <w:spacing w:after="40"/>
              <w:rPr>
                <w:szCs w:val="36"/>
              </w:rPr>
            </w:pPr>
            <w:r w:rsidRPr="00C64B3A">
              <w:rPr>
                <w:szCs w:val="36"/>
              </w:rPr>
              <w:t>Highly suitable because it combines price, loyalty, range, convenience, digital and CSR.</w:t>
            </w:r>
          </w:p>
        </w:tc>
        <w:tc>
          <w:tcPr>
            <w:tcW w:w="1780" w:type="dxa"/>
          </w:tcPr>
          <w:p w14:paraId="7855EFE5" w14:textId="77777777" w:rsidR="003561CE" w:rsidRPr="00C64B3A" w:rsidRDefault="00000000">
            <w:pPr>
              <w:spacing w:after="40"/>
              <w:rPr>
                <w:szCs w:val="36"/>
              </w:rPr>
            </w:pPr>
            <w:r w:rsidRPr="00C64B3A">
              <w:rPr>
                <w:szCs w:val="36"/>
              </w:rPr>
              <w:t>High if it improves value perception while protecting margins and trust.</w:t>
            </w:r>
          </w:p>
        </w:tc>
        <w:tc>
          <w:tcPr>
            <w:tcW w:w="1738" w:type="dxa"/>
          </w:tcPr>
          <w:p w14:paraId="13E10DC5" w14:textId="77777777" w:rsidR="003561CE" w:rsidRPr="00C64B3A" w:rsidRDefault="00000000">
            <w:pPr>
              <w:spacing w:after="40"/>
              <w:rPr>
                <w:szCs w:val="36"/>
              </w:rPr>
            </w:pPr>
            <w:r w:rsidRPr="00C64B3A">
              <w:rPr>
                <w:szCs w:val="36"/>
              </w:rPr>
              <w:t>High because Tesco already has scale, Clubcard, own label, online reach and productivity routines.</w:t>
            </w:r>
          </w:p>
        </w:tc>
        <w:tc>
          <w:tcPr>
            <w:tcW w:w="2192" w:type="dxa"/>
          </w:tcPr>
          <w:p w14:paraId="3BD9EF7F" w14:textId="77777777" w:rsidR="003561CE" w:rsidRPr="00C64B3A" w:rsidRDefault="00000000">
            <w:pPr>
              <w:spacing w:after="40"/>
              <w:rPr>
                <w:szCs w:val="36"/>
              </w:rPr>
            </w:pPr>
            <w:r w:rsidRPr="00C64B3A">
              <w:rPr>
                <w:szCs w:val="36"/>
              </w:rPr>
              <w:t>Recommended. It responds to discounters without copying them and creates a defensible hybrid advantage.</w:t>
            </w:r>
          </w:p>
        </w:tc>
      </w:tr>
      <w:tr w:rsidR="003561CE" w:rsidRPr="00C64B3A" w14:paraId="54ED75EC" w14:textId="77777777" w:rsidTr="00447130">
        <w:trPr>
          <w:jc w:val="center"/>
        </w:trPr>
        <w:tc>
          <w:tcPr>
            <w:tcW w:w="1767" w:type="dxa"/>
          </w:tcPr>
          <w:p w14:paraId="6380A63A" w14:textId="77777777" w:rsidR="003561CE" w:rsidRPr="00C64B3A" w:rsidRDefault="00000000">
            <w:pPr>
              <w:spacing w:after="40"/>
              <w:rPr>
                <w:szCs w:val="36"/>
              </w:rPr>
            </w:pPr>
            <w:r w:rsidRPr="00C64B3A">
              <w:rPr>
                <w:szCs w:val="36"/>
              </w:rPr>
              <w:t>Market development through aggressive new stores</w:t>
            </w:r>
          </w:p>
        </w:tc>
        <w:tc>
          <w:tcPr>
            <w:tcW w:w="1873" w:type="dxa"/>
          </w:tcPr>
          <w:p w14:paraId="5975E6EB" w14:textId="77777777" w:rsidR="003561CE" w:rsidRPr="00C64B3A" w:rsidRDefault="00000000">
            <w:pPr>
              <w:spacing w:after="40"/>
              <w:rPr>
                <w:szCs w:val="36"/>
              </w:rPr>
            </w:pPr>
            <w:r w:rsidRPr="00C64B3A">
              <w:rPr>
                <w:szCs w:val="36"/>
              </w:rPr>
              <w:t>Limited suitability because the UK market is mature and planning constraints are significant.</w:t>
            </w:r>
          </w:p>
        </w:tc>
        <w:tc>
          <w:tcPr>
            <w:tcW w:w="1780" w:type="dxa"/>
          </w:tcPr>
          <w:p w14:paraId="1B28BC23" w14:textId="77777777" w:rsidR="003561CE" w:rsidRPr="00C64B3A" w:rsidRDefault="00000000">
            <w:pPr>
              <w:spacing w:after="40"/>
              <w:rPr>
                <w:szCs w:val="36"/>
              </w:rPr>
            </w:pPr>
            <w:r w:rsidRPr="00C64B3A">
              <w:rPr>
                <w:szCs w:val="36"/>
              </w:rPr>
              <w:t>Moderate at convenience level, lower for large stores.</w:t>
            </w:r>
          </w:p>
        </w:tc>
        <w:tc>
          <w:tcPr>
            <w:tcW w:w="1738" w:type="dxa"/>
          </w:tcPr>
          <w:p w14:paraId="04C63A60" w14:textId="77777777" w:rsidR="003561CE" w:rsidRPr="00C64B3A" w:rsidRDefault="00000000">
            <w:pPr>
              <w:spacing w:after="40"/>
              <w:rPr>
                <w:szCs w:val="36"/>
              </w:rPr>
            </w:pPr>
            <w:r w:rsidRPr="00C64B3A">
              <w:rPr>
                <w:szCs w:val="36"/>
              </w:rPr>
              <w:t>Feasible only selectively in underserved missions and rapid delivery zones.</w:t>
            </w:r>
          </w:p>
        </w:tc>
        <w:tc>
          <w:tcPr>
            <w:tcW w:w="2192" w:type="dxa"/>
          </w:tcPr>
          <w:p w14:paraId="43BA1611" w14:textId="77777777" w:rsidR="003561CE" w:rsidRPr="00C64B3A" w:rsidRDefault="00000000">
            <w:pPr>
              <w:spacing w:after="40"/>
              <w:rPr>
                <w:szCs w:val="36"/>
              </w:rPr>
            </w:pPr>
            <w:r w:rsidRPr="00C64B3A">
              <w:rPr>
                <w:szCs w:val="36"/>
              </w:rPr>
              <w:t>Use cautiously. Expansion should focus on convenience density and omnichannel fulfilment rather than large-store volume alone.</w:t>
            </w:r>
          </w:p>
        </w:tc>
      </w:tr>
    </w:tbl>
    <w:p w14:paraId="34D1C038" w14:textId="77777777" w:rsidR="003561CE" w:rsidRPr="00447130" w:rsidRDefault="00447130" w:rsidP="00447130">
      <w:pPr>
        <w:spacing w:after="120" w:line="360" w:lineRule="auto"/>
        <w:jc w:val="center"/>
        <w:rPr>
          <w:i/>
          <w:iCs/>
        </w:rPr>
      </w:pPr>
      <w:r>
        <w:rPr>
          <w:i/>
        </w:rPr>
        <w:t>Source: Author's analysis based on Whittington et al. (2023), Porter (1980), Porter (1985), Kantar (2025), Savills (2025), Tesco PLC (2025a) and Tesco PLC (2026).</w:t>
      </w:r>
    </w:p>
    <w:p w14:paraId="6DC7E3E1" w14:textId="77777777" w:rsidR="00C814F4" w:rsidRDefault="00C814F4">
      <w:pPr>
        <w:spacing w:after="120" w:line="360" w:lineRule="auto"/>
        <w:jc w:val="both"/>
      </w:pPr>
      <w:r w:rsidRPr="00C814F4">
        <w:t xml:space="preserve">The type of strategy suggested is data-driven value differentiation. The phrase is deliberate. Value comes to terms with the economic fact that the customers are price sensitive; differentiation acknowledges that Tesco has to do more than just match with the discounter price, and data-driven identifies the ability that enables Tesco to tailor offers, forecast demand, reduce waste and create retail media revenue. This is also a strategy that is in line with the growth logic of Ansoff. Tesco should </w:t>
      </w:r>
      <w:proofErr w:type="spellStart"/>
      <w:r w:rsidRPr="00C814F4">
        <w:t>prioritise</w:t>
      </w:r>
      <w:proofErr w:type="spellEnd"/>
      <w:r w:rsidRPr="00C814F4">
        <w:t xml:space="preserve"> market penetration through </w:t>
      </w:r>
      <w:proofErr w:type="spellStart"/>
      <w:r w:rsidRPr="00C814F4">
        <w:t>personalised</w:t>
      </w:r>
      <w:proofErr w:type="spellEnd"/>
      <w:r w:rsidRPr="00C814F4">
        <w:t xml:space="preserve"> value and improved basket share, product development (Ansoff, 1957).</w:t>
      </w:r>
    </w:p>
    <w:p w14:paraId="287E3024" w14:textId="77777777" w:rsidR="003561CE" w:rsidRDefault="00000000">
      <w:pPr>
        <w:pStyle w:val="Heading2"/>
        <w:spacing w:before="0" w:after="120" w:line="360" w:lineRule="auto"/>
      </w:pPr>
      <w:bookmarkStart w:id="12" w:name="_Toc234069046"/>
      <w:r>
        <w:rPr>
          <w:rFonts w:ascii="Arial" w:eastAsia="Arial" w:hAnsi="Arial"/>
          <w:sz w:val="24"/>
        </w:rPr>
        <w:t>4.2 Recommended Strategy and Implementation Plan</w:t>
      </w:r>
      <w:bookmarkEnd w:id="12"/>
    </w:p>
    <w:p w14:paraId="0C09A33B" w14:textId="77777777" w:rsidR="00C814F4" w:rsidRDefault="00C814F4">
      <w:pPr>
        <w:spacing w:after="120" w:line="360" w:lineRule="auto"/>
        <w:jc w:val="both"/>
      </w:pPr>
      <w:r w:rsidRPr="00C814F4">
        <w:t xml:space="preserve">The Board ought to enact the plan by incorporating five connective workstreams. First, Tesco ought to leverage Clubcard to transition away broad discounting to </w:t>
      </w:r>
      <w:proofErr w:type="spellStart"/>
      <w:r w:rsidRPr="00C814F4">
        <w:t>individualised</w:t>
      </w:r>
      <w:proofErr w:type="spellEnd"/>
      <w:r w:rsidRPr="00C814F4">
        <w:t xml:space="preserve"> affordability, such that value is accessible and never seen as conditional and </w:t>
      </w:r>
      <w:r w:rsidRPr="00C814F4">
        <w:lastRenderedPageBreak/>
        <w:t xml:space="preserve">manipulative. Second, own-label structure must be enhanced at value, core and Finest levels with special focus on healthy, fresh and meal-for-tonight missions. Third, convenience profitability online groceries must be directed toward profitable growth, as opposed to volume growth alone. Fourth, supplier productivity and waste reduction need to be more of a joint commercial </w:t>
      </w:r>
      <w:proofErr w:type="spellStart"/>
      <w:r w:rsidRPr="00C814F4">
        <w:t>programme</w:t>
      </w:r>
      <w:proofErr w:type="spellEnd"/>
      <w:r w:rsidRPr="00C814F4">
        <w:t>, rather than an ESG reporting activity. Fifth, the capability of the colleagues must be secured since it is visible differentiator in front of discounters in terms of service and availability.</w:t>
      </w:r>
    </w:p>
    <w:p w14:paraId="68C7D337" w14:textId="77777777" w:rsidR="003561CE" w:rsidRPr="00447130" w:rsidRDefault="00000000">
      <w:pPr>
        <w:pStyle w:val="Caption"/>
        <w:spacing w:after="80"/>
        <w:rPr>
          <w:i w:val="0"/>
          <w:iCs/>
          <w:color w:val="000000" w:themeColor="text1"/>
          <w:sz w:val="24"/>
          <w:szCs w:val="24"/>
        </w:rPr>
      </w:pPr>
      <w:r w:rsidRPr="00447130">
        <w:rPr>
          <w:i w:val="0"/>
          <w:iCs/>
          <w:color w:val="000000" w:themeColor="text1"/>
          <w:sz w:val="24"/>
          <w:szCs w:val="24"/>
        </w:rPr>
        <w:t xml:space="preserve">Table 7. Implementation plan for the recommended strategy. </w:t>
      </w:r>
    </w:p>
    <w:tbl>
      <w:tblPr>
        <w:tblStyle w:val="TableGrid"/>
        <w:tblW w:w="0" w:type="auto"/>
        <w:jc w:val="center"/>
        <w:tblLook w:val="04A0" w:firstRow="1" w:lastRow="0" w:firstColumn="1" w:lastColumn="0" w:noHBand="0" w:noVBand="1"/>
      </w:tblPr>
      <w:tblGrid>
        <w:gridCol w:w="1632"/>
        <w:gridCol w:w="1430"/>
        <w:gridCol w:w="2371"/>
        <w:gridCol w:w="2039"/>
        <w:gridCol w:w="1878"/>
      </w:tblGrid>
      <w:tr w:rsidR="003561CE" w:rsidRPr="00C814F4" w14:paraId="2EA8ABAE" w14:textId="77777777" w:rsidTr="00447130">
        <w:trPr>
          <w:tblHeader/>
          <w:jc w:val="center"/>
        </w:trPr>
        <w:tc>
          <w:tcPr>
            <w:tcW w:w="1360" w:type="dxa"/>
            <w:shd w:val="clear" w:color="auto" w:fill="D9EAF7"/>
          </w:tcPr>
          <w:p w14:paraId="54FEDB71" w14:textId="77777777" w:rsidR="003561CE" w:rsidRPr="00C814F4" w:rsidRDefault="00000000">
            <w:pPr>
              <w:spacing w:after="40"/>
              <w:rPr>
                <w:szCs w:val="36"/>
              </w:rPr>
            </w:pPr>
            <w:r w:rsidRPr="00C814F4">
              <w:rPr>
                <w:b/>
                <w:szCs w:val="36"/>
              </w:rPr>
              <w:t>Phase</w:t>
            </w:r>
          </w:p>
        </w:tc>
        <w:tc>
          <w:tcPr>
            <w:tcW w:w="1309" w:type="dxa"/>
            <w:shd w:val="clear" w:color="auto" w:fill="D9EAF7"/>
          </w:tcPr>
          <w:p w14:paraId="50355E8F" w14:textId="77777777" w:rsidR="003561CE" w:rsidRPr="00C814F4" w:rsidRDefault="00000000">
            <w:pPr>
              <w:spacing w:after="40"/>
              <w:rPr>
                <w:szCs w:val="36"/>
              </w:rPr>
            </w:pPr>
            <w:r w:rsidRPr="00C814F4">
              <w:rPr>
                <w:b/>
                <w:szCs w:val="36"/>
              </w:rPr>
              <w:t>Timeframe</w:t>
            </w:r>
          </w:p>
        </w:tc>
        <w:tc>
          <w:tcPr>
            <w:tcW w:w="2561" w:type="dxa"/>
            <w:shd w:val="clear" w:color="auto" w:fill="D9EAF7"/>
          </w:tcPr>
          <w:p w14:paraId="2A796BFE" w14:textId="77777777" w:rsidR="003561CE" w:rsidRPr="00C814F4" w:rsidRDefault="00000000">
            <w:pPr>
              <w:spacing w:after="40"/>
              <w:rPr>
                <w:szCs w:val="36"/>
              </w:rPr>
            </w:pPr>
            <w:r w:rsidRPr="00C814F4">
              <w:rPr>
                <w:b/>
                <w:szCs w:val="36"/>
              </w:rPr>
              <w:t>Main actions</w:t>
            </w:r>
          </w:p>
        </w:tc>
        <w:tc>
          <w:tcPr>
            <w:tcW w:w="2159" w:type="dxa"/>
            <w:shd w:val="clear" w:color="auto" w:fill="D9EAF7"/>
          </w:tcPr>
          <w:p w14:paraId="0F30B329" w14:textId="77777777" w:rsidR="003561CE" w:rsidRPr="00C814F4" w:rsidRDefault="00000000">
            <w:pPr>
              <w:spacing w:after="40"/>
              <w:rPr>
                <w:szCs w:val="36"/>
              </w:rPr>
            </w:pPr>
            <w:r w:rsidRPr="00C814F4">
              <w:rPr>
                <w:b/>
                <w:szCs w:val="36"/>
              </w:rPr>
              <w:t>Responsible functions</w:t>
            </w:r>
          </w:p>
        </w:tc>
        <w:tc>
          <w:tcPr>
            <w:tcW w:w="1961" w:type="dxa"/>
            <w:shd w:val="clear" w:color="auto" w:fill="D9EAF7"/>
          </w:tcPr>
          <w:p w14:paraId="5A55F519" w14:textId="77777777" w:rsidR="003561CE" w:rsidRPr="00C814F4" w:rsidRDefault="00000000">
            <w:pPr>
              <w:spacing w:after="40"/>
              <w:rPr>
                <w:szCs w:val="36"/>
              </w:rPr>
            </w:pPr>
            <w:r w:rsidRPr="00C814F4">
              <w:rPr>
                <w:szCs w:val="36"/>
              </w:rPr>
              <w:t>Measurable performance evidence</w:t>
            </w:r>
          </w:p>
        </w:tc>
      </w:tr>
      <w:tr w:rsidR="003561CE" w:rsidRPr="00C814F4" w14:paraId="1F74FEAA" w14:textId="77777777" w:rsidTr="00447130">
        <w:trPr>
          <w:jc w:val="center"/>
        </w:trPr>
        <w:tc>
          <w:tcPr>
            <w:tcW w:w="1360" w:type="dxa"/>
          </w:tcPr>
          <w:p w14:paraId="17CF05C2" w14:textId="77777777" w:rsidR="003561CE" w:rsidRPr="00C814F4" w:rsidRDefault="00000000">
            <w:pPr>
              <w:spacing w:after="40"/>
              <w:rPr>
                <w:szCs w:val="36"/>
              </w:rPr>
            </w:pPr>
            <w:r w:rsidRPr="00C814F4">
              <w:rPr>
                <w:szCs w:val="36"/>
              </w:rPr>
              <w:t>1. Strategic design</w:t>
            </w:r>
          </w:p>
        </w:tc>
        <w:tc>
          <w:tcPr>
            <w:tcW w:w="1309" w:type="dxa"/>
          </w:tcPr>
          <w:p w14:paraId="7C1CAB41" w14:textId="77777777" w:rsidR="003561CE" w:rsidRPr="00C814F4" w:rsidRDefault="00000000">
            <w:pPr>
              <w:spacing w:after="40"/>
              <w:rPr>
                <w:szCs w:val="36"/>
              </w:rPr>
            </w:pPr>
            <w:r w:rsidRPr="00C814F4">
              <w:rPr>
                <w:szCs w:val="36"/>
              </w:rPr>
              <w:t>0-3 months</w:t>
            </w:r>
          </w:p>
        </w:tc>
        <w:tc>
          <w:tcPr>
            <w:tcW w:w="2561" w:type="dxa"/>
          </w:tcPr>
          <w:p w14:paraId="72E2DD43" w14:textId="77777777" w:rsidR="003561CE" w:rsidRPr="00C814F4" w:rsidRDefault="00000000">
            <w:pPr>
              <w:spacing w:after="40"/>
              <w:rPr>
                <w:szCs w:val="36"/>
              </w:rPr>
            </w:pPr>
            <w:r w:rsidRPr="00C814F4">
              <w:rPr>
                <w:szCs w:val="36"/>
              </w:rPr>
              <w:t>Define priority customer segments, price perception gaps, Clubcard personalisation rules and value communication principles.</w:t>
            </w:r>
          </w:p>
        </w:tc>
        <w:tc>
          <w:tcPr>
            <w:tcW w:w="2159" w:type="dxa"/>
          </w:tcPr>
          <w:p w14:paraId="044F4EE7" w14:textId="77777777" w:rsidR="003561CE" w:rsidRPr="00C814F4" w:rsidRDefault="00000000">
            <w:pPr>
              <w:spacing w:after="40"/>
              <w:rPr>
                <w:szCs w:val="36"/>
              </w:rPr>
            </w:pPr>
            <w:r w:rsidRPr="00C814F4">
              <w:rPr>
                <w:szCs w:val="36"/>
              </w:rPr>
              <w:t>Board, UK commercial, customer insight, finance, legal and data governance.</w:t>
            </w:r>
          </w:p>
        </w:tc>
        <w:tc>
          <w:tcPr>
            <w:tcW w:w="1961" w:type="dxa"/>
          </w:tcPr>
          <w:p w14:paraId="71929542" w14:textId="77777777" w:rsidR="003561CE" w:rsidRPr="00C814F4" w:rsidRDefault="00000000">
            <w:pPr>
              <w:spacing w:after="40"/>
              <w:rPr>
                <w:szCs w:val="36"/>
              </w:rPr>
            </w:pPr>
            <w:r w:rsidRPr="00C814F4">
              <w:rPr>
                <w:szCs w:val="36"/>
              </w:rPr>
              <w:t>Approved value framework; customer trust safeguards; baseline price perception, online cost and margin targets signed off within 3 months.</w:t>
            </w:r>
          </w:p>
        </w:tc>
      </w:tr>
      <w:tr w:rsidR="003561CE" w:rsidRPr="00C814F4" w14:paraId="574E9C4D" w14:textId="77777777" w:rsidTr="00447130">
        <w:trPr>
          <w:jc w:val="center"/>
        </w:trPr>
        <w:tc>
          <w:tcPr>
            <w:tcW w:w="1360" w:type="dxa"/>
          </w:tcPr>
          <w:p w14:paraId="665A72A2" w14:textId="77777777" w:rsidR="003561CE" w:rsidRPr="00C814F4" w:rsidRDefault="00000000">
            <w:pPr>
              <w:spacing w:after="40"/>
              <w:rPr>
                <w:szCs w:val="36"/>
              </w:rPr>
            </w:pPr>
            <w:r w:rsidRPr="00C814F4">
              <w:rPr>
                <w:szCs w:val="36"/>
              </w:rPr>
              <w:t>2. Customer value activation</w:t>
            </w:r>
          </w:p>
        </w:tc>
        <w:tc>
          <w:tcPr>
            <w:tcW w:w="1309" w:type="dxa"/>
          </w:tcPr>
          <w:p w14:paraId="36EC9781" w14:textId="77777777" w:rsidR="003561CE" w:rsidRPr="00C814F4" w:rsidRDefault="00000000">
            <w:pPr>
              <w:spacing w:after="40"/>
              <w:rPr>
                <w:szCs w:val="36"/>
              </w:rPr>
            </w:pPr>
            <w:r w:rsidRPr="00C814F4">
              <w:rPr>
                <w:szCs w:val="36"/>
              </w:rPr>
              <w:t>3-9 months</w:t>
            </w:r>
          </w:p>
        </w:tc>
        <w:tc>
          <w:tcPr>
            <w:tcW w:w="2561" w:type="dxa"/>
          </w:tcPr>
          <w:p w14:paraId="2D7D03DC" w14:textId="77777777" w:rsidR="003561CE" w:rsidRPr="00C814F4" w:rsidRDefault="00000000">
            <w:pPr>
              <w:spacing w:after="40"/>
              <w:rPr>
                <w:szCs w:val="36"/>
              </w:rPr>
            </w:pPr>
            <w:r w:rsidRPr="00C814F4">
              <w:rPr>
                <w:szCs w:val="36"/>
              </w:rPr>
              <w:t>Expand personalised Clubcard challenges, simplify promotions, protect key value items, and increase own-label innovation in healthy and affordable meals.</w:t>
            </w:r>
          </w:p>
        </w:tc>
        <w:tc>
          <w:tcPr>
            <w:tcW w:w="2159" w:type="dxa"/>
          </w:tcPr>
          <w:p w14:paraId="3009DA27" w14:textId="77777777" w:rsidR="003561CE" w:rsidRPr="00C814F4" w:rsidRDefault="00000000">
            <w:pPr>
              <w:spacing w:after="40"/>
              <w:rPr>
                <w:szCs w:val="36"/>
              </w:rPr>
            </w:pPr>
            <w:r w:rsidRPr="00C814F4">
              <w:rPr>
                <w:szCs w:val="36"/>
              </w:rPr>
              <w:t>Marketing, trading, own label, stores and digital.</w:t>
            </w:r>
          </w:p>
        </w:tc>
        <w:tc>
          <w:tcPr>
            <w:tcW w:w="1961" w:type="dxa"/>
          </w:tcPr>
          <w:p w14:paraId="0502CBBC" w14:textId="77777777" w:rsidR="003561CE" w:rsidRPr="00C814F4" w:rsidRDefault="00000000">
            <w:pPr>
              <w:spacing w:after="40"/>
              <w:rPr>
                <w:szCs w:val="36"/>
              </w:rPr>
            </w:pPr>
            <w:r w:rsidRPr="00C814F4">
              <w:rPr>
                <w:szCs w:val="36"/>
              </w:rPr>
              <w:t>5% uplift in personalised offer redemption; 10% reduction in price-complexity complaints; improved NPS; own-label share growth in healthy and affordable meal ranges.</w:t>
            </w:r>
          </w:p>
        </w:tc>
      </w:tr>
      <w:tr w:rsidR="003561CE" w:rsidRPr="00C814F4" w14:paraId="7AB2A48E" w14:textId="77777777" w:rsidTr="00447130">
        <w:trPr>
          <w:jc w:val="center"/>
        </w:trPr>
        <w:tc>
          <w:tcPr>
            <w:tcW w:w="1360" w:type="dxa"/>
          </w:tcPr>
          <w:p w14:paraId="7DCF07DE" w14:textId="77777777" w:rsidR="003561CE" w:rsidRPr="00C814F4" w:rsidRDefault="00000000">
            <w:pPr>
              <w:spacing w:after="40"/>
              <w:rPr>
                <w:szCs w:val="36"/>
              </w:rPr>
            </w:pPr>
            <w:r w:rsidRPr="00C814F4">
              <w:rPr>
                <w:szCs w:val="36"/>
              </w:rPr>
              <w:t>3. Operating productivity</w:t>
            </w:r>
          </w:p>
        </w:tc>
        <w:tc>
          <w:tcPr>
            <w:tcW w:w="1309" w:type="dxa"/>
          </w:tcPr>
          <w:p w14:paraId="0A6DBDF2" w14:textId="77777777" w:rsidR="003561CE" w:rsidRPr="00C814F4" w:rsidRDefault="00000000">
            <w:pPr>
              <w:spacing w:after="40"/>
              <w:rPr>
                <w:szCs w:val="36"/>
              </w:rPr>
            </w:pPr>
            <w:r w:rsidRPr="00C814F4">
              <w:rPr>
                <w:szCs w:val="36"/>
              </w:rPr>
              <w:t>6-18 months</w:t>
            </w:r>
          </w:p>
        </w:tc>
        <w:tc>
          <w:tcPr>
            <w:tcW w:w="2561" w:type="dxa"/>
          </w:tcPr>
          <w:p w14:paraId="2F1CAEC7" w14:textId="77777777" w:rsidR="003561CE" w:rsidRPr="00C814F4" w:rsidRDefault="00000000">
            <w:pPr>
              <w:spacing w:after="40"/>
              <w:rPr>
                <w:szCs w:val="36"/>
              </w:rPr>
            </w:pPr>
            <w:r w:rsidRPr="00C814F4">
              <w:rPr>
                <w:szCs w:val="36"/>
              </w:rPr>
              <w:t xml:space="preserve">Improve forecasting, availability, click-and-collect productivity, shrink </w:t>
            </w:r>
            <w:r w:rsidRPr="00C814F4">
              <w:rPr>
                <w:szCs w:val="36"/>
              </w:rPr>
              <w:lastRenderedPageBreak/>
              <w:t>control and supplier service-level routines.</w:t>
            </w:r>
          </w:p>
        </w:tc>
        <w:tc>
          <w:tcPr>
            <w:tcW w:w="2159" w:type="dxa"/>
          </w:tcPr>
          <w:p w14:paraId="7A69D52B" w14:textId="77777777" w:rsidR="003561CE" w:rsidRPr="00C814F4" w:rsidRDefault="00000000">
            <w:pPr>
              <w:spacing w:after="40"/>
              <w:rPr>
                <w:szCs w:val="36"/>
              </w:rPr>
            </w:pPr>
            <w:r w:rsidRPr="00C814F4">
              <w:rPr>
                <w:szCs w:val="36"/>
              </w:rPr>
              <w:lastRenderedPageBreak/>
              <w:t xml:space="preserve">Supply chain, stores, online operations, </w:t>
            </w:r>
            <w:r w:rsidRPr="00C814F4">
              <w:rPr>
                <w:szCs w:val="36"/>
              </w:rPr>
              <w:lastRenderedPageBreak/>
              <w:t>technology and suppliers.</w:t>
            </w:r>
          </w:p>
        </w:tc>
        <w:tc>
          <w:tcPr>
            <w:tcW w:w="1961" w:type="dxa"/>
          </w:tcPr>
          <w:p w14:paraId="4923BA66" w14:textId="77777777" w:rsidR="003561CE" w:rsidRPr="00C814F4" w:rsidRDefault="00000000">
            <w:pPr>
              <w:spacing w:after="40"/>
              <w:rPr>
                <w:szCs w:val="36"/>
              </w:rPr>
            </w:pPr>
            <w:r w:rsidRPr="00C814F4">
              <w:rPr>
                <w:szCs w:val="36"/>
              </w:rPr>
              <w:lastRenderedPageBreak/>
              <w:t xml:space="preserve">5-8% reduction in picking cost per order; on-shelf availability </w:t>
            </w:r>
            <w:r w:rsidRPr="00C814F4">
              <w:rPr>
                <w:szCs w:val="36"/>
              </w:rPr>
              <w:lastRenderedPageBreak/>
              <w:t>above 96%; 5% reduction in waste tonnes; improved supplier service levels; margin protection against guidance.</w:t>
            </w:r>
          </w:p>
        </w:tc>
      </w:tr>
      <w:tr w:rsidR="003561CE" w:rsidRPr="00C814F4" w14:paraId="018E20F1" w14:textId="77777777" w:rsidTr="00447130">
        <w:trPr>
          <w:jc w:val="center"/>
        </w:trPr>
        <w:tc>
          <w:tcPr>
            <w:tcW w:w="1360" w:type="dxa"/>
          </w:tcPr>
          <w:p w14:paraId="325FE30F" w14:textId="77777777" w:rsidR="003561CE" w:rsidRPr="00C814F4" w:rsidRDefault="00000000">
            <w:pPr>
              <w:spacing w:after="40"/>
              <w:rPr>
                <w:szCs w:val="36"/>
              </w:rPr>
            </w:pPr>
            <w:r w:rsidRPr="00C814F4">
              <w:rPr>
                <w:szCs w:val="36"/>
              </w:rPr>
              <w:lastRenderedPageBreak/>
              <w:t>4. Sustainability integration</w:t>
            </w:r>
          </w:p>
        </w:tc>
        <w:tc>
          <w:tcPr>
            <w:tcW w:w="1309" w:type="dxa"/>
          </w:tcPr>
          <w:p w14:paraId="23967983" w14:textId="77777777" w:rsidR="003561CE" w:rsidRPr="00C814F4" w:rsidRDefault="00000000">
            <w:pPr>
              <w:spacing w:after="40"/>
              <w:rPr>
                <w:szCs w:val="36"/>
              </w:rPr>
            </w:pPr>
            <w:r w:rsidRPr="00C814F4">
              <w:rPr>
                <w:szCs w:val="36"/>
              </w:rPr>
              <w:t>6-24 months</w:t>
            </w:r>
          </w:p>
        </w:tc>
        <w:tc>
          <w:tcPr>
            <w:tcW w:w="2561" w:type="dxa"/>
          </w:tcPr>
          <w:p w14:paraId="5EC05FDE" w14:textId="77777777" w:rsidR="003561CE" w:rsidRPr="00C814F4" w:rsidRDefault="00000000">
            <w:pPr>
              <w:spacing w:after="40"/>
              <w:rPr>
                <w:szCs w:val="36"/>
              </w:rPr>
            </w:pPr>
            <w:r w:rsidRPr="00C814F4">
              <w:rPr>
                <w:szCs w:val="36"/>
              </w:rPr>
              <w:t>Link waste, packaging, low-carbon farming trials and supplier net-zero commitments to category plans and procurement reviews.</w:t>
            </w:r>
          </w:p>
        </w:tc>
        <w:tc>
          <w:tcPr>
            <w:tcW w:w="2159" w:type="dxa"/>
          </w:tcPr>
          <w:p w14:paraId="152ABA37" w14:textId="77777777" w:rsidR="003561CE" w:rsidRPr="00C814F4" w:rsidRDefault="00000000">
            <w:pPr>
              <w:spacing w:after="40"/>
              <w:rPr>
                <w:szCs w:val="36"/>
              </w:rPr>
            </w:pPr>
            <w:r w:rsidRPr="00C814F4">
              <w:rPr>
                <w:szCs w:val="36"/>
              </w:rPr>
              <w:t>Sustainability, procurement, commercial and supplier partnerships.</w:t>
            </w:r>
          </w:p>
        </w:tc>
        <w:tc>
          <w:tcPr>
            <w:tcW w:w="1961" w:type="dxa"/>
          </w:tcPr>
          <w:p w14:paraId="23369F68" w14:textId="77777777" w:rsidR="003561CE" w:rsidRPr="00C814F4" w:rsidRDefault="00000000">
            <w:pPr>
              <w:spacing w:after="40"/>
              <w:rPr>
                <w:szCs w:val="36"/>
              </w:rPr>
            </w:pPr>
            <w:r w:rsidRPr="00C814F4">
              <w:rPr>
                <w:szCs w:val="36"/>
              </w:rPr>
              <w:t>At least 85% redistribution of safe surplus food; 90% own-brand packaging recyclable at kerbside; supplier net-zero commitments covering at least 75% of grocery supplier value.</w:t>
            </w:r>
          </w:p>
        </w:tc>
      </w:tr>
      <w:tr w:rsidR="003561CE" w:rsidRPr="00C814F4" w14:paraId="5DECF458" w14:textId="77777777" w:rsidTr="00447130">
        <w:trPr>
          <w:jc w:val="center"/>
        </w:trPr>
        <w:tc>
          <w:tcPr>
            <w:tcW w:w="1360" w:type="dxa"/>
          </w:tcPr>
          <w:p w14:paraId="44926DF4" w14:textId="77777777" w:rsidR="003561CE" w:rsidRPr="00C814F4" w:rsidRDefault="00000000">
            <w:pPr>
              <w:spacing w:after="40"/>
              <w:rPr>
                <w:szCs w:val="36"/>
              </w:rPr>
            </w:pPr>
            <w:r w:rsidRPr="00C814F4">
              <w:rPr>
                <w:szCs w:val="36"/>
              </w:rPr>
              <w:t>5. Review and scaling</w:t>
            </w:r>
          </w:p>
        </w:tc>
        <w:tc>
          <w:tcPr>
            <w:tcW w:w="1309" w:type="dxa"/>
          </w:tcPr>
          <w:p w14:paraId="40911085" w14:textId="77777777" w:rsidR="003561CE" w:rsidRPr="00C814F4" w:rsidRDefault="00000000">
            <w:pPr>
              <w:spacing w:after="40"/>
              <w:rPr>
                <w:szCs w:val="36"/>
              </w:rPr>
            </w:pPr>
            <w:r w:rsidRPr="00C814F4">
              <w:rPr>
                <w:szCs w:val="36"/>
              </w:rPr>
              <w:t>12-24 months</w:t>
            </w:r>
          </w:p>
        </w:tc>
        <w:tc>
          <w:tcPr>
            <w:tcW w:w="2561" w:type="dxa"/>
          </w:tcPr>
          <w:p w14:paraId="18338C52" w14:textId="77777777" w:rsidR="003561CE" w:rsidRPr="00C814F4" w:rsidRDefault="00000000">
            <w:pPr>
              <w:spacing w:after="40"/>
              <w:rPr>
                <w:szCs w:val="36"/>
              </w:rPr>
            </w:pPr>
            <w:r w:rsidRPr="00C814F4">
              <w:rPr>
                <w:szCs w:val="36"/>
              </w:rPr>
              <w:t>Scale initiatives that improve both customer value and profit quality; stop projects that create complexity without customer benefit.</w:t>
            </w:r>
          </w:p>
        </w:tc>
        <w:tc>
          <w:tcPr>
            <w:tcW w:w="2159" w:type="dxa"/>
          </w:tcPr>
          <w:p w14:paraId="0C9ADCA4" w14:textId="77777777" w:rsidR="003561CE" w:rsidRPr="00C814F4" w:rsidRDefault="00000000">
            <w:pPr>
              <w:spacing w:after="40"/>
              <w:rPr>
                <w:szCs w:val="36"/>
              </w:rPr>
            </w:pPr>
            <w:r w:rsidRPr="00C814F4">
              <w:rPr>
                <w:szCs w:val="36"/>
              </w:rPr>
              <w:t>Executive committee, finance, customer insight and operations.</w:t>
            </w:r>
          </w:p>
        </w:tc>
        <w:tc>
          <w:tcPr>
            <w:tcW w:w="1961" w:type="dxa"/>
          </w:tcPr>
          <w:p w14:paraId="2C0F318F" w14:textId="77777777" w:rsidR="003561CE" w:rsidRPr="00C814F4" w:rsidRDefault="00000000">
            <w:pPr>
              <w:spacing w:after="40"/>
              <w:rPr>
                <w:szCs w:val="36"/>
              </w:rPr>
            </w:pPr>
            <w:r w:rsidRPr="00C814F4">
              <w:rPr>
                <w:szCs w:val="36"/>
              </w:rPr>
              <w:t>Balanced scorecard reviewed quarterly; ROI thresholds met before scale-up; free cash flow protected; colleague engagement and customer satisfaction not below baseline.</w:t>
            </w:r>
          </w:p>
        </w:tc>
      </w:tr>
    </w:tbl>
    <w:p w14:paraId="6666B30D" w14:textId="77777777" w:rsidR="003561CE" w:rsidRPr="00447130" w:rsidRDefault="00447130" w:rsidP="00447130">
      <w:pPr>
        <w:spacing w:after="120" w:line="360" w:lineRule="auto"/>
        <w:jc w:val="center"/>
        <w:rPr>
          <w:i/>
          <w:iCs/>
        </w:rPr>
      </w:pPr>
      <w:r w:rsidRPr="00447130">
        <w:rPr>
          <w:i/>
          <w:iCs/>
        </w:rPr>
        <w:t xml:space="preserve">Source: Author's proposed implementation plan based on Tesco PLC (2025a), Tesco PLC (2025b), Tesco PLC (2026), Kaplan and Norton (1992) and Teece, Pisano and </w:t>
      </w:r>
      <w:proofErr w:type="spellStart"/>
      <w:r w:rsidRPr="00447130">
        <w:rPr>
          <w:i/>
          <w:iCs/>
        </w:rPr>
        <w:t>Shuen</w:t>
      </w:r>
      <w:proofErr w:type="spellEnd"/>
      <w:r w:rsidRPr="00447130">
        <w:rPr>
          <w:i/>
          <w:iCs/>
        </w:rPr>
        <w:t xml:space="preserve"> (1997).</w:t>
      </w:r>
    </w:p>
    <w:p w14:paraId="0CEFE6D2" w14:textId="77777777" w:rsidR="00C814F4" w:rsidRDefault="00C814F4">
      <w:pPr>
        <w:spacing w:after="120" w:line="360" w:lineRule="auto"/>
        <w:jc w:val="both"/>
      </w:pPr>
      <w:r w:rsidRPr="00C814F4">
        <w:lastRenderedPageBreak/>
        <w:t xml:space="preserve">The implementation plan does not contain any attractive but vague recommendations by associating the strategy with functions, timescales and measurable outcomes, such as offer redemption, price-complexity complaints, picking cost per order, availability, food-waste reduction, packaging recyclability and quarterly ROI controls. Tesco is meant to clarify the customer value architecture and then align operating processes and then scale initiatives which enhance customer results and the quality of profit. This sequencing is an indication of dynamic capability logic (Teece, Pisano and </w:t>
      </w:r>
      <w:proofErr w:type="spellStart"/>
      <w:r w:rsidRPr="00C814F4">
        <w:t>Shuen</w:t>
      </w:r>
      <w:proofErr w:type="spellEnd"/>
      <w:r w:rsidRPr="00C814F4">
        <w:t>, 1997).</w:t>
      </w:r>
    </w:p>
    <w:p w14:paraId="6A76CBBF" w14:textId="77777777" w:rsidR="003561CE" w:rsidRDefault="00000000">
      <w:pPr>
        <w:pStyle w:val="Heading2"/>
        <w:spacing w:before="0" w:after="120" w:line="360" w:lineRule="auto"/>
      </w:pPr>
      <w:bookmarkStart w:id="13" w:name="_Toc234069047"/>
      <w:r>
        <w:rPr>
          <w:rFonts w:ascii="Arial" w:eastAsia="Arial" w:hAnsi="Arial"/>
          <w:sz w:val="24"/>
        </w:rPr>
        <w:t>4.3 Implementation Challenges and Mitigation</w:t>
      </w:r>
      <w:bookmarkEnd w:id="13"/>
    </w:p>
    <w:p w14:paraId="6A7346D6" w14:textId="77777777" w:rsidR="003561CE" w:rsidRPr="00535096" w:rsidRDefault="00000000" w:rsidP="00535096">
      <w:pPr>
        <w:pStyle w:val="Caption"/>
        <w:spacing w:after="80"/>
        <w:rPr>
          <w:color w:val="000000" w:themeColor="text1"/>
          <w:sz w:val="24"/>
          <w:szCs w:val="24"/>
        </w:rPr>
      </w:pPr>
      <w:r w:rsidRPr="00535096">
        <w:rPr>
          <w:color w:val="000000" w:themeColor="text1"/>
          <w:sz w:val="24"/>
          <w:szCs w:val="24"/>
        </w:rPr>
        <w:t>Table 8. Implementation risks and mitigation actions.</w:t>
      </w:r>
    </w:p>
    <w:tbl>
      <w:tblPr>
        <w:tblStyle w:val="TableGrid"/>
        <w:tblW w:w="0" w:type="auto"/>
        <w:jc w:val="center"/>
        <w:tblLook w:val="04A0" w:firstRow="1" w:lastRow="0" w:firstColumn="1" w:lastColumn="0" w:noHBand="0" w:noVBand="1"/>
      </w:tblPr>
      <w:tblGrid>
        <w:gridCol w:w="2173"/>
        <w:gridCol w:w="3386"/>
        <w:gridCol w:w="3791"/>
      </w:tblGrid>
      <w:tr w:rsidR="003561CE" w:rsidRPr="006C214D" w14:paraId="04C89902" w14:textId="77777777" w:rsidTr="00535096">
        <w:trPr>
          <w:tblHeader/>
          <w:jc w:val="center"/>
        </w:trPr>
        <w:tc>
          <w:tcPr>
            <w:tcW w:w="2173" w:type="dxa"/>
            <w:shd w:val="clear" w:color="auto" w:fill="D9EAF7"/>
          </w:tcPr>
          <w:p w14:paraId="63716186" w14:textId="77777777" w:rsidR="003561CE" w:rsidRPr="006C214D" w:rsidRDefault="00000000">
            <w:pPr>
              <w:spacing w:after="40"/>
              <w:rPr>
                <w:sz w:val="22"/>
                <w:szCs w:val="32"/>
              </w:rPr>
            </w:pPr>
            <w:r w:rsidRPr="006C214D">
              <w:rPr>
                <w:b/>
                <w:sz w:val="22"/>
                <w:szCs w:val="32"/>
              </w:rPr>
              <w:t>Challenge</w:t>
            </w:r>
          </w:p>
        </w:tc>
        <w:tc>
          <w:tcPr>
            <w:tcW w:w="3386" w:type="dxa"/>
            <w:shd w:val="clear" w:color="auto" w:fill="D9EAF7"/>
          </w:tcPr>
          <w:p w14:paraId="0FB72D18" w14:textId="77777777" w:rsidR="003561CE" w:rsidRPr="006C214D" w:rsidRDefault="00000000">
            <w:pPr>
              <w:spacing w:after="40"/>
              <w:rPr>
                <w:sz w:val="22"/>
                <w:szCs w:val="32"/>
              </w:rPr>
            </w:pPr>
            <w:r w:rsidRPr="006C214D">
              <w:rPr>
                <w:b/>
                <w:sz w:val="22"/>
                <w:szCs w:val="32"/>
              </w:rPr>
              <w:t>Why it matters</w:t>
            </w:r>
          </w:p>
        </w:tc>
        <w:tc>
          <w:tcPr>
            <w:tcW w:w="3791" w:type="dxa"/>
            <w:shd w:val="clear" w:color="auto" w:fill="D9EAF7"/>
          </w:tcPr>
          <w:p w14:paraId="0149BC47" w14:textId="77777777" w:rsidR="003561CE" w:rsidRPr="006C214D" w:rsidRDefault="00000000">
            <w:pPr>
              <w:spacing w:after="40"/>
              <w:rPr>
                <w:sz w:val="22"/>
                <w:szCs w:val="32"/>
              </w:rPr>
            </w:pPr>
            <w:r w:rsidRPr="006C214D">
              <w:rPr>
                <w:b/>
                <w:sz w:val="22"/>
                <w:szCs w:val="32"/>
              </w:rPr>
              <w:t>Mitigation</w:t>
            </w:r>
          </w:p>
        </w:tc>
      </w:tr>
      <w:tr w:rsidR="003561CE" w:rsidRPr="006C214D" w14:paraId="5132A923" w14:textId="77777777" w:rsidTr="00535096">
        <w:trPr>
          <w:jc w:val="center"/>
        </w:trPr>
        <w:tc>
          <w:tcPr>
            <w:tcW w:w="2173" w:type="dxa"/>
          </w:tcPr>
          <w:p w14:paraId="1EA29176" w14:textId="77777777" w:rsidR="003561CE" w:rsidRPr="006C214D" w:rsidRDefault="00000000">
            <w:pPr>
              <w:spacing w:after="40"/>
              <w:rPr>
                <w:sz w:val="22"/>
                <w:szCs w:val="32"/>
              </w:rPr>
            </w:pPr>
            <w:r w:rsidRPr="006C214D">
              <w:rPr>
                <w:sz w:val="22"/>
                <w:szCs w:val="32"/>
              </w:rPr>
              <w:t>Margin erosion from price investment</w:t>
            </w:r>
          </w:p>
        </w:tc>
        <w:tc>
          <w:tcPr>
            <w:tcW w:w="3386" w:type="dxa"/>
          </w:tcPr>
          <w:p w14:paraId="5DB30F86" w14:textId="77777777" w:rsidR="003561CE" w:rsidRPr="006C214D" w:rsidRDefault="00000000">
            <w:pPr>
              <w:spacing w:after="40"/>
              <w:rPr>
                <w:sz w:val="22"/>
                <w:szCs w:val="32"/>
              </w:rPr>
            </w:pPr>
            <w:r w:rsidRPr="006C214D">
              <w:rPr>
                <w:sz w:val="22"/>
                <w:szCs w:val="32"/>
              </w:rPr>
              <w:t>Competitors can force Tesco to spend more on price while inflation and labour costs reduce profit flexibility.</w:t>
            </w:r>
          </w:p>
        </w:tc>
        <w:tc>
          <w:tcPr>
            <w:tcW w:w="3791" w:type="dxa"/>
          </w:tcPr>
          <w:p w14:paraId="39677650" w14:textId="77777777" w:rsidR="003561CE" w:rsidRPr="006C214D" w:rsidRDefault="00000000">
            <w:pPr>
              <w:spacing w:after="40"/>
              <w:rPr>
                <w:sz w:val="22"/>
                <w:szCs w:val="32"/>
              </w:rPr>
            </w:pPr>
            <w:r w:rsidRPr="006C214D">
              <w:rPr>
                <w:sz w:val="22"/>
                <w:szCs w:val="32"/>
              </w:rPr>
              <w:t>Use selective price matching on known value items, fund through productivity, and monitor basket profitability rather than line-level price alone.</w:t>
            </w:r>
          </w:p>
        </w:tc>
      </w:tr>
      <w:tr w:rsidR="003561CE" w:rsidRPr="006C214D" w14:paraId="793EDB5A" w14:textId="77777777" w:rsidTr="00535096">
        <w:trPr>
          <w:jc w:val="center"/>
        </w:trPr>
        <w:tc>
          <w:tcPr>
            <w:tcW w:w="2173" w:type="dxa"/>
          </w:tcPr>
          <w:p w14:paraId="1F8F87E5" w14:textId="77777777" w:rsidR="003561CE" w:rsidRPr="006C214D" w:rsidRDefault="00000000">
            <w:pPr>
              <w:spacing w:after="40"/>
              <w:rPr>
                <w:sz w:val="22"/>
                <w:szCs w:val="32"/>
              </w:rPr>
            </w:pPr>
            <w:r w:rsidRPr="006C214D">
              <w:rPr>
                <w:sz w:val="22"/>
                <w:szCs w:val="32"/>
              </w:rPr>
              <w:t>Customer distrust of loyalty pricing</w:t>
            </w:r>
          </w:p>
        </w:tc>
        <w:tc>
          <w:tcPr>
            <w:tcW w:w="3386" w:type="dxa"/>
          </w:tcPr>
          <w:p w14:paraId="605D3069" w14:textId="77777777" w:rsidR="003561CE" w:rsidRPr="006C214D" w:rsidRDefault="00000000">
            <w:pPr>
              <w:spacing w:after="40"/>
              <w:rPr>
                <w:sz w:val="22"/>
                <w:szCs w:val="32"/>
              </w:rPr>
            </w:pPr>
            <w:r w:rsidRPr="006C214D">
              <w:rPr>
                <w:sz w:val="22"/>
                <w:szCs w:val="32"/>
              </w:rPr>
              <w:t>If customers see Clubcard Prices as complex or unfair, data-driven value could damage trust.</w:t>
            </w:r>
          </w:p>
        </w:tc>
        <w:tc>
          <w:tcPr>
            <w:tcW w:w="3791" w:type="dxa"/>
          </w:tcPr>
          <w:p w14:paraId="72170C46" w14:textId="77777777" w:rsidR="003561CE" w:rsidRPr="006C214D" w:rsidRDefault="00000000">
            <w:pPr>
              <w:spacing w:after="40"/>
              <w:rPr>
                <w:sz w:val="22"/>
                <w:szCs w:val="32"/>
              </w:rPr>
            </w:pPr>
            <w:r w:rsidRPr="006C214D">
              <w:rPr>
                <w:sz w:val="22"/>
                <w:szCs w:val="32"/>
              </w:rPr>
              <w:t>Make savings transparent, avoid excessive personalised price discrimination, and strengthen data governance oversight.</w:t>
            </w:r>
          </w:p>
        </w:tc>
      </w:tr>
      <w:tr w:rsidR="003561CE" w:rsidRPr="006C214D" w14:paraId="28C96D9C" w14:textId="77777777" w:rsidTr="00535096">
        <w:trPr>
          <w:jc w:val="center"/>
        </w:trPr>
        <w:tc>
          <w:tcPr>
            <w:tcW w:w="2173" w:type="dxa"/>
          </w:tcPr>
          <w:p w14:paraId="7B720AB2" w14:textId="77777777" w:rsidR="003561CE" w:rsidRPr="006C214D" w:rsidRDefault="00000000">
            <w:pPr>
              <w:spacing w:after="40"/>
              <w:rPr>
                <w:sz w:val="22"/>
                <w:szCs w:val="32"/>
              </w:rPr>
            </w:pPr>
            <w:r w:rsidRPr="006C214D">
              <w:rPr>
                <w:sz w:val="22"/>
                <w:szCs w:val="32"/>
              </w:rPr>
              <w:t>Operational complexity</w:t>
            </w:r>
          </w:p>
        </w:tc>
        <w:tc>
          <w:tcPr>
            <w:tcW w:w="3386" w:type="dxa"/>
          </w:tcPr>
          <w:p w14:paraId="61114A5E" w14:textId="77777777" w:rsidR="003561CE" w:rsidRPr="006C214D" w:rsidRDefault="00000000">
            <w:pPr>
              <w:spacing w:after="40"/>
              <w:rPr>
                <w:sz w:val="22"/>
                <w:szCs w:val="32"/>
              </w:rPr>
            </w:pPr>
            <w:r w:rsidRPr="006C214D">
              <w:rPr>
                <w:sz w:val="22"/>
                <w:szCs w:val="32"/>
              </w:rPr>
              <w:t>Stores, online, convenience, retail media, own label and sustainability can create competing priorities.</w:t>
            </w:r>
          </w:p>
        </w:tc>
        <w:tc>
          <w:tcPr>
            <w:tcW w:w="3791" w:type="dxa"/>
          </w:tcPr>
          <w:p w14:paraId="6F5EF427" w14:textId="77777777" w:rsidR="003561CE" w:rsidRPr="006C214D" w:rsidRDefault="00000000">
            <w:pPr>
              <w:spacing w:after="40"/>
              <w:rPr>
                <w:sz w:val="22"/>
                <w:szCs w:val="32"/>
              </w:rPr>
            </w:pPr>
            <w:r w:rsidRPr="006C214D">
              <w:rPr>
                <w:sz w:val="22"/>
                <w:szCs w:val="32"/>
              </w:rPr>
              <w:t>Use a balanced scorecard and stop initiatives that do not improve customer value, profit quality or resilience.</w:t>
            </w:r>
          </w:p>
        </w:tc>
      </w:tr>
      <w:tr w:rsidR="003561CE" w:rsidRPr="006C214D" w14:paraId="0E0FF5F9" w14:textId="77777777" w:rsidTr="00535096">
        <w:trPr>
          <w:jc w:val="center"/>
        </w:trPr>
        <w:tc>
          <w:tcPr>
            <w:tcW w:w="2173" w:type="dxa"/>
          </w:tcPr>
          <w:p w14:paraId="527ED3CF" w14:textId="77777777" w:rsidR="003561CE" w:rsidRPr="006C214D" w:rsidRDefault="00000000">
            <w:pPr>
              <w:spacing w:after="40"/>
              <w:rPr>
                <w:sz w:val="22"/>
                <w:szCs w:val="32"/>
              </w:rPr>
            </w:pPr>
            <w:r w:rsidRPr="006C214D">
              <w:rPr>
                <w:sz w:val="22"/>
                <w:szCs w:val="32"/>
              </w:rPr>
              <w:t>Supplier resistance</w:t>
            </w:r>
          </w:p>
        </w:tc>
        <w:tc>
          <w:tcPr>
            <w:tcW w:w="3386" w:type="dxa"/>
          </w:tcPr>
          <w:p w14:paraId="669099BE" w14:textId="77777777" w:rsidR="003561CE" w:rsidRPr="006C214D" w:rsidRDefault="00000000">
            <w:pPr>
              <w:spacing w:after="40"/>
              <w:rPr>
                <w:sz w:val="22"/>
                <w:szCs w:val="32"/>
              </w:rPr>
            </w:pPr>
            <w:r w:rsidRPr="006C214D">
              <w:rPr>
                <w:sz w:val="22"/>
                <w:szCs w:val="32"/>
              </w:rPr>
              <w:t>Supplier productivity and sustainability demands can shift costs upstream and weaken relationships.</w:t>
            </w:r>
          </w:p>
        </w:tc>
        <w:tc>
          <w:tcPr>
            <w:tcW w:w="3791" w:type="dxa"/>
          </w:tcPr>
          <w:p w14:paraId="5466FD4B" w14:textId="77777777" w:rsidR="003561CE" w:rsidRPr="006C214D" w:rsidRDefault="00000000">
            <w:pPr>
              <w:spacing w:after="40"/>
              <w:rPr>
                <w:sz w:val="22"/>
                <w:szCs w:val="32"/>
              </w:rPr>
            </w:pPr>
            <w:r w:rsidRPr="006C214D">
              <w:rPr>
                <w:sz w:val="22"/>
                <w:szCs w:val="32"/>
              </w:rPr>
              <w:t>Use joint business planning, shared forecasting and multi-year commitments with key suppliers.</w:t>
            </w:r>
          </w:p>
        </w:tc>
      </w:tr>
      <w:tr w:rsidR="003561CE" w:rsidRPr="006C214D" w14:paraId="2A5BA7D9" w14:textId="77777777" w:rsidTr="00535096">
        <w:trPr>
          <w:jc w:val="center"/>
        </w:trPr>
        <w:tc>
          <w:tcPr>
            <w:tcW w:w="2173" w:type="dxa"/>
          </w:tcPr>
          <w:p w14:paraId="155C0F20" w14:textId="77777777" w:rsidR="003561CE" w:rsidRPr="006C214D" w:rsidRDefault="00000000">
            <w:pPr>
              <w:spacing w:after="40"/>
              <w:rPr>
                <w:sz w:val="22"/>
                <w:szCs w:val="32"/>
              </w:rPr>
            </w:pPr>
            <w:r w:rsidRPr="006C214D">
              <w:rPr>
                <w:sz w:val="22"/>
                <w:szCs w:val="32"/>
              </w:rPr>
              <w:t>Sustainability delivery gap</w:t>
            </w:r>
          </w:p>
        </w:tc>
        <w:tc>
          <w:tcPr>
            <w:tcW w:w="3386" w:type="dxa"/>
          </w:tcPr>
          <w:p w14:paraId="07BD04E9" w14:textId="77777777" w:rsidR="003561CE" w:rsidRPr="006C214D" w:rsidRDefault="00000000">
            <w:pPr>
              <w:spacing w:after="40"/>
              <w:rPr>
                <w:sz w:val="22"/>
                <w:szCs w:val="32"/>
              </w:rPr>
            </w:pPr>
            <w:r w:rsidRPr="006C214D">
              <w:rPr>
                <w:sz w:val="22"/>
                <w:szCs w:val="32"/>
              </w:rPr>
              <w:t>Some environmental goals depend on infrastructure and supplier behaviour outside Tesco's direct control.</w:t>
            </w:r>
          </w:p>
        </w:tc>
        <w:tc>
          <w:tcPr>
            <w:tcW w:w="3791" w:type="dxa"/>
          </w:tcPr>
          <w:p w14:paraId="797220A7" w14:textId="77777777" w:rsidR="003561CE" w:rsidRPr="006C214D" w:rsidRDefault="00000000">
            <w:pPr>
              <w:spacing w:after="40"/>
              <w:rPr>
                <w:sz w:val="22"/>
                <w:szCs w:val="32"/>
              </w:rPr>
            </w:pPr>
            <w:r w:rsidRPr="006C214D">
              <w:rPr>
                <w:sz w:val="22"/>
                <w:szCs w:val="32"/>
              </w:rPr>
              <w:t>Report progress honestly, prioritise controllable waste and packaging actions, and collaborate with industry and government.</w:t>
            </w:r>
          </w:p>
        </w:tc>
      </w:tr>
      <w:tr w:rsidR="003561CE" w:rsidRPr="006C214D" w14:paraId="1ED6338E" w14:textId="77777777" w:rsidTr="00535096">
        <w:trPr>
          <w:jc w:val="center"/>
        </w:trPr>
        <w:tc>
          <w:tcPr>
            <w:tcW w:w="2173" w:type="dxa"/>
          </w:tcPr>
          <w:p w14:paraId="1942E901" w14:textId="77777777" w:rsidR="003561CE" w:rsidRPr="006C214D" w:rsidRDefault="00000000">
            <w:pPr>
              <w:spacing w:after="40"/>
              <w:rPr>
                <w:sz w:val="22"/>
                <w:szCs w:val="32"/>
              </w:rPr>
            </w:pPr>
            <w:r w:rsidRPr="006C214D">
              <w:rPr>
                <w:sz w:val="22"/>
                <w:szCs w:val="32"/>
              </w:rPr>
              <w:t>Digital and cybersecurity risk</w:t>
            </w:r>
          </w:p>
        </w:tc>
        <w:tc>
          <w:tcPr>
            <w:tcW w:w="3386" w:type="dxa"/>
          </w:tcPr>
          <w:p w14:paraId="36F1958B" w14:textId="77777777" w:rsidR="003561CE" w:rsidRPr="006C214D" w:rsidRDefault="00000000">
            <w:pPr>
              <w:spacing w:after="40"/>
              <w:rPr>
                <w:sz w:val="22"/>
                <w:szCs w:val="32"/>
              </w:rPr>
            </w:pPr>
            <w:r w:rsidRPr="006C214D">
              <w:rPr>
                <w:sz w:val="22"/>
                <w:szCs w:val="32"/>
              </w:rPr>
              <w:t>Clubcard, retail media and personalisation increase data governance exposure.</w:t>
            </w:r>
          </w:p>
        </w:tc>
        <w:tc>
          <w:tcPr>
            <w:tcW w:w="3791" w:type="dxa"/>
          </w:tcPr>
          <w:p w14:paraId="6D02C897" w14:textId="77777777" w:rsidR="003561CE" w:rsidRPr="006C214D" w:rsidRDefault="00000000">
            <w:pPr>
              <w:spacing w:after="40"/>
              <w:rPr>
                <w:sz w:val="22"/>
                <w:szCs w:val="32"/>
              </w:rPr>
            </w:pPr>
            <w:r w:rsidRPr="006C214D">
              <w:rPr>
                <w:sz w:val="22"/>
                <w:szCs w:val="32"/>
              </w:rPr>
              <w:t>Strengthen privacy-by-design, cyber resilience, audit trails and clear customer consent mechanisms.</w:t>
            </w:r>
          </w:p>
        </w:tc>
      </w:tr>
    </w:tbl>
    <w:p w14:paraId="1A849B3D" w14:textId="77777777" w:rsidR="003561CE" w:rsidRPr="00535096" w:rsidRDefault="00535096" w:rsidP="00535096">
      <w:pPr>
        <w:spacing w:after="120" w:line="360" w:lineRule="auto"/>
        <w:jc w:val="center"/>
        <w:rPr>
          <w:i/>
          <w:iCs/>
        </w:rPr>
      </w:pPr>
      <w:r w:rsidRPr="00535096">
        <w:rPr>
          <w:i/>
          <w:iCs/>
        </w:rPr>
        <w:t>Source: Author's analysis based on Porter (1985), Barney (1991), BRC (2025), Reuters (2026), Tesco PLC (2025b) and ONS (2026).</w:t>
      </w:r>
    </w:p>
    <w:p w14:paraId="6C444607" w14:textId="77777777" w:rsidR="00C814F4" w:rsidRDefault="00C814F4">
      <w:pPr>
        <w:spacing w:after="120" w:line="360" w:lineRule="auto"/>
        <w:jc w:val="both"/>
      </w:pPr>
      <w:r w:rsidRPr="00C814F4">
        <w:t xml:space="preserve">The recommended strategy can deliver optimum performance because it fits Tesco's distinctive resource base and the current industry structure. It allows Tesco to compete with discounters on visible value while using assets that discounters cannot fully replicate: </w:t>
      </w:r>
      <w:r w:rsidRPr="00C814F4">
        <w:lastRenderedPageBreak/>
        <w:t xml:space="preserve">data depth, range breadth, convenience density, online reach, supplier collaboration and own-label architecture. The customers will experience a </w:t>
      </w:r>
      <w:proofErr w:type="spellStart"/>
      <w:r w:rsidRPr="00C814F4">
        <w:t>personalised</w:t>
      </w:r>
      <w:proofErr w:type="spellEnd"/>
      <w:r w:rsidRPr="00C814F4">
        <w:t xml:space="preserve"> and convenient value, and Tesco will enhance forecasting, </w:t>
      </w:r>
      <w:proofErr w:type="spellStart"/>
      <w:r w:rsidRPr="00C814F4">
        <w:t>minimise</w:t>
      </w:r>
      <w:proofErr w:type="spellEnd"/>
      <w:r w:rsidRPr="00C814F4">
        <w:t xml:space="preserve"> waste and defend margin. The conclusion is that the current strategy of Tesco is appropriate regarding the direction but needs to be more integrated.</w:t>
      </w:r>
    </w:p>
    <w:p w14:paraId="123F76B4" w14:textId="77777777" w:rsidR="00C814F4" w:rsidRDefault="00C814F4">
      <w:pPr>
        <w:rPr>
          <w:rFonts w:cstheme="majorBidi"/>
          <w:b/>
          <w:bCs/>
          <w:color w:val="0B1F33"/>
          <w:szCs w:val="28"/>
        </w:rPr>
      </w:pPr>
      <w:r>
        <w:br w:type="page"/>
      </w:r>
    </w:p>
    <w:p w14:paraId="27B98A1E" w14:textId="77777777" w:rsidR="003561CE" w:rsidRPr="00B235EA" w:rsidRDefault="00000000">
      <w:pPr>
        <w:pStyle w:val="Heading1"/>
        <w:spacing w:before="0" w:after="120" w:line="360" w:lineRule="auto"/>
        <w:rPr>
          <w:sz w:val="36"/>
          <w:szCs w:val="32"/>
        </w:rPr>
      </w:pPr>
      <w:bookmarkStart w:id="14" w:name="_Toc234069048"/>
      <w:r w:rsidRPr="00B235EA">
        <w:rPr>
          <w:rFonts w:ascii="Arial" w:eastAsia="Arial" w:hAnsi="Arial"/>
          <w:sz w:val="28"/>
          <w:szCs w:val="32"/>
        </w:rPr>
        <w:lastRenderedPageBreak/>
        <w:t>Section 2: Reflective Account Using Gibbs Reflective Cycle</w:t>
      </w:r>
      <w:bookmarkEnd w:id="14"/>
    </w:p>
    <w:p w14:paraId="13F4799E" w14:textId="77777777" w:rsidR="00C814F4" w:rsidRDefault="00C814F4">
      <w:pPr>
        <w:spacing w:after="120" w:line="360" w:lineRule="auto"/>
        <w:jc w:val="both"/>
      </w:pPr>
      <w:r w:rsidRPr="00C814F4">
        <w:t>Gibbs' reflective cycle is used because it moves reflection through description, feelings, evaluation, analysis, conclusion and action planning (Gibbs, 1988). This was an appropriate structure since not only was it necessary to describe Tesco, but also to evaluate its strategic position as a consultant compiling advice to the Board. The process compelled me to explore the role of evidence, assumptions and decision choices in making the final recommendation.</w:t>
      </w:r>
    </w:p>
    <w:p w14:paraId="24EA5846" w14:textId="77777777" w:rsidR="003561CE" w:rsidRDefault="00000000">
      <w:pPr>
        <w:pStyle w:val="Heading2"/>
        <w:spacing w:before="0" w:after="120" w:line="360" w:lineRule="auto"/>
      </w:pPr>
      <w:bookmarkStart w:id="15" w:name="_Toc234069049"/>
      <w:r>
        <w:rPr>
          <w:rFonts w:ascii="Arial" w:eastAsia="Arial" w:hAnsi="Arial"/>
          <w:sz w:val="24"/>
        </w:rPr>
        <w:t>Description</w:t>
      </w:r>
      <w:bookmarkEnd w:id="15"/>
    </w:p>
    <w:p w14:paraId="4D493FE8" w14:textId="77777777" w:rsidR="006C49B6" w:rsidRDefault="006C49B6">
      <w:pPr>
        <w:spacing w:after="120" w:line="360" w:lineRule="auto"/>
        <w:jc w:val="both"/>
      </w:pPr>
      <w:r w:rsidRPr="006C49B6">
        <w:t xml:space="preserve">The report concentrated on the Tesco UK grocery retail market, which demanded the application of strategic management theory, available information and practical suggestions. I commenced with reading the assessment brief and determining the main requirements: </w:t>
      </w:r>
      <w:proofErr w:type="spellStart"/>
      <w:r w:rsidRPr="006C49B6">
        <w:t>organisational</w:t>
      </w:r>
      <w:proofErr w:type="spellEnd"/>
      <w:r w:rsidRPr="006C49B6">
        <w:t xml:space="preserve"> context, external and internal analysis, CSR, the Balanced Scorecard, strategic choices, implementation and reflection. Then I gathered scholarly sources, Tesco reports, market share information, retail industry data and regulatory data. These sources were used to apply PESTEL, VRIO, SWOT, Five Forces, Ansoff, generic strategy and </w:t>
      </w:r>
      <w:proofErr w:type="spellStart"/>
      <w:r w:rsidRPr="006C49B6">
        <w:t>SAFe</w:t>
      </w:r>
      <w:proofErr w:type="spellEnd"/>
      <w:r w:rsidRPr="006C49B6">
        <w:t xml:space="preserve"> logic. The last suggestion was a value difference practice based on data and complemented with KPIs and implementation controls.</w:t>
      </w:r>
    </w:p>
    <w:p w14:paraId="0E259641" w14:textId="77777777" w:rsidR="003561CE" w:rsidRDefault="00000000">
      <w:pPr>
        <w:pStyle w:val="Heading2"/>
        <w:spacing w:before="0" w:after="120" w:line="360" w:lineRule="auto"/>
      </w:pPr>
      <w:bookmarkStart w:id="16" w:name="_Toc234069050"/>
      <w:r>
        <w:rPr>
          <w:rFonts w:ascii="Arial" w:eastAsia="Arial" w:hAnsi="Arial"/>
          <w:sz w:val="24"/>
        </w:rPr>
        <w:t>Feelings</w:t>
      </w:r>
      <w:bookmarkEnd w:id="16"/>
    </w:p>
    <w:p w14:paraId="5301EF76" w14:textId="77777777" w:rsidR="006C49B6" w:rsidRDefault="006C49B6">
      <w:pPr>
        <w:spacing w:after="120" w:line="360" w:lineRule="auto"/>
        <w:jc w:val="both"/>
      </w:pPr>
      <w:r w:rsidRPr="006C49B6">
        <w:t>Initially, I was very confident since Tesco is not a new entity and its dominance in the market appeared to make the analysis easy. This confidence turned into a risk during the researches. I knew that the inclination to the familiar could make the work lean towards description instead of strategic judgement. To take an example it would be too much to state that Tesco should keep its prices low since there would be trade-offs in discounter competition, wages, internet delivery cost and green obligations. This has caused me to be more wary and has made me slap Tesco success on my forehead rather than on the presumption.</w:t>
      </w:r>
    </w:p>
    <w:p w14:paraId="0C4C7662" w14:textId="77777777" w:rsidR="003561CE" w:rsidRDefault="00000000">
      <w:pPr>
        <w:pStyle w:val="Heading2"/>
        <w:spacing w:before="0" w:after="120" w:line="360" w:lineRule="auto"/>
      </w:pPr>
      <w:bookmarkStart w:id="17" w:name="_Toc234069051"/>
      <w:r>
        <w:rPr>
          <w:rFonts w:ascii="Arial" w:eastAsia="Arial" w:hAnsi="Arial"/>
          <w:sz w:val="24"/>
        </w:rPr>
        <w:t>Evaluation</w:t>
      </w:r>
      <w:bookmarkEnd w:id="17"/>
    </w:p>
    <w:p w14:paraId="6C665262" w14:textId="77777777" w:rsidR="006C49B6" w:rsidRDefault="006C49B6">
      <w:pPr>
        <w:spacing w:after="120" w:line="360" w:lineRule="auto"/>
        <w:jc w:val="both"/>
      </w:pPr>
      <w:r w:rsidRPr="006C49B6">
        <w:t xml:space="preserve">The use of various forms of evidence was the best aspect of the process. The annual and sustainability reports provided by Tesco provided an insight into internal priorities, </w:t>
      </w:r>
      <w:r w:rsidRPr="006C49B6">
        <w:lastRenderedPageBreak/>
        <w:t>whereas Kantar, Savills, ONS, Reuters and BRC assisted in testing its claims against the broader market conditions. Competition, resources, performance and change were interpreted through the aid of academic sources including Porter, Barney, Kaplan and Norton and Teece et al. The primary weakness was the fact that information that Tesco reports will invariably make it look good and that what is apparently publicly available can never give complete insight into customer experience, supplier relationships or in-store performance. I mitigated this weakness by using company evidence with independent market data and the inclusion of risks rather than projecting the recommendation as certain to work.</w:t>
      </w:r>
    </w:p>
    <w:p w14:paraId="2C737011" w14:textId="77777777" w:rsidR="003561CE" w:rsidRDefault="00000000">
      <w:pPr>
        <w:pStyle w:val="Heading2"/>
        <w:spacing w:before="0" w:after="120" w:line="360" w:lineRule="auto"/>
      </w:pPr>
      <w:bookmarkStart w:id="18" w:name="_Toc234069052"/>
      <w:r>
        <w:rPr>
          <w:rFonts w:ascii="Arial" w:eastAsia="Arial" w:hAnsi="Arial"/>
          <w:sz w:val="24"/>
        </w:rPr>
        <w:t>Analysis</w:t>
      </w:r>
      <w:bookmarkEnd w:id="18"/>
    </w:p>
    <w:p w14:paraId="639EF665" w14:textId="77777777" w:rsidR="006C49B6" w:rsidRDefault="006C49B6">
      <w:pPr>
        <w:spacing w:after="120" w:line="360" w:lineRule="auto"/>
        <w:jc w:val="both"/>
      </w:pPr>
      <w:r w:rsidRPr="006C49B6">
        <w:t>The overall lesson was that structures must be effective when they are interrelated. PESTEL recognized insights of inflation pressure, regulation pressure, technology and sustainability pressure, but it failed to provide how Tesco responded. VRIO made the argument visible as to why the tasks of Clubcard data, scale, own-label capability and supplier relationships have the capability of facilitating advantage, yet it also demonstrated that advantage might falter in case the competitors copy some of the elements. SWOT helped but it can rapidly just be a list of things. These tools were best linked to provide the most insight. Value is also in demand through the same cost-of-living pressure that is threatening Tesco.</w:t>
      </w:r>
    </w:p>
    <w:p w14:paraId="645F5FB3" w14:textId="77777777" w:rsidR="006C49B6" w:rsidRDefault="006C49B6">
      <w:pPr>
        <w:spacing w:after="120" w:line="360" w:lineRule="auto"/>
        <w:jc w:val="both"/>
      </w:pPr>
      <w:r w:rsidRPr="006C49B6">
        <w:t xml:space="preserve">My concept of strategy was transformed as well by the Balanced Scorecard and implementation plan. I </w:t>
      </w:r>
      <w:proofErr w:type="spellStart"/>
      <w:r w:rsidRPr="006C49B6">
        <w:t>realised</w:t>
      </w:r>
      <w:proofErr w:type="spellEnd"/>
      <w:r w:rsidRPr="006C49B6">
        <w:t xml:space="preserve"> that a recommendation is weak if it is only theoretically attractive. It should be verifiable, viable and palatable to stakeholders. As an example, online grocery can make delivery more convenient, though online grocery may diminish profitability unless the expenses involved in fulfilment are managed. The enhancement of trust can be achieved by sustainability, yet must be congruent with cost-of-living time. These tensions made judgement necessary since they did not have all data and made the report more analytical.</w:t>
      </w:r>
    </w:p>
    <w:p w14:paraId="39E73C28" w14:textId="77777777" w:rsidR="003561CE" w:rsidRDefault="00000000">
      <w:pPr>
        <w:pStyle w:val="Heading2"/>
        <w:spacing w:before="0" w:after="120" w:line="360" w:lineRule="auto"/>
      </w:pPr>
      <w:bookmarkStart w:id="19" w:name="_Toc234069053"/>
      <w:r>
        <w:rPr>
          <w:rFonts w:ascii="Arial" w:eastAsia="Arial" w:hAnsi="Arial"/>
          <w:sz w:val="24"/>
        </w:rPr>
        <w:t>Conclusion</w:t>
      </w:r>
      <w:bookmarkEnd w:id="19"/>
    </w:p>
    <w:p w14:paraId="76FB941C" w14:textId="77777777" w:rsidR="006C49B6" w:rsidRDefault="006C49B6">
      <w:pPr>
        <w:spacing w:after="120" w:line="360" w:lineRule="auto"/>
        <w:jc w:val="both"/>
      </w:pPr>
      <w:r w:rsidRPr="006C49B6">
        <w:t xml:space="preserve">In general, the task enhanced my skills in writing a consultant-style strategic report. I learned that strategic analysis should not simply explain why a company is successful. It </w:t>
      </w:r>
      <w:r w:rsidRPr="006C49B6">
        <w:lastRenderedPageBreak/>
        <w:t>must also challenge the permanence of success, where the business model is vulnerable and recommend courses of action that align with the external environment and internal strengths. The strongest area was my progression between independent application in frameworks and coherent reasoning. The key weakness was that it used secondary data, implying that there might be certain aspects of operations and stakeholder concerns that had not been thoroughly explored.</w:t>
      </w:r>
    </w:p>
    <w:p w14:paraId="2C6DDE40" w14:textId="77777777" w:rsidR="003561CE" w:rsidRDefault="00000000">
      <w:pPr>
        <w:pStyle w:val="Heading2"/>
        <w:spacing w:before="0" w:after="120" w:line="360" w:lineRule="auto"/>
      </w:pPr>
      <w:bookmarkStart w:id="20" w:name="_Toc234069054"/>
      <w:r>
        <w:rPr>
          <w:rFonts w:ascii="Arial" w:eastAsia="Arial" w:hAnsi="Arial"/>
          <w:sz w:val="24"/>
        </w:rPr>
        <w:t>Action Plan</w:t>
      </w:r>
      <w:bookmarkEnd w:id="20"/>
    </w:p>
    <w:p w14:paraId="0DF3FC45" w14:textId="77777777" w:rsidR="006C49B6" w:rsidRDefault="006C49B6">
      <w:pPr>
        <w:spacing w:after="120" w:line="360" w:lineRule="auto"/>
        <w:jc w:val="both"/>
      </w:pPr>
      <w:r w:rsidRPr="006C49B6">
        <w:t xml:space="preserve">When initiating strategic projects towards the future, I will start with a better evidence map where academic theory, company evidence, independent market data and stakeholder evidence are distinct. Early assumptions will be tested by the question of whether each significant assertion is substantiated by credible evidence of more than one source. Where possible, I would add primary research such as customer interviews, store observations or supplier perspectives. Three control questions will also be </w:t>
      </w:r>
      <w:proofErr w:type="spellStart"/>
      <w:r w:rsidRPr="006C49B6">
        <w:t>utilised</w:t>
      </w:r>
      <w:proofErr w:type="spellEnd"/>
      <w:r w:rsidRPr="006C49B6">
        <w:t xml:space="preserve"> in the drafting of analysis wherein what does the evidence show, why does it matter strategically, as well as what the managers should do with it. This will help maintain critical reasoning and avoid descriptive writing.</w:t>
      </w:r>
    </w:p>
    <w:p w14:paraId="64218D53" w14:textId="77777777" w:rsidR="00710CD0" w:rsidRDefault="00710CD0">
      <w:pPr>
        <w:rPr>
          <w:rFonts w:cstheme="majorBidi"/>
          <w:b/>
          <w:bCs/>
          <w:color w:val="0B1F33"/>
          <w:szCs w:val="28"/>
        </w:rPr>
      </w:pPr>
      <w:r>
        <w:br w:type="page"/>
      </w:r>
    </w:p>
    <w:p w14:paraId="76379412" w14:textId="77777777" w:rsidR="003561CE" w:rsidRPr="006C214D" w:rsidRDefault="00000000">
      <w:pPr>
        <w:pStyle w:val="Heading1"/>
        <w:spacing w:before="0" w:after="120" w:line="360" w:lineRule="auto"/>
        <w:rPr>
          <w:sz w:val="36"/>
          <w:szCs w:val="32"/>
        </w:rPr>
      </w:pPr>
      <w:bookmarkStart w:id="21" w:name="_Toc234069055"/>
      <w:r w:rsidRPr="006C214D">
        <w:rPr>
          <w:rFonts w:ascii="Arial" w:eastAsia="Arial" w:hAnsi="Arial"/>
          <w:sz w:val="28"/>
          <w:szCs w:val="32"/>
        </w:rPr>
        <w:lastRenderedPageBreak/>
        <w:t>References</w:t>
      </w:r>
      <w:bookmarkEnd w:id="21"/>
    </w:p>
    <w:p w14:paraId="4D387E75" w14:textId="77777777" w:rsidR="006C49B6" w:rsidRPr="006C49B6" w:rsidRDefault="006C49B6" w:rsidP="006C214D">
      <w:pPr>
        <w:keepLines/>
        <w:spacing w:after="120" w:line="360" w:lineRule="auto"/>
        <w:ind w:left="360"/>
      </w:pPr>
      <w:r w:rsidRPr="006C49B6">
        <w:t xml:space="preserve">Ansoff, H.I. (1957) ‘Strategies for diversification’, </w:t>
      </w:r>
      <w:r w:rsidRPr="006C49B6">
        <w:rPr>
          <w:i/>
          <w:iCs/>
        </w:rPr>
        <w:t>Harvard Business Review</w:t>
      </w:r>
      <w:r w:rsidRPr="006C49B6">
        <w:t>, 35(5), pp. 113–124.</w:t>
      </w:r>
    </w:p>
    <w:p w14:paraId="0B583B87" w14:textId="77777777" w:rsidR="006C49B6" w:rsidRPr="006C49B6" w:rsidRDefault="006C49B6" w:rsidP="006C214D">
      <w:pPr>
        <w:keepLines/>
        <w:spacing w:after="120" w:line="360" w:lineRule="auto"/>
        <w:ind w:left="360"/>
      </w:pPr>
      <w:r w:rsidRPr="006C49B6">
        <w:t xml:space="preserve">Barney, J. (1991) ‘Firm resources and sustained competitive advantage’, </w:t>
      </w:r>
      <w:r w:rsidRPr="006C49B6">
        <w:rPr>
          <w:i/>
          <w:iCs/>
        </w:rPr>
        <w:t>Journal of Management</w:t>
      </w:r>
      <w:r w:rsidRPr="006C49B6">
        <w:t xml:space="preserve">, 17(1), pp. 99–120. Available at: </w:t>
      </w:r>
      <w:hyperlink r:id="rId11" w:tgtFrame="_new" w:history="1">
        <w:r w:rsidRPr="006C49B6">
          <w:rPr>
            <w:rStyle w:val="Hyperlink"/>
          </w:rPr>
          <w:t>https://doi.org/10.1177/014920639101700108</w:t>
        </w:r>
      </w:hyperlink>
      <w:r w:rsidRPr="006C49B6">
        <w:t xml:space="preserve"> (Accessed: 30 June 2026).</w:t>
      </w:r>
    </w:p>
    <w:p w14:paraId="52F06888" w14:textId="77777777" w:rsidR="006C49B6" w:rsidRPr="006C49B6" w:rsidRDefault="006C49B6" w:rsidP="006C214D">
      <w:pPr>
        <w:keepLines/>
        <w:spacing w:after="120" w:line="360" w:lineRule="auto"/>
        <w:ind w:left="360"/>
      </w:pPr>
      <w:r w:rsidRPr="006C49B6">
        <w:t xml:space="preserve">Bowman, C. and Ambrosini, V. (2000) ‘Value creation versus value capture: towards a coherent definition of value in strategy’, </w:t>
      </w:r>
      <w:r w:rsidRPr="006C49B6">
        <w:rPr>
          <w:i/>
          <w:iCs/>
        </w:rPr>
        <w:t>British Journal of Management</w:t>
      </w:r>
      <w:r w:rsidRPr="006C49B6">
        <w:t xml:space="preserve">, 11(1), pp. 1–15. Available at: </w:t>
      </w:r>
      <w:hyperlink r:id="rId12" w:tgtFrame="_new" w:history="1">
        <w:r w:rsidRPr="006C49B6">
          <w:rPr>
            <w:rStyle w:val="Hyperlink"/>
          </w:rPr>
          <w:t>https://doi.org/10.1111/1467-8551.00147</w:t>
        </w:r>
      </w:hyperlink>
      <w:r w:rsidRPr="006C49B6">
        <w:t xml:space="preserve"> (Accessed: 30 June 2026).</w:t>
      </w:r>
    </w:p>
    <w:p w14:paraId="6BE715FA" w14:textId="77777777" w:rsidR="006C49B6" w:rsidRPr="006C49B6" w:rsidRDefault="006C49B6" w:rsidP="006C214D">
      <w:pPr>
        <w:keepLines/>
        <w:spacing w:after="120" w:line="360" w:lineRule="auto"/>
        <w:ind w:left="360"/>
      </w:pPr>
      <w:r w:rsidRPr="006C49B6">
        <w:t xml:space="preserve">British Retail Consortium (BRC) (2025) </w:t>
      </w:r>
      <w:proofErr w:type="spellStart"/>
      <w:r w:rsidRPr="006C49B6">
        <w:rPr>
          <w:i/>
          <w:iCs/>
        </w:rPr>
        <w:t>Labour</w:t>
      </w:r>
      <w:proofErr w:type="spellEnd"/>
      <w:r w:rsidRPr="006C49B6">
        <w:rPr>
          <w:i/>
          <w:iCs/>
        </w:rPr>
        <w:t xml:space="preserve"> Costs Will Harm Employment</w:t>
      </w:r>
      <w:r w:rsidRPr="006C49B6">
        <w:t xml:space="preserve">. Available at: </w:t>
      </w:r>
      <w:hyperlink r:id="rId13" w:tgtFrame="_new" w:history="1">
        <w:r w:rsidRPr="006C49B6">
          <w:rPr>
            <w:rStyle w:val="Hyperlink"/>
          </w:rPr>
          <w:t>https://brc.org.uk/news-and-events/news/corporate-affairs/2025/ungated/labour-costs-will-harm-employment/</w:t>
        </w:r>
      </w:hyperlink>
      <w:r w:rsidRPr="006C49B6">
        <w:t xml:space="preserve"> (Accessed: 30 June 2026).</w:t>
      </w:r>
    </w:p>
    <w:p w14:paraId="1B42F93B" w14:textId="77777777" w:rsidR="006C49B6" w:rsidRPr="006C49B6" w:rsidRDefault="006C49B6" w:rsidP="006C214D">
      <w:pPr>
        <w:keepLines/>
        <w:spacing w:after="120" w:line="360" w:lineRule="auto"/>
        <w:ind w:left="360"/>
      </w:pPr>
      <w:r w:rsidRPr="006C49B6">
        <w:t xml:space="preserve">Carroll, A.B. (1991) ‘The pyramid of corporate social responsibility: toward the moral management of organizational stakeholders’, </w:t>
      </w:r>
      <w:r w:rsidRPr="006C49B6">
        <w:rPr>
          <w:i/>
          <w:iCs/>
        </w:rPr>
        <w:t>Business Horizons</w:t>
      </w:r>
      <w:r w:rsidRPr="006C49B6">
        <w:t xml:space="preserve">, 34(4), pp. 39–48. Available at: </w:t>
      </w:r>
      <w:hyperlink r:id="rId14" w:tgtFrame="_new" w:history="1">
        <w:r w:rsidRPr="006C49B6">
          <w:rPr>
            <w:rStyle w:val="Hyperlink"/>
          </w:rPr>
          <w:t>https://doi.org/10.1016/0007-6813(91)90005-G</w:t>
        </w:r>
      </w:hyperlink>
      <w:r w:rsidRPr="006C49B6">
        <w:t xml:space="preserve"> (Accessed: 30 June 2026).</w:t>
      </w:r>
    </w:p>
    <w:p w14:paraId="73600500" w14:textId="77777777" w:rsidR="006C49B6" w:rsidRPr="006C49B6" w:rsidRDefault="006C49B6" w:rsidP="006C214D">
      <w:pPr>
        <w:keepLines/>
        <w:spacing w:after="120" w:line="360" w:lineRule="auto"/>
        <w:ind w:left="360"/>
      </w:pPr>
      <w:r w:rsidRPr="006C49B6">
        <w:t xml:space="preserve">Freeman, R.E. (1984) </w:t>
      </w:r>
      <w:r w:rsidRPr="006C49B6">
        <w:rPr>
          <w:i/>
          <w:iCs/>
        </w:rPr>
        <w:t>Strategic Management: A Stakeholder Approach</w:t>
      </w:r>
      <w:r w:rsidRPr="006C49B6">
        <w:t>. Boston: Pitman.</w:t>
      </w:r>
    </w:p>
    <w:p w14:paraId="45ACD686" w14:textId="77777777" w:rsidR="006C49B6" w:rsidRPr="006C49B6" w:rsidRDefault="006C49B6" w:rsidP="006C214D">
      <w:pPr>
        <w:keepLines/>
        <w:spacing w:after="120" w:line="360" w:lineRule="auto"/>
        <w:ind w:left="432"/>
      </w:pPr>
      <w:r>
        <w:t xml:space="preserve">Gibbs, G. (1988) </w:t>
      </w:r>
      <w:r>
        <w:rPr>
          <w:i/>
        </w:rPr>
        <w:t>Learning by Doing: A Guide to Teaching and Learning Methods</w:t>
      </w:r>
      <w:r>
        <w:t>. Oxford: Further Education Unit, Oxford Polytechnic.</w:t>
      </w:r>
    </w:p>
    <w:p w14:paraId="12AEA089" w14:textId="77777777" w:rsidR="006C49B6" w:rsidRPr="006C49B6" w:rsidRDefault="006C49B6" w:rsidP="006C214D">
      <w:pPr>
        <w:keepLines/>
        <w:spacing w:after="120" w:line="360" w:lineRule="auto"/>
        <w:ind w:left="432"/>
      </w:pPr>
      <w:r>
        <w:t xml:space="preserve">Henderson, B.D. (1970) ‘The product portfolio’, </w:t>
      </w:r>
      <w:r>
        <w:rPr>
          <w:i/>
        </w:rPr>
        <w:t>BCG Perspectives</w:t>
      </w:r>
      <w:r>
        <w:t xml:space="preserve">. Boston, MA: Boston Consulting Group. Available at: </w:t>
      </w:r>
      <w:hyperlink r:id="rId15">
        <w:r>
          <w:rPr>
            <w:rStyle w:val="Hyperlink"/>
          </w:rPr>
          <w:t>https://www.bcg.com/publications/1970/strategy-the-product-portfolio</w:t>
        </w:r>
      </w:hyperlink>
      <w:r>
        <w:t xml:space="preserve"> (Accessed: 30 June 2026).</w:t>
      </w:r>
    </w:p>
    <w:p w14:paraId="505150AE" w14:textId="77777777" w:rsidR="006C49B6" w:rsidRPr="006C49B6" w:rsidRDefault="006C49B6" w:rsidP="006C214D">
      <w:pPr>
        <w:keepLines/>
        <w:spacing w:after="120" w:line="360" w:lineRule="auto"/>
        <w:ind w:left="360"/>
      </w:pPr>
      <w:r w:rsidRPr="006C49B6">
        <w:t xml:space="preserve">House of Commons Library (2026) </w:t>
      </w:r>
      <w:r w:rsidRPr="006C49B6">
        <w:rPr>
          <w:i/>
          <w:iCs/>
        </w:rPr>
        <w:t>The Impact of Food Inflation on the Cost of Living</w:t>
      </w:r>
      <w:r w:rsidRPr="006C49B6">
        <w:t xml:space="preserve">. Available at: </w:t>
      </w:r>
      <w:hyperlink r:id="rId16" w:tgtFrame="_new" w:history="1">
        <w:r w:rsidRPr="006C49B6">
          <w:rPr>
            <w:rStyle w:val="Hyperlink"/>
          </w:rPr>
          <w:t>https://commonslibrary.parliament.uk/research-briefings/cdp-2026-0004/</w:t>
        </w:r>
      </w:hyperlink>
      <w:r w:rsidRPr="006C49B6">
        <w:t xml:space="preserve"> (Accessed: 30 June 2026).</w:t>
      </w:r>
    </w:p>
    <w:p w14:paraId="5A9103CB" w14:textId="77777777" w:rsidR="006C49B6" w:rsidRPr="006C49B6" w:rsidRDefault="006C49B6" w:rsidP="006C214D">
      <w:pPr>
        <w:keepLines/>
        <w:spacing w:after="120" w:line="360" w:lineRule="auto"/>
        <w:ind w:left="432"/>
      </w:pPr>
      <w:r>
        <w:lastRenderedPageBreak/>
        <w:t xml:space="preserve">IGD (2026) </w:t>
      </w:r>
      <w:r>
        <w:rPr>
          <w:i/>
        </w:rPr>
        <w:t>Worldpanel results: retailer trends unchanged</w:t>
      </w:r>
      <w:r>
        <w:t xml:space="preserve">. Available at: </w:t>
      </w:r>
      <w:hyperlink r:id="rId17">
        <w:r>
          <w:rPr>
            <w:rStyle w:val="Hyperlink"/>
          </w:rPr>
          <w:t>https://www.igd.com/commercial-insight/retail-analysis/articles/worldpanel-results-retailer-trends-unchanged/72648</w:t>
        </w:r>
      </w:hyperlink>
      <w:r>
        <w:t xml:space="preserve"> (Accessed: 30 June 2026).</w:t>
      </w:r>
    </w:p>
    <w:p w14:paraId="084B61C2" w14:textId="77777777" w:rsidR="006C49B6" w:rsidRPr="006C49B6" w:rsidRDefault="006C49B6" w:rsidP="006C214D">
      <w:pPr>
        <w:keepLines/>
        <w:spacing w:after="120" w:line="360" w:lineRule="auto"/>
        <w:ind w:left="360"/>
      </w:pPr>
      <w:r w:rsidRPr="006C49B6">
        <w:t xml:space="preserve">Kantar (2025) </w:t>
      </w:r>
      <w:r w:rsidRPr="006C49B6">
        <w:rPr>
          <w:i/>
          <w:iCs/>
        </w:rPr>
        <w:t>Annual Grocery Bills Could Jump by £275</w:t>
      </w:r>
      <w:r w:rsidRPr="006C49B6">
        <w:t xml:space="preserve">. Available at: </w:t>
      </w:r>
      <w:hyperlink r:id="rId18" w:tgtFrame="_new" w:history="1">
        <w:r w:rsidRPr="006C49B6">
          <w:rPr>
            <w:rStyle w:val="Hyperlink"/>
          </w:rPr>
          <w:t>https://www.kantar.com/uki/inspiration/fmcg/2025-wp-annual-grocery-bills-could-jump-by-275</w:t>
        </w:r>
      </w:hyperlink>
      <w:r w:rsidRPr="006C49B6">
        <w:t xml:space="preserve"> (Accessed: 30 June 2026).</w:t>
      </w:r>
    </w:p>
    <w:p w14:paraId="4EF20F3D" w14:textId="77777777" w:rsidR="006C49B6" w:rsidRPr="006C49B6" w:rsidRDefault="006C49B6" w:rsidP="006C214D">
      <w:pPr>
        <w:keepLines/>
        <w:spacing w:after="120" w:line="360" w:lineRule="auto"/>
        <w:ind w:left="360"/>
      </w:pPr>
      <w:r w:rsidRPr="006C49B6">
        <w:t xml:space="preserve">Kaplan, R.S. and Norton, D.P. (1992) ‘The balanced scorecard: measures that drive performance’, </w:t>
      </w:r>
      <w:r w:rsidRPr="006C49B6">
        <w:rPr>
          <w:i/>
          <w:iCs/>
        </w:rPr>
        <w:t>Harvard Business Review</w:t>
      </w:r>
      <w:r w:rsidRPr="006C49B6">
        <w:t>, 70(1), pp. 71–79.</w:t>
      </w:r>
    </w:p>
    <w:p w14:paraId="373F871B" w14:textId="77777777" w:rsidR="006C49B6" w:rsidRPr="006C49B6" w:rsidRDefault="006C49B6" w:rsidP="006C214D">
      <w:pPr>
        <w:keepLines/>
        <w:spacing w:after="120" w:line="360" w:lineRule="auto"/>
        <w:ind w:left="360"/>
      </w:pPr>
      <w:r w:rsidRPr="006C49B6">
        <w:t xml:space="preserve">Office for National Statistics (ONS) (2026) </w:t>
      </w:r>
      <w:r w:rsidRPr="006C49B6">
        <w:rPr>
          <w:i/>
          <w:iCs/>
        </w:rPr>
        <w:t>Consumer Price Inflation, UK: April 2026</w:t>
      </w:r>
      <w:r w:rsidRPr="006C49B6">
        <w:t xml:space="preserve">. Available at: </w:t>
      </w:r>
      <w:hyperlink r:id="rId19" w:tgtFrame="_new" w:history="1">
        <w:r w:rsidRPr="006C49B6">
          <w:rPr>
            <w:rStyle w:val="Hyperlink"/>
          </w:rPr>
          <w:t>https://www.ons.gov.uk/economy/inflationandpriceindices/bulletins/consumerpriceinflation/april2026</w:t>
        </w:r>
      </w:hyperlink>
      <w:r w:rsidRPr="006C49B6">
        <w:t xml:space="preserve"> (Accessed: 30 June 2026).</w:t>
      </w:r>
    </w:p>
    <w:p w14:paraId="1B2ED886" w14:textId="77777777" w:rsidR="006C49B6" w:rsidRPr="006C49B6" w:rsidRDefault="006C49B6" w:rsidP="006C214D">
      <w:pPr>
        <w:keepLines/>
        <w:spacing w:after="120" w:line="360" w:lineRule="auto"/>
        <w:ind w:left="360"/>
      </w:pPr>
      <w:r w:rsidRPr="006C49B6">
        <w:t xml:space="preserve">Porter, M.E. (1980) </w:t>
      </w:r>
      <w:r w:rsidRPr="006C49B6">
        <w:rPr>
          <w:i/>
          <w:iCs/>
        </w:rPr>
        <w:t>Competitive Strategy: Techniques for Analyzing Industries and Competitors</w:t>
      </w:r>
      <w:r w:rsidRPr="006C49B6">
        <w:t>. New York: Free Press.</w:t>
      </w:r>
    </w:p>
    <w:p w14:paraId="6F354B9E" w14:textId="77777777" w:rsidR="006C49B6" w:rsidRPr="006C49B6" w:rsidRDefault="006C49B6" w:rsidP="006C214D">
      <w:pPr>
        <w:keepLines/>
        <w:spacing w:after="120" w:line="360" w:lineRule="auto"/>
        <w:ind w:left="360"/>
      </w:pPr>
      <w:r w:rsidRPr="006C49B6">
        <w:t xml:space="preserve">Porter, M.E. (1985) </w:t>
      </w:r>
      <w:r w:rsidRPr="006C49B6">
        <w:rPr>
          <w:i/>
          <w:iCs/>
        </w:rPr>
        <w:t>Competitive Advantage: Creating and Sustaining Superior Performance</w:t>
      </w:r>
      <w:r w:rsidRPr="006C49B6">
        <w:t>. New York: Free Press.</w:t>
      </w:r>
    </w:p>
    <w:p w14:paraId="6AA2DC6A" w14:textId="77777777" w:rsidR="006C49B6" w:rsidRPr="006C49B6" w:rsidRDefault="006C49B6" w:rsidP="006C214D">
      <w:pPr>
        <w:keepLines/>
        <w:spacing w:after="120" w:line="360" w:lineRule="auto"/>
        <w:ind w:left="360"/>
      </w:pPr>
      <w:r w:rsidRPr="006C49B6">
        <w:t xml:space="preserve">Porter, M.E. and Kramer, M.R. (2006) ‘Strategy and society: the link between competitive advantage and corporate social responsibility’, </w:t>
      </w:r>
      <w:r w:rsidRPr="006C49B6">
        <w:rPr>
          <w:i/>
          <w:iCs/>
        </w:rPr>
        <w:t>Harvard Business Review</w:t>
      </w:r>
      <w:r w:rsidRPr="006C49B6">
        <w:t>, 84(12), pp. 78–92.</w:t>
      </w:r>
    </w:p>
    <w:p w14:paraId="04EEBDA1" w14:textId="77777777" w:rsidR="006C49B6" w:rsidRPr="006C49B6" w:rsidRDefault="006C49B6" w:rsidP="006C214D">
      <w:pPr>
        <w:keepLines/>
        <w:spacing w:after="120" w:line="360" w:lineRule="auto"/>
        <w:ind w:left="360"/>
      </w:pPr>
      <w:r w:rsidRPr="006C49B6">
        <w:t xml:space="preserve">Reuters (2026) </w:t>
      </w:r>
      <w:r w:rsidRPr="006C49B6">
        <w:rPr>
          <w:i/>
          <w:iCs/>
        </w:rPr>
        <w:t>UK Grocery Inflation Slows, Easing Fears of Iran War Hit, Says Worldpanel</w:t>
      </w:r>
      <w:r w:rsidRPr="006C49B6">
        <w:t xml:space="preserve">. Available at: </w:t>
      </w:r>
      <w:hyperlink r:id="rId20" w:tgtFrame="_new" w:history="1">
        <w:r w:rsidRPr="006C49B6">
          <w:rPr>
            <w:rStyle w:val="Hyperlink"/>
          </w:rPr>
          <w:t>https://www.reuters.com/business/retail-consumer/uk-grocery-inflation-slows-easing-fears-iran-war-hit-says-worldpanel-2026-06-23/</w:t>
        </w:r>
      </w:hyperlink>
      <w:r w:rsidRPr="006C49B6">
        <w:t xml:space="preserve"> (Accessed: 30 June 2026).</w:t>
      </w:r>
    </w:p>
    <w:p w14:paraId="55ED8B46" w14:textId="77777777" w:rsidR="006C49B6" w:rsidRPr="006C49B6" w:rsidRDefault="006C49B6" w:rsidP="006C214D">
      <w:pPr>
        <w:keepLines/>
        <w:spacing w:after="120" w:line="360" w:lineRule="auto"/>
        <w:ind w:left="432"/>
      </w:pPr>
      <w:r>
        <w:t xml:space="preserve">Savills (2025) </w:t>
      </w:r>
      <w:r>
        <w:rPr>
          <w:i/>
        </w:rPr>
        <w:t>Spotlight: UK Grocery Report - 2025</w:t>
      </w:r>
      <w:r>
        <w:t xml:space="preserve">. Available at: </w:t>
      </w:r>
      <w:hyperlink r:id="rId21">
        <w:r>
          <w:rPr>
            <w:rStyle w:val="Hyperlink"/>
          </w:rPr>
          <w:t>https://www.savills.co.uk/research_articles/229130/379213-0</w:t>
        </w:r>
      </w:hyperlink>
      <w:r>
        <w:t xml:space="preserve"> (Accessed: 30 June 2026).</w:t>
      </w:r>
    </w:p>
    <w:p w14:paraId="1504E8B4" w14:textId="77777777" w:rsidR="006C49B6" w:rsidRPr="006C49B6" w:rsidRDefault="006C49B6" w:rsidP="006C214D">
      <w:pPr>
        <w:keepLines/>
        <w:spacing w:after="120" w:line="360" w:lineRule="auto"/>
        <w:ind w:left="432"/>
      </w:pPr>
      <w:r>
        <w:lastRenderedPageBreak/>
        <w:t xml:space="preserve">Teece, D.J., Pisano, G. and Shuen, A. (1997) ‘Dynamic capabilities and strategic management’, </w:t>
      </w:r>
      <w:r>
        <w:rPr>
          <w:i/>
        </w:rPr>
        <w:t>Strategic Management Journal</w:t>
      </w:r>
      <w:r>
        <w:t xml:space="preserve">, 18(7), pp. 509-533. Available at: </w:t>
      </w:r>
      <w:hyperlink r:id="rId22">
        <w:r>
          <w:rPr>
            <w:rStyle w:val="Hyperlink"/>
          </w:rPr>
          <w:t>https://doi.org/10.1002/%28SICI%291097-0266%28199708%2918%3A7%3C509%3A%3AAID-SMJ882%3E3.0.CO%3B2-Z</w:t>
        </w:r>
      </w:hyperlink>
      <w:r>
        <w:t xml:space="preserve"> (Accessed: 30 June 2026).</w:t>
      </w:r>
    </w:p>
    <w:p w14:paraId="786006EC" w14:textId="77777777" w:rsidR="006C49B6" w:rsidRPr="006C49B6" w:rsidRDefault="006C49B6" w:rsidP="006C214D">
      <w:pPr>
        <w:keepLines/>
        <w:spacing w:after="120" w:line="360" w:lineRule="auto"/>
        <w:ind w:left="360"/>
      </w:pPr>
      <w:r w:rsidRPr="006C49B6">
        <w:t xml:space="preserve">Tesco PLC (2025a) </w:t>
      </w:r>
      <w:r w:rsidRPr="006C49B6">
        <w:rPr>
          <w:i/>
          <w:iCs/>
        </w:rPr>
        <w:t>Annual Report and Financial Statements 2025</w:t>
      </w:r>
      <w:r w:rsidRPr="006C49B6">
        <w:t xml:space="preserve">. Available at: </w:t>
      </w:r>
      <w:hyperlink r:id="rId23" w:tgtFrame="_new" w:history="1">
        <w:r w:rsidRPr="006C49B6">
          <w:rPr>
            <w:rStyle w:val="Hyperlink"/>
          </w:rPr>
          <w:t>https://www.tescoplc.com/investors/reports-results-and-presentations/annual-report-2025</w:t>
        </w:r>
      </w:hyperlink>
      <w:r w:rsidRPr="006C49B6">
        <w:t xml:space="preserve"> (Accessed: 30 June 2026).</w:t>
      </w:r>
    </w:p>
    <w:p w14:paraId="16F67B28" w14:textId="77777777" w:rsidR="006C49B6" w:rsidRPr="006C49B6" w:rsidRDefault="006C49B6" w:rsidP="006C214D">
      <w:pPr>
        <w:keepLines/>
        <w:spacing w:after="120" w:line="360" w:lineRule="auto"/>
        <w:ind w:left="360"/>
      </w:pPr>
      <w:r w:rsidRPr="006C49B6">
        <w:t xml:space="preserve">Tesco PLC (2025b) </w:t>
      </w:r>
      <w:r w:rsidRPr="006C49B6">
        <w:rPr>
          <w:i/>
          <w:iCs/>
        </w:rPr>
        <w:t>Sustainability Report 2024/25</w:t>
      </w:r>
      <w:r w:rsidRPr="006C49B6">
        <w:t xml:space="preserve">. Available at: </w:t>
      </w:r>
      <w:hyperlink r:id="rId24" w:tgtFrame="_new" w:history="1">
        <w:r w:rsidRPr="006C49B6">
          <w:rPr>
            <w:rStyle w:val="Hyperlink"/>
          </w:rPr>
          <w:t>https://www.tescoplc.com/media/wvkj1yic/tesco-sustainability-report-2025.pdf</w:t>
        </w:r>
      </w:hyperlink>
      <w:r w:rsidRPr="006C49B6">
        <w:t xml:space="preserve"> (Accessed: 30 June 2026).</w:t>
      </w:r>
    </w:p>
    <w:p w14:paraId="08DF64E8" w14:textId="77777777" w:rsidR="006C49B6" w:rsidRPr="006C49B6" w:rsidRDefault="006C49B6" w:rsidP="006C214D">
      <w:pPr>
        <w:keepLines/>
        <w:spacing w:after="120" w:line="360" w:lineRule="auto"/>
        <w:ind w:left="360"/>
      </w:pPr>
      <w:r w:rsidRPr="006C49B6">
        <w:t xml:space="preserve">Tesco PLC (2026) </w:t>
      </w:r>
      <w:r w:rsidRPr="006C49B6">
        <w:rPr>
          <w:i/>
          <w:iCs/>
        </w:rPr>
        <w:t>Preliminary Results 2025/26</w:t>
      </w:r>
      <w:r w:rsidRPr="006C49B6">
        <w:t xml:space="preserve">. Available at: </w:t>
      </w:r>
      <w:hyperlink r:id="rId25" w:tgtFrame="_new" w:history="1">
        <w:r w:rsidRPr="006C49B6">
          <w:rPr>
            <w:rStyle w:val="Hyperlink"/>
          </w:rPr>
          <w:t>https://www.tescoplc.com/preliminary-results-202526/</w:t>
        </w:r>
      </w:hyperlink>
      <w:r w:rsidRPr="006C49B6">
        <w:t xml:space="preserve"> (Accessed: 30 June 2026).</w:t>
      </w:r>
    </w:p>
    <w:p w14:paraId="7D2ED4AC" w14:textId="77777777" w:rsidR="006C49B6" w:rsidRPr="006C49B6" w:rsidRDefault="006C49B6" w:rsidP="006C214D">
      <w:pPr>
        <w:keepLines/>
        <w:spacing w:after="120" w:line="360" w:lineRule="auto"/>
        <w:ind w:left="432"/>
      </w:pPr>
      <w:r>
        <w:t xml:space="preserve">Whittington, R., Angwin, D., Regnér, P., Johnson, G. and Scholes, K. (2023) </w:t>
      </w:r>
      <w:r>
        <w:rPr>
          <w:i/>
        </w:rPr>
        <w:t>Exploring Strategy: Text and Cases</w:t>
      </w:r>
      <w:r>
        <w:t>. 13th edn. Harlow: Pearson.</w:t>
      </w:r>
    </w:p>
    <w:p w14:paraId="08A1B3C3" w14:textId="77777777" w:rsidR="00C34E8A" w:rsidRDefault="00C34E8A">
      <w:pPr>
        <w:spacing w:after="120" w:line="360" w:lineRule="auto"/>
        <w:ind w:left="360" w:hanging="360"/>
      </w:pPr>
    </w:p>
    <w:sectPr w:rsidR="00C34E8A">
      <w:headerReference w:type="default" r:id="rId26"/>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85479" w14:textId="77777777" w:rsidR="003F07D5" w:rsidRDefault="003F07D5">
      <w:pPr>
        <w:spacing w:after="0" w:line="240" w:lineRule="auto"/>
      </w:pPr>
      <w:r>
        <w:separator/>
      </w:r>
    </w:p>
  </w:endnote>
  <w:endnote w:type="continuationSeparator" w:id="0">
    <w:p w14:paraId="32EA7429" w14:textId="77777777" w:rsidR="003F07D5" w:rsidRDefault="003F0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CF3BB" w14:textId="77777777" w:rsidR="003561CE" w:rsidRDefault="00000000">
    <w:pPr>
      <w:pStyle w:val="Footer"/>
      <w:spacing w:after="120" w:line="360" w:lineRule="auto"/>
      <w:jc w:val="center"/>
    </w:pPr>
    <w:r>
      <w:fldChar w:fldCharType="begin"/>
    </w:r>
    <w:r>
      <w:instrText>PAGE</w:instrText>
    </w:r>
    <w:r>
      <w:fldChar w:fldCharType="separate"/>
    </w:r>
    <w:r w:rsidR="008D5F8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16292" w14:textId="77777777" w:rsidR="003F07D5" w:rsidRDefault="003F07D5">
      <w:pPr>
        <w:spacing w:after="0" w:line="240" w:lineRule="auto"/>
      </w:pPr>
      <w:r>
        <w:separator/>
      </w:r>
    </w:p>
  </w:footnote>
  <w:footnote w:type="continuationSeparator" w:id="0">
    <w:p w14:paraId="1C5A9C6A" w14:textId="77777777" w:rsidR="003F07D5" w:rsidRDefault="003F07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51CC3" w14:textId="77777777" w:rsidR="00C34E8A" w:rsidRDefault="00C34E8A">
    <w:pPr>
      <w:pStyle w:val="Header"/>
      <w:spacing w:after="120"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60600141">
    <w:abstractNumId w:val="8"/>
  </w:num>
  <w:num w:numId="2" w16cid:durableId="1051736032">
    <w:abstractNumId w:val="6"/>
  </w:num>
  <w:num w:numId="3" w16cid:durableId="992828605">
    <w:abstractNumId w:val="5"/>
  </w:num>
  <w:num w:numId="4" w16cid:durableId="1406612183">
    <w:abstractNumId w:val="4"/>
  </w:num>
  <w:num w:numId="5" w16cid:durableId="731123807">
    <w:abstractNumId w:val="7"/>
  </w:num>
  <w:num w:numId="6" w16cid:durableId="427309891">
    <w:abstractNumId w:val="3"/>
  </w:num>
  <w:num w:numId="7" w16cid:durableId="1379092142">
    <w:abstractNumId w:val="2"/>
  </w:num>
  <w:num w:numId="8" w16cid:durableId="1376730575">
    <w:abstractNumId w:val="1"/>
  </w:num>
  <w:num w:numId="9" w16cid:durableId="1009599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57E6"/>
    <w:rsid w:val="0006063C"/>
    <w:rsid w:val="000E7E6C"/>
    <w:rsid w:val="00101AC7"/>
    <w:rsid w:val="0015074B"/>
    <w:rsid w:val="00170884"/>
    <w:rsid w:val="00172D76"/>
    <w:rsid w:val="001918AE"/>
    <w:rsid w:val="0022233A"/>
    <w:rsid w:val="0029639D"/>
    <w:rsid w:val="002C6812"/>
    <w:rsid w:val="00326F90"/>
    <w:rsid w:val="003561CE"/>
    <w:rsid w:val="00396FCC"/>
    <w:rsid w:val="003F07D5"/>
    <w:rsid w:val="00447130"/>
    <w:rsid w:val="00495536"/>
    <w:rsid w:val="004F6CEC"/>
    <w:rsid w:val="00535096"/>
    <w:rsid w:val="006235CE"/>
    <w:rsid w:val="006C214D"/>
    <w:rsid w:val="006C49B6"/>
    <w:rsid w:val="00710CD0"/>
    <w:rsid w:val="00880A40"/>
    <w:rsid w:val="008D5F8D"/>
    <w:rsid w:val="00A10415"/>
    <w:rsid w:val="00A56797"/>
    <w:rsid w:val="00AA1D8D"/>
    <w:rsid w:val="00B220DC"/>
    <w:rsid w:val="00B235EA"/>
    <w:rsid w:val="00B47730"/>
    <w:rsid w:val="00C34E8A"/>
    <w:rsid w:val="00C64B3A"/>
    <w:rsid w:val="00C814F4"/>
    <w:rsid w:val="00C97EC7"/>
    <w:rsid w:val="00CB0664"/>
    <w:rsid w:val="00D67A93"/>
    <w:rsid w:val="00D92E81"/>
    <w:rsid w:val="00E65F2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0B8C58"/>
  <w14:defaultImageDpi w14:val="300"/>
  <w15:docId w15:val="{7614EABF-669D-4677-8C34-12CF0175D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B1F33"/>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B1F33"/>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B1F3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0B1F33"/>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710CD0"/>
    <w:pPr>
      <w:spacing w:after="100"/>
    </w:pPr>
  </w:style>
  <w:style w:type="paragraph" w:styleId="TOC2">
    <w:name w:val="toc 2"/>
    <w:basedOn w:val="Normal"/>
    <w:next w:val="Normal"/>
    <w:autoRedefine/>
    <w:uiPriority w:val="39"/>
    <w:unhideWhenUsed/>
    <w:rsid w:val="00710CD0"/>
    <w:pPr>
      <w:spacing w:after="100"/>
      <w:ind w:left="240"/>
    </w:pPr>
  </w:style>
  <w:style w:type="character" w:styleId="Hyperlink">
    <w:name w:val="Hyperlink"/>
    <w:basedOn w:val="DefaultParagraphFont"/>
    <w:uiPriority w:val="99"/>
    <w:unhideWhenUsed/>
    <w:rsid w:val="00710CD0"/>
    <w:rPr>
      <w:color w:val="0000FF" w:themeColor="hyperlink"/>
      <w:u w:val="single"/>
    </w:rPr>
  </w:style>
  <w:style w:type="character" w:styleId="UnresolvedMention">
    <w:name w:val="Unresolved Mention"/>
    <w:basedOn w:val="DefaultParagraphFont"/>
    <w:uiPriority w:val="99"/>
    <w:semiHidden/>
    <w:unhideWhenUsed/>
    <w:rsid w:val="006C49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rc.org.uk/news-and-events/news/corporate-affairs/2025/ungated/labour-costs-will-harm-employment/" TargetMode="External"/><Relationship Id="rId18" Type="http://schemas.openxmlformats.org/officeDocument/2006/relationships/hyperlink" Target="https://www.kantar.com/uki/inspiration/fmcg/2025-wp-annual-grocery-bills-could-jump-by-275"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avills.co.uk/research_articles/229130/379213-0" TargetMode="External"/><Relationship Id="rId7" Type="http://schemas.openxmlformats.org/officeDocument/2006/relationships/endnotes" Target="endnotes.xml"/><Relationship Id="rId12" Type="http://schemas.openxmlformats.org/officeDocument/2006/relationships/hyperlink" Target="https://doi.org/10.1111/1467-8551.00147" TargetMode="External"/><Relationship Id="rId17" Type="http://schemas.openxmlformats.org/officeDocument/2006/relationships/hyperlink" Target="https://www.igd.com/commercial-insight/retail-analysis/articles/worldpanel-results-retailer-trends-unchanged/72648" TargetMode="External"/><Relationship Id="rId25" Type="http://schemas.openxmlformats.org/officeDocument/2006/relationships/hyperlink" Target="https://www.tescoplc.com/preliminary-results-202526/" TargetMode="External"/><Relationship Id="rId2" Type="http://schemas.openxmlformats.org/officeDocument/2006/relationships/numbering" Target="numbering.xml"/><Relationship Id="rId16" Type="http://schemas.openxmlformats.org/officeDocument/2006/relationships/hyperlink" Target="https://commonslibrary.parliament.uk/research-briefings/cdp-2026-0004/" TargetMode="External"/><Relationship Id="rId20" Type="http://schemas.openxmlformats.org/officeDocument/2006/relationships/hyperlink" Target="https://www.reuters.com/business/retail-consumer/uk-grocery-inflation-slows-easing-fears-iran-war-hit-says-worldpanel-2026-06-2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920639101700108" TargetMode="External"/><Relationship Id="rId24" Type="http://schemas.openxmlformats.org/officeDocument/2006/relationships/hyperlink" Target="https://www.tescoplc.com/media/wvkj1yic/tesco-sustainability-report-2025.pdf" TargetMode="External"/><Relationship Id="rId5" Type="http://schemas.openxmlformats.org/officeDocument/2006/relationships/webSettings" Target="webSettings.xml"/><Relationship Id="rId15" Type="http://schemas.openxmlformats.org/officeDocument/2006/relationships/hyperlink" Target="https://www.bcg.com/publications/1970/strategy-the-product-portfolio" TargetMode="External"/><Relationship Id="rId23" Type="http://schemas.openxmlformats.org/officeDocument/2006/relationships/hyperlink" Target="https://www.tescoplc.com/investors/reports-results-and-presentations/annual-report-2025"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ons.gov.uk/economy/inflationandpriceindices/bulletins/consumerpriceinflation/april20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0007-6813(91)90005-G" TargetMode="External"/><Relationship Id="rId22" Type="http://schemas.openxmlformats.org/officeDocument/2006/relationships/hyperlink" Target="https://doi.org/10.1002/%28SICI%291097-0266%28199708%2918%3A7%3C509%3A%3AAID-SMJ882%3E3.0.CO%3B2-Z"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27</Pages>
  <Words>6955</Words>
  <Characters>39650</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46512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Report: Tesco PLC in the UK Grocery Retail Market</dc:title>
  <dc:subject>LCMB7003 Strategic Management Individual Report</dc:subject>
  <dc:creator>MD JUEL MIAH</dc:creator>
  <cp:keywords/>
  <cp:lastModifiedBy>Ritu Panna Saha</cp:lastModifiedBy>
  <cp:revision>5</cp:revision>
  <dcterms:created xsi:type="dcterms:W3CDTF">2026-07-15T16:58:00Z</dcterms:created>
  <dcterms:modified xsi:type="dcterms:W3CDTF">2026-07-15T17:30:00Z</dcterms:modified>
  <cp:category/>
</cp:coreProperties>
</file>