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CF3371" w14:textId="79AB02CF" w:rsidR="0069602A" w:rsidRDefault="00A93B06">
      <w:pPr>
        <w:rPr>
          <w:lang w:val="en-US"/>
        </w:rPr>
      </w:pPr>
      <w:r>
        <w:rPr>
          <w:noProof/>
        </w:rPr>
        <w:drawing>
          <wp:inline distT="0" distB="0" distL="0" distR="0" wp14:anchorId="3097C94B" wp14:editId="4A121318">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59D769A" w14:textId="77777777" w:rsidR="00726277" w:rsidRDefault="00726277">
      <w:pPr>
        <w:rPr>
          <w:lang w:val="en-US"/>
        </w:rPr>
      </w:pPr>
    </w:p>
    <w:p w14:paraId="7F38C07C" w14:textId="77777777" w:rsidR="0056241F" w:rsidRDefault="0056241F" w:rsidP="0056241F">
      <w:pPr>
        <w:spacing w:after="0" w:line="240" w:lineRule="auto"/>
        <w:rPr>
          <w:rFonts w:ascii="Arial" w:eastAsia="Times New Roman" w:hAnsi="Arial" w:cs="Arial"/>
          <w:b/>
          <w:bCs/>
          <w:sz w:val="32"/>
          <w:szCs w:val="32"/>
          <w:lang w:eastAsia="en-GB"/>
        </w:rPr>
      </w:pPr>
    </w:p>
    <w:p w14:paraId="3F3D4B22" w14:textId="77777777" w:rsidR="0056241F" w:rsidRDefault="0056241F" w:rsidP="0056241F">
      <w:pPr>
        <w:spacing w:after="0" w:line="240" w:lineRule="auto"/>
        <w:rPr>
          <w:rFonts w:ascii="Arial" w:eastAsia="Times New Roman" w:hAnsi="Arial" w:cs="Arial"/>
          <w:b/>
          <w:bCs/>
          <w:sz w:val="32"/>
          <w:szCs w:val="32"/>
          <w:lang w:eastAsia="en-GB"/>
        </w:rPr>
      </w:pPr>
    </w:p>
    <w:p w14:paraId="0577FD9F" w14:textId="77777777" w:rsidR="0056241F" w:rsidRDefault="0056241F" w:rsidP="0056241F">
      <w:pPr>
        <w:spacing w:after="0" w:line="240" w:lineRule="auto"/>
        <w:rPr>
          <w:rFonts w:ascii="Arial" w:eastAsia="Times New Roman" w:hAnsi="Arial" w:cs="Arial"/>
          <w:b/>
          <w:bCs/>
          <w:sz w:val="32"/>
          <w:szCs w:val="32"/>
          <w:lang w:eastAsia="en-GB"/>
        </w:rPr>
      </w:pPr>
    </w:p>
    <w:p w14:paraId="0926F188" w14:textId="77777777" w:rsidR="0056241F" w:rsidRDefault="0056241F" w:rsidP="0056241F">
      <w:pPr>
        <w:spacing w:after="0" w:line="240" w:lineRule="auto"/>
        <w:rPr>
          <w:rFonts w:ascii="Arial" w:eastAsia="Times New Roman" w:hAnsi="Arial" w:cs="Arial"/>
          <w:b/>
          <w:bCs/>
          <w:sz w:val="32"/>
          <w:szCs w:val="32"/>
          <w:lang w:eastAsia="en-GB"/>
        </w:rPr>
      </w:pPr>
    </w:p>
    <w:p w14:paraId="1E6044A1" w14:textId="77777777" w:rsidR="0056241F" w:rsidRDefault="0056241F" w:rsidP="0056241F">
      <w:pPr>
        <w:spacing w:after="0" w:line="240" w:lineRule="auto"/>
        <w:rPr>
          <w:rFonts w:ascii="Arial" w:eastAsia="Times New Roman" w:hAnsi="Arial" w:cs="Arial"/>
          <w:b/>
          <w:bCs/>
          <w:sz w:val="32"/>
          <w:szCs w:val="32"/>
          <w:lang w:eastAsia="en-GB"/>
        </w:rPr>
      </w:pPr>
    </w:p>
    <w:p w14:paraId="2D783B62" w14:textId="360CA69A" w:rsidR="0056241F" w:rsidRPr="00913D44" w:rsidRDefault="0056241F" w:rsidP="0056241F">
      <w:pPr>
        <w:spacing w:after="0" w:line="240" w:lineRule="auto"/>
        <w:rPr>
          <w:rFonts w:ascii="Arial" w:eastAsia="Times New Roman" w:hAnsi="Arial" w:cs="Arial"/>
          <w:sz w:val="32"/>
          <w:szCs w:val="32"/>
          <w:lang w:eastAsia="en-GB"/>
        </w:rPr>
      </w:pPr>
      <w:r w:rsidRPr="00913D44">
        <w:rPr>
          <w:rFonts w:ascii="Arial" w:eastAsia="Times New Roman" w:hAnsi="Arial" w:cs="Arial"/>
          <w:b/>
          <w:bCs/>
          <w:sz w:val="32"/>
          <w:szCs w:val="32"/>
          <w:lang w:eastAsia="en-GB"/>
        </w:rPr>
        <w:t xml:space="preserve">Program Name:     </w:t>
      </w:r>
      <w:r w:rsidRPr="00913D44">
        <w:rPr>
          <w:rFonts w:ascii="Arial" w:eastAsia="Times New Roman" w:hAnsi="Arial" w:cs="Arial"/>
          <w:sz w:val="40"/>
          <w:szCs w:val="40"/>
          <w:lang w:eastAsia="en-GB"/>
        </w:rPr>
        <w:t xml:space="preserve"> </w:t>
      </w:r>
      <w:r w:rsidRPr="00913D44">
        <w:rPr>
          <w:rFonts w:ascii="Arial" w:eastAsia="Times New Roman" w:hAnsi="Arial" w:cs="Arial"/>
          <w:sz w:val="32"/>
          <w:szCs w:val="32"/>
          <w:lang w:eastAsia="en-GB"/>
        </w:rPr>
        <w:t>Master of Business Administration</w:t>
      </w:r>
    </w:p>
    <w:p w14:paraId="788AE4E2" w14:textId="77777777" w:rsidR="0056241F" w:rsidRPr="00913D44" w:rsidRDefault="0056241F" w:rsidP="0056241F">
      <w:pPr>
        <w:spacing w:after="0" w:line="240" w:lineRule="auto"/>
        <w:rPr>
          <w:rFonts w:ascii="Arial" w:eastAsia="Times New Roman" w:hAnsi="Arial" w:cs="Arial"/>
          <w:sz w:val="40"/>
          <w:szCs w:val="40"/>
          <w:lang w:eastAsia="en-GB"/>
        </w:rPr>
      </w:pPr>
    </w:p>
    <w:p w14:paraId="037B9A7B" w14:textId="68B92235" w:rsidR="0056241F" w:rsidRPr="00913D44" w:rsidRDefault="0056241F" w:rsidP="0056241F">
      <w:pPr>
        <w:spacing w:after="0" w:line="240" w:lineRule="auto"/>
        <w:rPr>
          <w:rFonts w:ascii="Arial" w:eastAsia="Times New Roman" w:hAnsi="Arial" w:cs="Arial"/>
          <w:sz w:val="32"/>
          <w:szCs w:val="32"/>
          <w:lang w:eastAsia="en-GB"/>
        </w:rPr>
      </w:pPr>
      <w:r w:rsidRPr="00913D44">
        <w:rPr>
          <w:rFonts w:ascii="Arial" w:eastAsia="Times New Roman" w:hAnsi="Arial" w:cs="Arial"/>
          <w:b/>
          <w:bCs/>
          <w:sz w:val="32"/>
          <w:szCs w:val="32"/>
          <w:lang w:eastAsia="en-GB"/>
        </w:rPr>
        <w:t>Module Code:</w:t>
      </w:r>
      <w:r w:rsidRPr="00913D44">
        <w:rPr>
          <w:rFonts w:ascii="Arial" w:eastAsia="Times New Roman" w:hAnsi="Arial" w:cs="Arial"/>
          <w:sz w:val="40"/>
          <w:szCs w:val="40"/>
          <w:lang w:eastAsia="en-GB"/>
        </w:rPr>
        <w:t xml:space="preserve">        </w:t>
      </w:r>
      <w:r w:rsidRPr="00913D44">
        <w:rPr>
          <w:rFonts w:ascii="Arial" w:eastAsia="Times New Roman" w:hAnsi="Arial" w:cs="Arial"/>
          <w:sz w:val="32"/>
          <w:szCs w:val="32"/>
          <w:lang w:eastAsia="en-GB"/>
        </w:rPr>
        <w:t>LCMB70</w:t>
      </w:r>
      <w:r>
        <w:rPr>
          <w:rFonts w:ascii="Arial" w:eastAsia="Times New Roman" w:hAnsi="Arial" w:cs="Arial"/>
          <w:sz w:val="32"/>
          <w:szCs w:val="32"/>
          <w:lang w:eastAsia="en-GB"/>
        </w:rPr>
        <w:t>34</w:t>
      </w:r>
    </w:p>
    <w:p w14:paraId="37E21536" w14:textId="77777777" w:rsidR="0056241F" w:rsidRPr="00913D44" w:rsidRDefault="0056241F" w:rsidP="0056241F">
      <w:pPr>
        <w:spacing w:after="0" w:line="240" w:lineRule="auto"/>
        <w:rPr>
          <w:rFonts w:ascii="Arial" w:eastAsia="Times New Roman" w:hAnsi="Arial" w:cs="Arial"/>
          <w:sz w:val="32"/>
          <w:szCs w:val="32"/>
          <w:lang w:eastAsia="en-GB"/>
        </w:rPr>
      </w:pPr>
    </w:p>
    <w:p w14:paraId="775478C1" w14:textId="6D7CECB1" w:rsidR="0056241F" w:rsidRPr="0056241F" w:rsidRDefault="0056241F" w:rsidP="0056241F">
      <w:pPr>
        <w:spacing w:after="0" w:line="240" w:lineRule="auto"/>
        <w:rPr>
          <w:rFonts w:ascii="Arial" w:eastAsia="Times New Roman" w:hAnsi="Arial" w:cs="Arial"/>
          <w:sz w:val="32"/>
          <w:szCs w:val="32"/>
          <w:lang w:eastAsia="en-GB"/>
        </w:rPr>
      </w:pPr>
      <w:r w:rsidRPr="00913D44">
        <w:rPr>
          <w:rFonts w:ascii="Arial" w:eastAsia="Times New Roman" w:hAnsi="Arial" w:cs="Arial"/>
          <w:b/>
          <w:bCs/>
          <w:sz w:val="32"/>
          <w:szCs w:val="32"/>
          <w:lang w:eastAsia="en-GB"/>
        </w:rPr>
        <w:t xml:space="preserve">Module:             </w:t>
      </w:r>
      <w:r w:rsidRPr="00913D44">
        <w:rPr>
          <w:rFonts w:ascii="Arial" w:eastAsia="Times New Roman" w:hAnsi="Arial" w:cs="Arial"/>
          <w:sz w:val="40"/>
          <w:szCs w:val="40"/>
          <w:lang w:eastAsia="en-GB"/>
        </w:rPr>
        <w:t xml:space="preserve">     </w:t>
      </w:r>
      <w:r>
        <w:rPr>
          <w:rFonts w:ascii="Arial" w:eastAsia="Times New Roman" w:hAnsi="Arial" w:cs="Arial"/>
          <w:sz w:val="40"/>
          <w:szCs w:val="40"/>
          <w:lang w:eastAsia="en-GB"/>
        </w:rPr>
        <w:t xml:space="preserve"> </w:t>
      </w:r>
      <w:r w:rsidRPr="0056241F">
        <w:rPr>
          <w:rFonts w:ascii="Arial" w:eastAsia="Times New Roman" w:hAnsi="Arial" w:cs="Arial"/>
          <w:sz w:val="32"/>
          <w:szCs w:val="32"/>
          <w:lang w:eastAsia="en-GB"/>
        </w:rPr>
        <w:t>International</w:t>
      </w:r>
      <w:r>
        <w:rPr>
          <w:rFonts w:ascii="Arial" w:eastAsia="Times New Roman" w:hAnsi="Arial" w:cs="Arial"/>
          <w:sz w:val="32"/>
          <w:szCs w:val="32"/>
          <w:lang w:eastAsia="en-GB"/>
        </w:rPr>
        <w:t xml:space="preserve"> Business Concepts</w:t>
      </w:r>
    </w:p>
    <w:p w14:paraId="7EA97088" w14:textId="77777777" w:rsidR="0056241F" w:rsidRDefault="0056241F" w:rsidP="0056241F">
      <w:pPr>
        <w:spacing w:after="0" w:line="240" w:lineRule="auto"/>
        <w:rPr>
          <w:rFonts w:ascii="Arial" w:eastAsia="Times New Roman" w:hAnsi="Arial" w:cs="Arial"/>
          <w:sz w:val="32"/>
          <w:szCs w:val="32"/>
          <w:lang w:eastAsia="en-GB"/>
        </w:rPr>
      </w:pPr>
    </w:p>
    <w:p w14:paraId="454F0B51" w14:textId="0AD51730" w:rsidR="0056241F" w:rsidRPr="00860831" w:rsidRDefault="0056241F" w:rsidP="0056241F">
      <w:pPr>
        <w:spacing w:before="120" w:after="120"/>
        <w:rPr>
          <w:rFonts w:ascii="Arial" w:hAnsi="Arial" w:cs="Arial"/>
          <w:sz w:val="32"/>
          <w:szCs w:val="32"/>
        </w:rPr>
      </w:pPr>
      <w:r w:rsidRPr="00860831">
        <w:rPr>
          <w:rFonts w:ascii="Arial" w:hAnsi="Arial" w:cs="Arial"/>
          <w:b/>
          <w:bCs/>
          <w:sz w:val="32"/>
          <w:szCs w:val="32"/>
        </w:rPr>
        <w:t>Assignment Title:</w:t>
      </w:r>
      <w:r>
        <w:rPr>
          <w:rFonts w:ascii="Arial" w:hAnsi="Arial" w:cs="Arial"/>
          <w:sz w:val="24"/>
          <w:szCs w:val="24"/>
        </w:rPr>
        <w:t xml:space="preserve">      </w:t>
      </w:r>
      <w:r>
        <w:rPr>
          <w:rFonts w:ascii="Arial" w:hAnsi="Arial" w:cs="Arial"/>
          <w:sz w:val="32"/>
          <w:szCs w:val="32"/>
        </w:rPr>
        <w:t>Report</w:t>
      </w:r>
    </w:p>
    <w:p w14:paraId="0471EA49" w14:textId="77777777" w:rsidR="0056241F" w:rsidRPr="00913D44" w:rsidRDefault="0056241F" w:rsidP="0056241F">
      <w:pPr>
        <w:spacing w:after="0" w:line="240" w:lineRule="auto"/>
        <w:rPr>
          <w:rFonts w:ascii="Arial" w:eastAsia="Times New Roman" w:hAnsi="Arial" w:cs="Arial"/>
          <w:sz w:val="32"/>
          <w:szCs w:val="32"/>
          <w:lang w:eastAsia="en-GB"/>
        </w:rPr>
      </w:pPr>
    </w:p>
    <w:p w14:paraId="2135AD6A" w14:textId="77777777" w:rsidR="0056241F" w:rsidRPr="00913D44" w:rsidRDefault="0056241F" w:rsidP="0056241F">
      <w:pPr>
        <w:spacing w:after="0" w:line="240" w:lineRule="auto"/>
        <w:rPr>
          <w:rFonts w:ascii="Arial" w:eastAsia="Times New Roman" w:hAnsi="Arial" w:cs="Arial"/>
          <w:b/>
          <w:bCs/>
          <w:sz w:val="32"/>
          <w:szCs w:val="32"/>
          <w:lang w:eastAsia="en-GB"/>
        </w:rPr>
      </w:pPr>
      <w:r w:rsidRPr="00913D44">
        <w:rPr>
          <w:rFonts w:ascii="Arial" w:eastAsia="Times New Roman" w:hAnsi="Arial" w:cs="Arial"/>
          <w:b/>
          <w:bCs/>
          <w:sz w:val="32"/>
          <w:szCs w:val="32"/>
          <w:lang w:eastAsia="en-GB"/>
        </w:rPr>
        <w:t>Lecturer’s Name</w:t>
      </w:r>
      <w:r w:rsidRPr="00913D44">
        <w:rPr>
          <w:rFonts w:ascii="Arial" w:eastAsia="Times New Roman" w:hAnsi="Arial" w:cs="Arial"/>
          <w:sz w:val="32"/>
          <w:szCs w:val="32"/>
          <w:lang w:eastAsia="en-GB"/>
        </w:rPr>
        <w:t xml:space="preserve">:     </w:t>
      </w:r>
      <w:r>
        <w:rPr>
          <w:rFonts w:ascii="Arial" w:eastAsia="Times New Roman" w:hAnsi="Arial" w:cs="Arial"/>
          <w:sz w:val="32"/>
          <w:szCs w:val="32"/>
          <w:lang w:eastAsia="en-GB"/>
        </w:rPr>
        <w:t xml:space="preserve"> Dr. Babar Syed</w:t>
      </w:r>
      <w:r w:rsidRPr="00913D44">
        <w:rPr>
          <w:rFonts w:ascii="Arial" w:eastAsia="Times New Roman" w:hAnsi="Arial" w:cs="Arial"/>
          <w:b/>
          <w:bCs/>
          <w:sz w:val="32"/>
          <w:szCs w:val="32"/>
          <w:lang w:eastAsia="en-GB"/>
        </w:rPr>
        <w:t xml:space="preserve">   </w:t>
      </w:r>
    </w:p>
    <w:p w14:paraId="234A8C82" w14:textId="77777777" w:rsidR="0056241F" w:rsidRPr="00913D44" w:rsidRDefault="0056241F" w:rsidP="0056241F">
      <w:pPr>
        <w:spacing w:after="0" w:line="240" w:lineRule="auto"/>
        <w:rPr>
          <w:rFonts w:ascii="Arial" w:eastAsia="Times New Roman" w:hAnsi="Arial" w:cs="Arial"/>
          <w:sz w:val="40"/>
          <w:szCs w:val="40"/>
          <w:lang w:eastAsia="en-GB"/>
        </w:rPr>
      </w:pPr>
    </w:p>
    <w:p w14:paraId="7DFD1843" w14:textId="77777777" w:rsidR="0056241F" w:rsidRDefault="0056241F" w:rsidP="0056241F">
      <w:pPr>
        <w:spacing w:after="0" w:line="240" w:lineRule="auto"/>
        <w:rPr>
          <w:rFonts w:ascii="Arial" w:eastAsia="Times New Roman" w:hAnsi="Arial" w:cs="Arial"/>
          <w:sz w:val="32"/>
          <w:szCs w:val="32"/>
          <w:lang w:eastAsia="en-GB"/>
        </w:rPr>
      </w:pPr>
      <w:r w:rsidRPr="00913D44">
        <w:rPr>
          <w:rFonts w:ascii="Arial" w:eastAsia="Times New Roman" w:hAnsi="Arial" w:cs="Arial"/>
          <w:b/>
          <w:bCs/>
          <w:sz w:val="32"/>
          <w:szCs w:val="32"/>
          <w:lang w:eastAsia="en-GB"/>
        </w:rPr>
        <w:t xml:space="preserve">Student name:          </w:t>
      </w:r>
      <w:r w:rsidRPr="00913D44">
        <w:rPr>
          <w:rFonts w:ascii="Arial" w:eastAsia="Times New Roman" w:hAnsi="Arial" w:cs="Arial"/>
          <w:sz w:val="32"/>
          <w:szCs w:val="32"/>
          <w:lang w:eastAsia="en-GB"/>
        </w:rPr>
        <w:t>Nedyalko Radev</w:t>
      </w:r>
    </w:p>
    <w:p w14:paraId="63F00A22" w14:textId="77777777" w:rsidR="0056241F" w:rsidRPr="0056241F" w:rsidRDefault="0056241F" w:rsidP="0056241F">
      <w:pPr>
        <w:spacing w:after="0" w:line="240" w:lineRule="auto"/>
        <w:rPr>
          <w:rFonts w:ascii="Arial" w:eastAsia="Times New Roman" w:hAnsi="Arial" w:cs="Arial"/>
          <w:b/>
          <w:bCs/>
          <w:sz w:val="32"/>
          <w:szCs w:val="32"/>
          <w:lang w:eastAsia="en-GB"/>
        </w:rPr>
      </w:pPr>
    </w:p>
    <w:p w14:paraId="3FFD065C" w14:textId="3CACF91B" w:rsidR="0056241F" w:rsidRPr="0056241F" w:rsidRDefault="0056241F" w:rsidP="0056241F">
      <w:pPr>
        <w:spacing w:after="0" w:line="240" w:lineRule="auto"/>
        <w:rPr>
          <w:rFonts w:ascii="Arial" w:eastAsia="Times New Roman" w:hAnsi="Arial" w:cs="Arial"/>
          <w:b/>
          <w:bCs/>
          <w:sz w:val="32"/>
          <w:szCs w:val="32"/>
          <w:lang w:eastAsia="en-GB"/>
        </w:rPr>
      </w:pPr>
      <w:r w:rsidRPr="0056241F">
        <w:rPr>
          <w:rFonts w:ascii="Arial" w:eastAsia="Times New Roman" w:hAnsi="Arial" w:cs="Arial"/>
          <w:b/>
          <w:bCs/>
          <w:sz w:val="32"/>
          <w:szCs w:val="32"/>
          <w:lang w:eastAsia="en-GB"/>
        </w:rPr>
        <w:t>Student Number:</w:t>
      </w:r>
      <w:r>
        <w:rPr>
          <w:rFonts w:ascii="Arial" w:eastAsia="Times New Roman" w:hAnsi="Arial" w:cs="Arial"/>
          <w:b/>
          <w:bCs/>
          <w:sz w:val="32"/>
          <w:szCs w:val="32"/>
          <w:lang w:eastAsia="en-GB"/>
        </w:rPr>
        <w:t xml:space="preserve">      </w:t>
      </w:r>
      <w:r w:rsidRPr="0056241F">
        <w:rPr>
          <w:rFonts w:ascii="Arial" w:eastAsia="Times New Roman" w:hAnsi="Arial" w:cs="Arial"/>
          <w:sz w:val="32"/>
          <w:szCs w:val="32"/>
          <w:lang w:eastAsia="en-GB"/>
        </w:rPr>
        <w:t>2128093</w:t>
      </w:r>
    </w:p>
    <w:p w14:paraId="7198B5A7" w14:textId="77777777" w:rsidR="0056241F" w:rsidRPr="00913D44" w:rsidRDefault="0056241F" w:rsidP="0056241F">
      <w:pPr>
        <w:spacing w:after="0" w:line="240" w:lineRule="auto"/>
        <w:rPr>
          <w:rFonts w:ascii="Arial" w:eastAsia="Times New Roman" w:hAnsi="Arial" w:cs="Arial"/>
          <w:sz w:val="40"/>
          <w:szCs w:val="40"/>
          <w:lang w:eastAsia="en-GB"/>
        </w:rPr>
      </w:pPr>
    </w:p>
    <w:p w14:paraId="70C67CF0" w14:textId="77777777" w:rsidR="00726277" w:rsidRDefault="00726277">
      <w:pPr>
        <w:rPr>
          <w:lang w:val="en-US"/>
        </w:rPr>
      </w:pPr>
    </w:p>
    <w:p w14:paraId="5691AC13" w14:textId="77777777" w:rsidR="00726277" w:rsidRDefault="00726277">
      <w:pPr>
        <w:rPr>
          <w:lang w:val="en-US"/>
        </w:rPr>
      </w:pPr>
    </w:p>
    <w:p w14:paraId="2095F34E" w14:textId="77777777" w:rsidR="00726277" w:rsidRDefault="00726277">
      <w:pPr>
        <w:rPr>
          <w:lang w:val="en-US"/>
        </w:rPr>
      </w:pPr>
    </w:p>
    <w:p w14:paraId="2A7D8C7C" w14:textId="77777777" w:rsidR="00726277" w:rsidRDefault="00726277">
      <w:pPr>
        <w:rPr>
          <w:lang w:val="en-US"/>
        </w:rPr>
      </w:pPr>
    </w:p>
    <w:p w14:paraId="1D7B7F11" w14:textId="77777777" w:rsidR="00726277" w:rsidRDefault="00726277">
      <w:pPr>
        <w:rPr>
          <w:lang w:val="en-US"/>
        </w:rPr>
      </w:pPr>
    </w:p>
    <w:p w14:paraId="489DBD00" w14:textId="77777777" w:rsidR="00726277" w:rsidRDefault="00726277">
      <w:pPr>
        <w:rPr>
          <w:lang w:val="en-US"/>
        </w:rPr>
      </w:pPr>
    </w:p>
    <w:p w14:paraId="53F45251" w14:textId="77777777" w:rsidR="00726277" w:rsidRDefault="00726277">
      <w:pPr>
        <w:rPr>
          <w:lang w:val="en-US"/>
        </w:rPr>
      </w:pPr>
    </w:p>
    <w:p w14:paraId="24E30D2D" w14:textId="77777777" w:rsidR="00726277" w:rsidRDefault="00726277">
      <w:pPr>
        <w:rPr>
          <w:lang w:val="en-US"/>
        </w:rPr>
      </w:pPr>
    </w:p>
    <w:p w14:paraId="3BD4B5BB" w14:textId="77777777" w:rsidR="006822B3" w:rsidRDefault="006822B3" w:rsidP="0069602A">
      <w:pPr>
        <w:spacing w:before="100" w:beforeAutospacing="1" w:after="100" w:afterAutospacing="1" w:line="240" w:lineRule="auto"/>
        <w:rPr>
          <w:rFonts w:ascii="Times New Roman" w:eastAsia="Times New Roman" w:hAnsi="Times New Roman" w:cs="Times New Roman"/>
          <w:sz w:val="24"/>
          <w:szCs w:val="24"/>
          <w:lang w:val="en-US"/>
        </w:rPr>
      </w:pPr>
    </w:p>
    <w:sdt>
      <w:sdtPr>
        <w:rPr>
          <w:rFonts w:asciiTheme="minorHAnsi" w:eastAsiaTheme="minorHAnsi" w:hAnsiTheme="minorHAnsi" w:cstheme="minorBidi"/>
          <w:color w:val="auto"/>
          <w:sz w:val="22"/>
          <w:szCs w:val="22"/>
          <w:lang w:val="en-GB"/>
        </w:rPr>
        <w:id w:val="-188063179"/>
        <w:docPartObj>
          <w:docPartGallery w:val="Table of Contents"/>
          <w:docPartUnique/>
        </w:docPartObj>
      </w:sdtPr>
      <w:sdtEndPr>
        <w:rPr>
          <w:b/>
          <w:bCs/>
          <w:noProof/>
        </w:rPr>
      </w:sdtEndPr>
      <w:sdtContent>
        <w:p w14:paraId="207E2398" w14:textId="05FDF327" w:rsidR="00224E86" w:rsidRDefault="00224E86">
          <w:pPr>
            <w:pStyle w:val="TOCHeading"/>
          </w:pPr>
          <w:r>
            <w:t>Table of Contents</w:t>
          </w:r>
        </w:p>
        <w:p w14:paraId="0106C0DE" w14:textId="2CCD3501" w:rsidR="009745A8" w:rsidRDefault="00224E86">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661194" w:history="1">
            <w:r w:rsidR="009745A8" w:rsidRPr="00BC6E2A">
              <w:rPr>
                <w:rStyle w:val="Hyperlink"/>
                <w:rFonts w:ascii="Arial" w:eastAsia="Times New Roman" w:hAnsi="Arial" w:cs="Arial"/>
                <w:b/>
                <w:bCs/>
                <w:noProof/>
                <w:lang w:val="en-US"/>
              </w:rPr>
              <w:t>1.</w:t>
            </w:r>
            <w:r w:rsidR="009745A8">
              <w:rPr>
                <w:rFonts w:eastAsiaTheme="minorEastAsia"/>
                <w:noProof/>
                <w:kern w:val="2"/>
                <w:sz w:val="24"/>
                <w:szCs w:val="24"/>
                <w:lang w:eastAsia="en-GB"/>
                <w14:ligatures w14:val="standardContextual"/>
              </w:rPr>
              <w:tab/>
            </w:r>
            <w:r w:rsidR="009745A8" w:rsidRPr="00BC6E2A">
              <w:rPr>
                <w:rStyle w:val="Hyperlink"/>
                <w:rFonts w:ascii="Arial" w:eastAsia="Times New Roman" w:hAnsi="Arial" w:cs="Arial"/>
                <w:b/>
                <w:bCs/>
                <w:noProof/>
                <w:lang w:val="en-US"/>
              </w:rPr>
              <w:t>Introduction</w:t>
            </w:r>
            <w:r w:rsidR="009745A8">
              <w:rPr>
                <w:noProof/>
                <w:webHidden/>
              </w:rPr>
              <w:tab/>
            </w:r>
            <w:r w:rsidR="009745A8">
              <w:rPr>
                <w:noProof/>
                <w:webHidden/>
              </w:rPr>
              <w:fldChar w:fldCharType="begin"/>
            </w:r>
            <w:r w:rsidR="009745A8">
              <w:rPr>
                <w:noProof/>
                <w:webHidden/>
              </w:rPr>
              <w:instrText xml:space="preserve"> PAGEREF _Toc214661194 \h </w:instrText>
            </w:r>
            <w:r w:rsidR="009745A8">
              <w:rPr>
                <w:noProof/>
                <w:webHidden/>
              </w:rPr>
            </w:r>
            <w:r w:rsidR="009745A8">
              <w:rPr>
                <w:noProof/>
                <w:webHidden/>
              </w:rPr>
              <w:fldChar w:fldCharType="separate"/>
            </w:r>
            <w:r w:rsidR="009745A8">
              <w:rPr>
                <w:noProof/>
                <w:webHidden/>
              </w:rPr>
              <w:t>3</w:t>
            </w:r>
            <w:r w:rsidR="009745A8">
              <w:rPr>
                <w:noProof/>
                <w:webHidden/>
              </w:rPr>
              <w:fldChar w:fldCharType="end"/>
            </w:r>
          </w:hyperlink>
        </w:p>
        <w:p w14:paraId="7B21A8E9" w14:textId="136F4C30" w:rsidR="009745A8" w:rsidRDefault="009745A8">
          <w:pPr>
            <w:pStyle w:val="TOC1"/>
            <w:tabs>
              <w:tab w:val="right" w:leader="dot" w:pos="9016"/>
            </w:tabs>
            <w:rPr>
              <w:rFonts w:eastAsiaTheme="minorEastAsia"/>
              <w:noProof/>
              <w:kern w:val="2"/>
              <w:sz w:val="24"/>
              <w:szCs w:val="24"/>
              <w:lang w:eastAsia="en-GB"/>
              <w14:ligatures w14:val="standardContextual"/>
            </w:rPr>
          </w:pPr>
          <w:hyperlink w:anchor="_Toc214661195" w:history="1">
            <w:r w:rsidRPr="00BC6E2A">
              <w:rPr>
                <w:rStyle w:val="Hyperlink"/>
                <w:rFonts w:ascii="Arial" w:eastAsia="Times New Roman" w:hAnsi="Arial" w:cs="Arial"/>
                <w:b/>
                <w:bCs/>
                <w:noProof/>
                <w:lang w:val="en-US"/>
              </w:rPr>
              <w:t>2. Benefits and Challenges of Shell’s International operations</w:t>
            </w:r>
            <w:r>
              <w:rPr>
                <w:noProof/>
                <w:webHidden/>
              </w:rPr>
              <w:tab/>
            </w:r>
            <w:r>
              <w:rPr>
                <w:noProof/>
                <w:webHidden/>
              </w:rPr>
              <w:fldChar w:fldCharType="begin"/>
            </w:r>
            <w:r>
              <w:rPr>
                <w:noProof/>
                <w:webHidden/>
              </w:rPr>
              <w:instrText xml:space="preserve"> PAGEREF _Toc214661195 \h </w:instrText>
            </w:r>
            <w:r>
              <w:rPr>
                <w:noProof/>
                <w:webHidden/>
              </w:rPr>
            </w:r>
            <w:r>
              <w:rPr>
                <w:noProof/>
                <w:webHidden/>
              </w:rPr>
              <w:fldChar w:fldCharType="separate"/>
            </w:r>
            <w:r>
              <w:rPr>
                <w:noProof/>
                <w:webHidden/>
              </w:rPr>
              <w:t>3</w:t>
            </w:r>
            <w:r>
              <w:rPr>
                <w:noProof/>
                <w:webHidden/>
              </w:rPr>
              <w:fldChar w:fldCharType="end"/>
            </w:r>
          </w:hyperlink>
        </w:p>
        <w:p w14:paraId="5559EF8D" w14:textId="0961046C"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196" w:history="1">
            <w:r w:rsidRPr="00BC6E2A">
              <w:rPr>
                <w:rStyle w:val="Hyperlink"/>
                <w:rFonts w:ascii="Arial" w:eastAsia="Times New Roman" w:hAnsi="Arial" w:cs="Arial"/>
                <w:noProof/>
                <w:lang w:val="en-US"/>
              </w:rPr>
              <w:t>2.1 Nature of Shell’s Global Value Chain</w:t>
            </w:r>
            <w:r>
              <w:rPr>
                <w:noProof/>
                <w:webHidden/>
              </w:rPr>
              <w:tab/>
            </w:r>
            <w:r>
              <w:rPr>
                <w:noProof/>
                <w:webHidden/>
              </w:rPr>
              <w:fldChar w:fldCharType="begin"/>
            </w:r>
            <w:r>
              <w:rPr>
                <w:noProof/>
                <w:webHidden/>
              </w:rPr>
              <w:instrText xml:space="preserve"> PAGEREF _Toc214661196 \h </w:instrText>
            </w:r>
            <w:r>
              <w:rPr>
                <w:noProof/>
                <w:webHidden/>
              </w:rPr>
            </w:r>
            <w:r>
              <w:rPr>
                <w:noProof/>
                <w:webHidden/>
              </w:rPr>
              <w:fldChar w:fldCharType="separate"/>
            </w:r>
            <w:r>
              <w:rPr>
                <w:noProof/>
                <w:webHidden/>
              </w:rPr>
              <w:t>4</w:t>
            </w:r>
            <w:r>
              <w:rPr>
                <w:noProof/>
                <w:webHidden/>
              </w:rPr>
              <w:fldChar w:fldCharType="end"/>
            </w:r>
          </w:hyperlink>
        </w:p>
        <w:p w14:paraId="7647D1CE" w14:textId="3677DF9E"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197" w:history="1">
            <w:r w:rsidRPr="00BC6E2A">
              <w:rPr>
                <w:rStyle w:val="Hyperlink"/>
                <w:rFonts w:ascii="Arial" w:eastAsia="Times New Roman" w:hAnsi="Arial" w:cs="Arial"/>
                <w:noProof/>
                <w:lang w:val="en-US"/>
              </w:rPr>
              <w:t>2.2 Entry Mode in Shell International markets</w:t>
            </w:r>
            <w:r>
              <w:rPr>
                <w:noProof/>
                <w:webHidden/>
              </w:rPr>
              <w:tab/>
            </w:r>
            <w:r>
              <w:rPr>
                <w:noProof/>
                <w:webHidden/>
              </w:rPr>
              <w:fldChar w:fldCharType="begin"/>
            </w:r>
            <w:r>
              <w:rPr>
                <w:noProof/>
                <w:webHidden/>
              </w:rPr>
              <w:instrText xml:space="preserve"> PAGEREF _Toc214661197 \h </w:instrText>
            </w:r>
            <w:r>
              <w:rPr>
                <w:noProof/>
                <w:webHidden/>
              </w:rPr>
            </w:r>
            <w:r>
              <w:rPr>
                <w:noProof/>
                <w:webHidden/>
              </w:rPr>
              <w:fldChar w:fldCharType="separate"/>
            </w:r>
            <w:r>
              <w:rPr>
                <w:noProof/>
                <w:webHidden/>
              </w:rPr>
              <w:t>6</w:t>
            </w:r>
            <w:r>
              <w:rPr>
                <w:noProof/>
                <w:webHidden/>
              </w:rPr>
              <w:fldChar w:fldCharType="end"/>
            </w:r>
          </w:hyperlink>
        </w:p>
        <w:p w14:paraId="3C48C705" w14:textId="09064DC0"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198" w:history="1">
            <w:r w:rsidRPr="00BC6E2A">
              <w:rPr>
                <w:rStyle w:val="Hyperlink"/>
                <w:rFonts w:ascii="Arial" w:eastAsia="Times New Roman" w:hAnsi="Arial" w:cs="Arial"/>
                <w:noProof/>
                <w:lang w:val="en-US"/>
              </w:rPr>
              <w:t>2.3 International Operations and their main advantages</w:t>
            </w:r>
            <w:r>
              <w:rPr>
                <w:noProof/>
                <w:webHidden/>
              </w:rPr>
              <w:tab/>
            </w:r>
            <w:r>
              <w:rPr>
                <w:noProof/>
                <w:webHidden/>
              </w:rPr>
              <w:fldChar w:fldCharType="begin"/>
            </w:r>
            <w:r>
              <w:rPr>
                <w:noProof/>
                <w:webHidden/>
              </w:rPr>
              <w:instrText xml:space="preserve"> PAGEREF _Toc214661198 \h </w:instrText>
            </w:r>
            <w:r>
              <w:rPr>
                <w:noProof/>
                <w:webHidden/>
              </w:rPr>
            </w:r>
            <w:r>
              <w:rPr>
                <w:noProof/>
                <w:webHidden/>
              </w:rPr>
              <w:fldChar w:fldCharType="separate"/>
            </w:r>
            <w:r>
              <w:rPr>
                <w:noProof/>
                <w:webHidden/>
              </w:rPr>
              <w:t>8</w:t>
            </w:r>
            <w:r>
              <w:rPr>
                <w:noProof/>
                <w:webHidden/>
              </w:rPr>
              <w:fldChar w:fldCharType="end"/>
            </w:r>
          </w:hyperlink>
        </w:p>
        <w:p w14:paraId="4F07D5F8" w14:textId="4EA9069B"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199" w:history="1">
            <w:r w:rsidRPr="00BC6E2A">
              <w:rPr>
                <w:rStyle w:val="Hyperlink"/>
                <w:rFonts w:ascii="Arial" w:eastAsia="Times New Roman" w:hAnsi="Arial" w:cs="Arial"/>
                <w:noProof/>
                <w:lang w:val="en-US"/>
              </w:rPr>
              <w:t>2.4 Significant Problems of International Operations</w:t>
            </w:r>
            <w:r>
              <w:rPr>
                <w:noProof/>
                <w:webHidden/>
              </w:rPr>
              <w:tab/>
            </w:r>
            <w:r>
              <w:rPr>
                <w:noProof/>
                <w:webHidden/>
              </w:rPr>
              <w:fldChar w:fldCharType="begin"/>
            </w:r>
            <w:r>
              <w:rPr>
                <w:noProof/>
                <w:webHidden/>
              </w:rPr>
              <w:instrText xml:space="preserve"> PAGEREF _Toc214661199 \h </w:instrText>
            </w:r>
            <w:r>
              <w:rPr>
                <w:noProof/>
                <w:webHidden/>
              </w:rPr>
            </w:r>
            <w:r>
              <w:rPr>
                <w:noProof/>
                <w:webHidden/>
              </w:rPr>
              <w:fldChar w:fldCharType="separate"/>
            </w:r>
            <w:r>
              <w:rPr>
                <w:noProof/>
                <w:webHidden/>
              </w:rPr>
              <w:t>8</w:t>
            </w:r>
            <w:r>
              <w:rPr>
                <w:noProof/>
                <w:webHidden/>
              </w:rPr>
              <w:fldChar w:fldCharType="end"/>
            </w:r>
          </w:hyperlink>
        </w:p>
        <w:p w14:paraId="7AA86C0C" w14:textId="5B011E2E" w:rsidR="009745A8" w:rsidRDefault="009745A8">
          <w:pPr>
            <w:pStyle w:val="TOC1"/>
            <w:tabs>
              <w:tab w:val="right" w:leader="dot" w:pos="9016"/>
            </w:tabs>
            <w:rPr>
              <w:rFonts w:eastAsiaTheme="minorEastAsia"/>
              <w:noProof/>
              <w:kern w:val="2"/>
              <w:sz w:val="24"/>
              <w:szCs w:val="24"/>
              <w:lang w:eastAsia="en-GB"/>
              <w14:ligatures w14:val="standardContextual"/>
            </w:rPr>
          </w:pPr>
          <w:hyperlink w:anchor="_Toc214661200" w:history="1">
            <w:r w:rsidRPr="00BC6E2A">
              <w:rPr>
                <w:rStyle w:val="Hyperlink"/>
                <w:rFonts w:ascii="Arial" w:eastAsia="Times New Roman" w:hAnsi="Arial" w:cs="Arial"/>
                <w:b/>
                <w:bCs/>
                <w:noProof/>
                <w:lang w:val="en-US"/>
              </w:rPr>
              <w:t>3. OLI Analysis and Market Entry Mode: Shell (UK) - Nigeria</w:t>
            </w:r>
            <w:r>
              <w:rPr>
                <w:noProof/>
                <w:webHidden/>
              </w:rPr>
              <w:tab/>
            </w:r>
            <w:r>
              <w:rPr>
                <w:noProof/>
                <w:webHidden/>
              </w:rPr>
              <w:fldChar w:fldCharType="begin"/>
            </w:r>
            <w:r>
              <w:rPr>
                <w:noProof/>
                <w:webHidden/>
              </w:rPr>
              <w:instrText xml:space="preserve"> PAGEREF _Toc214661200 \h </w:instrText>
            </w:r>
            <w:r>
              <w:rPr>
                <w:noProof/>
                <w:webHidden/>
              </w:rPr>
            </w:r>
            <w:r>
              <w:rPr>
                <w:noProof/>
                <w:webHidden/>
              </w:rPr>
              <w:fldChar w:fldCharType="separate"/>
            </w:r>
            <w:r>
              <w:rPr>
                <w:noProof/>
                <w:webHidden/>
              </w:rPr>
              <w:t>9</w:t>
            </w:r>
            <w:r>
              <w:rPr>
                <w:noProof/>
                <w:webHidden/>
              </w:rPr>
              <w:fldChar w:fldCharType="end"/>
            </w:r>
          </w:hyperlink>
        </w:p>
        <w:p w14:paraId="2A460A36" w14:textId="087D076A"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01" w:history="1">
            <w:r w:rsidRPr="00BC6E2A">
              <w:rPr>
                <w:rStyle w:val="Hyperlink"/>
                <w:rFonts w:ascii="Arial" w:eastAsia="Times New Roman" w:hAnsi="Arial" w:cs="Arial"/>
                <w:noProof/>
                <w:lang w:val="en-US"/>
              </w:rPr>
              <w:t>3.1 Ownership (O) Shell Strengths</w:t>
            </w:r>
            <w:r>
              <w:rPr>
                <w:noProof/>
                <w:webHidden/>
              </w:rPr>
              <w:tab/>
            </w:r>
            <w:r>
              <w:rPr>
                <w:noProof/>
                <w:webHidden/>
              </w:rPr>
              <w:fldChar w:fldCharType="begin"/>
            </w:r>
            <w:r>
              <w:rPr>
                <w:noProof/>
                <w:webHidden/>
              </w:rPr>
              <w:instrText xml:space="preserve"> PAGEREF _Toc214661201 \h </w:instrText>
            </w:r>
            <w:r>
              <w:rPr>
                <w:noProof/>
                <w:webHidden/>
              </w:rPr>
            </w:r>
            <w:r>
              <w:rPr>
                <w:noProof/>
                <w:webHidden/>
              </w:rPr>
              <w:fldChar w:fldCharType="separate"/>
            </w:r>
            <w:r>
              <w:rPr>
                <w:noProof/>
                <w:webHidden/>
              </w:rPr>
              <w:t>9</w:t>
            </w:r>
            <w:r>
              <w:rPr>
                <w:noProof/>
                <w:webHidden/>
              </w:rPr>
              <w:fldChar w:fldCharType="end"/>
            </w:r>
          </w:hyperlink>
        </w:p>
        <w:p w14:paraId="5C028B36" w14:textId="666F598A"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02" w:history="1">
            <w:r w:rsidRPr="00BC6E2A">
              <w:rPr>
                <w:rStyle w:val="Hyperlink"/>
                <w:rFonts w:ascii="Arial" w:eastAsia="Times New Roman" w:hAnsi="Arial" w:cs="Arial"/>
                <w:noProof/>
                <w:lang w:val="en-US"/>
              </w:rPr>
              <w:t>3.2 Location (L) Nigeria advantages</w:t>
            </w:r>
            <w:r>
              <w:rPr>
                <w:noProof/>
                <w:webHidden/>
              </w:rPr>
              <w:tab/>
            </w:r>
            <w:r>
              <w:rPr>
                <w:noProof/>
                <w:webHidden/>
              </w:rPr>
              <w:fldChar w:fldCharType="begin"/>
            </w:r>
            <w:r>
              <w:rPr>
                <w:noProof/>
                <w:webHidden/>
              </w:rPr>
              <w:instrText xml:space="preserve"> PAGEREF _Toc214661202 \h </w:instrText>
            </w:r>
            <w:r>
              <w:rPr>
                <w:noProof/>
                <w:webHidden/>
              </w:rPr>
            </w:r>
            <w:r>
              <w:rPr>
                <w:noProof/>
                <w:webHidden/>
              </w:rPr>
              <w:fldChar w:fldCharType="separate"/>
            </w:r>
            <w:r>
              <w:rPr>
                <w:noProof/>
                <w:webHidden/>
              </w:rPr>
              <w:t>10</w:t>
            </w:r>
            <w:r>
              <w:rPr>
                <w:noProof/>
                <w:webHidden/>
              </w:rPr>
              <w:fldChar w:fldCharType="end"/>
            </w:r>
          </w:hyperlink>
        </w:p>
        <w:p w14:paraId="68A38F66" w14:textId="7F4BCBE9"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03" w:history="1">
            <w:r w:rsidRPr="00BC6E2A">
              <w:rPr>
                <w:rStyle w:val="Hyperlink"/>
                <w:rFonts w:ascii="Arial" w:eastAsia="Times New Roman" w:hAnsi="Arial" w:cs="Arial"/>
                <w:noProof/>
                <w:lang w:val="en-US"/>
              </w:rPr>
              <w:t>3.3 Internalisation (I) Benefits</w:t>
            </w:r>
            <w:r>
              <w:rPr>
                <w:noProof/>
                <w:webHidden/>
              </w:rPr>
              <w:tab/>
            </w:r>
            <w:r>
              <w:rPr>
                <w:noProof/>
                <w:webHidden/>
              </w:rPr>
              <w:fldChar w:fldCharType="begin"/>
            </w:r>
            <w:r>
              <w:rPr>
                <w:noProof/>
                <w:webHidden/>
              </w:rPr>
              <w:instrText xml:space="preserve"> PAGEREF _Toc214661203 \h </w:instrText>
            </w:r>
            <w:r>
              <w:rPr>
                <w:noProof/>
                <w:webHidden/>
              </w:rPr>
            </w:r>
            <w:r>
              <w:rPr>
                <w:noProof/>
                <w:webHidden/>
              </w:rPr>
              <w:fldChar w:fldCharType="separate"/>
            </w:r>
            <w:r>
              <w:rPr>
                <w:noProof/>
                <w:webHidden/>
              </w:rPr>
              <w:t>11</w:t>
            </w:r>
            <w:r>
              <w:rPr>
                <w:noProof/>
                <w:webHidden/>
              </w:rPr>
              <w:fldChar w:fldCharType="end"/>
            </w:r>
          </w:hyperlink>
        </w:p>
        <w:p w14:paraId="65C134C3" w14:textId="74A17C5A"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04" w:history="1">
            <w:r w:rsidRPr="00BC6E2A">
              <w:rPr>
                <w:rStyle w:val="Hyperlink"/>
                <w:rFonts w:ascii="Arial" w:eastAsia="Times New Roman" w:hAnsi="Arial" w:cs="Arial"/>
                <w:noProof/>
                <w:lang w:val="en-US"/>
              </w:rPr>
              <w:t>3.4 OLI and Choice of Entry Mode(s) within Nigeria</w:t>
            </w:r>
            <w:r>
              <w:rPr>
                <w:noProof/>
                <w:webHidden/>
              </w:rPr>
              <w:tab/>
            </w:r>
            <w:r>
              <w:rPr>
                <w:noProof/>
                <w:webHidden/>
              </w:rPr>
              <w:fldChar w:fldCharType="begin"/>
            </w:r>
            <w:r>
              <w:rPr>
                <w:noProof/>
                <w:webHidden/>
              </w:rPr>
              <w:instrText xml:space="preserve"> PAGEREF _Toc214661204 \h </w:instrText>
            </w:r>
            <w:r>
              <w:rPr>
                <w:noProof/>
                <w:webHidden/>
              </w:rPr>
            </w:r>
            <w:r>
              <w:rPr>
                <w:noProof/>
                <w:webHidden/>
              </w:rPr>
              <w:fldChar w:fldCharType="separate"/>
            </w:r>
            <w:r>
              <w:rPr>
                <w:noProof/>
                <w:webHidden/>
              </w:rPr>
              <w:t>12</w:t>
            </w:r>
            <w:r>
              <w:rPr>
                <w:noProof/>
                <w:webHidden/>
              </w:rPr>
              <w:fldChar w:fldCharType="end"/>
            </w:r>
          </w:hyperlink>
        </w:p>
        <w:p w14:paraId="40120E95" w14:textId="307B9D84"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05" w:history="1">
            <w:r w:rsidRPr="00BC6E2A">
              <w:rPr>
                <w:rStyle w:val="Hyperlink"/>
                <w:rFonts w:ascii="Arial" w:eastAsia="Times New Roman" w:hAnsi="Arial" w:cs="Arial"/>
                <w:noProof/>
                <w:lang w:val="en-US"/>
              </w:rPr>
              <w:t>3.5 Critical Reflection of the Limitations of OLI</w:t>
            </w:r>
            <w:r>
              <w:rPr>
                <w:noProof/>
                <w:webHidden/>
              </w:rPr>
              <w:tab/>
            </w:r>
            <w:r>
              <w:rPr>
                <w:noProof/>
                <w:webHidden/>
              </w:rPr>
              <w:fldChar w:fldCharType="begin"/>
            </w:r>
            <w:r>
              <w:rPr>
                <w:noProof/>
                <w:webHidden/>
              </w:rPr>
              <w:instrText xml:space="preserve"> PAGEREF _Toc214661205 \h </w:instrText>
            </w:r>
            <w:r>
              <w:rPr>
                <w:noProof/>
                <w:webHidden/>
              </w:rPr>
            </w:r>
            <w:r>
              <w:rPr>
                <w:noProof/>
                <w:webHidden/>
              </w:rPr>
              <w:fldChar w:fldCharType="separate"/>
            </w:r>
            <w:r>
              <w:rPr>
                <w:noProof/>
                <w:webHidden/>
              </w:rPr>
              <w:t>13</w:t>
            </w:r>
            <w:r>
              <w:rPr>
                <w:noProof/>
                <w:webHidden/>
              </w:rPr>
              <w:fldChar w:fldCharType="end"/>
            </w:r>
          </w:hyperlink>
        </w:p>
        <w:p w14:paraId="0FC639A2" w14:textId="4042B4B3" w:rsidR="009745A8" w:rsidRDefault="009745A8">
          <w:pPr>
            <w:pStyle w:val="TOC1"/>
            <w:tabs>
              <w:tab w:val="right" w:leader="dot" w:pos="9016"/>
            </w:tabs>
            <w:rPr>
              <w:rFonts w:eastAsiaTheme="minorEastAsia"/>
              <w:noProof/>
              <w:kern w:val="2"/>
              <w:sz w:val="24"/>
              <w:szCs w:val="24"/>
              <w:lang w:eastAsia="en-GB"/>
              <w14:ligatures w14:val="standardContextual"/>
            </w:rPr>
          </w:pPr>
          <w:hyperlink w:anchor="_Toc214661206" w:history="1">
            <w:r w:rsidRPr="00BC6E2A">
              <w:rPr>
                <w:rStyle w:val="Hyperlink"/>
                <w:rFonts w:ascii="Arial" w:eastAsia="Times New Roman" w:hAnsi="Arial" w:cs="Arial"/>
                <w:b/>
                <w:bCs/>
                <w:noProof/>
                <w:lang w:val="en-US"/>
              </w:rPr>
              <w:t>4. Cultural Differences and Their Impact on Strategy and Success</w:t>
            </w:r>
            <w:r>
              <w:rPr>
                <w:noProof/>
                <w:webHidden/>
              </w:rPr>
              <w:tab/>
            </w:r>
            <w:r>
              <w:rPr>
                <w:noProof/>
                <w:webHidden/>
              </w:rPr>
              <w:fldChar w:fldCharType="begin"/>
            </w:r>
            <w:r>
              <w:rPr>
                <w:noProof/>
                <w:webHidden/>
              </w:rPr>
              <w:instrText xml:space="preserve"> PAGEREF _Toc214661206 \h </w:instrText>
            </w:r>
            <w:r>
              <w:rPr>
                <w:noProof/>
                <w:webHidden/>
              </w:rPr>
            </w:r>
            <w:r>
              <w:rPr>
                <w:noProof/>
                <w:webHidden/>
              </w:rPr>
              <w:fldChar w:fldCharType="separate"/>
            </w:r>
            <w:r>
              <w:rPr>
                <w:noProof/>
                <w:webHidden/>
              </w:rPr>
              <w:t>14</w:t>
            </w:r>
            <w:r>
              <w:rPr>
                <w:noProof/>
                <w:webHidden/>
              </w:rPr>
              <w:fldChar w:fldCharType="end"/>
            </w:r>
          </w:hyperlink>
        </w:p>
        <w:p w14:paraId="429DA49D" w14:textId="5CCD1606"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07" w:history="1">
            <w:r w:rsidRPr="00BC6E2A">
              <w:rPr>
                <w:rStyle w:val="Hyperlink"/>
                <w:rFonts w:ascii="Arial" w:eastAsia="Times New Roman" w:hAnsi="Arial" w:cs="Arial"/>
                <w:noProof/>
                <w:lang w:val="en-US"/>
              </w:rPr>
              <w:t>4.1 Conceptual Framework for Culture</w:t>
            </w:r>
            <w:r>
              <w:rPr>
                <w:noProof/>
                <w:webHidden/>
              </w:rPr>
              <w:tab/>
            </w:r>
            <w:r>
              <w:rPr>
                <w:noProof/>
                <w:webHidden/>
              </w:rPr>
              <w:fldChar w:fldCharType="begin"/>
            </w:r>
            <w:r>
              <w:rPr>
                <w:noProof/>
                <w:webHidden/>
              </w:rPr>
              <w:instrText xml:space="preserve"> PAGEREF _Toc214661207 \h </w:instrText>
            </w:r>
            <w:r>
              <w:rPr>
                <w:noProof/>
                <w:webHidden/>
              </w:rPr>
            </w:r>
            <w:r>
              <w:rPr>
                <w:noProof/>
                <w:webHidden/>
              </w:rPr>
              <w:fldChar w:fldCharType="separate"/>
            </w:r>
            <w:r>
              <w:rPr>
                <w:noProof/>
                <w:webHidden/>
              </w:rPr>
              <w:t>14</w:t>
            </w:r>
            <w:r>
              <w:rPr>
                <w:noProof/>
                <w:webHidden/>
              </w:rPr>
              <w:fldChar w:fldCharType="end"/>
            </w:r>
          </w:hyperlink>
        </w:p>
        <w:p w14:paraId="34C0EDAF" w14:textId="2C6B797C"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08" w:history="1">
            <w:r w:rsidRPr="00BC6E2A">
              <w:rPr>
                <w:rStyle w:val="Hyperlink"/>
                <w:rFonts w:ascii="Arial" w:eastAsia="Times New Roman" w:hAnsi="Arial" w:cs="Arial"/>
                <w:noProof/>
                <w:lang w:val="en-US"/>
              </w:rPr>
              <w:t>4.2 Cultural Distance UK vs Nigeria</w:t>
            </w:r>
            <w:r>
              <w:rPr>
                <w:noProof/>
                <w:webHidden/>
              </w:rPr>
              <w:tab/>
            </w:r>
            <w:r>
              <w:rPr>
                <w:noProof/>
                <w:webHidden/>
              </w:rPr>
              <w:fldChar w:fldCharType="begin"/>
            </w:r>
            <w:r>
              <w:rPr>
                <w:noProof/>
                <w:webHidden/>
              </w:rPr>
              <w:instrText xml:space="preserve"> PAGEREF _Toc214661208 \h </w:instrText>
            </w:r>
            <w:r>
              <w:rPr>
                <w:noProof/>
                <w:webHidden/>
              </w:rPr>
            </w:r>
            <w:r>
              <w:rPr>
                <w:noProof/>
                <w:webHidden/>
              </w:rPr>
              <w:fldChar w:fldCharType="separate"/>
            </w:r>
            <w:r>
              <w:rPr>
                <w:noProof/>
                <w:webHidden/>
              </w:rPr>
              <w:t>14</w:t>
            </w:r>
            <w:r>
              <w:rPr>
                <w:noProof/>
                <w:webHidden/>
              </w:rPr>
              <w:fldChar w:fldCharType="end"/>
            </w:r>
          </w:hyperlink>
        </w:p>
        <w:p w14:paraId="686B1376" w14:textId="200688BE"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09" w:history="1">
            <w:r w:rsidRPr="00BC6E2A">
              <w:rPr>
                <w:rStyle w:val="Hyperlink"/>
                <w:rFonts w:ascii="Arial" w:eastAsia="Times New Roman" w:hAnsi="Arial" w:cs="Arial"/>
                <w:noProof/>
                <w:lang w:val="en-US"/>
              </w:rPr>
              <w:t>4.3 Implication on Ma</w:t>
            </w:r>
            <w:r w:rsidRPr="00BC6E2A">
              <w:rPr>
                <w:rStyle w:val="Hyperlink"/>
                <w:rFonts w:ascii="Arial" w:eastAsia="Times New Roman" w:hAnsi="Arial" w:cs="Arial"/>
                <w:noProof/>
                <w:lang w:val="en-US"/>
              </w:rPr>
              <w:t>r</w:t>
            </w:r>
            <w:r w:rsidRPr="00BC6E2A">
              <w:rPr>
                <w:rStyle w:val="Hyperlink"/>
                <w:rFonts w:ascii="Arial" w:eastAsia="Times New Roman" w:hAnsi="Arial" w:cs="Arial"/>
                <w:noProof/>
                <w:lang w:val="en-US"/>
              </w:rPr>
              <w:t>ket Entry Strategy and Governance</w:t>
            </w:r>
            <w:r>
              <w:rPr>
                <w:noProof/>
                <w:webHidden/>
              </w:rPr>
              <w:tab/>
            </w:r>
            <w:r>
              <w:rPr>
                <w:noProof/>
                <w:webHidden/>
              </w:rPr>
              <w:fldChar w:fldCharType="begin"/>
            </w:r>
            <w:r>
              <w:rPr>
                <w:noProof/>
                <w:webHidden/>
              </w:rPr>
              <w:instrText xml:space="preserve"> PAGEREF _Toc214661209 \h </w:instrText>
            </w:r>
            <w:r>
              <w:rPr>
                <w:noProof/>
                <w:webHidden/>
              </w:rPr>
            </w:r>
            <w:r>
              <w:rPr>
                <w:noProof/>
                <w:webHidden/>
              </w:rPr>
              <w:fldChar w:fldCharType="separate"/>
            </w:r>
            <w:r>
              <w:rPr>
                <w:noProof/>
                <w:webHidden/>
              </w:rPr>
              <w:t>15</w:t>
            </w:r>
            <w:r>
              <w:rPr>
                <w:noProof/>
                <w:webHidden/>
              </w:rPr>
              <w:fldChar w:fldCharType="end"/>
            </w:r>
          </w:hyperlink>
        </w:p>
        <w:p w14:paraId="6ED67B3E" w14:textId="07142DEE"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10" w:history="1">
            <w:r w:rsidRPr="00BC6E2A">
              <w:rPr>
                <w:rStyle w:val="Hyperlink"/>
                <w:rFonts w:ascii="Arial" w:eastAsia="Times New Roman" w:hAnsi="Arial" w:cs="Arial"/>
                <w:noProof/>
                <w:lang w:val="en-US"/>
              </w:rPr>
              <w:t>4.4 Effect on Future Prospects of Success in the Nigerian Market</w:t>
            </w:r>
            <w:r>
              <w:rPr>
                <w:noProof/>
                <w:webHidden/>
              </w:rPr>
              <w:tab/>
            </w:r>
            <w:r>
              <w:rPr>
                <w:noProof/>
                <w:webHidden/>
              </w:rPr>
              <w:fldChar w:fldCharType="begin"/>
            </w:r>
            <w:r>
              <w:rPr>
                <w:noProof/>
                <w:webHidden/>
              </w:rPr>
              <w:instrText xml:space="preserve"> PAGEREF _Toc214661210 \h </w:instrText>
            </w:r>
            <w:r>
              <w:rPr>
                <w:noProof/>
                <w:webHidden/>
              </w:rPr>
            </w:r>
            <w:r>
              <w:rPr>
                <w:noProof/>
                <w:webHidden/>
              </w:rPr>
              <w:fldChar w:fldCharType="separate"/>
            </w:r>
            <w:r>
              <w:rPr>
                <w:noProof/>
                <w:webHidden/>
              </w:rPr>
              <w:t>16</w:t>
            </w:r>
            <w:r>
              <w:rPr>
                <w:noProof/>
                <w:webHidden/>
              </w:rPr>
              <w:fldChar w:fldCharType="end"/>
            </w:r>
          </w:hyperlink>
        </w:p>
        <w:p w14:paraId="3542F083" w14:textId="339204FA" w:rsidR="009745A8" w:rsidRDefault="009745A8">
          <w:pPr>
            <w:pStyle w:val="TOC1"/>
            <w:tabs>
              <w:tab w:val="right" w:leader="dot" w:pos="9016"/>
            </w:tabs>
            <w:rPr>
              <w:rFonts w:eastAsiaTheme="minorEastAsia"/>
              <w:noProof/>
              <w:kern w:val="2"/>
              <w:sz w:val="24"/>
              <w:szCs w:val="24"/>
              <w:lang w:eastAsia="en-GB"/>
              <w14:ligatures w14:val="standardContextual"/>
            </w:rPr>
          </w:pPr>
          <w:hyperlink w:anchor="_Toc214661211" w:history="1">
            <w:r w:rsidRPr="00BC6E2A">
              <w:rPr>
                <w:rStyle w:val="Hyperlink"/>
                <w:rFonts w:ascii="Arial" w:eastAsia="Times New Roman" w:hAnsi="Arial" w:cs="Arial"/>
                <w:b/>
                <w:bCs/>
                <w:noProof/>
                <w:lang w:val="en-US"/>
              </w:rPr>
              <w:t>5. Recommended SOP Changes in Shell in Nigeria</w:t>
            </w:r>
            <w:r>
              <w:rPr>
                <w:noProof/>
                <w:webHidden/>
              </w:rPr>
              <w:tab/>
            </w:r>
            <w:r>
              <w:rPr>
                <w:noProof/>
                <w:webHidden/>
              </w:rPr>
              <w:fldChar w:fldCharType="begin"/>
            </w:r>
            <w:r>
              <w:rPr>
                <w:noProof/>
                <w:webHidden/>
              </w:rPr>
              <w:instrText xml:space="preserve"> PAGEREF _Toc214661211 \h </w:instrText>
            </w:r>
            <w:r>
              <w:rPr>
                <w:noProof/>
                <w:webHidden/>
              </w:rPr>
            </w:r>
            <w:r>
              <w:rPr>
                <w:noProof/>
                <w:webHidden/>
              </w:rPr>
              <w:fldChar w:fldCharType="separate"/>
            </w:r>
            <w:r>
              <w:rPr>
                <w:noProof/>
                <w:webHidden/>
              </w:rPr>
              <w:t>17</w:t>
            </w:r>
            <w:r>
              <w:rPr>
                <w:noProof/>
                <w:webHidden/>
              </w:rPr>
              <w:fldChar w:fldCharType="end"/>
            </w:r>
          </w:hyperlink>
        </w:p>
        <w:p w14:paraId="64119626" w14:textId="3A00636A"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12" w:history="1">
            <w:r w:rsidRPr="00BC6E2A">
              <w:rPr>
                <w:rStyle w:val="Hyperlink"/>
                <w:rFonts w:ascii="Arial" w:eastAsia="Times New Roman" w:hAnsi="Arial" w:cs="Arial"/>
                <w:noProof/>
                <w:lang w:val="en-US"/>
              </w:rPr>
              <w:t>5.1 Link between Analysis and Recommendations</w:t>
            </w:r>
            <w:r>
              <w:rPr>
                <w:noProof/>
                <w:webHidden/>
              </w:rPr>
              <w:tab/>
            </w:r>
            <w:r>
              <w:rPr>
                <w:noProof/>
                <w:webHidden/>
              </w:rPr>
              <w:fldChar w:fldCharType="begin"/>
            </w:r>
            <w:r>
              <w:rPr>
                <w:noProof/>
                <w:webHidden/>
              </w:rPr>
              <w:instrText xml:space="preserve"> PAGEREF _Toc214661212 \h </w:instrText>
            </w:r>
            <w:r>
              <w:rPr>
                <w:noProof/>
                <w:webHidden/>
              </w:rPr>
            </w:r>
            <w:r>
              <w:rPr>
                <w:noProof/>
                <w:webHidden/>
              </w:rPr>
              <w:fldChar w:fldCharType="separate"/>
            </w:r>
            <w:r>
              <w:rPr>
                <w:noProof/>
                <w:webHidden/>
              </w:rPr>
              <w:t>17</w:t>
            </w:r>
            <w:r>
              <w:rPr>
                <w:noProof/>
                <w:webHidden/>
              </w:rPr>
              <w:fldChar w:fldCharType="end"/>
            </w:r>
          </w:hyperlink>
        </w:p>
        <w:p w14:paraId="11BA115D" w14:textId="66700AAD"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13" w:history="1">
            <w:r w:rsidRPr="00BC6E2A">
              <w:rPr>
                <w:rStyle w:val="Hyperlink"/>
                <w:rFonts w:ascii="Arial" w:eastAsia="Times New Roman" w:hAnsi="Arial" w:cs="Arial"/>
                <w:noProof/>
                <w:lang w:val="en-US"/>
              </w:rPr>
              <w:t>5.2 SOP Adjustment 1: Stakeholder and Community Involvement in High-Risk Areas</w:t>
            </w:r>
            <w:r>
              <w:rPr>
                <w:noProof/>
                <w:webHidden/>
              </w:rPr>
              <w:tab/>
            </w:r>
            <w:r>
              <w:rPr>
                <w:noProof/>
                <w:webHidden/>
              </w:rPr>
              <w:fldChar w:fldCharType="begin"/>
            </w:r>
            <w:r>
              <w:rPr>
                <w:noProof/>
                <w:webHidden/>
              </w:rPr>
              <w:instrText xml:space="preserve"> PAGEREF _Toc214661213 \h </w:instrText>
            </w:r>
            <w:r>
              <w:rPr>
                <w:noProof/>
                <w:webHidden/>
              </w:rPr>
            </w:r>
            <w:r>
              <w:rPr>
                <w:noProof/>
                <w:webHidden/>
              </w:rPr>
              <w:fldChar w:fldCharType="separate"/>
            </w:r>
            <w:r>
              <w:rPr>
                <w:noProof/>
                <w:webHidden/>
              </w:rPr>
              <w:t>18</w:t>
            </w:r>
            <w:r>
              <w:rPr>
                <w:noProof/>
                <w:webHidden/>
              </w:rPr>
              <w:fldChar w:fldCharType="end"/>
            </w:r>
          </w:hyperlink>
        </w:p>
        <w:p w14:paraId="2A38E34B" w14:textId="5A9838F2"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14" w:history="1">
            <w:r w:rsidRPr="00BC6E2A">
              <w:rPr>
                <w:rStyle w:val="Hyperlink"/>
                <w:rFonts w:ascii="Arial" w:eastAsia="Times New Roman" w:hAnsi="Arial" w:cs="Arial"/>
                <w:noProof/>
                <w:lang w:val="en-US"/>
              </w:rPr>
              <w:t>5.3 SOP Adjustment 2: HSSE and Environmental Risk Management based on tailored countries to Nigerian context</w:t>
            </w:r>
            <w:r>
              <w:rPr>
                <w:noProof/>
                <w:webHidden/>
              </w:rPr>
              <w:tab/>
            </w:r>
            <w:r>
              <w:rPr>
                <w:noProof/>
                <w:webHidden/>
              </w:rPr>
              <w:fldChar w:fldCharType="begin"/>
            </w:r>
            <w:r>
              <w:rPr>
                <w:noProof/>
                <w:webHidden/>
              </w:rPr>
              <w:instrText xml:space="preserve"> PAGEREF _Toc214661214 \h </w:instrText>
            </w:r>
            <w:r>
              <w:rPr>
                <w:noProof/>
                <w:webHidden/>
              </w:rPr>
            </w:r>
            <w:r>
              <w:rPr>
                <w:noProof/>
                <w:webHidden/>
              </w:rPr>
              <w:fldChar w:fldCharType="separate"/>
            </w:r>
            <w:r>
              <w:rPr>
                <w:noProof/>
                <w:webHidden/>
              </w:rPr>
              <w:t>19</w:t>
            </w:r>
            <w:r>
              <w:rPr>
                <w:noProof/>
                <w:webHidden/>
              </w:rPr>
              <w:fldChar w:fldCharType="end"/>
            </w:r>
          </w:hyperlink>
        </w:p>
        <w:p w14:paraId="63748B29" w14:textId="12C92C2A"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15" w:history="1">
            <w:r w:rsidRPr="00BC6E2A">
              <w:rPr>
                <w:rStyle w:val="Hyperlink"/>
                <w:rFonts w:ascii="Arial" w:eastAsia="Times New Roman" w:hAnsi="Arial" w:cs="Arial"/>
                <w:noProof/>
                <w:lang w:val="en-US"/>
              </w:rPr>
              <w:t>5.4 SOP Adjustment 3: Cross-Cultural HRM and Leadership Development</w:t>
            </w:r>
            <w:r>
              <w:rPr>
                <w:noProof/>
                <w:webHidden/>
              </w:rPr>
              <w:tab/>
            </w:r>
            <w:r>
              <w:rPr>
                <w:noProof/>
                <w:webHidden/>
              </w:rPr>
              <w:fldChar w:fldCharType="begin"/>
            </w:r>
            <w:r>
              <w:rPr>
                <w:noProof/>
                <w:webHidden/>
              </w:rPr>
              <w:instrText xml:space="preserve"> PAGEREF _Toc214661215 \h </w:instrText>
            </w:r>
            <w:r>
              <w:rPr>
                <w:noProof/>
                <w:webHidden/>
              </w:rPr>
            </w:r>
            <w:r>
              <w:rPr>
                <w:noProof/>
                <w:webHidden/>
              </w:rPr>
              <w:fldChar w:fldCharType="separate"/>
            </w:r>
            <w:r>
              <w:rPr>
                <w:noProof/>
                <w:webHidden/>
              </w:rPr>
              <w:t>21</w:t>
            </w:r>
            <w:r>
              <w:rPr>
                <w:noProof/>
                <w:webHidden/>
              </w:rPr>
              <w:fldChar w:fldCharType="end"/>
            </w:r>
          </w:hyperlink>
        </w:p>
        <w:p w14:paraId="090B98B6" w14:textId="5F2F6D91"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16" w:history="1">
            <w:r w:rsidRPr="00BC6E2A">
              <w:rPr>
                <w:rStyle w:val="Hyperlink"/>
                <w:rFonts w:ascii="Arial" w:eastAsia="Times New Roman" w:hAnsi="Arial" w:cs="Arial"/>
                <w:noProof/>
                <w:lang w:val="en-US"/>
              </w:rPr>
              <w:t>5.5 Prioritisation, Feasibility and Risk Assessment</w:t>
            </w:r>
            <w:r>
              <w:rPr>
                <w:noProof/>
                <w:webHidden/>
              </w:rPr>
              <w:tab/>
            </w:r>
            <w:r>
              <w:rPr>
                <w:noProof/>
                <w:webHidden/>
              </w:rPr>
              <w:fldChar w:fldCharType="begin"/>
            </w:r>
            <w:r>
              <w:rPr>
                <w:noProof/>
                <w:webHidden/>
              </w:rPr>
              <w:instrText xml:space="preserve"> PAGEREF _Toc214661216 \h </w:instrText>
            </w:r>
            <w:r>
              <w:rPr>
                <w:noProof/>
                <w:webHidden/>
              </w:rPr>
            </w:r>
            <w:r>
              <w:rPr>
                <w:noProof/>
                <w:webHidden/>
              </w:rPr>
              <w:fldChar w:fldCharType="separate"/>
            </w:r>
            <w:r>
              <w:rPr>
                <w:noProof/>
                <w:webHidden/>
              </w:rPr>
              <w:t>23</w:t>
            </w:r>
            <w:r>
              <w:rPr>
                <w:noProof/>
                <w:webHidden/>
              </w:rPr>
              <w:fldChar w:fldCharType="end"/>
            </w:r>
          </w:hyperlink>
        </w:p>
        <w:p w14:paraId="1CEE386A" w14:textId="2DBF5736" w:rsidR="009745A8" w:rsidRDefault="009745A8">
          <w:pPr>
            <w:pStyle w:val="TOC1"/>
            <w:tabs>
              <w:tab w:val="right" w:leader="dot" w:pos="9016"/>
            </w:tabs>
            <w:rPr>
              <w:rFonts w:eastAsiaTheme="minorEastAsia"/>
              <w:noProof/>
              <w:kern w:val="2"/>
              <w:sz w:val="24"/>
              <w:szCs w:val="24"/>
              <w:lang w:eastAsia="en-GB"/>
              <w14:ligatures w14:val="standardContextual"/>
            </w:rPr>
          </w:pPr>
          <w:hyperlink w:anchor="_Toc214661217" w:history="1">
            <w:r w:rsidRPr="00BC6E2A">
              <w:rPr>
                <w:rStyle w:val="Hyperlink"/>
                <w:rFonts w:ascii="Arial" w:eastAsia="Times New Roman" w:hAnsi="Arial" w:cs="Arial"/>
                <w:b/>
                <w:bCs/>
                <w:noProof/>
                <w:lang w:val="en-US"/>
              </w:rPr>
              <w:t>6. Conclusion</w:t>
            </w:r>
            <w:r>
              <w:rPr>
                <w:noProof/>
                <w:webHidden/>
              </w:rPr>
              <w:tab/>
            </w:r>
            <w:r>
              <w:rPr>
                <w:noProof/>
                <w:webHidden/>
              </w:rPr>
              <w:fldChar w:fldCharType="begin"/>
            </w:r>
            <w:r>
              <w:rPr>
                <w:noProof/>
                <w:webHidden/>
              </w:rPr>
              <w:instrText xml:space="preserve"> PAGEREF _Toc214661217 \h </w:instrText>
            </w:r>
            <w:r>
              <w:rPr>
                <w:noProof/>
                <w:webHidden/>
              </w:rPr>
            </w:r>
            <w:r>
              <w:rPr>
                <w:noProof/>
                <w:webHidden/>
              </w:rPr>
              <w:fldChar w:fldCharType="separate"/>
            </w:r>
            <w:r>
              <w:rPr>
                <w:noProof/>
                <w:webHidden/>
              </w:rPr>
              <w:t>23</w:t>
            </w:r>
            <w:r>
              <w:rPr>
                <w:noProof/>
                <w:webHidden/>
              </w:rPr>
              <w:fldChar w:fldCharType="end"/>
            </w:r>
          </w:hyperlink>
        </w:p>
        <w:p w14:paraId="79F6FA1E" w14:textId="2072AA2B"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18" w:history="1">
            <w:r w:rsidRPr="00BC6E2A">
              <w:rPr>
                <w:rStyle w:val="Hyperlink"/>
                <w:rFonts w:ascii="Arial" w:eastAsia="Times New Roman" w:hAnsi="Arial" w:cs="Arial"/>
                <w:noProof/>
                <w:lang w:val="en-US"/>
              </w:rPr>
              <w:t>6.1 Summary of Key Findings</w:t>
            </w:r>
            <w:r>
              <w:rPr>
                <w:noProof/>
                <w:webHidden/>
              </w:rPr>
              <w:tab/>
            </w:r>
            <w:r>
              <w:rPr>
                <w:noProof/>
                <w:webHidden/>
              </w:rPr>
              <w:fldChar w:fldCharType="begin"/>
            </w:r>
            <w:r>
              <w:rPr>
                <w:noProof/>
                <w:webHidden/>
              </w:rPr>
              <w:instrText xml:space="preserve"> PAGEREF _Toc214661218 \h </w:instrText>
            </w:r>
            <w:r>
              <w:rPr>
                <w:noProof/>
                <w:webHidden/>
              </w:rPr>
            </w:r>
            <w:r>
              <w:rPr>
                <w:noProof/>
                <w:webHidden/>
              </w:rPr>
              <w:fldChar w:fldCharType="separate"/>
            </w:r>
            <w:r>
              <w:rPr>
                <w:noProof/>
                <w:webHidden/>
              </w:rPr>
              <w:t>23</w:t>
            </w:r>
            <w:r>
              <w:rPr>
                <w:noProof/>
                <w:webHidden/>
              </w:rPr>
              <w:fldChar w:fldCharType="end"/>
            </w:r>
          </w:hyperlink>
        </w:p>
        <w:p w14:paraId="12E65945" w14:textId="41097060" w:rsidR="009745A8" w:rsidRDefault="009745A8">
          <w:pPr>
            <w:pStyle w:val="TOC2"/>
            <w:tabs>
              <w:tab w:val="right" w:leader="dot" w:pos="9016"/>
            </w:tabs>
            <w:rPr>
              <w:rFonts w:eastAsiaTheme="minorEastAsia"/>
              <w:noProof/>
              <w:kern w:val="2"/>
              <w:sz w:val="24"/>
              <w:szCs w:val="24"/>
              <w:lang w:eastAsia="en-GB"/>
              <w14:ligatures w14:val="standardContextual"/>
            </w:rPr>
          </w:pPr>
          <w:hyperlink w:anchor="_Toc214661219" w:history="1">
            <w:r w:rsidRPr="00BC6E2A">
              <w:rPr>
                <w:rStyle w:val="Hyperlink"/>
                <w:rFonts w:ascii="Arial" w:eastAsia="Times New Roman" w:hAnsi="Arial" w:cs="Arial"/>
                <w:noProof/>
                <w:lang w:val="en-US"/>
              </w:rPr>
              <w:t>6.2 Final Consultancy Message and Future Outlook</w:t>
            </w:r>
            <w:r>
              <w:rPr>
                <w:noProof/>
                <w:webHidden/>
              </w:rPr>
              <w:tab/>
            </w:r>
            <w:r>
              <w:rPr>
                <w:noProof/>
                <w:webHidden/>
              </w:rPr>
              <w:fldChar w:fldCharType="begin"/>
            </w:r>
            <w:r>
              <w:rPr>
                <w:noProof/>
                <w:webHidden/>
              </w:rPr>
              <w:instrText xml:space="preserve"> PAGEREF _Toc214661219 \h </w:instrText>
            </w:r>
            <w:r>
              <w:rPr>
                <w:noProof/>
                <w:webHidden/>
              </w:rPr>
            </w:r>
            <w:r>
              <w:rPr>
                <w:noProof/>
                <w:webHidden/>
              </w:rPr>
              <w:fldChar w:fldCharType="separate"/>
            </w:r>
            <w:r>
              <w:rPr>
                <w:noProof/>
                <w:webHidden/>
              </w:rPr>
              <w:t>23</w:t>
            </w:r>
            <w:r>
              <w:rPr>
                <w:noProof/>
                <w:webHidden/>
              </w:rPr>
              <w:fldChar w:fldCharType="end"/>
            </w:r>
          </w:hyperlink>
        </w:p>
        <w:p w14:paraId="29FB7606" w14:textId="1461D8EF" w:rsidR="009745A8" w:rsidRDefault="009745A8">
          <w:pPr>
            <w:pStyle w:val="TOC1"/>
            <w:tabs>
              <w:tab w:val="right" w:leader="dot" w:pos="9016"/>
            </w:tabs>
            <w:rPr>
              <w:rFonts w:eastAsiaTheme="minorEastAsia"/>
              <w:noProof/>
              <w:kern w:val="2"/>
              <w:sz w:val="24"/>
              <w:szCs w:val="24"/>
              <w:lang w:eastAsia="en-GB"/>
              <w14:ligatures w14:val="standardContextual"/>
            </w:rPr>
          </w:pPr>
          <w:hyperlink w:anchor="_Toc214661220" w:history="1">
            <w:r w:rsidRPr="00BC6E2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_Toc214661220 \h </w:instrText>
            </w:r>
            <w:r>
              <w:rPr>
                <w:noProof/>
                <w:webHidden/>
              </w:rPr>
            </w:r>
            <w:r>
              <w:rPr>
                <w:noProof/>
                <w:webHidden/>
              </w:rPr>
              <w:fldChar w:fldCharType="separate"/>
            </w:r>
            <w:r>
              <w:rPr>
                <w:noProof/>
                <w:webHidden/>
              </w:rPr>
              <w:t>25</w:t>
            </w:r>
            <w:r>
              <w:rPr>
                <w:noProof/>
                <w:webHidden/>
              </w:rPr>
              <w:fldChar w:fldCharType="end"/>
            </w:r>
          </w:hyperlink>
        </w:p>
        <w:p w14:paraId="22284C85" w14:textId="2EEB825F" w:rsidR="00224E86" w:rsidRDefault="00224E86">
          <w:r>
            <w:rPr>
              <w:b/>
              <w:bCs/>
              <w:noProof/>
            </w:rPr>
            <w:fldChar w:fldCharType="end"/>
          </w:r>
        </w:p>
      </w:sdtContent>
    </w:sdt>
    <w:p w14:paraId="1705F185" w14:textId="77777777" w:rsidR="006822B3" w:rsidRDefault="006822B3" w:rsidP="0069602A">
      <w:pPr>
        <w:spacing w:before="100" w:beforeAutospacing="1" w:after="100" w:afterAutospacing="1" w:line="240" w:lineRule="auto"/>
        <w:rPr>
          <w:rFonts w:ascii="Times New Roman" w:eastAsia="Times New Roman" w:hAnsi="Times New Roman" w:cs="Times New Roman"/>
          <w:sz w:val="24"/>
          <w:szCs w:val="24"/>
          <w:lang w:val="en-US"/>
        </w:rPr>
      </w:pPr>
    </w:p>
    <w:p w14:paraId="4C91AB85" w14:textId="5BC446CC" w:rsidR="006822B3" w:rsidRPr="00283631" w:rsidRDefault="006822B3" w:rsidP="007D751E">
      <w:pPr>
        <w:pStyle w:val="Heading1"/>
        <w:numPr>
          <w:ilvl w:val="0"/>
          <w:numId w:val="10"/>
        </w:numPr>
        <w:rPr>
          <w:rFonts w:ascii="Arial" w:eastAsia="Times New Roman" w:hAnsi="Arial" w:cs="Arial"/>
          <w:b/>
          <w:bCs/>
          <w:sz w:val="32"/>
          <w:szCs w:val="32"/>
          <w:lang w:val="en-US"/>
        </w:rPr>
      </w:pPr>
      <w:bookmarkStart w:id="0" w:name="_Toc214661194"/>
      <w:r w:rsidRPr="00283631">
        <w:rPr>
          <w:rFonts w:ascii="Arial" w:eastAsia="Times New Roman" w:hAnsi="Arial" w:cs="Arial"/>
          <w:b/>
          <w:bCs/>
          <w:sz w:val="32"/>
          <w:szCs w:val="32"/>
          <w:lang w:val="en-US"/>
        </w:rPr>
        <w:lastRenderedPageBreak/>
        <w:t>Introduction</w:t>
      </w:r>
      <w:bookmarkEnd w:id="0"/>
      <w:r w:rsidRPr="00283631">
        <w:rPr>
          <w:rFonts w:ascii="Arial" w:eastAsia="Times New Roman" w:hAnsi="Arial" w:cs="Arial"/>
          <w:b/>
          <w:bCs/>
          <w:sz w:val="32"/>
          <w:szCs w:val="32"/>
          <w:lang w:val="en-US"/>
        </w:rPr>
        <w:t xml:space="preserve"> </w:t>
      </w:r>
    </w:p>
    <w:p w14:paraId="145203CC" w14:textId="5D75541C" w:rsidR="006822B3" w:rsidRPr="00283631" w:rsidRDefault="006822B3" w:rsidP="001257E1">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Shell plc is a British base</w:t>
      </w:r>
      <w:r w:rsidR="0087679A" w:rsidRPr="00283631">
        <w:rPr>
          <w:rFonts w:ascii="Arial" w:eastAsia="Times New Roman" w:hAnsi="Arial" w:cs="Arial"/>
          <w:sz w:val="24"/>
          <w:szCs w:val="24"/>
          <w:lang w:val="en-US"/>
        </w:rPr>
        <w:t>d</w:t>
      </w:r>
      <w:r w:rsidRPr="00283631">
        <w:rPr>
          <w:rFonts w:ascii="Arial" w:eastAsia="Times New Roman" w:hAnsi="Arial" w:cs="Arial"/>
          <w:sz w:val="24"/>
          <w:szCs w:val="24"/>
          <w:lang w:val="en-US"/>
        </w:rPr>
        <w:t>, publicly limited company, and one of the largest by the world, in terms of integrated energy multinationals, with its headquarters based in London. It has operations in over 70 countries, catering to approximately 33 million retail clients, on a daily basis, at its Shell</w:t>
      </w:r>
      <w:r w:rsidR="00780F77"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branded service outlets and approximately 1 million business customers (Shell, 2025). The integrated gas, upstream, marketing, chemicals and renewables segment of Shell, with approximately 90,000 employees around the globe, is a paradigmatic multinational corporation due to the magnitude, cross</w:t>
      </w:r>
      <w:r w:rsidR="00672563"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border coordination, and influence of strategies (Shell, 2025).</w:t>
      </w:r>
    </w:p>
    <w:p w14:paraId="2A2C87BB" w14:textId="07AE736A" w:rsidR="00967085" w:rsidRPr="00283631" w:rsidRDefault="006822B3" w:rsidP="0034517E">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This consultancy report examines the operations of Shell internationally with special reference to its operations in Nigeria as one of the emerging economies. It compares the advantages and limitations of the global value chain of Shell, entry modes and the OLI determinants of the strategy adopted by the firm in Nigeria, and the cultural forces influencing performance. It builds on this that it comes up with </w:t>
      </w:r>
      <w:proofErr w:type="gramStart"/>
      <w:r w:rsidRPr="00283631">
        <w:rPr>
          <w:rFonts w:ascii="Arial" w:eastAsia="Times New Roman" w:hAnsi="Arial" w:cs="Arial"/>
          <w:sz w:val="24"/>
          <w:szCs w:val="24"/>
          <w:lang w:val="en-US"/>
        </w:rPr>
        <w:t>evidence</w:t>
      </w:r>
      <w:r w:rsidR="001257E1"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based</w:t>
      </w:r>
      <w:proofErr w:type="gramEnd"/>
      <w:r w:rsidRPr="00283631">
        <w:rPr>
          <w:rFonts w:ascii="Arial" w:eastAsia="Times New Roman" w:hAnsi="Arial" w:cs="Arial"/>
          <w:sz w:val="24"/>
          <w:szCs w:val="24"/>
          <w:lang w:val="en-US"/>
        </w:rPr>
        <w:t xml:space="preserve"> suggestions in how the Shell should operate and the standards operating procedure to improve its success and the ability to withstand in Nigeria.</w:t>
      </w:r>
    </w:p>
    <w:p w14:paraId="095FCC21" w14:textId="6925F389" w:rsidR="00967085" w:rsidRPr="00283631" w:rsidRDefault="00967085" w:rsidP="007D751E">
      <w:pPr>
        <w:pStyle w:val="Heading1"/>
        <w:rPr>
          <w:rFonts w:ascii="Arial" w:eastAsia="Times New Roman" w:hAnsi="Arial" w:cs="Arial"/>
          <w:b/>
          <w:bCs/>
          <w:sz w:val="32"/>
          <w:szCs w:val="32"/>
          <w:lang w:val="en-US"/>
        </w:rPr>
      </w:pPr>
      <w:bookmarkStart w:id="1" w:name="_Toc214661195"/>
      <w:r w:rsidRPr="00283631">
        <w:rPr>
          <w:rFonts w:ascii="Arial" w:eastAsia="Times New Roman" w:hAnsi="Arial" w:cs="Arial"/>
          <w:b/>
          <w:bCs/>
          <w:sz w:val="32"/>
          <w:szCs w:val="32"/>
          <w:lang w:val="en-US"/>
        </w:rPr>
        <w:t xml:space="preserve">2. </w:t>
      </w:r>
      <w:r w:rsidR="002D7FA9" w:rsidRPr="00283631">
        <w:rPr>
          <w:rFonts w:ascii="Arial" w:eastAsia="Times New Roman" w:hAnsi="Arial" w:cs="Arial"/>
          <w:b/>
          <w:bCs/>
          <w:sz w:val="32"/>
          <w:szCs w:val="32"/>
          <w:lang w:val="en-US"/>
        </w:rPr>
        <w:t>Benefits</w:t>
      </w:r>
      <w:r w:rsidRPr="00283631">
        <w:rPr>
          <w:rFonts w:ascii="Arial" w:eastAsia="Times New Roman" w:hAnsi="Arial" w:cs="Arial"/>
          <w:b/>
          <w:bCs/>
          <w:sz w:val="32"/>
          <w:szCs w:val="32"/>
          <w:lang w:val="en-US"/>
        </w:rPr>
        <w:t xml:space="preserve"> and </w:t>
      </w:r>
      <w:r w:rsidR="002D7FA9" w:rsidRPr="00283631">
        <w:rPr>
          <w:rFonts w:ascii="Arial" w:eastAsia="Times New Roman" w:hAnsi="Arial" w:cs="Arial"/>
          <w:b/>
          <w:bCs/>
          <w:sz w:val="32"/>
          <w:szCs w:val="32"/>
          <w:lang w:val="en-US"/>
        </w:rPr>
        <w:t>Challenges</w:t>
      </w:r>
      <w:r w:rsidRPr="00283631">
        <w:rPr>
          <w:rFonts w:ascii="Arial" w:eastAsia="Times New Roman" w:hAnsi="Arial" w:cs="Arial"/>
          <w:b/>
          <w:bCs/>
          <w:sz w:val="32"/>
          <w:szCs w:val="32"/>
          <w:lang w:val="en-US"/>
        </w:rPr>
        <w:t xml:space="preserve"> of Shell</w:t>
      </w:r>
      <w:r w:rsidR="002D7FA9" w:rsidRPr="00283631">
        <w:rPr>
          <w:rFonts w:ascii="Arial" w:eastAsia="Times New Roman" w:hAnsi="Arial" w:cs="Arial"/>
          <w:b/>
          <w:bCs/>
          <w:sz w:val="32"/>
          <w:szCs w:val="32"/>
          <w:lang w:val="en-US"/>
        </w:rPr>
        <w:t>’s</w:t>
      </w:r>
      <w:r w:rsidRPr="00283631">
        <w:rPr>
          <w:rFonts w:ascii="Arial" w:eastAsia="Times New Roman" w:hAnsi="Arial" w:cs="Arial"/>
          <w:b/>
          <w:bCs/>
          <w:sz w:val="32"/>
          <w:szCs w:val="32"/>
          <w:lang w:val="en-US"/>
        </w:rPr>
        <w:t xml:space="preserve"> International operations</w:t>
      </w:r>
      <w:bookmarkEnd w:id="1"/>
    </w:p>
    <w:p w14:paraId="5BB2E30D" w14:textId="60434C6F" w:rsidR="00967085" w:rsidRPr="00283631" w:rsidRDefault="00967085" w:rsidP="00D62B03">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Multinationals and transnational companies are those companies that organise value</w:t>
      </w:r>
      <w:r w:rsidR="006603E7"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producing activities across borders in internal hierarchies as opposed to arm-length markets, making use of firm-specific advantages and arbitrating or integrating location</w:t>
      </w:r>
      <w:r w:rsidR="00000984"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specific resources (Dunning, 1988; Rugman and Verbeke, 2004). Shell plc is unmistakably such. It is a London and New York</w:t>
      </w:r>
      <w:r w:rsidR="00000984"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traded British public limited corporation, having significant operations in integrated gas, upstream, marketing, chemicals and products, and renewables and energy solutions (Shell, 2025). These activities are planned on a global basis, yet on a regional basis too, and this is a transnational form of structure, which integrates a global dimension with a local sensitivity (Bartlett and Ghoshal, 1989).</w:t>
      </w:r>
    </w:p>
    <w:p w14:paraId="78BD5E88" w14:textId="006911FD" w:rsidR="00967085" w:rsidRPr="00283631" w:rsidRDefault="00967085" w:rsidP="00D62B03">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Shell is a retail and business enterprise that has operations in over 70 countries and territories and provides millions of retail and business clients with a comprehensive </w:t>
      </w:r>
      <w:r w:rsidRPr="00283631">
        <w:rPr>
          <w:rFonts w:ascii="Arial" w:eastAsia="Times New Roman" w:hAnsi="Arial" w:cs="Arial"/>
          <w:sz w:val="24"/>
          <w:szCs w:val="24"/>
          <w:lang w:val="en-US"/>
        </w:rPr>
        <w:lastRenderedPageBreak/>
        <w:t>network of Shell</w:t>
      </w:r>
      <w:r w:rsidR="00000984"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branded stores and business-to-business agreements each day (Shell, 2025). The strategic decision meeting and the functions of the group such as finance, risk management and technology strategy are coordinated at London and other global hubs and the operational control is exercised through subsidiaries, joint ventures and branches. This multilayered structure of governance, which extends across developed as well as emerging markets (i.e. the UK, the Netherlands and the United States and Nigeria, Brazil, India and China), supports the reputation of Shell as highly internationalised MNC/TNC with high levels of cross</w:t>
      </w:r>
      <w:r w:rsidR="00000984"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border intra-firm trade flows (Rugman and Verbeke, 2004; Shell, 2025).</w:t>
      </w:r>
    </w:p>
    <w:p w14:paraId="13E08E6E" w14:textId="32F22C0F" w:rsidR="00967085" w:rsidRPr="00283631" w:rsidRDefault="00967085" w:rsidP="007D751E">
      <w:pPr>
        <w:pStyle w:val="Heading2"/>
        <w:rPr>
          <w:rFonts w:ascii="Arial" w:eastAsia="Times New Roman" w:hAnsi="Arial" w:cs="Arial"/>
          <w:sz w:val="28"/>
          <w:szCs w:val="28"/>
          <w:lang w:val="en-US"/>
        </w:rPr>
      </w:pPr>
      <w:bookmarkStart w:id="2" w:name="_Toc214661196"/>
      <w:r w:rsidRPr="00283631">
        <w:rPr>
          <w:rFonts w:ascii="Arial" w:eastAsia="Times New Roman" w:hAnsi="Arial" w:cs="Arial"/>
          <w:sz w:val="28"/>
          <w:szCs w:val="28"/>
          <w:lang w:val="en-US"/>
        </w:rPr>
        <w:t>2.</w:t>
      </w:r>
      <w:r w:rsidR="002B6744" w:rsidRPr="00283631">
        <w:rPr>
          <w:rFonts w:ascii="Arial" w:eastAsia="Times New Roman" w:hAnsi="Arial" w:cs="Arial"/>
          <w:sz w:val="28"/>
          <w:szCs w:val="28"/>
          <w:lang w:val="en-US"/>
        </w:rPr>
        <w:t>1</w:t>
      </w:r>
      <w:r w:rsidRPr="00283631">
        <w:rPr>
          <w:rFonts w:ascii="Arial" w:eastAsia="Times New Roman" w:hAnsi="Arial" w:cs="Arial"/>
          <w:sz w:val="28"/>
          <w:szCs w:val="28"/>
          <w:lang w:val="en-US"/>
        </w:rPr>
        <w:t xml:space="preserve"> </w:t>
      </w:r>
      <w:r w:rsidR="003509E7" w:rsidRPr="00283631">
        <w:rPr>
          <w:rFonts w:ascii="Arial" w:eastAsia="Times New Roman" w:hAnsi="Arial" w:cs="Arial"/>
          <w:sz w:val="28"/>
          <w:szCs w:val="28"/>
          <w:lang w:val="en-US"/>
        </w:rPr>
        <w:t xml:space="preserve">Nature of </w:t>
      </w:r>
      <w:r w:rsidRPr="00283631">
        <w:rPr>
          <w:rFonts w:ascii="Arial" w:eastAsia="Times New Roman" w:hAnsi="Arial" w:cs="Arial"/>
          <w:sz w:val="28"/>
          <w:szCs w:val="28"/>
          <w:lang w:val="en-US"/>
        </w:rPr>
        <w:t>Shell</w:t>
      </w:r>
      <w:r w:rsidR="003509E7" w:rsidRPr="00283631">
        <w:rPr>
          <w:rFonts w:ascii="Arial" w:eastAsia="Times New Roman" w:hAnsi="Arial" w:cs="Arial"/>
          <w:sz w:val="28"/>
          <w:szCs w:val="28"/>
          <w:lang w:val="en-US"/>
        </w:rPr>
        <w:t>’s</w:t>
      </w:r>
      <w:r w:rsidRPr="00283631">
        <w:rPr>
          <w:rFonts w:ascii="Arial" w:eastAsia="Times New Roman" w:hAnsi="Arial" w:cs="Arial"/>
          <w:sz w:val="28"/>
          <w:szCs w:val="28"/>
          <w:lang w:val="en-US"/>
        </w:rPr>
        <w:t xml:space="preserve"> Global Value Chain</w:t>
      </w:r>
      <w:bookmarkEnd w:id="2"/>
    </w:p>
    <w:p w14:paraId="28C4D1BA" w14:textId="6E8A0E9F" w:rsidR="00967085" w:rsidRPr="00283631" w:rsidRDefault="00967085" w:rsidP="00D62B03">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The global value chain of Shell can be examined with regard to the Porters (1985) model, applied to the cross-border setting. Technology and innovation Shell operates an integrated network of R&amp;D centres with key technological centres in the USA, the Netherlands and India, and has other centres in China, Germany and elsewhere (Shell, 2025). These hubs evolve superior methods of exploration, LNG procedures and low-carbon solutions, and this is distributed to Shell global asset base and this is an example of high global integration in activities that are knowledge-intensive.</w:t>
      </w:r>
    </w:p>
    <w:p w14:paraId="21AE9627" w14:textId="09C525BF" w:rsidR="00967085" w:rsidRPr="00283631" w:rsidRDefault="00967085" w:rsidP="00D62B03">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Shell sources and explores, and produces oil and gas in basins in the West Africa, North Sea, the Gulf of Mexico and the Middle East, in the upstream business (Shell, 2025). Geological assessments, project design and capital allocation are heavily centralised but the implementation of projects is accomplished via subsidiaries and joint ventures at local levels, especially in politically and institutionally aggressive areas such as Nigeria. There are refineries and integrated energy and chemicals parks, production and refining, and major LNG capacity such as a 25.6</w:t>
      </w:r>
      <w:r w:rsidR="001444D9" w:rsidRPr="00283631">
        <w:rPr>
          <w:rFonts w:ascii="Arial" w:eastAsia="Times New Roman" w:hAnsi="Arial" w:cs="Arial"/>
          <w:sz w:val="24"/>
          <w:szCs w:val="24"/>
          <w:lang w:val="en-US"/>
        </w:rPr>
        <w:t>%</w:t>
      </w:r>
      <w:r w:rsidRPr="00283631">
        <w:rPr>
          <w:rFonts w:ascii="Arial" w:eastAsia="Times New Roman" w:hAnsi="Arial" w:cs="Arial"/>
          <w:sz w:val="24"/>
          <w:szCs w:val="24"/>
          <w:lang w:val="en-US"/>
        </w:rPr>
        <w:t xml:space="preserve"> interest in Nigeria LNG on Bonny Island by Shell (Shell, 2025; TankTerminals, 2024).</w:t>
      </w:r>
    </w:p>
    <w:p w14:paraId="41C317E1" w14:textId="268F83DB" w:rsidR="00967085" w:rsidRPr="00283631" w:rsidRDefault="00967085" w:rsidP="00D62B03">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Shell Trading and Supply, which is one of the largest energy trading organisations in the world, coordinates trading, logistics and distribution, optimising global flows of crude oil, LNG, refined products, biofuels and environmental products and a fleet of major tanker and LNG carriers (Shell, 2025g). The marketing and sales operations are more local responsiveness: Shell has approximately 33 million retail customers per day at service stations and approximately 1 million business clients in over 70 </w:t>
      </w:r>
      <w:r w:rsidRPr="00283631">
        <w:rPr>
          <w:rFonts w:ascii="Arial" w:eastAsia="Times New Roman" w:hAnsi="Arial" w:cs="Arial"/>
          <w:sz w:val="24"/>
          <w:szCs w:val="24"/>
          <w:lang w:val="en-US"/>
        </w:rPr>
        <w:lastRenderedPageBreak/>
        <w:t>countries where they adjust product portfolios, prices and branding to nation market conditions (Shell, 202</w:t>
      </w:r>
      <w:r w:rsidR="00F269A2" w:rsidRPr="00283631">
        <w:rPr>
          <w:rFonts w:ascii="Arial" w:eastAsia="Times New Roman" w:hAnsi="Arial" w:cs="Arial"/>
          <w:sz w:val="24"/>
          <w:szCs w:val="24"/>
          <w:lang w:val="en-US"/>
        </w:rPr>
        <w:t>5</w:t>
      </w:r>
      <w:r w:rsidRPr="00283631">
        <w:rPr>
          <w:rFonts w:ascii="Arial" w:eastAsia="Times New Roman" w:hAnsi="Arial" w:cs="Arial"/>
          <w:sz w:val="24"/>
          <w:szCs w:val="24"/>
          <w:lang w:val="en-US"/>
        </w:rPr>
        <w:t>).</w:t>
      </w:r>
    </w:p>
    <w:p w14:paraId="7477F80A" w14:textId="1D694E95" w:rsidR="00967085" w:rsidRPr="00283631" w:rsidRDefault="00967085" w:rsidP="00D62B03">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Risk management and financing are very centralised. Its group-wide treasury, tax planning, enterprise-risk management and compliance functions are centred mostly in London and other financial centres to enable Shell to optimise its global capital structure and manage commodity, currency and political risk at portfolio level (Shell, 2025). On the whole, the value chain can be characterised as transnational solution expressed by Bartlett and Ghoshal (1989) technology, capital market and trading are closely globally connected but downstream marketing and stakeholder interaction is geared towards local regulatory, cultural and competitive conditions to form a complex but flexible structure of activities (Bartlett and Ghoshal, 1989). Such spatial distribution of activities places Shell in a global value chain where exploration, processing, trading and customer interface are frequently in various countries taking advantage of the location factors and necessitating complex coordination mechanisms.</w:t>
      </w:r>
    </w:p>
    <w:p w14:paraId="2E2AD87A" w14:textId="77777777" w:rsidR="00605E4C" w:rsidRPr="00283631" w:rsidRDefault="00605E4C" w:rsidP="0099507A">
      <w:pPr>
        <w:rPr>
          <w:rFonts w:ascii="Arial" w:hAnsi="Arial" w:cs="Arial"/>
          <w:b/>
          <w:bCs/>
          <w:lang w:val="en-US"/>
        </w:rPr>
      </w:pPr>
      <w:r w:rsidRPr="00283631">
        <w:rPr>
          <w:rFonts w:ascii="Arial" w:hAnsi="Arial" w:cs="Arial"/>
          <w:b/>
          <w:bCs/>
          <w:lang w:val="en-US"/>
        </w:rPr>
        <w:t>Table 1: Shell’s Global Value Chain Activities by Segment</w:t>
      </w:r>
    </w:p>
    <w:tbl>
      <w:tblPr>
        <w:tblStyle w:val="GridTable5Dark-Accent1"/>
        <w:tblW w:w="0" w:type="auto"/>
        <w:tblLook w:val="04A0" w:firstRow="1" w:lastRow="0" w:firstColumn="1" w:lastColumn="0" w:noHBand="0" w:noVBand="1"/>
      </w:tblPr>
      <w:tblGrid>
        <w:gridCol w:w="1660"/>
        <w:gridCol w:w="1877"/>
        <w:gridCol w:w="1616"/>
        <w:gridCol w:w="2200"/>
        <w:gridCol w:w="1663"/>
      </w:tblGrid>
      <w:tr w:rsidR="00605E4C" w:rsidRPr="00283631" w14:paraId="3DCC0FB9" w14:textId="77777777" w:rsidTr="00D046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BF8195" w14:textId="77777777" w:rsidR="00605E4C" w:rsidRPr="00283631" w:rsidRDefault="00605E4C" w:rsidP="00D0469B">
            <w:pPr>
              <w:spacing w:line="276" w:lineRule="auto"/>
              <w:jc w:val="center"/>
              <w:rPr>
                <w:rFonts w:ascii="Arial" w:eastAsia="Times New Roman" w:hAnsi="Arial" w:cs="Arial"/>
                <w:b w:val="0"/>
                <w:bCs w:val="0"/>
                <w:lang w:val="en-US"/>
              </w:rPr>
            </w:pPr>
            <w:r w:rsidRPr="00283631">
              <w:rPr>
                <w:rFonts w:ascii="Arial" w:eastAsia="Times New Roman" w:hAnsi="Arial" w:cs="Arial"/>
                <w:lang w:val="en-US"/>
              </w:rPr>
              <w:t>Segment / Activity</w:t>
            </w:r>
          </w:p>
        </w:tc>
        <w:tc>
          <w:tcPr>
            <w:tcW w:w="0" w:type="auto"/>
            <w:hideMark/>
          </w:tcPr>
          <w:p w14:paraId="19DB12FD" w14:textId="77777777" w:rsidR="00605E4C" w:rsidRPr="00283631" w:rsidRDefault="00605E4C" w:rsidP="00D0469B">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val="en-US"/>
              </w:rPr>
            </w:pPr>
            <w:r w:rsidRPr="00283631">
              <w:rPr>
                <w:rFonts w:ascii="Arial" w:eastAsia="Times New Roman" w:hAnsi="Arial" w:cs="Arial"/>
                <w:lang w:val="en-US"/>
              </w:rPr>
              <w:t>Typical Locations</w:t>
            </w:r>
          </w:p>
        </w:tc>
        <w:tc>
          <w:tcPr>
            <w:tcW w:w="0" w:type="auto"/>
            <w:hideMark/>
          </w:tcPr>
          <w:p w14:paraId="04742FEF" w14:textId="77777777" w:rsidR="00605E4C" w:rsidRPr="00283631" w:rsidRDefault="00605E4C" w:rsidP="00D0469B">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val="en-US"/>
              </w:rPr>
            </w:pPr>
            <w:r w:rsidRPr="00283631">
              <w:rPr>
                <w:rFonts w:ascii="Arial" w:eastAsia="Times New Roman" w:hAnsi="Arial" w:cs="Arial"/>
                <w:lang w:val="en-US"/>
              </w:rPr>
              <w:t>Degree of Global Integration</w:t>
            </w:r>
          </w:p>
        </w:tc>
        <w:tc>
          <w:tcPr>
            <w:tcW w:w="0" w:type="auto"/>
            <w:hideMark/>
          </w:tcPr>
          <w:p w14:paraId="785F83E4" w14:textId="77777777" w:rsidR="00605E4C" w:rsidRPr="00283631" w:rsidRDefault="00605E4C" w:rsidP="00D0469B">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val="en-US"/>
              </w:rPr>
            </w:pPr>
            <w:r w:rsidRPr="00283631">
              <w:rPr>
                <w:rFonts w:ascii="Arial" w:eastAsia="Times New Roman" w:hAnsi="Arial" w:cs="Arial"/>
                <w:lang w:val="en-US"/>
              </w:rPr>
              <w:t>Degree of Local Responsiveness</w:t>
            </w:r>
          </w:p>
        </w:tc>
        <w:tc>
          <w:tcPr>
            <w:tcW w:w="0" w:type="auto"/>
            <w:hideMark/>
          </w:tcPr>
          <w:p w14:paraId="0353B825" w14:textId="77777777" w:rsidR="00605E4C" w:rsidRPr="00283631" w:rsidRDefault="00605E4C" w:rsidP="00D0469B">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val="en-US"/>
              </w:rPr>
            </w:pPr>
            <w:r w:rsidRPr="00283631">
              <w:rPr>
                <w:rFonts w:ascii="Arial" w:eastAsia="Times New Roman" w:hAnsi="Arial" w:cs="Arial"/>
                <w:lang w:val="en-US"/>
              </w:rPr>
              <w:t>Notes</w:t>
            </w:r>
          </w:p>
        </w:tc>
      </w:tr>
      <w:tr w:rsidR="00605E4C" w:rsidRPr="00283631" w14:paraId="7E916CA5" w14:textId="77777777" w:rsidTr="00D046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841376" w14:textId="77777777" w:rsidR="00605E4C" w:rsidRPr="00283631" w:rsidRDefault="00605E4C" w:rsidP="00D0469B">
            <w:pPr>
              <w:spacing w:line="276" w:lineRule="auto"/>
              <w:rPr>
                <w:rFonts w:ascii="Arial" w:eastAsia="Times New Roman" w:hAnsi="Arial" w:cs="Arial"/>
                <w:lang w:val="en-US"/>
              </w:rPr>
            </w:pPr>
            <w:r w:rsidRPr="00283631">
              <w:rPr>
                <w:rFonts w:ascii="Arial" w:eastAsia="Times New Roman" w:hAnsi="Arial" w:cs="Arial"/>
                <w:lang w:val="en-US"/>
              </w:rPr>
              <w:t>R&amp;D &amp; Technology</w:t>
            </w:r>
          </w:p>
        </w:tc>
        <w:tc>
          <w:tcPr>
            <w:tcW w:w="0" w:type="auto"/>
            <w:hideMark/>
          </w:tcPr>
          <w:p w14:paraId="5DEB6BE2"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Netherlands, US, India, China</w:t>
            </w:r>
          </w:p>
        </w:tc>
        <w:tc>
          <w:tcPr>
            <w:tcW w:w="0" w:type="auto"/>
            <w:hideMark/>
          </w:tcPr>
          <w:p w14:paraId="2B96AB06"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High</w:t>
            </w:r>
          </w:p>
        </w:tc>
        <w:tc>
          <w:tcPr>
            <w:tcW w:w="0" w:type="auto"/>
            <w:hideMark/>
          </w:tcPr>
          <w:p w14:paraId="4E2BCA90"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Low–Medium</w:t>
            </w:r>
          </w:p>
        </w:tc>
        <w:tc>
          <w:tcPr>
            <w:tcW w:w="0" w:type="auto"/>
            <w:hideMark/>
          </w:tcPr>
          <w:p w14:paraId="0106D7CC"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Centralised knowledge creation</w:t>
            </w:r>
          </w:p>
        </w:tc>
      </w:tr>
      <w:tr w:rsidR="00605E4C" w:rsidRPr="00283631" w14:paraId="47DC95F5" w14:textId="77777777" w:rsidTr="00D0469B">
        <w:tc>
          <w:tcPr>
            <w:cnfStyle w:val="001000000000" w:firstRow="0" w:lastRow="0" w:firstColumn="1" w:lastColumn="0" w:oddVBand="0" w:evenVBand="0" w:oddHBand="0" w:evenHBand="0" w:firstRowFirstColumn="0" w:firstRowLastColumn="0" w:lastRowFirstColumn="0" w:lastRowLastColumn="0"/>
            <w:tcW w:w="0" w:type="auto"/>
            <w:hideMark/>
          </w:tcPr>
          <w:p w14:paraId="2C01F758" w14:textId="77777777" w:rsidR="00605E4C" w:rsidRPr="00283631" w:rsidRDefault="00605E4C" w:rsidP="00D0469B">
            <w:pPr>
              <w:spacing w:line="276" w:lineRule="auto"/>
              <w:rPr>
                <w:rFonts w:ascii="Arial" w:eastAsia="Times New Roman" w:hAnsi="Arial" w:cs="Arial"/>
                <w:lang w:val="en-US"/>
              </w:rPr>
            </w:pPr>
            <w:r w:rsidRPr="00283631">
              <w:rPr>
                <w:rFonts w:ascii="Arial" w:eastAsia="Times New Roman" w:hAnsi="Arial" w:cs="Arial"/>
                <w:lang w:val="en-US"/>
              </w:rPr>
              <w:t>Exploration &amp; Production</w:t>
            </w:r>
          </w:p>
        </w:tc>
        <w:tc>
          <w:tcPr>
            <w:tcW w:w="0" w:type="auto"/>
            <w:hideMark/>
          </w:tcPr>
          <w:p w14:paraId="627AC4A8"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Nigeria, Brazil, Gulf of Mexico, North Sea</w:t>
            </w:r>
          </w:p>
        </w:tc>
        <w:tc>
          <w:tcPr>
            <w:tcW w:w="0" w:type="auto"/>
            <w:hideMark/>
          </w:tcPr>
          <w:p w14:paraId="1AD74B22"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Medium–High</w:t>
            </w:r>
          </w:p>
        </w:tc>
        <w:tc>
          <w:tcPr>
            <w:tcW w:w="0" w:type="auto"/>
            <w:hideMark/>
          </w:tcPr>
          <w:p w14:paraId="506A129F"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Medium</w:t>
            </w:r>
          </w:p>
        </w:tc>
        <w:tc>
          <w:tcPr>
            <w:tcW w:w="0" w:type="auto"/>
            <w:hideMark/>
          </w:tcPr>
          <w:p w14:paraId="10592B3E"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JV-heavy in emerging markets</w:t>
            </w:r>
          </w:p>
        </w:tc>
      </w:tr>
      <w:tr w:rsidR="00605E4C" w:rsidRPr="00283631" w14:paraId="529C1EEE" w14:textId="77777777" w:rsidTr="00D046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71A6D3" w14:textId="77777777" w:rsidR="00605E4C" w:rsidRPr="00283631" w:rsidRDefault="00605E4C" w:rsidP="00D0469B">
            <w:pPr>
              <w:spacing w:line="276" w:lineRule="auto"/>
              <w:rPr>
                <w:rFonts w:ascii="Arial" w:eastAsia="Times New Roman" w:hAnsi="Arial" w:cs="Arial"/>
                <w:lang w:val="en-US"/>
              </w:rPr>
            </w:pPr>
            <w:r w:rsidRPr="00283631">
              <w:rPr>
                <w:rFonts w:ascii="Arial" w:eastAsia="Times New Roman" w:hAnsi="Arial" w:cs="Arial"/>
                <w:lang w:val="en-US"/>
              </w:rPr>
              <w:t>LNG &amp; Integrated Gas</w:t>
            </w:r>
          </w:p>
        </w:tc>
        <w:tc>
          <w:tcPr>
            <w:tcW w:w="0" w:type="auto"/>
            <w:hideMark/>
          </w:tcPr>
          <w:p w14:paraId="4719F027"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Nigeria LNG, Qatar, Australia</w:t>
            </w:r>
          </w:p>
        </w:tc>
        <w:tc>
          <w:tcPr>
            <w:tcW w:w="0" w:type="auto"/>
            <w:hideMark/>
          </w:tcPr>
          <w:p w14:paraId="491ED99D"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High</w:t>
            </w:r>
          </w:p>
        </w:tc>
        <w:tc>
          <w:tcPr>
            <w:tcW w:w="0" w:type="auto"/>
            <w:hideMark/>
          </w:tcPr>
          <w:p w14:paraId="3F8F46E2"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Medium</w:t>
            </w:r>
          </w:p>
        </w:tc>
        <w:tc>
          <w:tcPr>
            <w:tcW w:w="0" w:type="auto"/>
            <w:hideMark/>
          </w:tcPr>
          <w:p w14:paraId="769F26B0"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Portfolio optimisation focus</w:t>
            </w:r>
          </w:p>
        </w:tc>
      </w:tr>
      <w:tr w:rsidR="00605E4C" w:rsidRPr="00283631" w14:paraId="31D06A68" w14:textId="77777777" w:rsidTr="00D0469B">
        <w:tc>
          <w:tcPr>
            <w:cnfStyle w:val="001000000000" w:firstRow="0" w:lastRow="0" w:firstColumn="1" w:lastColumn="0" w:oddVBand="0" w:evenVBand="0" w:oddHBand="0" w:evenHBand="0" w:firstRowFirstColumn="0" w:firstRowLastColumn="0" w:lastRowFirstColumn="0" w:lastRowLastColumn="0"/>
            <w:tcW w:w="0" w:type="auto"/>
            <w:hideMark/>
          </w:tcPr>
          <w:p w14:paraId="4A5B6701" w14:textId="77777777" w:rsidR="00605E4C" w:rsidRPr="00283631" w:rsidRDefault="00605E4C" w:rsidP="00D0469B">
            <w:pPr>
              <w:spacing w:line="276" w:lineRule="auto"/>
              <w:rPr>
                <w:rFonts w:ascii="Arial" w:eastAsia="Times New Roman" w:hAnsi="Arial" w:cs="Arial"/>
                <w:lang w:val="en-US"/>
              </w:rPr>
            </w:pPr>
            <w:r w:rsidRPr="00283631">
              <w:rPr>
                <w:rFonts w:ascii="Arial" w:eastAsia="Times New Roman" w:hAnsi="Arial" w:cs="Arial"/>
                <w:lang w:val="en-US"/>
              </w:rPr>
              <w:t>Refining &amp; Chemicals</w:t>
            </w:r>
          </w:p>
        </w:tc>
        <w:tc>
          <w:tcPr>
            <w:tcW w:w="0" w:type="auto"/>
            <w:hideMark/>
          </w:tcPr>
          <w:p w14:paraId="2F8B6356"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Global energy &amp; chemicals parks</w:t>
            </w:r>
          </w:p>
        </w:tc>
        <w:tc>
          <w:tcPr>
            <w:tcW w:w="0" w:type="auto"/>
            <w:hideMark/>
          </w:tcPr>
          <w:p w14:paraId="116EA925"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High</w:t>
            </w:r>
          </w:p>
        </w:tc>
        <w:tc>
          <w:tcPr>
            <w:tcW w:w="0" w:type="auto"/>
            <w:hideMark/>
          </w:tcPr>
          <w:p w14:paraId="5D5BAE2E"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Medium</w:t>
            </w:r>
          </w:p>
        </w:tc>
        <w:tc>
          <w:tcPr>
            <w:tcW w:w="0" w:type="auto"/>
            <w:hideMark/>
          </w:tcPr>
          <w:p w14:paraId="21360E54"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Scale &amp; efficiency driven</w:t>
            </w:r>
          </w:p>
        </w:tc>
      </w:tr>
      <w:tr w:rsidR="00605E4C" w:rsidRPr="00283631" w14:paraId="726ADD42" w14:textId="77777777" w:rsidTr="00D046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8EF2F9" w14:textId="77777777" w:rsidR="00605E4C" w:rsidRPr="00283631" w:rsidRDefault="00605E4C" w:rsidP="00D0469B">
            <w:pPr>
              <w:spacing w:line="276" w:lineRule="auto"/>
              <w:rPr>
                <w:rFonts w:ascii="Arial" w:eastAsia="Times New Roman" w:hAnsi="Arial" w:cs="Arial"/>
                <w:lang w:val="en-US"/>
              </w:rPr>
            </w:pPr>
            <w:r w:rsidRPr="00283631">
              <w:rPr>
                <w:rFonts w:ascii="Arial" w:eastAsia="Times New Roman" w:hAnsi="Arial" w:cs="Arial"/>
                <w:lang w:val="en-US"/>
              </w:rPr>
              <w:t>Marketing &amp; Retail</w:t>
            </w:r>
          </w:p>
        </w:tc>
        <w:tc>
          <w:tcPr>
            <w:tcW w:w="0" w:type="auto"/>
            <w:hideMark/>
          </w:tcPr>
          <w:p w14:paraId="3E0BF01B"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70+ countries (service stations, lubricants)</w:t>
            </w:r>
          </w:p>
        </w:tc>
        <w:tc>
          <w:tcPr>
            <w:tcW w:w="0" w:type="auto"/>
            <w:hideMark/>
          </w:tcPr>
          <w:p w14:paraId="6B0717BE"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Medium</w:t>
            </w:r>
          </w:p>
        </w:tc>
        <w:tc>
          <w:tcPr>
            <w:tcW w:w="0" w:type="auto"/>
            <w:hideMark/>
          </w:tcPr>
          <w:p w14:paraId="0A26CF5C"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High</w:t>
            </w:r>
          </w:p>
        </w:tc>
        <w:tc>
          <w:tcPr>
            <w:tcW w:w="0" w:type="auto"/>
            <w:hideMark/>
          </w:tcPr>
          <w:p w14:paraId="0DEDAF4D" w14:textId="77777777" w:rsidR="00605E4C" w:rsidRPr="00283631" w:rsidRDefault="00605E4C" w:rsidP="00D0469B">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Tailored to local markets</w:t>
            </w:r>
          </w:p>
        </w:tc>
      </w:tr>
      <w:tr w:rsidR="00605E4C" w:rsidRPr="00283631" w14:paraId="4EDDE534" w14:textId="77777777" w:rsidTr="00D0469B">
        <w:tc>
          <w:tcPr>
            <w:cnfStyle w:val="001000000000" w:firstRow="0" w:lastRow="0" w:firstColumn="1" w:lastColumn="0" w:oddVBand="0" w:evenVBand="0" w:oddHBand="0" w:evenHBand="0" w:firstRowFirstColumn="0" w:firstRowLastColumn="0" w:lastRowFirstColumn="0" w:lastRowLastColumn="0"/>
            <w:tcW w:w="0" w:type="auto"/>
            <w:hideMark/>
          </w:tcPr>
          <w:p w14:paraId="08B72757" w14:textId="77777777" w:rsidR="00605E4C" w:rsidRPr="00283631" w:rsidRDefault="00605E4C" w:rsidP="00D0469B">
            <w:pPr>
              <w:spacing w:line="276" w:lineRule="auto"/>
              <w:rPr>
                <w:rFonts w:ascii="Arial" w:eastAsia="Times New Roman" w:hAnsi="Arial" w:cs="Arial"/>
                <w:lang w:val="en-US"/>
              </w:rPr>
            </w:pPr>
            <w:r w:rsidRPr="00283631">
              <w:rPr>
                <w:rFonts w:ascii="Arial" w:eastAsia="Times New Roman" w:hAnsi="Arial" w:cs="Arial"/>
                <w:lang w:val="en-US"/>
              </w:rPr>
              <w:t>Corporate Finance &amp; Risk</w:t>
            </w:r>
          </w:p>
        </w:tc>
        <w:tc>
          <w:tcPr>
            <w:tcW w:w="0" w:type="auto"/>
            <w:hideMark/>
          </w:tcPr>
          <w:p w14:paraId="756CD98B"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London, other financial hubs</w:t>
            </w:r>
          </w:p>
        </w:tc>
        <w:tc>
          <w:tcPr>
            <w:tcW w:w="0" w:type="auto"/>
            <w:hideMark/>
          </w:tcPr>
          <w:p w14:paraId="6BE29863"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High</w:t>
            </w:r>
          </w:p>
        </w:tc>
        <w:tc>
          <w:tcPr>
            <w:tcW w:w="0" w:type="auto"/>
            <w:hideMark/>
          </w:tcPr>
          <w:p w14:paraId="6EFD0792"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Low</w:t>
            </w:r>
          </w:p>
        </w:tc>
        <w:tc>
          <w:tcPr>
            <w:tcW w:w="0" w:type="auto"/>
            <w:hideMark/>
          </w:tcPr>
          <w:p w14:paraId="7C1864BF" w14:textId="77777777" w:rsidR="00605E4C" w:rsidRPr="00283631" w:rsidRDefault="00605E4C" w:rsidP="00D0469B">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Group-level optimisation</w:t>
            </w:r>
          </w:p>
        </w:tc>
      </w:tr>
    </w:tbl>
    <w:p w14:paraId="44D38C95" w14:textId="77777777" w:rsidR="007D751E" w:rsidRPr="00283631" w:rsidRDefault="007D751E" w:rsidP="007D751E">
      <w:pPr>
        <w:pStyle w:val="Heading2"/>
        <w:rPr>
          <w:rFonts w:ascii="Arial" w:eastAsia="Times New Roman" w:hAnsi="Arial" w:cs="Arial"/>
          <w:sz w:val="28"/>
          <w:szCs w:val="28"/>
          <w:lang w:val="en-US"/>
        </w:rPr>
      </w:pPr>
    </w:p>
    <w:p w14:paraId="397387A7" w14:textId="568B9B59" w:rsidR="00967085" w:rsidRPr="00283631" w:rsidRDefault="00967085" w:rsidP="001B01F2">
      <w:pPr>
        <w:pStyle w:val="Heading2"/>
        <w:spacing w:line="360" w:lineRule="auto"/>
        <w:rPr>
          <w:rFonts w:ascii="Arial" w:eastAsia="Times New Roman" w:hAnsi="Arial" w:cs="Arial"/>
          <w:sz w:val="28"/>
          <w:szCs w:val="28"/>
          <w:lang w:val="en-US"/>
        </w:rPr>
      </w:pPr>
      <w:bookmarkStart w:id="3" w:name="_Toc214661197"/>
      <w:r w:rsidRPr="00283631">
        <w:rPr>
          <w:rFonts w:ascii="Arial" w:eastAsia="Times New Roman" w:hAnsi="Arial" w:cs="Arial"/>
          <w:sz w:val="28"/>
          <w:szCs w:val="28"/>
          <w:lang w:val="en-US"/>
        </w:rPr>
        <w:t>2.</w:t>
      </w:r>
      <w:r w:rsidR="002B6744" w:rsidRPr="00283631">
        <w:rPr>
          <w:rFonts w:ascii="Arial" w:eastAsia="Times New Roman" w:hAnsi="Arial" w:cs="Arial"/>
          <w:sz w:val="28"/>
          <w:szCs w:val="28"/>
          <w:lang w:val="en-US"/>
        </w:rPr>
        <w:t>2</w:t>
      </w:r>
      <w:r w:rsidRPr="00283631">
        <w:rPr>
          <w:rFonts w:ascii="Arial" w:eastAsia="Times New Roman" w:hAnsi="Arial" w:cs="Arial"/>
          <w:sz w:val="28"/>
          <w:szCs w:val="28"/>
          <w:lang w:val="en-US"/>
        </w:rPr>
        <w:t xml:space="preserve"> Entry Mode in Shell International markets</w:t>
      </w:r>
      <w:bookmarkEnd w:id="3"/>
    </w:p>
    <w:p w14:paraId="2027DA6D" w14:textId="3F61EB25" w:rsidR="00967085" w:rsidRPr="00283631" w:rsidRDefault="00967085" w:rsidP="00D62B03">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International entry modes explains how companies can have a presence in the foreign markets and they include; greenfield subsidiaries and acquisitions, joint ventures, franchising, </w:t>
      </w:r>
      <w:r w:rsidR="00532D0C" w:rsidRPr="00283631">
        <w:rPr>
          <w:rFonts w:ascii="Arial" w:eastAsia="Times New Roman" w:hAnsi="Arial" w:cs="Arial"/>
          <w:sz w:val="24"/>
          <w:szCs w:val="24"/>
          <w:lang w:val="en-US"/>
        </w:rPr>
        <w:t>licensing</w:t>
      </w:r>
      <w:r w:rsidRPr="00283631">
        <w:rPr>
          <w:rFonts w:ascii="Arial" w:eastAsia="Times New Roman" w:hAnsi="Arial" w:cs="Arial"/>
          <w:sz w:val="24"/>
          <w:szCs w:val="24"/>
          <w:lang w:val="en-US"/>
        </w:rPr>
        <w:t xml:space="preserve"> and contractual-based entry methods like production-sharing contracts (Brouthers and Hennart, 2007). Shell has utilised a majority of these modes, and the patterns are unique, in its upstream, LNG and downstream segments. Historically in Nigeria, Shell had a 25.6</w:t>
      </w:r>
      <w:r w:rsidR="00EF3EFB" w:rsidRPr="00283631">
        <w:rPr>
          <w:rFonts w:ascii="Arial" w:eastAsia="Times New Roman" w:hAnsi="Arial" w:cs="Arial"/>
          <w:sz w:val="24"/>
          <w:szCs w:val="24"/>
          <w:lang w:val="en-US"/>
        </w:rPr>
        <w:t>%</w:t>
      </w:r>
      <w:r w:rsidRPr="00283631">
        <w:rPr>
          <w:rFonts w:ascii="Arial" w:eastAsia="Times New Roman" w:hAnsi="Arial" w:cs="Arial"/>
          <w:sz w:val="24"/>
          <w:szCs w:val="24"/>
          <w:lang w:val="en-US"/>
        </w:rPr>
        <w:t xml:space="preserve"> interest in Nigeria LNG, one of the joint ventures with onshore Shell Petroleum Development Company and currently is involved in offshore oil and integrated gas (Shell, 2025; TankTerminals, 2024). They are normally joint- venture equity projects that are accompanied by long-term production sharing or gas supply agreements, which are high capital intensity, geological risk and the intention of the Nigerian state to maintain control of the resource.</w:t>
      </w:r>
    </w:p>
    <w:p w14:paraId="175320E0" w14:textId="16EBA05B" w:rsidR="00967085" w:rsidRPr="00283631" w:rsidRDefault="00967085" w:rsidP="005B2DB8">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The same dependence on joint ventures can be followed in Brazil where Shell made investments in deep-water fields and the joint venture in biofuels and retail with Cosan, thus gaining access to local capabilities and distribution channels and sharing the risk (Shell, 2025). Comparatively, Shell has a presence in many down-stream markets either in a wholly owned subsidiary or a branch that is responsible in refining and trading as well as marketing assets via its global brand, technology, and trading network (Shell, 2025). In general, it is practised by Shell to take equity joint ventures and contractual projects in upstream and LNG projects in resource endowed but institutionally complex settings, and higher ownership and control in downstream business where host-country political sensitivity is less and the firm brand and operational capabilities are major competitive advantages (Dunning, 2000; Brouthers and Hennart, 2007).</w:t>
      </w:r>
    </w:p>
    <w:p w14:paraId="4766BC21" w14:textId="728FF583" w:rsidR="00D838F0" w:rsidRPr="00283631" w:rsidRDefault="00605E4C" w:rsidP="005B2DB8">
      <w:pPr>
        <w:spacing w:before="100" w:beforeAutospacing="1" w:after="100" w:afterAutospacing="1" w:line="360" w:lineRule="auto"/>
        <w:jc w:val="both"/>
        <w:rPr>
          <w:rFonts w:ascii="Arial" w:eastAsia="Times New Roman" w:hAnsi="Arial" w:cs="Arial"/>
          <w:sz w:val="24"/>
          <w:szCs w:val="24"/>
          <w:lang w:val="en-US"/>
        </w:rPr>
      </w:pPr>
      <w:r w:rsidRPr="00283631">
        <w:rPr>
          <w:rFonts w:ascii="Arial" w:hAnsi="Arial" w:cs="Arial"/>
          <w:noProof/>
        </w:rPr>
        <w:lastRenderedPageBreak/>
        <w:drawing>
          <wp:inline distT="0" distB="0" distL="0" distR="0" wp14:anchorId="561B2FF6" wp14:editId="7214AC75">
            <wp:extent cx="5731510" cy="3590925"/>
            <wp:effectExtent l="0" t="0" r="2540" b="9525"/>
            <wp:docPr id="433218279" name="Picture 1" descr="TN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N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90925"/>
                    </a:xfrm>
                    <a:prstGeom prst="rect">
                      <a:avLst/>
                    </a:prstGeom>
                    <a:noFill/>
                    <a:ln>
                      <a:noFill/>
                    </a:ln>
                  </pic:spPr>
                </pic:pic>
              </a:graphicData>
            </a:graphic>
          </wp:inline>
        </w:drawing>
      </w:r>
    </w:p>
    <w:p w14:paraId="71763BCC" w14:textId="51D3B045" w:rsidR="00EC1A01" w:rsidRPr="00283631" w:rsidRDefault="00EC1A01" w:rsidP="002739D8">
      <w:pPr>
        <w:jc w:val="center"/>
        <w:rPr>
          <w:rFonts w:ascii="Arial" w:hAnsi="Arial" w:cs="Arial"/>
          <w:b/>
          <w:bCs/>
          <w:lang w:val="en-US"/>
        </w:rPr>
      </w:pPr>
      <w:r w:rsidRPr="00283631">
        <w:rPr>
          <w:rFonts w:ascii="Arial" w:hAnsi="Arial" w:cs="Arial"/>
          <w:b/>
          <w:bCs/>
          <w:lang w:val="en-US"/>
        </w:rPr>
        <w:t>Figure 1: Map of Shell’s Selected Operations (World Map)</w:t>
      </w:r>
    </w:p>
    <w:p w14:paraId="153B6A64" w14:textId="77777777" w:rsidR="002739D8" w:rsidRPr="00283631" w:rsidRDefault="002739D8" w:rsidP="002739D8">
      <w:pPr>
        <w:jc w:val="center"/>
        <w:rPr>
          <w:rFonts w:ascii="Arial" w:hAnsi="Arial" w:cs="Arial"/>
          <w:b/>
          <w:bCs/>
          <w:sz w:val="24"/>
          <w:szCs w:val="24"/>
          <w:lang w:val="en-US"/>
        </w:rPr>
      </w:pPr>
    </w:p>
    <w:p w14:paraId="23BC9B7A" w14:textId="77777777" w:rsidR="002739D8" w:rsidRPr="00283631" w:rsidRDefault="002739D8" w:rsidP="002739D8">
      <w:pPr>
        <w:rPr>
          <w:rFonts w:ascii="Arial" w:hAnsi="Arial" w:cs="Arial"/>
          <w:b/>
          <w:bCs/>
          <w:sz w:val="24"/>
          <w:szCs w:val="24"/>
          <w:lang w:val="en-US"/>
        </w:rPr>
      </w:pPr>
      <w:r w:rsidRPr="00283631">
        <w:rPr>
          <w:rFonts w:ascii="Arial" w:hAnsi="Arial" w:cs="Arial"/>
          <w:b/>
          <w:bCs/>
          <w:sz w:val="24"/>
          <w:szCs w:val="24"/>
          <w:lang w:val="en-US"/>
        </w:rPr>
        <w:t>Table 2: Shell’s Entry Modes by Region and Segment</w:t>
      </w:r>
    </w:p>
    <w:tbl>
      <w:tblPr>
        <w:tblStyle w:val="GridTable5Dark-Accent1"/>
        <w:tblW w:w="0" w:type="auto"/>
        <w:tblLook w:val="04A0" w:firstRow="1" w:lastRow="0" w:firstColumn="1" w:lastColumn="0" w:noHBand="0" w:noVBand="1"/>
      </w:tblPr>
      <w:tblGrid>
        <w:gridCol w:w="1883"/>
        <w:gridCol w:w="1597"/>
        <w:gridCol w:w="1838"/>
        <w:gridCol w:w="1779"/>
        <w:gridCol w:w="1919"/>
      </w:tblGrid>
      <w:tr w:rsidR="002739D8" w:rsidRPr="00283631" w14:paraId="0DC54EE4" w14:textId="77777777" w:rsidTr="002739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A5510E" w14:textId="77777777" w:rsidR="002739D8" w:rsidRPr="00283631" w:rsidRDefault="002739D8" w:rsidP="002739D8">
            <w:pPr>
              <w:spacing w:line="276" w:lineRule="auto"/>
              <w:jc w:val="center"/>
              <w:rPr>
                <w:rFonts w:ascii="Arial" w:eastAsia="Times New Roman" w:hAnsi="Arial" w:cs="Arial"/>
                <w:b w:val="0"/>
                <w:bCs w:val="0"/>
                <w:lang w:val="en-US"/>
              </w:rPr>
            </w:pPr>
            <w:r w:rsidRPr="00283631">
              <w:rPr>
                <w:rFonts w:ascii="Arial" w:eastAsia="Times New Roman" w:hAnsi="Arial" w:cs="Arial"/>
                <w:lang w:val="en-US"/>
              </w:rPr>
              <w:t>Country / Region</w:t>
            </w:r>
          </w:p>
        </w:tc>
        <w:tc>
          <w:tcPr>
            <w:tcW w:w="0" w:type="auto"/>
            <w:hideMark/>
          </w:tcPr>
          <w:p w14:paraId="02234AFD" w14:textId="77777777" w:rsidR="002739D8" w:rsidRPr="00283631" w:rsidRDefault="002739D8" w:rsidP="002739D8">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val="en-US"/>
              </w:rPr>
            </w:pPr>
            <w:r w:rsidRPr="00283631">
              <w:rPr>
                <w:rFonts w:ascii="Arial" w:eastAsia="Times New Roman" w:hAnsi="Arial" w:cs="Arial"/>
                <w:lang w:val="en-US"/>
              </w:rPr>
              <w:t>Segment</w:t>
            </w:r>
          </w:p>
        </w:tc>
        <w:tc>
          <w:tcPr>
            <w:tcW w:w="0" w:type="auto"/>
            <w:hideMark/>
          </w:tcPr>
          <w:p w14:paraId="1F006CEB" w14:textId="77777777" w:rsidR="002739D8" w:rsidRPr="00283631" w:rsidRDefault="002739D8" w:rsidP="002739D8">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val="en-US"/>
              </w:rPr>
            </w:pPr>
            <w:r w:rsidRPr="00283631">
              <w:rPr>
                <w:rFonts w:ascii="Arial" w:eastAsia="Times New Roman" w:hAnsi="Arial" w:cs="Arial"/>
                <w:lang w:val="en-US"/>
              </w:rPr>
              <w:t>Entry / Operation Mode</w:t>
            </w:r>
          </w:p>
        </w:tc>
        <w:tc>
          <w:tcPr>
            <w:tcW w:w="0" w:type="auto"/>
            <w:hideMark/>
          </w:tcPr>
          <w:p w14:paraId="6E5F3A84" w14:textId="77777777" w:rsidR="002739D8" w:rsidRPr="00283631" w:rsidRDefault="002739D8" w:rsidP="002739D8">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val="en-US"/>
              </w:rPr>
            </w:pPr>
            <w:r w:rsidRPr="00283631">
              <w:rPr>
                <w:rFonts w:ascii="Arial" w:eastAsia="Times New Roman" w:hAnsi="Arial" w:cs="Arial"/>
                <w:lang w:val="en-US"/>
              </w:rPr>
              <w:t>Key Partner(s) / Entity</w:t>
            </w:r>
          </w:p>
        </w:tc>
        <w:tc>
          <w:tcPr>
            <w:tcW w:w="0" w:type="auto"/>
            <w:hideMark/>
          </w:tcPr>
          <w:p w14:paraId="5654C98F" w14:textId="77777777" w:rsidR="002739D8" w:rsidRPr="00283631" w:rsidRDefault="002739D8" w:rsidP="002739D8">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val="en-US"/>
              </w:rPr>
            </w:pPr>
            <w:r w:rsidRPr="00283631">
              <w:rPr>
                <w:rFonts w:ascii="Arial" w:eastAsia="Times New Roman" w:hAnsi="Arial" w:cs="Arial"/>
                <w:lang w:val="en-US"/>
              </w:rPr>
              <w:t>Rationale (brief)</w:t>
            </w:r>
          </w:p>
        </w:tc>
      </w:tr>
      <w:tr w:rsidR="002739D8" w:rsidRPr="00283631" w14:paraId="25B2AC4D" w14:textId="77777777" w:rsidTr="00273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702F6E" w14:textId="77777777" w:rsidR="002739D8" w:rsidRPr="00283631" w:rsidRDefault="002739D8" w:rsidP="002739D8">
            <w:pPr>
              <w:spacing w:line="276" w:lineRule="auto"/>
              <w:rPr>
                <w:rFonts w:ascii="Arial" w:eastAsia="Times New Roman" w:hAnsi="Arial" w:cs="Arial"/>
                <w:lang w:val="en-US"/>
              </w:rPr>
            </w:pPr>
            <w:r w:rsidRPr="00283631">
              <w:rPr>
                <w:rFonts w:ascii="Arial" w:eastAsia="Times New Roman" w:hAnsi="Arial" w:cs="Arial"/>
                <w:lang w:val="en-US"/>
              </w:rPr>
              <w:t>Nigeria</w:t>
            </w:r>
          </w:p>
        </w:tc>
        <w:tc>
          <w:tcPr>
            <w:tcW w:w="0" w:type="auto"/>
            <w:hideMark/>
          </w:tcPr>
          <w:p w14:paraId="1BD88E6B" w14:textId="77777777" w:rsidR="002739D8" w:rsidRPr="00283631" w:rsidRDefault="002739D8" w:rsidP="002739D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Upstream / LNG</w:t>
            </w:r>
          </w:p>
        </w:tc>
        <w:tc>
          <w:tcPr>
            <w:tcW w:w="0" w:type="auto"/>
            <w:hideMark/>
          </w:tcPr>
          <w:p w14:paraId="5DDC5139" w14:textId="77777777" w:rsidR="002739D8" w:rsidRPr="00283631" w:rsidRDefault="002739D8" w:rsidP="002739D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JV + PSC (SPDC, SNEPCo, NLNG equity stake)</w:t>
            </w:r>
          </w:p>
        </w:tc>
        <w:tc>
          <w:tcPr>
            <w:tcW w:w="0" w:type="auto"/>
            <w:hideMark/>
          </w:tcPr>
          <w:p w14:paraId="6824D3F1" w14:textId="77777777" w:rsidR="002739D8" w:rsidRPr="00283631" w:rsidRDefault="002739D8" w:rsidP="002739D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NNPC, TotalEnergies, Eni</w:t>
            </w:r>
          </w:p>
        </w:tc>
        <w:tc>
          <w:tcPr>
            <w:tcW w:w="0" w:type="auto"/>
            <w:hideMark/>
          </w:tcPr>
          <w:p w14:paraId="67E3B564" w14:textId="77777777" w:rsidR="002739D8" w:rsidRPr="00283631" w:rsidRDefault="002739D8" w:rsidP="002739D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Political sensitivity, risk sharing</w:t>
            </w:r>
          </w:p>
        </w:tc>
      </w:tr>
      <w:tr w:rsidR="002739D8" w:rsidRPr="00283631" w14:paraId="57496700" w14:textId="77777777" w:rsidTr="002739D8">
        <w:tc>
          <w:tcPr>
            <w:cnfStyle w:val="001000000000" w:firstRow="0" w:lastRow="0" w:firstColumn="1" w:lastColumn="0" w:oddVBand="0" w:evenVBand="0" w:oddHBand="0" w:evenHBand="0" w:firstRowFirstColumn="0" w:firstRowLastColumn="0" w:lastRowFirstColumn="0" w:lastRowLastColumn="0"/>
            <w:tcW w:w="0" w:type="auto"/>
            <w:hideMark/>
          </w:tcPr>
          <w:p w14:paraId="5288B9D2" w14:textId="77777777" w:rsidR="002739D8" w:rsidRPr="00283631" w:rsidRDefault="002739D8" w:rsidP="002739D8">
            <w:pPr>
              <w:spacing w:line="276" w:lineRule="auto"/>
              <w:rPr>
                <w:rFonts w:ascii="Arial" w:eastAsia="Times New Roman" w:hAnsi="Arial" w:cs="Arial"/>
                <w:lang w:val="en-US"/>
              </w:rPr>
            </w:pPr>
            <w:r w:rsidRPr="00283631">
              <w:rPr>
                <w:rFonts w:ascii="Arial" w:eastAsia="Times New Roman" w:hAnsi="Arial" w:cs="Arial"/>
                <w:lang w:val="en-US"/>
              </w:rPr>
              <w:t>Brazil</w:t>
            </w:r>
          </w:p>
        </w:tc>
        <w:tc>
          <w:tcPr>
            <w:tcW w:w="0" w:type="auto"/>
            <w:hideMark/>
          </w:tcPr>
          <w:p w14:paraId="624DA1CD" w14:textId="77777777" w:rsidR="002739D8" w:rsidRPr="00283631" w:rsidRDefault="002739D8" w:rsidP="002739D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Upstream / Biofuels</w:t>
            </w:r>
          </w:p>
        </w:tc>
        <w:tc>
          <w:tcPr>
            <w:tcW w:w="0" w:type="auto"/>
            <w:hideMark/>
          </w:tcPr>
          <w:p w14:paraId="5745209E" w14:textId="3FB33177" w:rsidR="002739D8" w:rsidRPr="00283631" w:rsidRDefault="002739D8" w:rsidP="002739D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JV (e.g. Ra</w:t>
            </w:r>
            <w:r w:rsidR="002E61A1" w:rsidRPr="00283631">
              <w:rPr>
                <w:rFonts w:ascii="Arial" w:eastAsia="Times New Roman" w:hAnsi="Arial" w:cs="Arial"/>
                <w:lang w:val="en-US"/>
              </w:rPr>
              <w:t>i</w:t>
            </w:r>
            <w:r w:rsidRPr="00283631">
              <w:rPr>
                <w:rFonts w:ascii="Arial" w:eastAsia="Times New Roman" w:hAnsi="Arial" w:cs="Arial"/>
                <w:lang w:val="en-US"/>
              </w:rPr>
              <w:t>zen) + acquisitions</w:t>
            </w:r>
          </w:p>
        </w:tc>
        <w:tc>
          <w:tcPr>
            <w:tcW w:w="0" w:type="auto"/>
            <w:hideMark/>
          </w:tcPr>
          <w:p w14:paraId="120143DD" w14:textId="77777777" w:rsidR="002739D8" w:rsidRPr="00283631" w:rsidRDefault="002739D8" w:rsidP="002739D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Cosan, others</w:t>
            </w:r>
          </w:p>
        </w:tc>
        <w:tc>
          <w:tcPr>
            <w:tcW w:w="0" w:type="auto"/>
            <w:hideMark/>
          </w:tcPr>
          <w:p w14:paraId="55952F6E" w14:textId="77777777" w:rsidR="002739D8" w:rsidRPr="00283631" w:rsidRDefault="002739D8" w:rsidP="002739D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Access to local capabilities, distribution</w:t>
            </w:r>
          </w:p>
        </w:tc>
      </w:tr>
      <w:tr w:rsidR="002739D8" w:rsidRPr="00283631" w14:paraId="1BB3D090" w14:textId="77777777" w:rsidTr="00273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015540" w14:textId="77777777" w:rsidR="002739D8" w:rsidRPr="00283631" w:rsidRDefault="002739D8" w:rsidP="002739D8">
            <w:pPr>
              <w:spacing w:line="276" w:lineRule="auto"/>
              <w:rPr>
                <w:rFonts w:ascii="Arial" w:eastAsia="Times New Roman" w:hAnsi="Arial" w:cs="Arial"/>
                <w:lang w:val="en-US"/>
              </w:rPr>
            </w:pPr>
            <w:r w:rsidRPr="00283631">
              <w:rPr>
                <w:rFonts w:ascii="Arial" w:eastAsia="Times New Roman" w:hAnsi="Arial" w:cs="Arial"/>
                <w:lang w:val="en-US"/>
              </w:rPr>
              <w:t>UK/Netherlands</w:t>
            </w:r>
          </w:p>
        </w:tc>
        <w:tc>
          <w:tcPr>
            <w:tcW w:w="0" w:type="auto"/>
            <w:hideMark/>
          </w:tcPr>
          <w:p w14:paraId="6C304174" w14:textId="77777777" w:rsidR="002739D8" w:rsidRPr="00283631" w:rsidRDefault="002739D8" w:rsidP="002739D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Upstream / Downstream</w:t>
            </w:r>
          </w:p>
        </w:tc>
        <w:tc>
          <w:tcPr>
            <w:tcW w:w="0" w:type="auto"/>
            <w:hideMark/>
          </w:tcPr>
          <w:p w14:paraId="124BEABE" w14:textId="77777777" w:rsidR="002739D8" w:rsidRPr="00283631" w:rsidRDefault="002739D8" w:rsidP="002739D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Wholly-owned subsidiaries</w:t>
            </w:r>
          </w:p>
        </w:tc>
        <w:tc>
          <w:tcPr>
            <w:tcW w:w="0" w:type="auto"/>
            <w:hideMark/>
          </w:tcPr>
          <w:p w14:paraId="05792836" w14:textId="77777777" w:rsidR="002739D8" w:rsidRPr="00283631" w:rsidRDefault="002739D8" w:rsidP="002739D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w:t>
            </w:r>
          </w:p>
        </w:tc>
        <w:tc>
          <w:tcPr>
            <w:tcW w:w="0" w:type="auto"/>
            <w:hideMark/>
          </w:tcPr>
          <w:p w14:paraId="1408410A" w14:textId="77777777" w:rsidR="002739D8" w:rsidRPr="00283631" w:rsidRDefault="002739D8" w:rsidP="002739D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Strong institutions, lower political risk</w:t>
            </w:r>
          </w:p>
        </w:tc>
      </w:tr>
      <w:tr w:rsidR="002739D8" w:rsidRPr="00283631" w14:paraId="4A819BE8" w14:textId="77777777" w:rsidTr="002739D8">
        <w:tc>
          <w:tcPr>
            <w:cnfStyle w:val="001000000000" w:firstRow="0" w:lastRow="0" w:firstColumn="1" w:lastColumn="0" w:oddVBand="0" w:evenVBand="0" w:oddHBand="0" w:evenHBand="0" w:firstRowFirstColumn="0" w:firstRowLastColumn="0" w:lastRowFirstColumn="0" w:lastRowLastColumn="0"/>
            <w:tcW w:w="0" w:type="auto"/>
            <w:hideMark/>
          </w:tcPr>
          <w:p w14:paraId="5C54D311" w14:textId="77777777" w:rsidR="002739D8" w:rsidRPr="00283631" w:rsidRDefault="002739D8" w:rsidP="002739D8">
            <w:pPr>
              <w:spacing w:line="276" w:lineRule="auto"/>
              <w:rPr>
                <w:rFonts w:ascii="Arial" w:eastAsia="Times New Roman" w:hAnsi="Arial" w:cs="Arial"/>
                <w:lang w:val="en-US"/>
              </w:rPr>
            </w:pPr>
            <w:r w:rsidRPr="00283631">
              <w:rPr>
                <w:rFonts w:ascii="Arial" w:eastAsia="Times New Roman" w:hAnsi="Arial" w:cs="Arial"/>
                <w:lang w:val="en-US"/>
              </w:rPr>
              <w:t>Asia-Pacific</w:t>
            </w:r>
          </w:p>
        </w:tc>
        <w:tc>
          <w:tcPr>
            <w:tcW w:w="0" w:type="auto"/>
            <w:hideMark/>
          </w:tcPr>
          <w:p w14:paraId="3D321A34" w14:textId="77777777" w:rsidR="002739D8" w:rsidRPr="00283631" w:rsidRDefault="002739D8" w:rsidP="002739D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LNG &amp; Marketing</w:t>
            </w:r>
          </w:p>
        </w:tc>
        <w:tc>
          <w:tcPr>
            <w:tcW w:w="0" w:type="auto"/>
            <w:hideMark/>
          </w:tcPr>
          <w:p w14:paraId="46240D5D" w14:textId="77777777" w:rsidR="002739D8" w:rsidRPr="00283631" w:rsidRDefault="002739D8" w:rsidP="002739D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JVs + subsidiaries</w:t>
            </w:r>
          </w:p>
        </w:tc>
        <w:tc>
          <w:tcPr>
            <w:tcW w:w="0" w:type="auto"/>
            <w:hideMark/>
          </w:tcPr>
          <w:p w14:paraId="702185C5" w14:textId="77777777" w:rsidR="002739D8" w:rsidRPr="00283631" w:rsidRDefault="002739D8" w:rsidP="002739D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Various NOCs &amp; partners</w:t>
            </w:r>
          </w:p>
        </w:tc>
        <w:tc>
          <w:tcPr>
            <w:tcW w:w="0" w:type="auto"/>
            <w:hideMark/>
          </w:tcPr>
          <w:p w14:paraId="5115C05D" w14:textId="77777777" w:rsidR="002739D8" w:rsidRPr="00283631" w:rsidRDefault="002739D8" w:rsidP="002739D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Portfolio diversification, market access</w:t>
            </w:r>
          </w:p>
        </w:tc>
      </w:tr>
    </w:tbl>
    <w:p w14:paraId="30C8D5BE" w14:textId="77777777" w:rsidR="002739D8" w:rsidRPr="00283631" w:rsidRDefault="002739D8" w:rsidP="002739D8">
      <w:pPr>
        <w:jc w:val="center"/>
        <w:rPr>
          <w:rFonts w:ascii="Arial" w:hAnsi="Arial" w:cs="Arial"/>
          <w:b/>
          <w:bCs/>
          <w:lang w:val="en-US"/>
        </w:rPr>
      </w:pPr>
    </w:p>
    <w:p w14:paraId="0675D4ED" w14:textId="77777777" w:rsidR="00EC1A01" w:rsidRPr="00283631" w:rsidRDefault="00EC1A01" w:rsidP="005B2DB8">
      <w:pPr>
        <w:spacing w:before="100" w:beforeAutospacing="1" w:after="100" w:afterAutospacing="1" w:line="360" w:lineRule="auto"/>
        <w:jc w:val="both"/>
        <w:rPr>
          <w:rFonts w:ascii="Arial" w:eastAsia="Times New Roman" w:hAnsi="Arial" w:cs="Arial"/>
          <w:sz w:val="24"/>
          <w:szCs w:val="24"/>
          <w:lang w:val="en-US"/>
        </w:rPr>
      </w:pPr>
    </w:p>
    <w:p w14:paraId="6D5A6C9D" w14:textId="77777777" w:rsidR="00E72BFF" w:rsidRPr="00283631" w:rsidRDefault="00E72BFF" w:rsidP="005B2DB8">
      <w:pPr>
        <w:spacing w:before="100" w:beforeAutospacing="1" w:after="100" w:afterAutospacing="1" w:line="360" w:lineRule="auto"/>
        <w:jc w:val="both"/>
        <w:rPr>
          <w:rFonts w:ascii="Arial" w:eastAsia="Times New Roman" w:hAnsi="Arial" w:cs="Arial"/>
          <w:sz w:val="24"/>
          <w:szCs w:val="24"/>
          <w:lang w:val="en-US"/>
        </w:rPr>
      </w:pPr>
    </w:p>
    <w:p w14:paraId="6B20F6E8" w14:textId="15D4962D" w:rsidR="00967085" w:rsidRPr="00283631" w:rsidRDefault="00967085" w:rsidP="001B01F2">
      <w:pPr>
        <w:pStyle w:val="Heading2"/>
        <w:spacing w:line="360" w:lineRule="auto"/>
        <w:rPr>
          <w:rFonts w:ascii="Arial" w:eastAsia="Times New Roman" w:hAnsi="Arial" w:cs="Arial"/>
          <w:sz w:val="28"/>
          <w:szCs w:val="28"/>
          <w:lang w:val="en-US"/>
        </w:rPr>
      </w:pPr>
      <w:bookmarkStart w:id="4" w:name="_Toc214661198"/>
      <w:r w:rsidRPr="00283631">
        <w:rPr>
          <w:rFonts w:ascii="Arial" w:eastAsia="Times New Roman" w:hAnsi="Arial" w:cs="Arial"/>
          <w:sz w:val="28"/>
          <w:szCs w:val="28"/>
          <w:lang w:val="en-US"/>
        </w:rPr>
        <w:lastRenderedPageBreak/>
        <w:t>2.</w:t>
      </w:r>
      <w:r w:rsidR="006E443B" w:rsidRPr="00283631">
        <w:rPr>
          <w:rFonts w:ascii="Arial" w:eastAsia="Times New Roman" w:hAnsi="Arial" w:cs="Arial"/>
          <w:sz w:val="28"/>
          <w:szCs w:val="28"/>
          <w:lang w:val="en-US"/>
        </w:rPr>
        <w:t>3</w:t>
      </w:r>
      <w:r w:rsidRPr="00283631">
        <w:rPr>
          <w:rFonts w:ascii="Arial" w:eastAsia="Times New Roman" w:hAnsi="Arial" w:cs="Arial"/>
          <w:sz w:val="28"/>
          <w:szCs w:val="28"/>
          <w:lang w:val="en-US"/>
        </w:rPr>
        <w:t xml:space="preserve"> International Operations and their main advantages</w:t>
      </w:r>
      <w:bookmarkEnd w:id="4"/>
    </w:p>
    <w:p w14:paraId="6AAD11B3" w14:textId="10589620" w:rsidR="00967085" w:rsidRPr="00283631" w:rsidRDefault="00967085" w:rsidP="00FC4892">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The international business of Shell has a number of intertwined advantages. First, scale and scope economies occur due to the sharing of fixed R&amp;D, technology and corporate overheads over a global production and marketing facility and reducing average costs and providing differentiated products such as premium fuels and integrated gas solutions (Porter, 1985; Shell, 2025). Second, geopolitical and demand risk is also diversified, whereas the company is not reliant on a specific basin or country, which allows them to optimise a portfolio portfolio, as prices and policies change (Dunning, 2000; Shell, 2025).</w:t>
      </w:r>
    </w:p>
    <w:p w14:paraId="13246499" w14:textId="5C08DB37" w:rsidR="00967085" w:rsidRPr="00283631" w:rsidRDefault="00967085" w:rsidP="00FC4892">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Third, the international growth presents opportunities to valuable natural resources and other markets with a high growth rate: Shell has positions in offshore Nigeria, Qatar, the US Gulf of Mexico and other basins which support reserves and cash flow whereas its participation in the projects of the Nigeria LNG and other LNGs gives it an exposure to the increasing gas demand in Asia, Europe and other emerging economies (Shell, 2025; Reuters, 2025). According to the resource-based perspective, such global resources and organisational routines are firm-specific advantages that are hard to replicate by the competitors (Barney, 1991). Lastly, the benefits of learning and knowledge transfer come about as experience gained in one project or country such as deep-water engineering, stakeholder engagement or carbon-management practises are moved across the Shell value chain to enhance dynamic capabilities and keep pace with an evolving energy environment (Teece, 2014; Shell, 2025).</w:t>
      </w:r>
    </w:p>
    <w:p w14:paraId="7634047D" w14:textId="300BA3FE" w:rsidR="00967085" w:rsidRPr="00283631" w:rsidRDefault="00967085" w:rsidP="00611AE5">
      <w:pPr>
        <w:pStyle w:val="Heading2"/>
        <w:spacing w:line="360" w:lineRule="auto"/>
        <w:rPr>
          <w:rFonts w:ascii="Arial" w:eastAsia="Times New Roman" w:hAnsi="Arial" w:cs="Arial"/>
          <w:sz w:val="28"/>
          <w:szCs w:val="28"/>
          <w:lang w:val="en-US"/>
        </w:rPr>
      </w:pPr>
      <w:bookmarkStart w:id="5" w:name="_Toc214661199"/>
      <w:r w:rsidRPr="00283631">
        <w:rPr>
          <w:rFonts w:ascii="Arial" w:eastAsia="Times New Roman" w:hAnsi="Arial" w:cs="Arial"/>
          <w:sz w:val="28"/>
          <w:szCs w:val="28"/>
          <w:lang w:val="en-US"/>
        </w:rPr>
        <w:t>2.</w:t>
      </w:r>
      <w:r w:rsidR="005B2DB8" w:rsidRPr="00283631">
        <w:rPr>
          <w:rFonts w:ascii="Arial" w:eastAsia="Times New Roman" w:hAnsi="Arial" w:cs="Arial"/>
          <w:sz w:val="28"/>
          <w:szCs w:val="28"/>
          <w:lang w:val="en-US"/>
        </w:rPr>
        <w:t>4</w:t>
      </w:r>
      <w:r w:rsidRPr="00283631">
        <w:rPr>
          <w:rFonts w:ascii="Arial" w:eastAsia="Times New Roman" w:hAnsi="Arial" w:cs="Arial"/>
          <w:sz w:val="28"/>
          <w:szCs w:val="28"/>
          <w:lang w:val="en-US"/>
        </w:rPr>
        <w:t xml:space="preserve"> Significant Problems of International Operations</w:t>
      </w:r>
      <w:bookmarkEnd w:id="5"/>
    </w:p>
    <w:p w14:paraId="043D763D" w14:textId="1061019B" w:rsidR="00CC1748" w:rsidRPr="00283631" w:rsidRDefault="00967085" w:rsidP="004B2C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In spite of these benefits, the internationalisation of Shell leaves the company vulnerable. Projects in Nigeria and other emerging economies will encounter changing fiscal conditions, security issues and review of divestment and offshore development, as examples of recent regulatory interventions and lawsuits, around SPDC and Nigeria LNG (Reuters, 2025; Reuters, 2025). In the social and environmental realms, Shell still faces the heritage pollution challenges, local resentment and activism by NGOs, especially in the Niger Delta that jeopardise its social </w:t>
      </w:r>
      <w:r w:rsidR="00532D0C" w:rsidRPr="00283631">
        <w:rPr>
          <w:rFonts w:ascii="Arial" w:eastAsia="Times New Roman" w:hAnsi="Arial" w:cs="Arial"/>
          <w:sz w:val="24"/>
          <w:szCs w:val="24"/>
          <w:lang w:val="en-US"/>
        </w:rPr>
        <w:t>license</w:t>
      </w:r>
      <w:r w:rsidRPr="00283631">
        <w:rPr>
          <w:rFonts w:ascii="Arial" w:eastAsia="Times New Roman" w:hAnsi="Arial" w:cs="Arial"/>
          <w:sz w:val="24"/>
          <w:szCs w:val="24"/>
          <w:lang w:val="en-US"/>
        </w:rPr>
        <w:t xml:space="preserve"> to operate (AP News, 2025; Shell, 2025). Moreover, the unstable prices of commodities and decarbonisation </w:t>
      </w:r>
      <w:r w:rsidRPr="00283631">
        <w:rPr>
          <w:rFonts w:ascii="Arial" w:eastAsia="Times New Roman" w:hAnsi="Arial" w:cs="Arial"/>
          <w:sz w:val="24"/>
          <w:szCs w:val="24"/>
          <w:lang w:val="en-US"/>
        </w:rPr>
        <w:lastRenderedPageBreak/>
        <w:t>make allocation choices more difficult and result in the stranded-asset risk (Teece, 2014; Shell, 2025).</w:t>
      </w:r>
    </w:p>
    <w:p w14:paraId="4FF972F1" w14:textId="54FF2604" w:rsidR="00CC1748" w:rsidRPr="00283631" w:rsidRDefault="00CC1748" w:rsidP="004B2CDA">
      <w:pPr>
        <w:pStyle w:val="Heading1"/>
        <w:spacing w:line="360" w:lineRule="auto"/>
        <w:rPr>
          <w:rFonts w:ascii="Arial" w:eastAsia="Times New Roman" w:hAnsi="Arial" w:cs="Arial"/>
          <w:b/>
          <w:bCs/>
          <w:sz w:val="32"/>
          <w:szCs w:val="32"/>
          <w:lang w:val="en-US"/>
        </w:rPr>
      </w:pPr>
      <w:bookmarkStart w:id="6" w:name="_Toc214661200"/>
      <w:r w:rsidRPr="00283631">
        <w:rPr>
          <w:rFonts w:ascii="Arial" w:eastAsia="Times New Roman" w:hAnsi="Arial" w:cs="Arial"/>
          <w:b/>
          <w:bCs/>
          <w:sz w:val="32"/>
          <w:szCs w:val="32"/>
          <w:lang w:val="en-US"/>
        </w:rPr>
        <w:t>3. OLI Analysis and Market Entry Mode: Shell (UK)</w:t>
      </w:r>
      <w:r w:rsidR="00DE1CC5" w:rsidRPr="00283631">
        <w:rPr>
          <w:rFonts w:ascii="Arial" w:eastAsia="Times New Roman" w:hAnsi="Arial" w:cs="Arial"/>
          <w:b/>
          <w:bCs/>
          <w:sz w:val="32"/>
          <w:szCs w:val="32"/>
          <w:lang w:val="en-US"/>
        </w:rPr>
        <w:t xml:space="preserve"> - </w:t>
      </w:r>
      <w:r w:rsidRPr="00283631">
        <w:rPr>
          <w:rFonts w:ascii="Arial" w:eastAsia="Times New Roman" w:hAnsi="Arial" w:cs="Arial"/>
          <w:b/>
          <w:bCs/>
          <w:sz w:val="32"/>
          <w:szCs w:val="32"/>
          <w:lang w:val="en-US"/>
        </w:rPr>
        <w:t>Nigeria</w:t>
      </w:r>
      <w:bookmarkEnd w:id="6"/>
    </w:p>
    <w:p w14:paraId="2FBB6BA8" w14:textId="21C32720" w:rsidR="00CC1748" w:rsidRPr="00283631" w:rsidRDefault="00CC1748" w:rsidP="004B2CDA">
      <w:pPr>
        <w:pStyle w:val="Heading2"/>
        <w:spacing w:line="360" w:lineRule="auto"/>
        <w:rPr>
          <w:rFonts w:ascii="Arial" w:eastAsia="Times New Roman" w:hAnsi="Arial" w:cs="Arial"/>
          <w:sz w:val="28"/>
          <w:szCs w:val="28"/>
          <w:lang w:val="en-US"/>
        </w:rPr>
      </w:pPr>
      <w:bookmarkStart w:id="7" w:name="_Toc214661201"/>
      <w:r w:rsidRPr="00283631">
        <w:rPr>
          <w:rFonts w:ascii="Arial" w:eastAsia="Times New Roman" w:hAnsi="Arial" w:cs="Arial"/>
          <w:sz w:val="28"/>
          <w:szCs w:val="28"/>
          <w:lang w:val="en-US"/>
        </w:rPr>
        <w:t>3.1 Ownership (O) Shell Strengths</w:t>
      </w:r>
      <w:bookmarkEnd w:id="7"/>
    </w:p>
    <w:p w14:paraId="441DD948" w14:textId="07BD43DA" w:rsidR="00CC1748" w:rsidRPr="00283631" w:rsidRDefault="00CC1748" w:rsidP="00BA37BD">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The sources of ownership (O) are assets (tangible or intangible) of firms, which give a competitive advantage in foreign countries, including proprietary technology, brands, managerial skills and access to finance (Dunning, 1988; Dunning, 2000). Shell has a high O-advantages. It owns advanced proprietary technologies in deep-water exploration, subsea engineering and LNG as well as decades of experience in running large integrated gas chains and complex offshore fields (Shell, 2025). It has a globally recognised brand, investment-grade balance sheet and project-management that enable it to mobilise multi</w:t>
      </w:r>
      <w:r w:rsidR="00B203EF"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billion</w:t>
      </w:r>
      <w:r w:rsidR="00B203EF"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dollar capital and manage mega-projects, including the Bonga deep-water field, and the new HI offshore gas project to supply Nigeria LNG (Reuters, 2025).</w:t>
      </w:r>
    </w:p>
    <w:p w14:paraId="48258369" w14:textId="77777777" w:rsidR="00CC1748" w:rsidRPr="00283631" w:rsidRDefault="00CC1748" w:rsidP="00BA37BD">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The experience in the organisation and operation of joint ventures with host governments and international partners also adds to the O-advantages of Shell so that it can operate in complex stakeholder environments. Meanwhile, these benefits are being threatened. Rapid energy transition and ESG anticipations put oil majors at risk of climate litigation, shareholder activism and possible asset stranding (UNEP FI, 2023; Owusu et al., 2025). The Energy Transition Strategy of Shell focuses on expanding LNG and reducing operation emissions (Shell, 2024), but critics believe that the watered-down intermediate targets and further increase in hydrocarbon activities can undermine reputational capital and create more transition risk (Zero Carbon Analytics, 2022; Follow This, 2024). Therefore, although the conventional O-advantages of Shell in Nigeria are still significant, their sustainability in the long term will be based on the process of passing credible adjustments to low-carbon expectations.</w:t>
      </w:r>
    </w:p>
    <w:p w14:paraId="622F2E55" w14:textId="3C7E226C" w:rsidR="00CC1748" w:rsidRPr="00283631" w:rsidRDefault="00CC1748" w:rsidP="00176820">
      <w:pPr>
        <w:pStyle w:val="Heading2"/>
        <w:spacing w:line="360" w:lineRule="auto"/>
        <w:rPr>
          <w:rFonts w:ascii="Arial" w:eastAsia="Times New Roman" w:hAnsi="Arial" w:cs="Arial"/>
          <w:sz w:val="28"/>
          <w:szCs w:val="28"/>
          <w:lang w:val="en-US"/>
        </w:rPr>
      </w:pPr>
      <w:bookmarkStart w:id="8" w:name="_Toc214661202"/>
      <w:r w:rsidRPr="00283631">
        <w:rPr>
          <w:rFonts w:ascii="Arial" w:eastAsia="Times New Roman" w:hAnsi="Arial" w:cs="Arial"/>
          <w:sz w:val="28"/>
          <w:szCs w:val="28"/>
          <w:lang w:val="en-US"/>
        </w:rPr>
        <w:lastRenderedPageBreak/>
        <w:t>3.2 Location (L) Nigeria advantages</w:t>
      </w:r>
      <w:bookmarkEnd w:id="8"/>
    </w:p>
    <w:p w14:paraId="47114EE4" w14:textId="4DFB57C2" w:rsidR="00CC1748" w:rsidRPr="00283631" w:rsidRDefault="00CC1748" w:rsidP="00BA37BD">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Country-specific factors that make a host economy attractive to FDI are called location (L) advantages: these entail natural resources, market size, institutions and geography (Dunning, 2000). Nigeria has strong L-advantages to the upstream and gas oriented MNC such as Shell. It also has approximately 37 billion barrels of oil and over 210 trillion cubic feet of proven gas reserves, which makes it the largest holder of gas reserves in Africa (NUPRC, 2024; Policy Centre, 2025). Deep-water fields like Bonga and the HI gas field are some of the offshore prospects that possess high productivity, and which fit well with the technical capabilities of Shell (Reuters, 2025a; Offshore Energy, 2025). The high population of the country and the expanding energy consumption and export market in Nigeria due to its large population and the local and international energy marketing platform, Nigeria LNG where Shell has an investment of 25.6 percent, presents domestic and international market opportunities (Shell, 2025; Egypt Oil &amp; Gas, 2025). The fact that it borders the Gulf of Guinea also facilitates the accessibility of the markets in the Atlantic basin and consolidates the role of Nigeria as an energy hub in the region.</w:t>
      </w:r>
    </w:p>
    <w:p w14:paraId="3B4FA02C" w14:textId="74875160" w:rsidR="00CC1748" w:rsidRPr="00283631" w:rsidRDefault="00CC1748" w:rsidP="00BA37BD">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These benefits are however counterbalanced by a significant location disadvantage. Empirical evidence indicates that deep-rooted corruption and transparency throughout the oil and gas value chain in Nigeria increases transaction costs and makes it difficult to invest (Okafor, 2025; Hennart, 2010). The coverage of international media and Financial Times also indicates how the problem of regulatory uncertainty and governance has been historically limiting sector performance (McCullagh, 2016). Security threats and extensive environmental degradation in the Niger Delta, which is well-reported in the Ogoni</w:t>
      </w:r>
      <w:r w:rsidR="00532D0C">
        <w:rPr>
          <w:rFonts w:ascii="Arial" w:eastAsia="Times New Roman" w:hAnsi="Arial" w:cs="Arial"/>
          <w:sz w:val="24"/>
          <w:szCs w:val="24"/>
          <w:lang w:val="en-US"/>
        </w:rPr>
        <w:t xml:space="preserve"> </w:t>
      </w:r>
      <w:r w:rsidRPr="00283631">
        <w:rPr>
          <w:rFonts w:ascii="Arial" w:eastAsia="Times New Roman" w:hAnsi="Arial" w:cs="Arial"/>
          <w:sz w:val="24"/>
          <w:szCs w:val="24"/>
          <w:lang w:val="en-US"/>
        </w:rPr>
        <w:t>land assessment prepared by UNEP (UNEP, 2011) and later scientific literature (Lindén and Pålsson, 2013) enhance the cost of doing business and jeopardise the social licence of Shell to operate. Such a conflicted evaluation thus regards Nigeria as a high potential, high-risk destination: its resource and market advantages are strong, but institutional and environmental drawbacks are influential to a great extent in determining the strategic decisions made by Shell.</w:t>
      </w:r>
    </w:p>
    <w:p w14:paraId="78C09139" w14:textId="1034820B" w:rsidR="00CC1748" w:rsidRPr="00283631" w:rsidRDefault="005D791D" w:rsidP="005D791D">
      <w:pPr>
        <w:pStyle w:val="Heading2"/>
        <w:spacing w:line="360" w:lineRule="auto"/>
        <w:rPr>
          <w:rFonts w:ascii="Arial" w:eastAsia="Times New Roman" w:hAnsi="Arial" w:cs="Arial"/>
          <w:sz w:val="28"/>
          <w:szCs w:val="28"/>
          <w:lang w:val="en-US"/>
        </w:rPr>
      </w:pPr>
      <w:bookmarkStart w:id="9" w:name="_Toc214661203"/>
      <w:r w:rsidRPr="00283631">
        <w:rPr>
          <w:rFonts w:ascii="Arial" w:eastAsia="Times New Roman" w:hAnsi="Arial" w:cs="Arial"/>
          <w:sz w:val="28"/>
          <w:szCs w:val="28"/>
          <w:lang w:val="en-US"/>
        </w:rPr>
        <w:lastRenderedPageBreak/>
        <w:t xml:space="preserve">3.3 </w:t>
      </w:r>
      <w:r w:rsidR="00CC1748" w:rsidRPr="00283631">
        <w:rPr>
          <w:rFonts w:ascii="Arial" w:eastAsia="Times New Roman" w:hAnsi="Arial" w:cs="Arial"/>
          <w:sz w:val="28"/>
          <w:szCs w:val="28"/>
          <w:lang w:val="en-US"/>
        </w:rPr>
        <w:t>Internalisation (I) Benefits</w:t>
      </w:r>
      <w:bookmarkEnd w:id="9"/>
    </w:p>
    <w:p w14:paraId="0E901E5D" w14:textId="6612FBFD" w:rsidR="00CC1748" w:rsidRPr="00283631" w:rsidRDefault="00CC1748" w:rsidP="00C80DDE">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Internalisation (I) benefits</w:t>
      </w:r>
      <w:r w:rsidR="00745DA0" w:rsidRPr="00283631">
        <w:rPr>
          <w:rFonts w:ascii="Arial" w:eastAsia="Times New Roman" w:hAnsi="Arial" w:cs="Arial"/>
          <w:sz w:val="24"/>
          <w:szCs w:val="24"/>
          <w:lang w:val="en-US"/>
        </w:rPr>
        <w:t>, t</w:t>
      </w:r>
      <w:r w:rsidRPr="00283631">
        <w:rPr>
          <w:rFonts w:ascii="Arial" w:eastAsia="Times New Roman" w:hAnsi="Arial" w:cs="Arial"/>
          <w:sz w:val="24"/>
          <w:szCs w:val="24"/>
          <w:lang w:val="en-US"/>
        </w:rPr>
        <w:t>he internalisation advantages capture gains of organising the cross-border transactions within the firm instead of arm-length markets in order to diminish information asymmetries, insurance of intellectual property and orchestration of complex activities (Buckley and Casson, 1976; Dunning, 2000). According to internalisation theory, MNEs grow where the advantages of internal control are higher than the cost of hierarchy (Buckley and Casson, 2009; Hennart, 2010).</w:t>
      </w:r>
    </w:p>
    <w:p w14:paraId="49E98391" w14:textId="202C3ECA" w:rsidR="00CC1748" w:rsidRPr="00283631" w:rsidRDefault="00A91EA4" w:rsidP="00C80DDE">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In Shell’s case, high value R&amp;D</w:t>
      </w:r>
      <w:r w:rsidR="00CC1748" w:rsidRPr="00283631">
        <w:rPr>
          <w:rFonts w:ascii="Arial" w:eastAsia="Times New Roman" w:hAnsi="Arial" w:cs="Arial"/>
          <w:sz w:val="24"/>
          <w:szCs w:val="24"/>
          <w:lang w:val="en-US"/>
        </w:rPr>
        <w:t>, seismic information, reservoir modelling and project-management capabilities are closely internalised in order to guard proprietary knowledge and provide a uniform technical and HSSE standard in all projects. These operational abilities are subsequently established using Shell-managed subsidiaries and joint ventures including Shell Nigeria Exploration and Production Company (SNEPCo) and its interests in NLNG (Shell, 2025a; Shell, 2025c). The large asset specificity of upstream large-scale projects, political risk and contractual incompleteness of upstream projects in Nigeria also make Shell a combination of equity participation as well as joint ventures and production-sharing contracts with NNPC and others (Dunning, 2000; Hennart, 2010).</w:t>
      </w:r>
    </w:p>
    <w:p w14:paraId="1E692AD8" w14:textId="53E0AB78" w:rsidR="00CC1748" w:rsidRPr="00283631" w:rsidRDefault="00CC1748" w:rsidP="00C80DDE">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However, internalisation limits are also observed in the Nigerian context. Corruption, regulatory unpredictability and civil strife may lead to non-contractible risks that no one firm can control, whether it is at the summit or not (Okafor, 2025; Reuters, 2025). </w:t>
      </w:r>
    </w:p>
    <w:p w14:paraId="439D59CA" w14:textId="77777777" w:rsidR="00CC1748" w:rsidRPr="00283631" w:rsidRDefault="00CC1748" w:rsidP="00C80DDE">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Internalisation through equity might not completely eliminate hazards in such environments, and strong non-market approaches are required, multi-stakeholder schemes and, more and more, offloading onshore assets through portfolio. This highlights the recent internalisation research that has placed more emphasis on the significance of institutional and stakeholder surroundings, rather than transaction-cost reduction (Buckley, 2020; Verbeke, 2015).</w:t>
      </w:r>
    </w:p>
    <w:p w14:paraId="742457B8" w14:textId="77777777" w:rsidR="00F7026C" w:rsidRPr="00283631" w:rsidRDefault="00F7026C" w:rsidP="008C6F0C">
      <w:pPr>
        <w:spacing w:line="360" w:lineRule="auto"/>
        <w:rPr>
          <w:rFonts w:ascii="Arial" w:hAnsi="Arial" w:cs="Arial"/>
          <w:b/>
          <w:bCs/>
          <w:lang w:val="en-US"/>
        </w:rPr>
      </w:pPr>
      <w:r w:rsidRPr="00283631">
        <w:rPr>
          <w:rFonts w:ascii="Arial" w:hAnsi="Arial" w:cs="Arial"/>
          <w:b/>
          <w:bCs/>
          <w:lang w:val="en-US"/>
        </w:rPr>
        <w:t>Table 3: Summary of OLI Factors for Shell in Nigeria</w:t>
      </w:r>
    </w:p>
    <w:tbl>
      <w:tblPr>
        <w:tblStyle w:val="GridTable5Dark-Accent1"/>
        <w:tblW w:w="0" w:type="auto"/>
        <w:tblLook w:val="04A0" w:firstRow="1" w:lastRow="0" w:firstColumn="1" w:lastColumn="0" w:noHBand="0" w:noVBand="1"/>
      </w:tblPr>
      <w:tblGrid>
        <w:gridCol w:w="1780"/>
        <w:gridCol w:w="3596"/>
        <w:gridCol w:w="3640"/>
      </w:tblGrid>
      <w:tr w:rsidR="00F7026C" w:rsidRPr="00283631" w14:paraId="155C0406" w14:textId="77777777" w:rsidTr="00F702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462B33" w14:textId="77777777" w:rsidR="00F7026C" w:rsidRPr="00283631" w:rsidRDefault="00F7026C" w:rsidP="004517A5">
            <w:pPr>
              <w:spacing w:line="360" w:lineRule="auto"/>
              <w:jc w:val="center"/>
              <w:rPr>
                <w:rFonts w:ascii="Arial" w:eastAsia="Times New Roman" w:hAnsi="Arial" w:cs="Arial"/>
                <w:b w:val="0"/>
                <w:bCs w:val="0"/>
                <w:lang w:val="en-US"/>
              </w:rPr>
            </w:pPr>
            <w:r w:rsidRPr="00283631">
              <w:rPr>
                <w:rFonts w:ascii="Arial" w:eastAsia="Times New Roman" w:hAnsi="Arial" w:cs="Arial"/>
                <w:lang w:val="en-US"/>
              </w:rPr>
              <w:t>OLI Dimension</w:t>
            </w:r>
          </w:p>
        </w:tc>
        <w:tc>
          <w:tcPr>
            <w:tcW w:w="0" w:type="auto"/>
            <w:hideMark/>
          </w:tcPr>
          <w:p w14:paraId="6BF41905" w14:textId="77777777" w:rsidR="00F7026C" w:rsidRPr="00283631" w:rsidRDefault="00F7026C" w:rsidP="004517A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val="en-US"/>
              </w:rPr>
            </w:pPr>
            <w:r w:rsidRPr="00283631">
              <w:rPr>
                <w:rFonts w:ascii="Arial" w:eastAsia="Times New Roman" w:hAnsi="Arial" w:cs="Arial"/>
                <w:lang w:val="en-US"/>
              </w:rPr>
              <w:t>Key Elements for Shell–Nigeria</w:t>
            </w:r>
          </w:p>
        </w:tc>
        <w:tc>
          <w:tcPr>
            <w:tcW w:w="0" w:type="auto"/>
            <w:hideMark/>
          </w:tcPr>
          <w:p w14:paraId="0E70B853" w14:textId="77777777" w:rsidR="00F7026C" w:rsidRPr="00283631" w:rsidRDefault="00F7026C" w:rsidP="004517A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val="en-US"/>
              </w:rPr>
            </w:pPr>
            <w:r w:rsidRPr="00283631">
              <w:rPr>
                <w:rFonts w:ascii="Arial" w:eastAsia="Times New Roman" w:hAnsi="Arial" w:cs="Arial"/>
                <w:lang w:val="en-US"/>
              </w:rPr>
              <w:t>Assessment (Advantage/Disadvantage)</w:t>
            </w:r>
          </w:p>
        </w:tc>
      </w:tr>
      <w:tr w:rsidR="00F7026C" w:rsidRPr="00283631" w14:paraId="55A8BD77" w14:textId="77777777" w:rsidTr="00F702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1312AE" w14:textId="77777777" w:rsidR="00F7026C" w:rsidRPr="00283631" w:rsidRDefault="00F7026C" w:rsidP="004517A5">
            <w:pPr>
              <w:spacing w:line="360" w:lineRule="auto"/>
              <w:rPr>
                <w:rFonts w:ascii="Arial" w:eastAsia="Times New Roman" w:hAnsi="Arial" w:cs="Arial"/>
                <w:lang w:val="en-US"/>
              </w:rPr>
            </w:pPr>
            <w:r w:rsidRPr="00283631">
              <w:rPr>
                <w:rFonts w:ascii="Arial" w:eastAsia="Times New Roman" w:hAnsi="Arial" w:cs="Arial"/>
                <w:lang w:val="en-US"/>
              </w:rPr>
              <w:lastRenderedPageBreak/>
              <w:t>Ownership (O)</w:t>
            </w:r>
          </w:p>
        </w:tc>
        <w:tc>
          <w:tcPr>
            <w:tcW w:w="0" w:type="auto"/>
            <w:hideMark/>
          </w:tcPr>
          <w:p w14:paraId="24C04F0A" w14:textId="77777777" w:rsidR="00F7026C" w:rsidRPr="00283631" w:rsidRDefault="00F7026C" w:rsidP="004517A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Deep-water &amp; LNG tech; brand; finance; JV expertise</w:t>
            </w:r>
          </w:p>
        </w:tc>
        <w:tc>
          <w:tcPr>
            <w:tcW w:w="0" w:type="auto"/>
            <w:hideMark/>
          </w:tcPr>
          <w:p w14:paraId="00A50475" w14:textId="77777777" w:rsidR="00F7026C" w:rsidRPr="00283631" w:rsidRDefault="00F7026C" w:rsidP="004517A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Strong but under ESG transition pressure</w:t>
            </w:r>
          </w:p>
        </w:tc>
      </w:tr>
      <w:tr w:rsidR="00F7026C" w:rsidRPr="00283631" w14:paraId="03E6AF4F" w14:textId="77777777" w:rsidTr="00F7026C">
        <w:tc>
          <w:tcPr>
            <w:cnfStyle w:val="001000000000" w:firstRow="0" w:lastRow="0" w:firstColumn="1" w:lastColumn="0" w:oddVBand="0" w:evenVBand="0" w:oddHBand="0" w:evenHBand="0" w:firstRowFirstColumn="0" w:firstRowLastColumn="0" w:lastRowFirstColumn="0" w:lastRowLastColumn="0"/>
            <w:tcW w:w="0" w:type="auto"/>
            <w:hideMark/>
          </w:tcPr>
          <w:p w14:paraId="45796A94" w14:textId="77777777" w:rsidR="00F7026C" w:rsidRPr="00283631" w:rsidRDefault="00F7026C" w:rsidP="004517A5">
            <w:pPr>
              <w:spacing w:line="360" w:lineRule="auto"/>
              <w:rPr>
                <w:rFonts w:ascii="Arial" w:eastAsia="Times New Roman" w:hAnsi="Arial" w:cs="Arial"/>
                <w:lang w:val="en-US"/>
              </w:rPr>
            </w:pPr>
            <w:r w:rsidRPr="00283631">
              <w:rPr>
                <w:rFonts w:ascii="Arial" w:eastAsia="Times New Roman" w:hAnsi="Arial" w:cs="Arial"/>
                <w:lang w:val="en-US"/>
              </w:rPr>
              <w:t>Location (L)</w:t>
            </w:r>
          </w:p>
        </w:tc>
        <w:tc>
          <w:tcPr>
            <w:tcW w:w="0" w:type="auto"/>
            <w:hideMark/>
          </w:tcPr>
          <w:p w14:paraId="5DFA87BB" w14:textId="77777777" w:rsidR="00F7026C" w:rsidRPr="00283631" w:rsidRDefault="00F7026C" w:rsidP="004517A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Large reserves; LNG export platform; large population; high political risk; security &amp; environmental legacy</w:t>
            </w:r>
          </w:p>
        </w:tc>
        <w:tc>
          <w:tcPr>
            <w:tcW w:w="0" w:type="auto"/>
            <w:hideMark/>
          </w:tcPr>
          <w:p w14:paraId="6F35F436" w14:textId="77777777" w:rsidR="00F7026C" w:rsidRPr="00283631" w:rsidRDefault="00F7026C" w:rsidP="004517A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Mixed: High potential, high risk</w:t>
            </w:r>
          </w:p>
        </w:tc>
      </w:tr>
      <w:tr w:rsidR="00F7026C" w:rsidRPr="00283631" w14:paraId="6598A485" w14:textId="77777777" w:rsidTr="00F702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E02E8F" w14:textId="77777777" w:rsidR="00F7026C" w:rsidRPr="00283631" w:rsidRDefault="00F7026C" w:rsidP="004517A5">
            <w:pPr>
              <w:spacing w:line="360" w:lineRule="auto"/>
              <w:rPr>
                <w:rFonts w:ascii="Arial" w:eastAsia="Times New Roman" w:hAnsi="Arial" w:cs="Arial"/>
                <w:lang w:val="en-US"/>
              </w:rPr>
            </w:pPr>
            <w:r w:rsidRPr="00283631">
              <w:rPr>
                <w:rFonts w:ascii="Arial" w:eastAsia="Times New Roman" w:hAnsi="Arial" w:cs="Arial"/>
                <w:lang w:val="en-US"/>
              </w:rPr>
              <w:t>Internalisation (I)</w:t>
            </w:r>
          </w:p>
        </w:tc>
        <w:tc>
          <w:tcPr>
            <w:tcW w:w="0" w:type="auto"/>
            <w:hideMark/>
          </w:tcPr>
          <w:p w14:paraId="0A66FB05" w14:textId="77777777" w:rsidR="00F7026C" w:rsidRPr="00283631" w:rsidRDefault="00F7026C" w:rsidP="004517A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Need to protect tech; manage complex projects; state &amp; community engagement</w:t>
            </w:r>
          </w:p>
        </w:tc>
        <w:tc>
          <w:tcPr>
            <w:tcW w:w="0" w:type="auto"/>
            <w:hideMark/>
          </w:tcPr>
          <w:p w14:paraId="2BB8A4D7" w14:textId="77777777" w:rsidR="00F7026C" w:rsidRPr="00283631" w:rsidRDefault="00F7026C" w:rsidP="004517A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val="en-US"/>
              </w:rPr>
            </w:pPr>
            <w:r w:rsidRPr="00283631">
              <w:rPr>
                <w:rFonts w:ascii="Arial" w:eastAsia="Times New Roman" w:hAnsi="Arial" w:cs="Arial"/>
                <w:lang w:val="en-US"/>
              </w:rPr>
              <w:t>Favour equity JVs &amp; PSCs; but hierarchy alone insufficient</w:t>
            </w:r>
          </w:p>
        </w:tc>
      </w:tr>
    </w:tbl>
    <w:p w14:paraId="6DF1B3FB" w14:textId="77777777" w:rsidR="00204D10" w:rsidRPr="00283631" w:rsidRDefault="00204D10" w:rsidP="00204D10">
      <w:pPr>
        <w:pStyle w:val="Heading2"/>
        <w:spacing w:line="360" w:lineRule="auto"/>
        <w:rPr>
          <w:rFonts w:ascii="Arial" w:eastAsia="Times New Roman" w:hAnsi="Arial" w:cs="Arial"/>
          <w:sz w:val="28"/>
          <w:szCs w:val="28"/>
          <w:lang w:val="en-US"/>
        </w:rPr>
      </w:pPr>
    </w:p>
    <w:p w14:paraId="068A7281" w14:textId="5B83E4E9" w:rsidR="00CC1748" w:rsidRPr="00283631" w:rsidRDefault="00CC1748" w:rsidP="00204D10">
      <w:pPr>
        <w:pStyle w:val="Heading2"/>
        <w:spacing w:line="360" w:lineRule="auto"/>
        <w:rPr>
          <w:rFonts w:ascii="Arial" w:eastAsia="Times New Roman" w:hAnsi="Arial" w:cs="Arial"/>
          <w:sz w:val="28"/>
          <w:szCs w:val="28"/>
          <w:lang w:val="en-US"/>
        </w:rPr>
      </w:pPr>
      <w:bookmarkStart w:id="10" w:name="_Toc214661204"/>
      <w:r w:rsidRPr="00283631">
        <w:rPr>
          <w:rFonts w:ascii="Arial" w:eastAsia="Times New Roman" w:hAnsi="Arial" w:cs="Arial"/>
          <w:sz w:val="28"/>
          <w:szCs w:val="28"/>
          <w:lang w:val="en-US"/>
        </w:rPr>
        <w:t>3.4 OLI and Choice of Entry Mode(s) within Nigeria</w:t>
      </w:r>
      <w:bookmarkEnd w:id="10"/>
    </w:p>
    <w:p w14:paraId="0857635B" w14:textId="449F9DEA" w:rsidR="00CC1748" w:rsidRPr="00283631" w:rsidRDefault="00CC1748" w:rsidP="00096313">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Collectively, O, L and I advantages can be used to understand why Shell got into and stayed in Nigeria mostly through equity joint ventures and contracts. Shell has high O-advantages in technology, capital and project management and Nigeria has resource endowed but institutional complex L-profile, which is conducive to risk-sharing deals with the state oil company NNPC and other IOCs. Onshore Production-sharing contracts and joint-venture arrangements, which include SPDC and offshore deep-water projects such as Bonga and HI at SNEPCo enable Shell to internalise key technical and coordination services and allow state ownership and local presence (Shell, 2025; Reuters, 2025).</w:t>
      </w:r>
    </w:p>
    <w:p w14:paraId="1B8B5F25" w14:textId="4EAA2751" w:rsidR="00CC1748" w:rsidRPr="00283631" w:rsidRDefault="00CC1748" w:rsidP="00096313">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Recent change in strategy also concurs with the change in OLI parameters. Shell has sold its onshore interests in Nigeria and made more exposure to deep-water and integrated gas by expanding Bonga equity and HI gas project which drives NLNG (Reuters, 2025). It rebalances the portfolio towards places and methods where Shell O-advantages (deep-water and LNG competences) are most useful and where institutional and environmental risks, although still existing, are relatively more controllable than onshore operations of the Niger Delta.</w:t>
      </w:r>
    </w:p>
    <w:p w14:paraId="2504ADF4" w14:textId="39AA2D4E" w:rsidR="00BD2F64" w:rsidRPr="00283631" w:rsidRDefault="008202A4" w:rsidP="008202A4">
      <w:pPr>
        <w:spacing w:before="100" w:beforeAutospacing="1" w:after="100" w:afterAutospacing="1" w:line="360" w:lineRule="auto"/>
        <w:jc w:val="center"/>
        <w:rPr>
          <w:rFonts w:ascii="Arial" w:eastAsia="Times New Roman" w:hAnsi="Arial" w:cs="Arial"/>
          <w:sz w:val="24"/>
          <w:szCs w:val="24"/>
          <w:lang w:val="en-US"/>
        </w:rPr>
      </w:pPr>
      <w:r w:rsidRPr="00283631">
        <w:rPr>
          <w:rFonts w:ascii="Arial" w:eastAsia="Times New Roman" w:hAnsi="Arial" w:cs="Arial"/>
          <w:noProof/>
          <w:sz w:val="24"/>
          <w:szCs w:val="24"/>
          <w:lang w:val="en-US"/>
        </w:rPr>
        <w:lastRenderedPageBreak/>
        <w:drawing>
          <wp:inline distT="0" distB="0" distL="0" distR="0" wp14:anchorId="5098E319" wp14:editId="4D04AA2D">
            <wp:extent cx="4524375" cy="4524375"/>
            <wp:effectExtent l="0" t="0" r="9525" b="9525"/>
            <wp:docPr id="18190470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047018" name="Picture 1819047018"/>
                    <pic:cNvPicPr/>
                  </pic:nvPicPr>
                  <pic:blipFill>
                    <a:blip r:embed="rId11">
                      <a:extLst>
                        <a:ext uri="{28A0092B-C50C-407E-A947-70E740481C1C}">
                          <a14:useLocalDpi xmlns:a14="http://schemas.microsoft.com/office/drawing/2010/main" val="0"/>
                        </a:ext>
                      </a:extLst>
                    </a:blip>
                    <a:stretch>
                      <a:fillRect/>
                    </a:stretch>
                  </pic:blipFill>
                  <pic:spPr>
                    <a:xfrm>
                      <a:off x="0" y="0"/>
                      <a:ext cx="4524375" cy="4524375"/>
                    </a:xfrm>
                    <a:prstGeom prst="rect">
                      <a:avLst/>
                    </a:prstGeom>
                  </pic:spPr>
                </pic:pic>
              </a:graphicData>
            </a:graphic>
          </wp:inline>
        </w:drawing>
      </w:r>
    </w:p>
    <w:p w14:paraId="454F5DBC" w14:textId="77777777" w:rsidR="009C28DF" w:rsidRPr="00283631" w:rsidRDefault="009C28DF" w:rsidP="009C28DF">
      <w:pPr>
        <w:jc w:val="center"/>
        <w:rPr>
          <w:rFonts w:ascii="Arial" w:hAnsi="Arial" w:cs="Arial"/>
          <w:b/>
          <w:bCs/>
          <w:lang w:val="en-US"/>
        </w:rPr>
      </w:pPr>
      <w:r w:rsidRPr="00283631">
        <w:rPr>
          <w:rFonts w:ascii="Arial" w:hAnsi="Arial" w:cs="Arial"/>
          <w:b/>
          <w:bCs/>
          <w:lang w:val="en-US"/>
        </w:rPr>
        <w:t>Figure 2: Timeline of Shell’s Key Strategic Moves in Nigeria</w:t>
      </w:r>
    </w:p>
    <w:p w14:paraId="600545B0" w14:textId="77777777" w:rsidR="009C28DF" w:rsidRPr="00283631" w:rsidRDefault="009C28DF" w:rsidP="008202A4">
      <w:pPr>
        <w:spacing w:before="100" w:beforeAutospacing="1" w:after="100" w:afterAutospacing="1" w:line="360" w:lineRule="auto"/>
        <w:jc w:val="center"/>
        <w:rPr>
          <w:rFonts w:ascii="Arial" w:eastAsia="Times New Roman" w:hAnsi="Arial" w:cs="Arial"/>
          <w:sz w:val="24"/>
          <w:szCs w:val="24"/>
          <w:lang w:val="en-US"/>
        </w:rPr>
      </w:pPr>
    </w:p>
    <w:p w14:paraId="4CCDD40D" w14:textId="444E7863" w:rsidR="00CC1748" w:rsidRPr="00283631" w:rsidRDefault="00CC1748" w:rsidP="001600CD">
      <w:pPr>
        <w:pStyle w:val="Heading2"/>
        <w:spacing w:line="360" w:lineRule="auto"/>
        <w:rPr>
          <w:rFonts w:ascii="Arial" w:eastAsia="Times New Roman" w:hAnsi="Arial" w:cs="Arial"/>
          <w:lang w:val="en-US"/>
        </w:rPr>
      </w:pPr>
      <w:bookmarkStart w:id="11" w:name="_Toc214661205"/>
      <w:r w:rsidRPr="00283631">
        <w:rPr>
          <w:rFonts w:ascii="Arial" w:eastAsia="Times New Roman" w:hAnsi="Arial" w:cs="Arial"/>
          <w:sz w:val="28"/>
          <w:szCs w:val="28"/>
          <w:lang w:val="en-US"/>
        </w:rPr>
        <w:t>3.5 Critical Reflection of the Limitations of OLI</w:t>
      </w:r>
      <w:bookmarkEnd w:id="11"/>
    </w:p>
    <w:p w14:paraId="59D586C9" w14:textId="0ED62B3A" w:rsidR="00395D7B" w:rsidRPr="00283631" w:rsidRDefault="00CC1748" w:rsidP="00A16BAE">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Although OLI is a strong framework of organising, it is at the same time restricted and comparatively flexible. It also has a tendency to assume O, L and I as being exogenous such that they co-evolve with altering institutions, pressures by stakeholders and sustainability norms (Buckley and Casson, 2009; Dunning, 2000). In the Shell case study in Nigeria, social </w:t>
      </w:r>
      <w:r w:rsidR="0045017B" w:rsidRPr="00283631">
        <w:rPr>
          <w:rFonts w:ascii="Arial" w:eastAsia="Times New Roman" w:hAnsi="Arial" w:cs="Arial"/>
          <w:sz w:val="24"/>
          <w:szCs w:val="24"/>
          <w:lang w:val="en-US"/>
        </w:rPr>
        <w:t>license</w:t>
      </w:r>
      <w:r w:rsidRPr="00283631">
        <w:rPr>
          <w:rFonts w:ascii="Arial" w:eastAsia="Times New Roman" w:hAnsi="Arial" w:cs="Arial"/>
          <w:sz w:val="24"/>
          <w:szCs w:val="24"/>
          <w:lang w:val="en-US"/>
        </w:rPr>
        <w:t>, environmental justice demands and ESG</w:t>
      </w:r>
      <w:r w:rsidR="0045017B"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 xml:space="preserve">driven shareholder queries have a strong influence on practical strategies, which are only reflected in conventional OLI variables indirectly (UNEP, 2011; UNEP FI, 2023; Energy Transition CSR study, 2024). Subsequent parts of the report also thus take OLI with culture analysis and non-market strategy direction and apply findings in specific SOP </w:t>
      </w:r>
      <w:r w:rsidRPr="00283631">
        <w:rPr>
          <w:rFonts w:ascii="Arial" w:eastAsia="Times New Roman" w:hAnsi="Arial" w:cs="Arial"/>
          <w:sz w:val="24"/>
          <w:szCs w:val="24"/>
          <w:lang w:val="en-US"/>
        </w:rPr>
        <w:lastRenderedPageBreak/>
        <w:t>recommendations on stakeholder engagement, environmental risk management and cross-cultural HRM.</w:t>
      </w:r>
    </w:p>
    <w:p w14:paraId="147DF800" w14:textId="77777777" w:rsidR="006D22E7" w:rsidRPr="00283631" w:rsidRDefault="006D22E7" w:rsidP="001600CD">
      <w:pPr>
        <w:pStyle w:val="Heading1"/>
        <w:rPr>
          <w:rFonts w:ascii="Arial" w:eastAsia="Times New Roman" w:hAnsi="Arial" w:cs="Arial"/>
          <w:b/>
          <w:bCs/>
          <w:sz w:val="32"/>
          <w:szCs w:val="32"/>
          <w:lang w:val="en-US"/>
        </w:rPr>
      </w:pPr>
      <w:bookmarkStart w:id="12" w:name="_Toc214661206"/>
      <w:r w:rsidRPr="00283631">
        <w:rPr>
          <w:rFonts w:ascii="Arial" w:eastAsia="Times New Roman" w:hAnsi="Arial" w:cs="Arial"/>
          <w:b/>
          <w:bCs/>
          <w:sz w:val="32"/>
          <w:szCs w:val="32"/>
          <w:lang w:val="en-US"/>
        </w:rPr>
        <w:t>4. Cultural Differences and Their Impact on Strategy and Success</w:t>
      </w:r>
      <w:bookmarkEnd w:id="12"/>
    </w:p>
    <w:p w14:paraId="3F9FC21C" w14:textId="77777777" w:rsidR="006D22E7" w:rsidRPr="00283631" w:rsidRDefault="006D22E7" w:rsidP="001600CD">
      <w:pPr>
        <w:pStyle w:val="Heading2"/>
        <w:spacing w:line="360" w:lineRule="auto"/>
        <w:rPr>
          <w:rFonts w:ascii="Arial" w:eastAsia="Times New Roman" w:hAnsi="Arial" w:cs="Arial"/>
          <w:sz w:val="28"/>
          <w:szCs w:val="28"/>
          <w:lang w:val="en-US"/>
        </w:rPr>
      </w:pPr>
      <w:bookmarkStart w:id="13" w:name="_Toc214661207"/>
      <w:r w:rsidRPr="00283631">
        <w:rPr>
          <w:rFonts w:ascii="Arial" w:eastAsia="Times New Roman" w:hAnsi="Arial" w:cs="Arial"/>
          <w:sz w:val="28"/>
          <w:szCs w:val="28"/>
          <w:lang w:val="en-US"/>
        </w:rPr>
        <w:t>4.1 Conceptual Framework for Culture</w:t>
      </w:r>
      <w:bookmarkEnd w:id="13"/>
    </w:p>
    <w:p w14:paraId="59986CE6" w14:textId="77777777"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National culture may be regarded as those values and assumptions, which influence the way individuals view power, relations and ambiguity (Hofstede, Hofstede and Minkov, 2010). The six-dimension model, which is still the most popular in the domain of international business, was created by Hofstede that includes power distance, individualism-collectivism, uncertainty avoidance, masculinity-femininity, long-term orientation, and indulgence-restraint (Hofstede Insights, 2024; Nickerson, 2021).</w:t>
      </w:r>
    </w:p>
    <w:p w14:paraId="4796AC90" w14:textId="329BD482"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Nevertheless, Hofstede has significant drawbacks</w:t>
      </w:r>
      <w:r w:rsidR="009241AA" w:rsidRPr="00283631">
        <w:rPr>
          <w:rFonts w:ascii="Arial" w:eastAsia="Times New Roman" w:hAnsi="Arial" w:cs="Arial"/>
          <w:sz w:val="24"/>
          <w:szCs w:val="24"/>
          <w:lang w:val="en-US"/>
        </w:rPr>
        <w:t>,</w:t>
      </w:r>
      <w:r w:rsidRPr="00283631">
        <w:rPr>
          <w:rFonts w:ascii="Arial" w:eastAsia="Times New Roman" w:hAnsi="Arial" w:cs="Arial"/>
          <w:sz w:val="24"/>
          <w:szCs w:val="24"/>
          <w:lang w:val="en-US"/>
        </w:rPr>
        <w:t xml:space="preserve"> the information was initially gathered in a single company, cultures are viewed as the national averages, and scores might change as the society becomes more modernised (Beugelsdijk</w:t>
      </w:r>
      <w:r w:rsidR="009241AA" w:rsidRPr="00283631">
        <w:rPr>
          <w:rFonts w:ascii="Arial" w:eastAsia="Times New Roman" w:hAnsi="Arial" w:cs="Arial"/>
          <w:sz w:val="24"/>
          <w:szCs w:val="24"/>
          <w:lang w:val="en-US"/>
        </w:rPr>
        <w:t xml:space="preserve"> et al.</w:t>
      </w:r>
      <w:r w:rsidRPr="00283631">
        <w:rPr>
          <w:rFonts w:ascii="Arial" w:eastAsia="Times New Roman" w:hAnsi="Arial" w:cs="Arial"/>
          <w:sz w:val="24"/>
          <w:szCs w:val="24"/>
          <w:lang w:val="en-US"/>
        </w:rPr>
        <w:t>, 2017; Beugelsdijk, Maseland and van Hoorn, 2015). This report selectively uses the GLOBE project that puts the UK and Nigeria in an Anglo and Sub-Saharan Africa cluster, respectively, with unique leadership expectations (House et al., 2004; Javidan et al., 2006). The cultural values GLOBE focuses on include charismatic, team-oriented and humane-oriented leadership which is especially applicable to the way Shell relates to its partners in Nigeria, the regulatory bodies and communities.</w:t>
      </w:r>
    </w:p>
    <w:p w14:paraId="5B3434B0" w14:textId="6B56180C"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In the Shell Nigerian case, Hofstede is applied to get a general map of the key differences between the UK and Nigeria, as GLOBE and </w:t>
      </w:r>
      <w:r w:rsidR="00532D0C" w:rsidRPr="00283631">
        <w:rPr>
          <w:rFonts w:ascii="Arial" w:eastAsia="Times New Roman" w:hAnsi="Arial" w:cs="Arial"/>
          <w:sz w:val="24"/>
          <w:szCs w:val="24"/>
          <w:lang w:val="en-US"/>
        </w:rPr>
        <w:t>cross-cultural</w:t>
      </w:r>
      <w:r w:rsidRPr="00283631">
        <w:rPr>
          <w:rFonts w:ascii="Arial" w:eastAsia="Times New Roman" w:hAnsi="Arial" w:cs="Arial"/>
          <w:sz w:val="24"/>
          <w:szCs w:val="24"/>
          <w:lang w:val="en-US"/>
        </w:rPr>
        <w:t xml:space="preserve"> management literature serves the purpose of interpreting the relationship between both differences in relation to the expectations in the joint venture and stakeholder relations in terms of hierarchy and participation, as well as leadership.</w:t>
      </w:r>
    </w:p>
    <w:p w14:paraId="7CD63AFF" w14:textId="07D2BD19" w:rsidR="00395D7B" w:rsidRPr="00283631" w:rsidRDefault="00395D7B" w:rsidP="001600CD">
      <w:pPr>
        <w:pStyle w:val="Heading2"/>
        <w:spacing w:line="360" w:lineRule="auto"/>
        <w:rPr>
          <w:rFonts w:ascii="Arial" w:eastAsia="Times New Roman" w:hAnsi="Arial" w:cs="Arial"/>
          <w:sz w:val="28"/>
          <w:szCs w:val="28"/>
          <w:lang w:val="en-US"/>
        </w:rPr>
      </w:pPr>
      <w:bookmarkStart w:id="14" w:name="_Toc214661208"/>
      <w:r w:rsidRPr="00283631">
        <w:rPr>
          <w:rFonts w:ascii="Arial" w:eastAsia="Times New Roman" w:hAnsi="Arial" w:cs="Arial"/>
          <w:sz w:val="28"/>
          <w:szCs w:val="28"/>
          <w:lang w:val="en-US"/>
        </w:rPr>
        <w:t>4.2 Cultural Distance UK vs Nigeria</w:t>
      </w:r>
      <w:bookmarkEnd w:id="14"/>
    </w:p>
    <w:p w14:paraId="41A23A87" w14:textId="77777777"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The research based on Hofstede always demonstrates that cultural distance between the UK and Nigeria is huge, especially with references to the power distance and individualism (Haffar, 2022; BusinessDay, 2021). Empirical research indicates that </w:t>
      </w:r>
      <w:r w:rsidRPr="00283631">
        <w:rPr>
          <w:rFonts w:ascii="Arial" w:eastAsia="Times New Roman" w:hAnsi="Arial" w:cs="Arial"/>
          <w:sz w:val="24"/>
          <w:szCs w:val="24"/>
          <w:lang w:val="en-US"/>
        </w:rPr>
        <w:lastRenderedPageBreak/>
        <w:t>Nigeria has very high power distance (PDI ≈ 80), low individualism (IDV ≈ 30), moderate avoidance of uncertainty (UAI ≈ 55), comparatively masculine values (MAS ≈ 60) and low long-term orientation (LTO ≈ 13) (Haffar, 2022; Prasad, 2016; Onibonoje, 2016). This suggests that the society is hierarchical and collectivist where respect to authority, attachment to a group, and expectations based on relationships come out strongly.</w:t>
      </w:r>
    </w:p>
    <w:p w14:paraId="07AC2A7B" w14:textId="77777777"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In comparison, UK scores are low on power distance (35 or so) and very high on individualism (89 or so), the uncertainty avoidance is relatively low, and masculinity and long-term orientation are moderately high (Hofstede Insights, 2024; Haffar, 2022). The UK organisations are thus more likely to focus on egalitarianism, individual responsibility, task-focusedness and willingness to ambiguity, and rule-based governance. The results of the GLOBE also indicate that the Anglo cultures are more inclined to participative and performance-oriented leadership as compared to the majority of the Sub-Saharan cultures that emphasise more on humane orientation and community requirements (House et al., 2004; Prasad, 2016).</w:t>
      </w:r>
    </w:p>
    <w:p w14:paraId="72E67790" w14:textId="77777777"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More importantly, such national scores are simplifications. They do not represent regional, class and generational difference sufficiently in each country and could be changing with time (Beugelsdijk et al., 2017). A dependence on averages is dangerous and would stereotype the Nigerian partners as the same and the UK managers as the same. Proper analysis thus understands Hofstede as probabilistic tendencies which have to be supplemented with context-specific evidence of Shell activity in Nigeria as opposed to deterministic prediction of behaviour.</w:t>
      </w:r>
    </w:p>
    <w:p w14:paraId="0E85C913" w14:textId="44BFA967" w:rsidR="00395D7B" w:rsidRPr="00283631" w:rsidRDefault="00395D7B" w:rsidP="001600CD">
      <w:pPr>
        <w:pStyle w:val="Heading2"/>
        <w:spacing w:line="360" w:lineRule="auto"/>
        <w:rPr>
          <w:rFonts w:ascii="Arial" w:eastAsia="Times New Roman" w:hAnsi="Arial" w:cs="Arial"/>
          <w:sz w:val="28"/>
          <w:szCs w:val="28"/>
          <w:lang w:val="en-US"/>
        </w:rPr>
      </w:pPr>
      <w:bookmarkStart w:id="15" w:name="_Toc214661209"/>
      <w:r w:rsidRPr="00283631">
        <w:rPr>
          <w:rFonts w:ascii="Arial" w:eastAsia="Times New Roman" w:hAnsi="Arial" w:cs="Arial"/>
          <w:sz w:val="28"/>
          <w:szCs w:val="28"/>
          <w:lang w:val="en-US"/>
        </w:rPr>
        <w:t>4.3 Implication on Market Entry Strategy and Governance</w:t>
      </w:r>
      <w:bookmarkEnd w:id="15"/>
    </w:p>
    <w:p w14:paraId="3D7F97D3" w14:textId="77777777"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Cultural variances have influenced the selection of entry mode as well as form of governance that Shell has opted to initiate in Nigeria. Power distance and collectivism in Nigeria are high, which, together with the strategic sensitivity of hydrocarbons, prefer the participation of the state and structures of authority. The joint-venture and production-sharing agreements with NNPC and other partners could be interpreted not only through the transaction-cost economics but as the reaction to the local anticipations of state-beneficence and community-benefit sharing (Hennart, 2010; Uduji, Okolo-Obasi &amp; Asongu, 2021).</w:t>
      </w:r>
    </w:p>
    <w:p w14:paraId="62F03CC9" w14:textId="77777777"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lastRenderedPageBreak/>
        <w:t>Indirect communication, respect of elders and traditional authorities, and apparent discharge of communal duties tend to be more relevant in negotiating with regulators and communities than it would be in the UK setting (Uduji et al., 2021; Sam et al., 2024). In a country where UK managers are used to low power distance and task-centred dialogue, members of the Nigerian society might view such behaviour as disrespectful or culturally insensitive. This raises an implication on HQsubsidiary relations: strong centralisation by London could be incompatible to local demands of close proximity to leaders and relational leadership, but too much delegation with less trust-building might create suspicion of opportunism (Child &amp; Möllering, 2003).</w:t>
      </w:r>
    </w:p>
    <w:p w14:paraId="2DD4CBEF" w14:textId="66F64AA6"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According to cross-cultural management studies, the key aspect, in this case, is trust, control and cultural intelligence. Conflict in high-risk settings can be diminished through creation of contextual credibility by supervisors who are observably fair and responsive (Child and Mollering, 2003), and managers with high cultural intelligence (CQ) find it easier to fit their leadership style and communication within the norms of the Nigerian setting (Earley and Ang, 2003; Earley and Peterson, 2004). Leadership and governance practises that acknowledge but do not disregard these dynamics of cultures should thus support the market entry structures at Shell.</w:t>
      </w:r>
    </w:p>
    <w:p w14:paraId="57A05F9F" w14:textId="119AB626" w:rsidR="00395D7B" w:rsidRPr="00283631" w:rsidRDefault="00395D7B" w:rsidP="001600CD">
      <w:pPr>
        <w:pStyle w:val="Heading2"/>
        <w:spacing w:line="360" w:lineRule="auto"/>
        <w:rPr>
          <w:rFonts w:ascii="Arial" w:eastAsia="Times New Roman" w:hAnsi="Arial" w:cs="Arial"/>
          <w:sz w:val="28"/>
          <w:szCs w:val="28"/>
          <w:lang w:val="en-US"/>
        </w:rPr>
      </w:pPr>
      <w:bookmarkStart w:id="16" w:name="_Toc214661210"/>
      <w:r w:rsidRPr="00283631">
        <w:rPr>
          <w:rFonts w:ascii="Arial" w:eastAsia="Times New Roman" w:hAnsi="Arial" w:cs="Arial"/>
          <w:sz w:val="28"/>
          <w:szCs w:val="28"/>
          <w:lang w:val="en-US"/>
        </w:rPr>
        <w:t>4.4 Effect on Future Prospects of Success in the Nigerian Market</w:t>
      </w:r>
      <w:bookmarkEnd w:id="16"/>
    </w:p>
    <w:p w14:paraId="3E8141C2" w14:textId="77777777"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In Nigeria, the long-term success and HSSE performance of Shell depends on cultural factors, as well. High power distance and collectivism imply that societies expect noticeable rewards, consultation with traditional leaders and benefits shared among the people, as opposed to the individual rewards. Research on the affected communities in oil-impacted areas in Ogoniland reveals that perceived disrespect, absence of an inclusive dialogue and CSR promises have led to grievances and violence (Uduji et al., 2021; Sam et al., 2024). Recent reports in AP News and Financial Times about attempts to resume the production in the Ogoniland following the onshore divestment of Shell demonstrate the persistence of distrust and insistence on environmental justice and restoration of livelihoods (AP News, 2025; Financial Times, 2025).</w:t>
      </w:r>
    </w:p>
    <w:p w14:paraId="7FC497FF" w14:textId="77777777" w:rsidR="00395D7B" w:rsidRPr="00283631" w:rsidRDefault="00395D7B" w:rsidP="00773F9F">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Among the employees in Shell, hierarchy and communication norm disparities influence safety culture and employee engagement. Staffs in high power distance </w:t>
      </w:r>
      <w:r w:rsidRPr="00283631">
        <w:rPr>
          <w:rFonts w:ascii="Arial" w:eastAsia="Times New Roman" w:hAnsi="Arial" w:cs="Arial"/>
          <w:sz w:val="24"/>
          <w:szCs w:val="24"/>
          <w:lang w:val="en-US"/>
        </w:rPr>
        <w:lastRenderedPageBreak/>
        <w:t>settings might be unwilling to confront their superiors or report near-misses to erode the HSSE practises of speaking up which are core to Shell major international standards. In CSR-related studies on conflict management within the Niger Delta, it is proposed that open, inclusive programmes, including well-crafted Global Memoranda of Understanding can alleviate tensions in so far as they consider the local authority structures, yet empower the marginalised groups (Ngwu et al., 2020; Gbali, 2021; Uduji et al., 2021).</w:t>
      </w:r>
    </w:p>
    <w:p w14:paraId="085FF55C" w14:textId="7314BC3E" w:rsidR="008B3DF1" w:rsidRPr="00283631" w:rsidRDefault="00395D7B" w:rsidP="001600CD">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Unless the issue of cultural distance is taken into consideration and addressed at an international level, Shell stands a risk of experiencing recurring conflicts, lawsuits and reputation damages that undermine the advantage of its OLI setup in Nigeria. In its turn, the cultural differences can be translated into the factor of resilience and the generation of long-term values by the application of culturally informed strategies, such as CQ-oriented leadership development, locally based stakeholder engagement and co</w:t>
      </w:r>
      <w:r w:rsidR="009B73D8" w:rsidRPr="00283631">
        <w:rPr>
          <w:rFonts w:ascii="Arial" w:eastAsia="Times New Roman" w:hAnsi="Arial" w:cs="Arial"/>
          <w:sz w:val="24"/>
          <w:szCs w:val="24"/>
          <w:lang w:val="en-US"/>
        </w:rPr>
        <w:t xml:space="preserve"> </w:t>
      </w:r>
      <w:r w:rsidRPr="00283631">
        <w:rPr>
          <w:rFonts w:ascii="Arial" w:eastAsia="Times New Roman" w:hAnsi="Arial" w:cs="Arial"/>
          <w:sz w:val="24"/>
          <w:szCs w:val="24"/>
          <w:lang w:val="en-US"/>
        </w:rPr>
        <w:t>designed community programmes.</w:t>
      </w:r>
    </w:p>
    <w:p w14:paraId="0DCA3038" w14:textId="415EC710" w:rsidR="008B3DF1" w:rsidRPr="00283631" w:rsidRDefault="008B3DF1" w:rsidP="009B73D8">
      <w:pPr>
        <w:pStyle w:val="Heading1"/>
        <w:spacing w:line="360" w:lineRule="auto"/>
        <w:rPr>
          <w:rFonts w:ascii="Arial" w:eastAsia="Times New Roman" w:hAnsi="Arial" w:cs="Arial"/>
          <w:b/>
          <w:bCs/>
          <w:sz w:val="32"/>
          <w:szCs w:val="32"/>
          <w:lang w:val="en-US"/>
        </w:rPr>
      </w:pPr>
      <w:bookmarkStart w:id="17" w:name="_Toc214661211"/>
      <w:r w:rsidRPr="00283631">
        <w:rPr>
          <w:rFonts w:ascii="Arial" w:eastAsia="Times New Roman" w:hAnsi="Arial" w:cs="Arial"/>
          <w:b/>
          <w:bCs/>
          <w:sz w:val="32"/>
          <w:szCs w:val="32"/>
          <w:lang w:val="en-US"/>
        </w:rPr>
        <w:t xml:space="preserve">5. </w:t>
      </w:r>
      <w:r w:rsidR="003E57D7" w:rsidRPr="00283631">
        <w:rPr>
          <w:rFonts w:ascii="Arial" w:eastAsia="Times New Roman" w:hAnsi="Arial" w:cs="Arial"/>
          <w:b/>
          <w:bCs/>
          <w:sz w:val="32"/>
          <w:szCs w:val="32"/>
          <w:lang w:val="en-US"/>
        </w:rPr>
        <w:t>Recommended</w:t>
      </w:r>
      <w:r w:rsidRPr="00283631">
        <w:rPr>
          <w:rFonts w:ascii="Arial" w:eastAsia="Times New Roman" w:hAnsi="Arial" w:cs="Arial"/>
          <w:b/>
          <w:bCs/>
          <w:sz w:val="32"/>
          <w:szCs w:val="32"/>
          <w:lang w:val="en-US"/>
        </w:rPr>
        <w:t xml:space="preserve"> SOP Changes in Shell in Nigeria</w:t>
      </w:r>
      <w:bookmarkEnd w:id="17"/>
    </w:p>
    <w:p w14:paraId="20A8801B" w14:textId="2CACD792" w:rsidR="008B3DF1" w:rsidRPr="00283631" w:rsidRDefault="008B3DF1" w:rsidP="009B73D8">
      <w:pPr>
        <w:pStyle w:val="Heading2"/>
        <w:spacing w:line="360" w:lineRule="auto"/>
        <w:rPr>
          <w:rFonts w:ascii="Arial" w:eastAsia="Times New Roman" w:hAnsi="Arial" w:cs="Arial"/>
          <w:sz w:val="28"/>
          <w:szCs w:val="28"/>
          <w:lang w:val="en-US"/>
        </w:rPr>
      </w:pPr>
      <w:bookmarkStart w:id="18" w:name="_Toc214661212"/>
      <w:r w:rsidRPr="00283631">
        <w:rPr>
          <w:rFonts w:ascii="Arial" w:eastAsia="Times New Roman" w:hAnsi="Arial" w:cs="Arial"/>
          <w:sz w:val="28"/>
          <w:szCs w:val="28"/>
          <w:lang w:val="en-US"/>
        </w:rPr>
        <w:t xml:space="preserve">5.1 </w:t>
      </w:r>
      <w:r w:rsidR="00C94DC2" w:rsidRPr="00283631">
        <w:rPr>
          <w:rFonts w:ascii="Arial" w:eastAsia="Times New Roman" w:hAnsi="Arial" w:cs="Arial"/>
          <w:sz w:val="28"/>
          <w:szCs w:val="28"/>
          <w:lang w:val="en-US"/>
        </w:rPr>
        <w:t>Link</w:t>
      </w:r>
      <w:r w:rsidRPr="00283631">
        <w:rPr>
          <w:rFonts w:ascii="Arial" w:eastAsia="Times New Roman" w:hAnsi="Arial" w:cs="Arial"/>
          <w:sz w:val="28"/>
          <w:szCs w:val="28"/>
          <w:lang w:val="en-US"/>
        </w:rPr>
        <w:t xml:space="preserve"> between Analysis and Recommendations</w:t>
      </w:r>
      <w:bookmarkEnd w:id="18"/>
    </w:p>
    <w:p w14:paraId="7B474247" w14:textId="37860BE1"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The previously discussed OLI analysis evealed that Shell has ownership advantages in its technological strengths, financial resources and project-management competences, and that the location advantages of Nigeria include a high level of the hydrocarbon reserves and LNG export potentiality, neutralised by rampant institutional gaps, security risk and environmental liability (Dunning, 2000; Khanna and Palepu, 2010). The virtues of internalisation make strategy of </w:t>
      </w:r>
      <w:r w:rsidR="00532D0C" w:rsidRPr="00283631">
        <w:rPr>
          <w:rFonts w:ascii="Arial" w:eastAsia="Times New Roman" w:hAnsi="Arial" w:cs="Arial"/>
          <w:sz w:val="24"/>
          <w:szCs w:val="24"/>
          <w:lang w:val="en-US"/>
        </w:rPr>
        <w:t>equity-based</w:t>
      </w:r>
      <w:r w:rsidRPr="00283631">
        <w:rPr>
          <w:rFonts w:ascii="Arial" w:eastAsia="Times New Roman" w:hAnsi="Arial" w:cs="Arial"/>
          <w:sz w:val="24"/>
          <w:szCs w:val="24"/>
          <w:lang w:val="en-US"/>
        </w:rPr>
        <w:t xml:space="preserve"> JVs and PSCs with NNPC more relevant to </w:t>
      </w:r>
      <w:r w:rsidR="0056241F" w:rsidRPr="00283631">
        <w:rPr>
          <w:rFonts w:ascii="Arial" w:eastAsia="Times New Roman" w:hAnsi="Arial" w:cs="Arial"/>
          <w:sz w:val="24"/>
          <w:szCs w:val="24"/>
          <w:lang w:val="en-US"/>
        </w:rPr>
        <w:t>Shell,</w:t>
      </w:r>
      <w:r w:rsidRPr="00283631">
        <w:rPr>
          <w:rFonts w:ascii="Arial" w:eastAsia="Times New Roman" w:hAnsi="Arial" w:cs="Arial"/>
          <w:sz w:val="24"/>
          <w:szCs w:val="24"/>
          <w:lang w:val="en-US"/>
        </w:rPr>
        <w:t xml:space="preserve"> but the lack of effective governance structures, sabotage and social conflict makes purely contractual solutions less practical (Hennart, 2010; Enumah, 2025).</w:t>
      </w:r>
    </w:p>
    <w:p w14:paraId="77C6A004"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The culture analysis demonstrated that in Nigeria, high power distance and collectivism exist, and this organisational aspect influenced expectations of authority, participation and community benefit-sharing, and revealed the risks of ethnocentric HQ-subsidiary practises (Hofstede et al., 2010; Uduji et al., 2021). The three SOP modifications below are aimed at: (1) aligning the non-market strategy of Shell to the </w:t>
      </w:r>
      <w:r w:rsidRPr="00283631">
        <w:rPr>
          <w:rFonts w:ascii="Arial" w:eastAsia="Times New Roman" w:hAnsi="Arial" w:cs="Arial"/>
          <w:sz w:val="24"/>
          <w:szCs w:val="24"/>
          <w:lang w:val="en-US"/>
        </w:rPr>
        <w:lastRenderedPageBreak/>
        <w:t>expectations of the local stakeholders; (2) enhancing HSSE and environmental performance in a high-risk environment; and (3) developing cross-cultural leadership competence. Collectively, they would enhance strategic fit, risk management and legitimacy in the transnational structure of Shell in Nigeria.</w:t>
      </w:r>
    </w:p>
    <w:p w14:paraId="19F5ADF8" w14:textId="2ED01BC5" w:rsidR="008B3DF1" w:rsidRPr="00283631" w:rsidRDefault="008B3DF1" w:rsidP="009B73D8">
      <w:pPr>
        <w:pStyle w:val="Heading2"/>
        <w:spacing w:line="360" w:lineRule="auto"/>
        <w:rPr>
          <w:rFonts w:ascii="Arial" w:eastAsia="Times New Roman" w:hAnsi="Arial" w:cs="Arial"/>
          <w:sz w:val="28"/>
          <w:szCs w:val="28"/>
          <w:lang w:val="en-US"/>
        </w:rPr>
      </w:pPr>
      <w:bookmarkStart w:id="19" w:name="_Toc214661213"/>
      <w:r w:rsidRPr="00283631">
        <w:rPr>
          <w:rFonts w:ascii="Arial" w:eastAsia="Times New Roman" w:hAnsi="Arial" w:cs="Arial"/>
          <w:sz w:val="28"/>
          <w:szCs w:val="28"/>
          <w:lang w:val="en-US"/>
        </w:rPr>
        <w:t>5.2 SOP Adjustment 1: Stakeholder and Community Involvement in High-Risk Areas</w:t>
      </w:r>
      <w:bookmarkEnd w:id="19"/>
    </w:p>
    <w:p w14:paraId="011FC7F5" w14:textId="7B79543A"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Problem diagnosis</w:t>
      </w:r>
    </w:p>
    <w:p w14:paraId="3B46B2B5"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Generations of pollution, disputed compensation and a sense of non-involvement in decision-making have developed an ingrained mistrust of Shell among some of the Niger Delta. The classic work of Boele, Fabig and Wheeler, (2001) describes Shell-Ogoni relationships as a storey of unsustainable development, in which the loss of the environment and poor interactions led to permanent conflict. Subsequent literature demonstrates that CSR initiatives and NGO collaborations have in many instances been unable to bridging perception gaps with communities regarding initiatives being perceived as top-down and transactional (Idemudia, 2018; Sam, 2024; Adekeye, 2022). Continuous lawsuits and demands to leave the onshore business clean by Shell are some of the unresolved complaints and lack of legitimacy (Reuters, 2024; The Guardian, 2024).</w:t>
      </w:r>
    </w:p>
    <w:p w14:paraId="2242A625" w14:textId="78A131D3"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Recommendation</w:t>
      </w:r>
    </w:p>
    <w:p w14:paraId="71EC96F4"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Shell needs to implement a formal and group-accepted SOP on stakeholder and community participation in the high-risk zones like Ogoniland and the other legacy sites. The main aspects would encompass: systematic stakeholder mapping (women, youth and marginalised groups); the introduction of mandatory community impact assessments prior to making any major decisions; co-designed engagement plans; and the availability of grievance mechanisms with timelines and escalation routes open (Freeman, 1984; Idemudia, 2018).</w:t>
      </w:r>
    </w:p>
    <w:p w14:paraId="1C6813B7" w14:textId="5B015620"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Theoretical grounding</w:t>
      </w:r>
    </w:p>
    <w:p w14:paraId="5FC91DBC"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lastRenderedPageBreak/>
        <w:t>This adaptation realises the stakeholder theory and non-market strategy, which introduce managing political and social stakeholders as attentively as markets, and relies on the institutional theory of legitimacy and coercive/normative pressures in the contested environment (Baron, 1995; Gao, 2017). Cultural-intelligence studies in host communities in the Niger Delta indicate that the attuned engagement is characterised by a significant enhancement of the trust and problem-solving level (Agbeche et al., 2021).</w:t>
      </w:r>
    </w:p>
    <w:p w14:paraId="41868F5C" w14:textId="0A4C7BD3"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Implementation &amp; metrics</w:t>
      </w:r>
    </w:p>
    <w:p w14:paraId="6236A2FF"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A Nigeria Stakeholder Engagement Committee reporting to Shell global HSE/ESG should lead the implementation. Some KPIs might be: the decrease in the number of community disruptions and protests; the number and rate of grievances resolved; the independent audit of the quality of engagement rating; the better ESG rating and perception survey with time passing (Idemudia, 2018; Adekeye, 2022).</w:t>
      </w:r>
    </w:p>
    <w:p w14:paraId="65180406" w14:textId="139410DB" w:rsidR="008B3DF1" w:rsidRPr="00283631" w:rsidRDefault="008B3DF1" w:rsidP="009B73D8">
      <w:pPr>
        <w:pStyle w:val="Heading2"/>
        <w:spacing w:line="360" w:lineRule="auto"/>
        <w:rPr>
          <w:rFonts w:ascii="Arial" w:eastAsia="Times New Roman" w:hAnsi="Arial" w:cs="Arial"/>
          <w:sz w:val="28"/>
          <w:szCs w:val="28"/>
          <w:lang w:val="en-US"/>
        </w:rPr>
      </w:pPr>
      <w:bookmarkStart w:id="20" w:name="_Toc214661214"/>
      <w:r w:rsidRPr="00283631">
        <w:rPr>
          <w:rFonts w:ascii="Arial" w:eastAsia="Times New Roman" w:hAnsi="Arial" w:cs="Arial"/>
          <w:sz w:val="28"/>
          <w:szCs w:val="28"/>
          <w:lang w:val="en-US"/>
        </w:rPr>
        <w:t>5.3 SOP Adjustment 2: HSSE and Environmental Risk Management based on tailored countries to Nigerian context</w:t>
      </w:r>
      <w:bookmarkEnd w:id="20"/>
    </w:p>
    <w:p w14:paraId="655F4FE4" w14:textId="4BC4566A"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Problem diagnosis</w:t>
      </w:r>
    </w:p>
    <w:p w14:paraId="1488C562" w14:textId="1E87FA0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The oil and gas industry in Nigeria has an unprecedented operational risk because of sabotage, stealing, transport infrastructure and rugged terrain. In product pipeline studies, failure rates are much higher than those in the rest of the world, and the biggest contributor to the accidents has been reported to be theft/sabotage (Ambituuni, 2015; Yeeles, 2016). Recent studies prove that interconnected operational, environmental and regulatory risks, such as vandalism, spills and the lack of enforcement, are faced by Nigerian O&amp;G operators (Enumah, 2025; Omonori, 2025). Reuters covers recurring leaks and spills on</w:t>
      </w:r>
      <w:r w:rsidR="00532D0C">
        <w:rPr>
          <w:rFonts w:ascii="Arial" w:eastAsia="Times New Roman" w:hAnsi="Arial" w:cs="Arial"/>
          <w:sz w:val="24"/>
          <w:szCs w:val="24"/>
          <w:lang w:val="en-US"/>
        </w:rPr>
        <w:t xml:space="preserve"> </w:t>
      </w:r>
      <w:r w:rsidRPr="00283631">
        <w:rPr>
          <w:rFonts w:ascii="Arial" w:eastAsia="Times New Roman" w:hAnsi="Arial" w:cs="Arial"/>
          <w:sz w:val="24"/>
          <w:szCs w:val="24"/>
          <w:lang w:val="en-US"/>
        </w:rPr>
        <w:t>Shell-controlled or old pipelines and investigations frequently indicate sabotage but also show concerns about maintenance and reaction time ( Reuters, 2023; Reuters, 2024; Reuters, 2025). These accidents damage the ecosystems, cause people protests, and do not help to repair the reputation.</w:t>
      </w:r>
    </w:p>
    <w:p w14:paraId="5E08F520" w14:textId="00C61FF3"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Recommendation</w:t>
      </w:r>
    </w:p>
    <w:p w14:paraId="18B0B321"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lastRenderedPageBreak/>
        <w:t>Shell must introduce a HSSE and environmental risk management SOP specific to the country of Nigeria with more than minimums. Core components would be:</w:t>
      </w:r>
    </w:p>
    <w:p w14:paraId="4DD4BF0C" w14:textId="5C8E13BA" w:rsidR="008B3DF1" w:rsidRPr="00283631" w:rsidRDefault="008B3DF1" w:rsidP="003B2EDA">
      <w:pPr>
        <w:pStyle w:val="ListParagraph"/>
        <w:numPr>
          <w:ilvl w:val="0"/>
          <w:numId w:val="7"/>
        </w:num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Segmentation of pipeline and facility networks based on risk, and enhanced monitoring (e.g. drones, fibre-optic monitoring, </w:t>
      </w:r>
      <w:r w:rsidR="00532D0C" w:rsidRPr="00283631">
        <w:rPr>
          <w:rFonts w:ascii="Arial" w:eastAsia="Times New Roman" w:hAnsi="Arial" w:cs="Arial"/>
          <w:sz w:val="24"/>
          <w:szCs w:val="24"/>
          <w:lang w:val="en-US"/>
        </w:rPr>
        <w:t>community-based</w:t>
      </w:r>
      <w:r w:rsidRPr="00283631">
        <w:rPr>
          <w:rFonts w:ascii="Arial" w:eastAsia="Times New Roman" w:hAnsi="Arial" w:cs="Arial"/>
          <w:sz w:val="24"/>
          <w:szCs w:val="24"/>
          <w:lang w:val="en-US"/>
        </w:rPr>
        <w:t xml:space="preserve"> neighbourhood watch schemes) in areas likely to experience vandalism.</w:t>
      </w:r>
    </w:p>
    <w:p w14:paraId="75B202D4" w14:textId="7C535B2D" w:rsidR="008B3DF1" w:rsidRPr="00283631" w:rsidRDefault="008B3DF1" w:rsidP="003B2EDA">
      <w:pPr>
        <w:pStyle w:val="ListParagraph"/>
        <w:numPr>
          <w:ilvl w:val="0"/>
          <w:numId w:val="7"/>
        </w:num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Combined emergency-response plans with regulators and localities, such as pre-determined roles, muster areas and communication networks.</w:t>
      </w:r>
    </w:p>
    <w:p w14:paraId="49236631" w14:textId="6A4C012D" w:rsidR="008B3DF1" w:rsidRPr="00283631" w:rsidRDefault="008B3DF1" w:rsidP="003B2EDA">
      <w:pPr>
        <w:pStyle w:val="ListParagraph"/>
        <w:numPr>
          <w:ilvl w:val="0"/>
          <w:numId w:val="7"/>
        </w:num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Clear incident-reporting boards available to regulators and in summary form, to communities.</w:t>
      </w:r>
    </w:p>
    <w:p w14:paraId="6E144448" w14:textId="2FB26FFE" w:rsidR="008B3DF1" w:rsidRPr="00283631" w:rsidRDefault="008B3DF1" w:rsidP="003B2EDA">
      <w:pPr>
        <w:pStyle w:val="ListParagraph"/>
        <w:numPr>
          <w:ilvl w:val="0"/>
          <w:numId w:val="7"/>
        </w:num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Organised incorporation of local expertise regarding the terrain, security and social processes into assessment of risk and maintenance plans (Ambituuni, 2015; Enumah, 2025).</w:t>
      </w:r>
    </w:p>
    <w:p w14:paraId="1A8C803C" w14:textId="6B7F317F"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Theoretical grounding</w:t>
      </w:r>
    </w:p>
    <w:p w14:paraId="1B203DDD"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The recommendation is based on integrated risk management frameworks in IB that place emphasis on the integration of environmental, political and firm-specific risk analysis (Miller, 1992; Cavusgil et al., 2020). Institutional-voids literature emphasises that in new markets, the corporations tend to create or replace the weak state regulatory capacity with their own systems, alliances, and surveillance (Khanna and Palepu, 2010; Liedong, 2020).</w:t>
      </w:r>
    </w:p>
    <w:p w14:paraId="3EF20660" w14:textId="099AD2C2"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Implementation &amp; metrics</w:t>
      </w:r>
    </w:p>
    <w:p w14:paraId="65EB6877" w14:textId="30F95500"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A special Nigeria HSSE Centre of Excellence is to be used to coordinate the data collection and training with Shell international functions. The most important indicators </w:t>
      </w:r>
      <w:proofErr w:type="gramStart"/>
      <w:r w:rsidRPr="00283631">
        <w:rPr>
          <w:rFonts w:ascii="Arial" w:eastAsia="Times New Roman" w:hAnsi="Arial" w:cs="Arial"/>
          <w:sz w:val="24"/>
          <w:szCs w:val="24"/>
          <w:lang w:val="en-US"/>
        </w:rPr>
        <w:t>are:</w:t>
      </w:r>
      <w:proofErr w:type="gramEnd"/>
      <w:r w:rsidRPr="00283631">
        <w:rPr>
          <w:rFonts w:ascii="Arial" w:eastAsia="Times New Roman" w:hAnsi="Arial" w:cs="Arial"/>
          <w:sz w:val="24"/>
          <w:szCs w:val="24"/>
          <w:lang w:val="en-US"/>
        </w:rPr>
        <w:t xml:space="preserve"> how often and how serious are HSSE cases; quantity and </w:t>
      </w:r>
      <w:proofErr w:type="gramStart"/>
      <w:r w:rsidRPr="00283631">
        <w:rPr>
          <w:rFonts w:ascii="Arial" w:eastAsia="Times New Roman" w:hAnsi="Arial" w:cs="Arial"/>
          <w:sz w:val="24"/>
          <w:szCs w:val="24"/>
          <w:lang w:val="en-US"/>
        </w:rPr>
        <w:t>a</w:t>
      </w:r>
      <w:r w:rsidR="00532D0C">
        <w:rPr>
          <w:rFonts w:ascii="Arial" w:eastAsia="Times New Roman" w:hAnsi="Arial" w:cs="Arial"/>
          <w:sz w:val="24"/>
          <w:szCs w:val="24"/>
          <w:lang w:val="en-US"/>
        </w:rPr>
        <w:t xml:space="preserve"> number</w:t>
      </w:r>
      <w:r w:rsidRPr="00283631">
        <w:rPr>
          <w:rFonts w:ascii="Arial" w:eastAsia="Times New Roman" w:hAnsi="Arial" w:cs="Arial"/>
          <w:sz w:val="24"/>
          <w:szCs w:val="24"/>
          <w:lang w:val="en-US"/>
        </w:rPr>
        <w:t xml:space="preserve"> of</w:t>
      </w:r>
      <w:proofErr w:type="gramEnd"/>
      <w:r w:rsidRPr="00283631">
        <w:rPr>
          <w:rFonts w:ascii="Arial" w:eastAsia="Times New Roman" w:hAnsi="Arial" w:cs="Arial"/>
          <w:sz w:val="24"/>
          <w:szCs w:val="24"/>
          <w:lang w:val="en-US"/>
        </w:rPr>
        <w:t xml:space="preserve"> spills (and source determination); timeliness of response to leaks; completion rates of the joint-investigation; and verification by the regulators and third-party auditors. In the long run, a better performance should be associated with reduced disruption, reduced lawsuits and higher ESG scores, which increase the net benefits of the Shell portfolio of Nigerian location.</w:t>
      </w:r>
    </w:p>
    <w:p w14:paraId="13138409" w14:textId="58D3E523" w:rsidR="008B3DF1" w:rsidRPr="00283631" w:rsidRDefault="00FF55BF" w:rsidP="009B73D8">
      <w:pPr>
        <w:pStyle w:val="Heading2"/>
        <w:spacing w:line="360" w:lineRule="auto"/>
        <w:rPr>
          <w:rFonts w:ascii="Arial" w:eastAsia="Times New Roman" w:hAnsi="Arial" w:cs="Arial"/>
          <w:sz w:val="28"/>
          <w:szCs w:val="28"/>
          <w:lang w:val="en-US"/>
        </w:rPr>
      </w:pPr>
      <w:bookmarkStart w:id="21" w:name="_Toc214661215"/>
      <w:r w:rsidRPr="00283631">
        <w:rPr>
          <w:rFonts w:ascii="Arial" w:eastAsia="Times New Roman" w:hAnsi="Arial" w:cs="Arial"/>
          <w:sz w:val="28"/>
          <w:szCs w:val="28"/>
          <w:lang w:val="en-US"/>
        </w:rPr>
        <w:lastRenderedPageBreak/>
        <w:t xml:space="preserve">5.4 </w:t>
      </w:r>
      <w:r w:rsidR="008B3DF1" w:rsidRPr="00283631">
        <w:rPr>
          <w:rFonts w:ascii="Arial" w:eastAsia="Times New Roman" w:hAnsi="Arial" w:cs="Arial"/>
          <w:sz w:val="28"/>
          <w:szCs w:val="28"/>
          <w:lang w:val="en-US"/>
        </w:rPr>
        <w:t>SOP Adjustment 3: Cross-Cultural HRM and Leadership Development</w:t>
      </w:r>
      <w:bookmarkEnd w:id="21"/>
    </w:p>
    <w:p w14:paraId="6EBD08D6" w14:textId="540A6846"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Problem diagnosis</w:t>
      </w:r>
    </w:p>
    <w:p w14:paraId="6508E317"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Section 4 underlined the presence of considerable cultural difference between UK HQ and operations in Nigeria, especially in the level of hierarchy, communication and leadership expectations. Evidence-based sources indicate that a significant portion of MNCs in Nigeria has problems with the adaptation of expatriates, communication problems, and their early exit, which deteriorate the performance and local relations (Akhimien and Umemezia, 2021; Aliyu and Iwu, 2025). The findings of systematic reviews of expatriate adjustment in African settings confirm that inadequate cross-cultural training, the selection and support of families are major contributors to the fact that adjustment among expatriates fails (Iheanachor, 2024; Earley and Ang, 2003). Weak cultural competence may also be a threat to HSSE in the high-risk Niger Delta as employees might be reluctant to voice up or to question unsafe behaviours in hierarchical companies.</w:t>
      </w:r>
    </w:p>
    <w:p w14:paraId="20FCD22F" w14:textId="2E4F293C"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Recommendation</w:t>
      </w:r>
    </w:p>
    <w:p w14:paraId="1E180CF9"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Shell ought to implement a formal SOP of cross-cultural HRM and leadership development that is centred on Nigeria, and whose pillars are:</w:t>
      </w:r>
    </w:p>
    <w:p w14:paraId="1BB67344" w14:textId="20B0C69E" w:rsidR="008B3DF1" w:rsidRPr="00283631" w:rsidRDefault="008B3DF1" w:rsidP="003B2EDA">
      <w:pPr>
        <w:pStyle w:val="ListParagraph"/>
        <w:numPr>
          <w:ilvl w:val="0"/>
          <w:numId w:val="8"/>
        </w:num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Cross-cultural training of all expatriates and major Nigerian leaders, as well as power distance and conflict style simulations and community interaction; promotion-related refreshers.</w:t>
      </w:r>
    </w:p>
    <w:p w14:paraId="4170C421" w14:textId="0FB87EC0" w:rsidR="008B3DF1" w:rsidRPr="00283631" w:rsidRDefault="008B3DF1" w:rsidP="003B2EDA">
      <w:pPr>
        <w:pStyle w:val="ListParagraph"/>
        <w:numPr>
          <w:ilvl w:val="0"/>
          <w:numId w:val="8"/>
        </w:num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Two-way leadership programmes, which involve sending high-potential Nigerian managers to the UK and other hubs, and promoting short-term HQ assignments in Nigeria to gain contextual knowledge.</w:t>
      </w:r>
    </w:p>
    <w:p w14:paraId="1E210A52" w14:textId="11CCC249" w:rsidR="008B3DF1" w:rsidRPr="00283631" w:rsidRDefault="008B3DF1" w:rsidP="003B2EDA">
      <w:pPr>
        <w:pStyle w:val="ListParagraph"/>
        <w:numPr>
          <w:ilvl w:val="0"/>
          <w:numId w:val="8"/>
        </w:num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Easy, locally adjusted instructions on inclusive leadership, ethics and whistle-blowing, so that the culture of speak-up is converted into practises that make it psychologically safe in a high power-distance culture (Agbeche et al., 2021; Odiwo, 2022).</w:t>
      </w:r>
    </w:p>
    <w:p w14:paraId="7495A794" w14:textId="668555F0"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Theoretical grounding</w:t>
      </w:r>
    </w:p>
    <w:p w14:paraId="2C4AD705"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lastRenderedPageBreak/>
        <w:t>The SOP realises cultural intelligence (CQ) and global leadership studies that reveal that, metacognitive, motivational and behavioural CQ forecasts expatriate effectiveness and stakeholder trust (Earley and Ang, 2003; Earley and Peterson, 2004). Nigeria-based studies of HRM reveal that adjustment is highly affected by such demographic factors as previous international experience and length of stay, which can be used to support more sophisticated selection and career planning of Shell assignees (Akhimien and Umemezia, 2021).</w:t>
      </w:r>
    </w:p>
    <w:p w14:paraId="4E27B734" w14:textId="11A448B1" w:rsidR="008B3DF1" w:rsidRPr="00283631" w:rsidRDefault="008B3DF1" w:rsidP="003B2EDA">
      <w:pPr>
        <w:spacing w:before="100" w:beforeAutospacing="1" w:after="100" w:afterAutospacing="1" w:line="360" w:lineRule="auto"/>
        <w:jc w:val="both"/>
        <w:rPr>
          <w:rFonts w:ascii="Arial" w:eastAsia="Times New Roman" w:hAnsi="Arial" w:cs="Arial"/>
          <w:b/>
          <w:bCs/>
          <w:sz w:val="24"/>
          <w:szCs w:val="24"/>
          <w:lang w:val="en-US"/>
        </w:rPr>
      </w:pPr>
      <w:r w:rsidRPr="00283631">
        <w:rPr>
          <w:rFonts w:ascii="Arial" w:eastAsia="Times New Roman" w:hAnsi="Arial" w:cs="Arial"/>
          <w:b/>
          <w:bCs/>
          <w:sz w:val="24"/>
          <w:szCs w:val="24"/>
          <w:lang w:val="en-US"/>
        </w:rPr>
        <w:t>Implementation &amp; metrics</w:t>
      </w:r>
    </w:p>
    <w:p w14:paraId="3A137D10" w14:textId="4767D4BD"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The Shell Global HR and Nigeria Country Chair should share the programme. Some of the KPIs may be expatriate completion and performance rates, local-expat turnover, employee-engagement and speak-up survey scores, culturally oriented </w:t>
      </w:r>
      <w:r w:rsidR="00532D0C" w:rsidRPr="00283631">
        <w:rPr>
          <w:rFonts w:ascii="Arial" w:eastAsia="Times New Roman" w:hAnsi="Arial" w:cs="Arial"/>
          <w:sz w:val="24"/>
          <w:szCs w:val="24"/>
          <w:lang w:val="en-US"/>
        </w:rPr>
        <w:t>360-degree</w:t>
      </w:r>
      <w:r w:rsidRPr="00283631">
        <w:rPr>
          <w:rFonts w:ascii="Arial" w:eastAsia="Times New Roman" w:hAnsi="Arial" w:cs="Arial"/>
          <w:sz w:val="24"/>
          <w:szCs w:val="24"/>
          <w:lang w:val="en-US"/>
        </w:rPr>
        <w:t xml:space="preserve"> leadership feedback. In the long run, the effect of these indicators ought to be the low level of conflict, improved HSSE and enhanced community relations.</w:t>
      </w:r>
    </w:p>
    <w:p w14:paraId="10B6C8C3" w14:textId="1AF3E27A" w:rsidR="004573A0" w:rsidRPr="00283631" w:rsidRDefault="004573A0" w:rsidP="004573A0">
      <w:pPr>
        <w:spacing w:before="100" w:beforeAutospacing="1" w:after="100" w:afterAutospacing="1" w:line="360" w:lineRule="auto"/>
        <w:jc w:val="center"/>
        <w:rPr>
          <w:rFonts w:ascii="Arial" w:eastAsia="Times New Roman" w:hAnsi="Arial" w:cs="Arial"/>
          <w:sz w:val="24"/>
          <w:szCs w:val="24"/>
          <w:lang w:val="en-US"/>
        </w:rPr>
      </w:pPr>
      <w:r w:rsidRPr="00283631">
        <w:rPr>
          <w:rFonts w:ascii="Arial" w:eastAsia="Times New Roman" w:hAnsi="Arial" w:cs="Arial"/>
          <w:noProof/>
          <w:sz w:val="24"/>
          <w:szCs w:val="24"/>
          <w:lang w:val="en-US"/>
        </w:rPr>
        <w:drawing>
          <wp:inline distT="0" distB="0" distL="0" distR="0" wp14:anchorId="1944281E" wp14:editId="45DE9635">
            <wp:extent cx="4152900" cy="4152900"/>
            <wp:effectExtent l="0" t="0" r="0" b="0"/>
            <wp:docPr id="18457576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57645" name="Picture 184575764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52900" cy="4152900"/>
                    </a:xfrm>
                    <a:prstGeom prst="rect">
                      <a:avLst/>
                    </a:prstGeom>
                  </pic:spPr>
                </pic:pic>
              </a:graphicData>
            </a:graphic>
          </wp:inline>
        </w:drawing>
      </w:r>
    </w:p>
    <w:p w14:paraId="69CD646F" w14:textId="26C7273E" w:rsidR="00A16BAE" w:rsidRPr="00283631" w:rsidRDefault="00A16BAE" w:rsidP="00A16BAE">
      <w:pPr>
        <w:jc w:val="center"/>
        <w:rPr>
          <w:rFonts w:ascii="Arial" w:hAnsi="Arial" w:cs="Arial"/>
          <w:b/>
          <w:bCs/>
          <w:lang w:val="en-US"/>
        </w:rPr>
      </w:pPr>
      <w:r w:rsidRPr="00283631">
        <w:rPr>
          <w:rFonts w:ascii="Arial" w:hAnsi="Arial" w:cs="Arial"/>
          <w:b/>
          <w:bCs/>
          <w:lang w:val="en-US"/>
        </w:rPr>
        <w:t>Figure 3: Cross-Cultural HRM and Leadership Development Architecture</w:t>
      </w:r>
    </w:p>
    <w:p w14:paraId="4A67E558" w14:textId="77777777" w:rsidR="00A16BAE" w:rsidRPr="00283631" w:rsidRDefault="00A16BAE" w:rsidP="00A16BAE">
      <w:pPr>
        <w:jc w:val="center"/>
        <w:rPr>
          <w:rFonts w:ascii="Arial" w:hAnsi="Arial" w:cs="Arial"/>
          <w:b/>
          <w:bCs/>
          <w:sz w:val="24"/>
          <w:szCs w:val="24"/>
          <w:lang w:val="en-US"/>
        </w:rPr>
      </w:pPr>
    </w:p>
    <w:p w14:paraId="18B1A9C7" w14:textId="6C2A6B88" w:rsidR="008B3DF1" w:rsidRPr="00283631" w:rsidRDefault="008B3DF1" w:rsidP="009B73D8">
      <w:pPr>
        <w:pStyle w:val="Heading2"/>
        <w:spacing w:line="360" w:lineRule="auto"/>
        <w:rPr>
          <w:rFonts w:ascii="Arial" w:eastAsia="Times New Roman" w:hAnsi="Arial" w:cs="Arial"/>
          <w:sz w:val="28"/>
          <w:szCs w:val="28"/>
          <w:lang w:val="en-US"/>
        </w:rPr>
      </w:pPr>
      <w:bookmarkStart w:id="22" w:name="_Toc214661216"/>
      <w:r w:rsidRPr="00283631">
        <w:rPr>
          <w:rFonts w:ascii="Arial" w:eastAsia="Times New Roman" w:hAnsi="Arial" w:cs="Arial"/>
          <w:sz w:val="28"/>
          <w:szCs w:val="28"/>
          <w:lang w:val="en-US"/>
        </w:rPr>
        <w:lastRenderedPageBreak/>
        <w:t>5.5 Prioritisation, Feasibility and Risk Assessment</w:t>
      </w:r>
      <w:bookmarkEnd w:id="22"/>
    </w:p>
    <w:p w14:paraId="708E775A" w14:textId="6ACA66C8" w:rsidR="008B3DF1" w:rsidRPr="00283631" w:rsidRDefault="008B3DF1" w:rsidP="009B73D8">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With the acute legitimacy issues, the first requiring immediate attention is SOP 1 (stakeholder engagement), next is SOP 2 (HSSE and environmental risk), which needs a considerable number of resources, but at the same time, both are necessary to de-risk the portfolio and comply with the ESG expectations. SOP 3 (cross-cultural HRM) is medium-range, not so expensive and the basis of the success of the first two changes.</w:t>
      </w:r>
    </w:p>
    <w:p w14:paraId="2485B1E8" w14:textId="77777777" w:rsidR="008B3DF1" w:rsidRPr="00283631" w:rsidRDefault="008B3DF1" w:rsidP="009B73D8">
      <w:pPr>
        <w:pStyle w:val="Heading1"/>
        <w:spacing w:line="360" w:lineRule="auto"/>
        <w:rPr>
          <w:rFonts w:ascii="Arial" w:eastAsia="Times New Roman" w:hAnsi="Arial" w:cs="Arial"/>
          <w:b/>
          <w:bCs/>
          <w:sz w:val="32"/>
          <w:szCs w:val="32"/>
          <w:lang w:val="en-US"/>
        </w:rPr>
      </w:pPr>
      <w:bookmarkStart w:id="23" w:name="_Toc214661217"/>
      <w:r w:rsidRPr="00283631">
        <w:rPr>
          <w:rFonts w:ascii="Arial" w:eastAsia="Times New Roman" w:hAnsi="Arial" w:cs="Arial"/>
          <w:b/>
          <w:bCs/>
          <w:sz w:val="32"/>
          <w:szCs w:val="32"/>
          <w:lang w:val="en-US"/>
        </w:rPr>
        <w:t>6. Conclusion</w:t>
      </w:r>
      <w:bookmarkEnd w:id="23"/>
    </w:p>
    <w:p w14:paraId="3806CEA6" w14:textId="77777777" w:rsidR="008B3DF1" w:rsidRPr="00283631" w:rsidRDefault="008B3DF1" w:rsidP="005C7B92">
      <w:pPr>
        <w:pStyle w:val="Heading2"/>
        <w:spacing w:line="360" w:lineRule="auto"/>
        <w:rPr>
          <w:rFonts w:ascii="Arial" w:eastAsia="Times New Roman" w:hAnsi="Arial" w:cs="Arial"/>
          <w:sz w:val="28"/>
          <w:szCs w:val="28"/>
          <w:lang w:val="en-US"/>
        </w:rPr>
      </w:pPr>
      <w:bookmarkStart w:id="24" w:name="_Toc214661218"/>
      <w:r w:rsidRPr="00283631">
        <w:rPr>
          <w:rFonts w:ascii="Arial" w:eastAsia="Times New Roman" w:hAnsi="Arial" w:cs="Arial"/>
          <w:sz w:val="28"/>
          <w:szCs w:val="28"/>
          <w:lang w:val="en-US"/>
        </w:rPr>
        <w:t>6.1 Summary of Key Findings</w:t>
      </w:r>
      <w:bookmarkEnd w:id="24"/>
    </w:p>
    <w:p w14:paraId="78328713"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As depicted in this report, Shell plc certainly qualifies as a multinational/transnational corporation, and its value chain is globally integrated and locally responsive to R&amp;D, exploration, LNG, refining, trading and marketing operations in more than 70 countries. The international operations of Shell provide the company with high positive returns such as economies of scale, risk diversification, resources and market access, and cross border learning, but they also subject the company to high political, environmental as well as reputational risks particularly in the Niger Delta region of Nigeria (Boele et al., 2001; Ambituuni, 2015).</w:t>
      </w:r>
    </w:p>
    <w:p w14:paraId="4574DCC3" w14:textId="77777777"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Based on the OLI paradigm of Dunning, entry and operation of Shell in Nigeria was explained by intense ownership advantages in deep-water and LNG, strong location but risky advantages in Nigeria, and internalisation benefits of JVs and PSC in institutionally weak environment. The cultural analysis showed that the UK and Nigeria were highly distant in terms of hierarchy and collectivism and influenced the expectations in joint ventures, regulatory engagement and community relations, and the outcome of HSSE and CSR (Hofstede et al., 2010; Uduji et al., 2021).</w:t>
      </w:r>
    </w:p>
    <w:p w14:paraId="2F45FE3B" w14:textId="2DDF5772" w:rsidR="008B3DF1" w:rsidRPr="00283631" w:rsidRDefault="008B3DF1" w:rsidP="00DF6F96">
      <w:pPr>
        <w:pStyle w:val="Heading2"/>
        <w:spacing w:line="360" w:lineRule="auto"/>
        <w:rPr>
          <w:rFonts w:ascii="Arial" w:eastAsia="Times New Roman" w:hAnsi="Arial" w:cs="Arial"/>
          <w:sz w:val="28"/>
          <w:szCs w:val="28"/>
          <w:lang w:val="en-US"/>
        </w:rPr>
      </w:pPr>
      <w:bookmarkStart w:id="25" w:name="_Toc214661219"/>
      <w:r w:rsidRPr="00283631">
        <w:rPr>
          <w:rFonts w:ascii="Arial" w:eastAsia="Times New Roman" w:hAnsi="Arial" w:cs="Arial"/>
          <w:sz w:val="28"/>
          <w:szCs w:val="28"/>
          <w:lang w:val="en-US"/>
        </w:rPr>
        <w:t>6.2 Final Consultancy Message and Future Outlook</w:t>
      </w:r>
      <w:bookmarkEnd w:id="25"/>
    </w:p>
    <w:p w14:paraId="17497F6C" w14:textId="2B36EBA9" w:rsidR="008B3DF1" w:rsidRPr="00283631" w:rsidRDefault="008B3DF1" w:rsidP="003B2EDA">
      <w:pPr>
        <w:spacing w:before="100" w:beforeAutospacing="1" w:after="100" w:afterAutospacing="1" w:line="360" w:lineRule="auto"/>
        <w:jc w:val="both"/>
        <w:rPr>
          <w:rFonts w:ascii="Arial" w:eastAsia="Times New Roman" w:hAnsi="Arial" w:cs="Arial"/>
          <w:sz w:val="24"/>
          <w:szCs w:val="24"/>
          <w:lang w:val="en-US"/>
        </w:rPr>
      </w:pPr>
      <w:r w:rsidRPr="00283631">
        <w:rPr>
          <w:rFonts w:ascii="Arial" w:eastAsia="Times New Roman" w:hAnsi="Arial" w:cs="Arial"/>
          <w:sz w:val="24"/>
          <w:szCs w:val="24"/>
          <w:lang w:val="en-US"/>
        </w:rPr>
        <w:t xml:space="preserve">The three suggested SOP changes to improve the strategic fit of Shell in Nigeria, cross cultural HRM and leadership development, improved Nigeria specific HSSE and environmental risk management are interdependent levers to enhance the strategic </w:t>
      </w:r>
      <w:r w:rsidRPr="00283631">
        <w:rPr>
          <w:rFonts w:ascii="Arial" w:eastAsia="Times New Roman" w:hAnsi="Arial" w:cs="Arial"/>
          <w:sz w:val="24"/>
          <w:szCs w:val="24"/>
          <w:lang w:val="en-US"/>
        </w:rPr>
        <w:lastRenderedPageBreak/>
        <w:t>fit, risk management and legitimacy of Shell in Nigeria. They may be implemented strictly to transform the technological and financial ownership advantages of Shell into sustainable value creation in addressing location-specific risks and institutional voids. In perspective, the wider emerging-market approach by Shell needs to be nimble in response to accelerating energy-transition, regulatory and environmental sustainability pressures; companies with strong OLI bases and reputable social and environmental initiatives have a better chance of achieving a sustainable social licence and competitive advantage in the decarbonising world (Khanna and Palepu, 2010; Cavusgil et al., 2020).</w:t>
      </w:r>
    </w:p>
    <w:p w14:paraId="2A8C150E" w14:textId="77777777" w:rsidR="00AD4D1F" w:rsidRDefault="00AD4D1F"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31DC5836"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08A9DCFB"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4E086634"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13B883AD"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2987CE03"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73D9919F"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3054BD0D"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271B2424"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3DBFEBE0"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5DC94B42"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08631E88"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0309CE74"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3B2FFE25"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16490BB3"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p w14:paraId="7A427BBA" w14:textId="77777777" w:rsidR="00DF6F96" w:rsidRDefault="00DF6F96" w:rsidP="0069602A">
      <w:pPr>
        <w:spacing w:before="100" w:beforeAutospacing="1" w:after="100" w:afterAutospacing="1" w:line="240" w:lineRule="auto"/>
        <w:outlineLvl w:val="2"/>
        <w:rPr>
          <w:rFonts w:ascii="Times New Roman" w:eastAsia="Times New Roman" w:hAnsi="Times New Roman" w:cs="Times New Roman"/>
          <w:b/>
          <w:bCs/>
          <w:sz w:val="27"/>
          <w:szCs w:val="27"/>
          <w:lang w:val="en-US"/>
        </w:rPr>
      </w:pPr>
    </w:p>
    <w:bookmarkStart w:id="26" w:name="_Toc214661220" w:displacedByCustomXml="next"/>
    <w:sdt>
      <w:sdtPr>
        <w:rPr>
          <w:rFonts w:asciiTheme="minorHAnsi" w:eastAsiaTheme="minorHAnsi" w:hAnsiTheme="minorHAnsi" w:cstheme="minorBidi"/>
          <w:color w:val="auto"/>
          <w:sz w:val="22"/>
          <w:szCs w:val="22"/>
        </w:rPr>
        <w:id w:val="2076396621"/>
        <w:docPartObj>
          <w:docPartGallery w:val="Bibliographies"/>
          <w:docPartUnique/>
        </w:docPartObj>
      </w:sdtPr>
      <w:sdtEndPr>
        <w:rPr>
          <w:rFonts w:ascii="Times New Roman" w:hAnsi="Times New Roman" w:cs="Times New Roman"/>
        </w:rPr>
      </w:sdtEndPr>
      <w:sdtContent>
        <w:p w14:paraId="5F46BE36" w14:textId="4C308687" w:rsidR="00BF1211" w:rsidRPr="00194A37" w:rsidRDefault="00BF1211">
          <w:pPr>
            <w:pStyle w:val="Heading1"/>
            <w:rPr>
              <w:rFonts w:ascii="Arial" w:hAnsi="Arial" w:cs="Arial"/>
              <w:b/>
              <w:bCs/>
              <w:sz w:val="32"/>
              <w:szCs w:val="32"/>
            </w:rPr>
          </w:pPr>
          <w:r w:rsidRPr="00194A37">
            <w:rPr>
              <w:rFonts w:ascii="Arial" w:hAnsi="Arial" w:cs="Arial"/>
              <w:b/>
              <w:bCs/>
              <w:sz w:val="32"/>
              <w:szCs w:val="32"/>
            </w:rPr>
            <w:t>References</w:t>
          </w:r>
          <w:bookmarkEnd w:id="26"/>
        </w:p>
        <w:sdt>
          <w:sdtPr>
            <w:id w:val="-573587230"/>
            <w:bibliography/>
          </w:sdtPr>
          <w:sdtEndPr>
            <w:rPr>
              <w:rFonts w:ascii="Times New Roman" w:hAnsi="Times New Roman" w:cs="Times New Roman"/>
            </w:rPr>
          </w:sdtEndPr>
          <w:sdtContent>
            <w:p w14:paraId="66777E32" w14:textId="77777777" w:rsidR="00BF1211" w:rsidRDefault="00BF1211">
              <w:pPr>
                <w:rPr>
                  <w:b/>
                  <w:bCs/>
                  <w:noProof/>
                  <w:lang w:val="en-US"/>
                </w:rPr>
              </w:pPr>
              <w:r>
                <w:fldChar w:fldCharType="begin"/>
              </w:r>
              <w:r>
                <w:instrText xml:space="preserve"> BIBLIOGRAPHY </w:instrText>
              </w:r>
              <w:r>
                <w:fldChar w:fldCharType="separate"/>
              </w:r>
            </w:p>
            <w:p w14:paraId="4682D217" w14:textId="77777777" w:rsidR="00BF1211" w:rsidRPr="00194A37" w:rsidRDefault="00BF1211" w:rsidP="00194A37">
              <w:pPr>
                <w:pStyle w:val="ListParagraph"/>
                <w:numPr>
                  <w:ilvl w:val="0"/>
                  <w:numId w:val="9"/>
                </w:numPr>
                <w:rPr>
                  <w:rFonts w:ascii="Times New Roman" w:hAnsi="Times New Roman" w:cs="Times New Roman"/>
                  <w:lang w:val="en-US"/>
                </w:rPr>
              </w:pPr>
              <w:r>
                <w:rPr>
                  <w:b/>
                  <w:bCs/>
                  <w:noProof/>
                </w:rPr>
                <w:fldChar w:fldCharType="end"/>
              </w:r>
              <w:r w:rsidRPr="00194A37">
                <w:rPr>
                  <w:rFonts w:ascii="Times New Roman" w:hAnsi="Times New Roman" w:cs="Times New Roman"/>
                  <w:lang w:val="en-US"/>
                </w:rPr>
                <w:t xml:space="preserve">Ambituuni, A., Hopkins, P., Amezaga, J.M., Werner, D. &amp; Wood, M. 2015, ‘Risk assessment of petroleum product pipeline in Nigeria: The realities of managing problems of theft/sabotage’, </w:t>
              </w:r>
              <w:r w:rsidRPr="00194A37">
                <w:rPr>
                  <w:rFonts w:ascii="Times New Roman" w:hAnsi="Times New Roman" w:cs="Times New Roman"/>
                  <w:i/>
                  <w:iCs/>
                  <w:lang w:val="en-US"/>
                </w:rPr>
                <w:t>WIT Transactions on the Built Environment</w:t>
              </w:r>
              <w:r w:rsidRPr="00194A37">
                <w:rPr>
                  <w:rFonts w:ascii="Times New Roman" w:hAnsi="Times New Roman" w:cs="Times New Roman"/>
                  <w:lang w:val="en-US"/>
                </w:rPr>
                <w:t>, vol. 151, pp. 51–61. doi:10.2495/SAFE150051</w:t>
              </w:r>
            </w:p>
            <w:p w14:paraId="23C29453"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AP News 2024, ‘Shell will sell big piece of its Nigeria oil business, but activists want pollution cleaned up first’, </w:t>
              </w:r>
              <w:r w:rsidRPr="00194A37">
                <w:rPr>
                  <w:rFonts w:ascii="Times New Roman" w:eastAsia="Times New Roman" w:hAnsi="Times New Roman" w:cs="Times New Roman"/>
                  <w:i/>
                  <w:iCs/>
                  <w:sz w:val="24"/>
                  <w:szCs w:val="24"/>
                  <w:lang w:val="en-US"/>
                </w:rPr>
                <w:t>Associated Press</w:t>
              </w:r>
              <w:r w:rsidRPr="00194A37">
                <w:rPr>
                  <w:rFonts w:ascii="Times New Roman" w:eastAsia="Times New Roman" w:hAnsi="Times New Roman" w:cs="Times New Roman"/>
                  <w:sz w:val="24"/>
                  <w:szCs w:val="24"/>
                  <w:lang w:val="en-US"/>
                </w:rPr>
                <w:t>, 16 January. [online] Available at: https://apnews.com</w:t>
              </w:r>
            </w:p>
            <w:p w14:paraId="7AC0F111"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AP News 2025, ‘Nigeria moves to restart oil production in vulnerable region after Shell sells much of its business’, </w:t>
              </w:r>
              <w:r w:rsidRPr="00194A37">
                <w:rPr>
                  <w:rFonts w:ascii="Times New Roman" w:eastAsia="Times New Roman" w:hAnsi="Times New Roman" w:cs="Times New Roman"/>
                  <w:i/>
                  <w:iCs/>
                  <w:sz w:val="24"/>
                  <w:szCs w:val="24"/>
                  <w:lang w:val="en-US"/>
                </w:rPr>
                <w:t>Associated Press</w:t>
              </w:r>
              <w:r w:rsidRPr="00194A37">
                <w:rPr>
                  <w:rFonts w:ascii="Times New Roman" w:eastAsia="Times New Roman" w:hAnsi="Times New Roman" w:cs="Times New Roman"/>
                  <w:sz w:val="24"/>
                  <w:szCs w:val="24"/>
                  <w:lang w:val="en-US"/>
                </w:rPr>
                <w:t>, 3 February. [online] Available at: https://apnews.com</w:t>
              </w:r>
            </w:p>
            <w:p w14:paraId="56ED0CDD"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Barney, J.B. 1991, ‘Firm resources and sustained competitive advantage’, </w:t>
              </w:r>
              <w:r w:rsidRPr="00194A37">
                <w:rPr>
                  <w:rFonts w:ascii="Times New Roman" w:eastAsia="Times New Roman" w:hAnsi="Times New Roman" w:cs="Times New Roman"/>
                  <w:i/>
                  <w:iCs/>
                  <w:sz w:val="24"/>
                  <w:szCs w:val="24"/>
                  <w:lang w:val="en-US"/>
                </w:rPr>
                <w:t>Journal of Management</w:t>
              </w:r>
              <w:r w:rsidRPr="00194A37">
                <w:rPr>
                  <w:rFonts w:ascii="Times New Roman" w:eastAsia="Times New Roman" w:hAnsi="Times New Roman" w:cs="Times New Roman"/>
                  <w:sz w:val="24"/>
                  <w:szCs w:val="24"/>
                  <w:lang w:val="en-US"/>
                </w:rPr>
                <w:t>, vol. 17, no. 1, pp. 99–120. doi:10.1177/014920639101700108</w:t>
              </w:r>
            </w:p>
            <w:p w14:paraId="5F136582"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Bartlett, C.A. &amp; Ghoshal, S. 1989, </w:t>
              </w:r>
              <w:r w:rsidRPr="00194A37">
                <w:rPr>
                  <w:rFonts w:ascii="Times New Roman" w:eastAsia="Times New Roman" w:hAnsi="Times New Roman" w:cs="Times New Roman"/>
                  <w:i/>
                  <w:iCs/>
                  <w:sz w:val="24"/>
                  <w:szCs w:val="24"/>
                  <w:lang w:val="en-US"/>
                </w:rPr>
                <w:t>Managing Across Borders: The Transnational Solution</w:t>
              </w:r>
              <w:r w:rsidRPr="00194A37">
                <w:rPr>
                  <w:rFonts w:ascii="Times New Roman" w:eastAsia="Times New Roman" w:hAnsi="Times New Roman" w:cs="Times New Roman"/>
                  <w:sz w:val="24"/>
                  <w:szCs w:val="24"/>
                  <w:lang w:val="en-US"/>
                </w:rPr>
                <w:t>, Harvard Business School Press, Boston, MA.</w:t>
              </w:r>
            </w:p>
            <w:p w14:paraId="062A034C"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Beugelsdijk, S. &amp; Maseland, R. 2011, </w:t>
              </w:r>
              <w:r w:rsidRPr="00194A37">
                <w:rPr>
                  <w:rFonts w:ascii="Times New Roman" w:eastAsia="Times New Roman" w:hAnsi="Times New Roman" w:cs="Times New Roman"/>
                  <w:i/>
                  <w:iCs/>
                  <w:sz w:val="24"/>
                  <w:szCs w:val="24"/>
                  <w:lang w:val="en-US"/>
                </w:rPr>
                <w:t>Culture in Economics: History, Methodological Reflections and Contemporary Applications</w:t>
              </w:r>
              <w:r w:rsidRPr="00194A37">
                <w:rPr>
                  <w:rFonts w:ascii="Times New Roman" w:eastAsia="Times New Roman" w:hAnsi="Times New Roman" w:cs="Times New Roman"/>
                  <w:sz w:val="24"/>
                  <w:szCs w:val="24"/>
                  <w:lang w:val="en-US"/>
                </w:rPr>
                <w:t>, Cambridge University Press, Cambridge.</w:t>
              </w:r>
            </w:p>
            <w:p w14:paraId="14CD30A3"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Boele, R., Fabig, H. &amp; Wheeler, D. 2001, ‘Shell, Nigeria and the Ogoni. A study in unsustainable development: I. The story of Shell, Nigeria and the Ogoni people – environment, economy, relationships: conflict and prospects for resolution’, </w:t>
              </w:r>
              <w:r w:rsidRPr="00194A37">
                <w:rPr>
                  <w:rFonts w:ascii="Times New Roman" w:eastAsia="Times New Roman" w:hAnsi="Times New Roman" w:cs="Times New Roman"/>
                  <w:i/>
                  <w:iCs/>
                  <w:sz w:val="24"/>
                  <w:szCs w:val="24"/>
                  <w:lang w:val="en-US"/>
                </w:rPr>
                <w:t>Sustainable Development</w:t>
              </w:r>
              <w:r w:rsidRPr="00194A37">
                <w:rPr>
                  <w:rFonts w:ascii="Times New Roman" w:eastAsia="Times New Roman" w:hAnsi="Times New Roman" w:cs="Times New Roman"/>
                  <w:sz w:val="24"/>
                  <w:szCs w:val="24"/>
                  <w:lang w:val="en-US"/>
                </w:rPr>
                <w:t>, vol. 9, no. 2, pp. 74–86.</w:t>
              </w:r>
            </w:p>
            <w:p w14:paraId="1ECF8F45"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Brouthers, K.D. &amp; Hennart, J.-F. 2007, ‘Boundaries of the firm: Insights from international entry mode research’, </w:t>
              </w:r>
              <w:r w:rsidRPr="00194A37">
                <w:rPr>
                  <w:rFonts w:ascii="Times New Roman" w:eastAsia="Times New Roman" w:hAnsi="Times New Roman" w:cs="Times New Roman"/>
                  <w:i/>
                  <w:iCs/>
                  <w:sz w:val="24"/>
                  <w:szCs w:val="24"/>
                  <w:lang w:val="en-US"/>
                </w:rPr>
                <w:t>Journal of Management</w:t>
              </w:r>
              <w:r w:rsidRPr="00194A37">
                <w:rPr>
                  <w:rFonts w:ascii="Times New Roman" w:eastAsia="Times New Roman" w:hAnsi="Times New Roman" w:cs="Times New Roman"/>
                  <w:sz w:val="24"/>
                  <w:szCs w:val="24"/>
                  <w:lang w:val="en-US"/>
                </w:rPr>
                <w:t>, vol. 33, no. 3, pp. 395–425. doi:10.1177/0149206307300817</w:t>
              </w:r>
            </w:p>
            <w:p w14:paraId="1BB80A6F"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Cavusgil, S.T., Deligonul, S., Kardes, I. &amp; Cavusgil, E. 2020, ‘Risk in international business and its mitigation’, </w:t>
              </w:r>
              <w:r w:rsidRPr="00194A37">
                <w:rPr>
                  <w:rFonts w:ascii="Times New Roman" w:eastAsia="Times New Roman" w:hAnsi="Times New Roman" w:cs="Times New Roman"/>
                  <w:i/>
                  <w:iCs/>
                  <w:sz w:val="24"/>
                  <w:szCs w:val="24"/>
                  <w:lang w:val="en-US"/>
                </w:rPr>
                <w:t>Journal of World Business</w:t>
              </w:r>
              <w:r w:rsidRPr="00194A37">
                <w:rPr>
                  <w:rFonts w:ascii="Times New Roman" w:eastAsia="Times New Roman" w:hAnsi="Times New Roman" w:cs="Times New Roman"/>
                  <w:sz w:val="24"/>
                  <w:szCs w:val="24"/>
                  <w:lang w:val="en-US"/>
                </w:rPr>
                <w:t>, vol. 55, no. 2, 101044. doi:10.1016/j.jwb.2019.101044</w:t>
              </w:r>
            </w:p>
            <w:p w14:paraId="7E74F8EC"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Dunning, J.H. 1988, ‘The eclectic paradigm of international production: A restatement and some possible extensions’, </w:t>
              </w:r>
              <w:r w:rsidRPr="00194A37">
                <w:rPr>
                  <w:rFonts w:ascii="Times New Roman" w:eastAsia="Times New Roman" w:hAnsi="Times New Roman" w:cs="Times New Roman"/>
                  <w:i/>
                  <w:iCs/>
                  <w:sz w:val="24"/>
                  <w:szCs w:val="24"/>
                  <w:lang w:val="en-US"/>
                </w:rPr>
                <w:t>Journal of International Business Studies</w:t>
              </w:r>
              <w:r w:rsidRPr="00194A37">
                <w:rPr>
                  <w:rFonts w:ascii="Times New Roman" w:eastAsia="Times New Roman" w:hAnsi="Times New Roman" w:cs="Times New Roman"/>
                  <w:sz w:val="24"/>
                  <w:szCs w:val="24"/>
                  <w:lang w:val="en-US"/>
                </w:rPr>
                <w:t>, vol. 19, no. 1, pp. 1–31.</w:t>
              </w:r>
            </w:p>
            <w:p w14:paraId="687E6334"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Dunning, J.H. 2000, ‘The eclectic paradigm as an envelope for economic and business theories of MNE activity’, </w:t>
              </w:r>
              <w:r w:rsidRPr="00194A37">
                <w:rPr>
                  <w:rFonts w:ascii="Times New Roman" w:eastAsia="Times New Roman" w:hAnsi="Times New Roman" w:cs="Times New Roman"/>
                  <w:i/>
                  <w:iCs/>
                  <w:sz w:val="24"/>
                  <w:szCs w:val="24"/>
                  <w:lang w:val="en-US"/>
                </w:rPr>
                <w:t>International Business Review</w:t>
              </w:r>
              <w:r w:rsidRPr="00194A37">
                <w:rPr>
                  <w:rFonts w:ascii="Times New Roman" w:eastAsia="Times New Roman" w:hAnsi="Times New Roman" w:cs="Times New Roman"/>
                  <w:sz w:val="24"/>
                  <w:szCs w:val="24"/>
                  <w:lang w:val="en-US"/>
                </w:rPr>
                <w:t>, vol. 9, no. 2, pp. 163–190.</w:t>
              </w:r>
            </w:p>
            <w:p w14:paraId="53B0AA44"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Earley, P.C. &amp; Ang, S. 2003, </w:t>
              </w:r>
              <w:r w:rsidRPr="00194A37">
                <w:rPr>
                  <w:rFonts w:ascii="Times New Roman" w:eastAsia="Times New Roman" w:hAnsi="Times New Roman" w:cs="Times New Roman"/>
                  <w:i/>
                  <w:iCs/>
                  <w:sz w:val="24"/>
                  <w:szCs w:val="24"/>
                  <w:lang w:val="en-US"/>
                </w:rPr>
                <w:t>Cultural Intelligence: Individual Interactions Across Cultures</w:t>
              </w:r>
              <w:r w:rsidRPr="00194A37">
                <w:rPr>
                  <w:rFonts w:ascii="Times New Roman" w:eastAsia="Times New Roman" w:hAnsi="Times New Roman" w:cs="Times New Roman"/>
                  <w:sz w:val="24"/>
                  <w:szCs w:val="24"/>
                  <w:lang w:val="en-US"/>
                </w:rPr>
                <w:t>, Stanford Business Books, Stanford, CA.</w:t>
              </w:r>
            </w:p>
            <w:p w14:paraId="3B80CD84"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Earley, P.C. &amp; Peterson, R.S. 2004, ‘The elusive cultural chameleon: Cultural intelligence as a new approach to intercultural training for the global manager’, </w:t>
              </w:r>
              <w:r w:rsidRPr="00194A37">
                <w:rPr>
                  <w:rFonts w:ascii="Times New Roman" w:eastAsia="Times New Roman" w:hAnsi="Times New Roman" w:cs="Times New Roman"/>
                  <w:i/>
                  <w:iCs/>
                  <w:sz w:val="24"/>
                  <w:szCs w:val="24"/>
                  <w:lang w:val="en-US"/>
                </w:rPr>
                <w:t>Academy of Management Learning &amp; Education</w:t>
              </w:r>
              <w:r w:rsidRPr="00194A37">
                <w:rPr>
                  <w:rFonts w:ascii="Times New Roman" w:eastAsia="Times New Roman" w:hAnsi="Times New Roman" w:cs="Times New Roman"/>
                  <w:sz w:val="24"/>
                  <w:szCs w:val="24"/>
                  <w:lang w:val="en-US"/>
                </w:rPr>
                <w:t>, vol. 3, no. 1, pp. 100–115. doi:10.5465/amle.2004.12436826</w:t>
              </w:r>
            </w:p>
            <w:p w14:paraId="5759207C"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Freeman, R.E. 1984, </w:t>
              </w:r>
              <w:r w:rsidRPr="00194A37">
                <w:rPr>
                  <w:rFonts w:ascii="Times New Roman" w:eastAsia="Times New Roman" w:hAnsi="Times New Roman" w:cs="Times New Roman"/>
                  <w:i/>
                  <w:iCs/>
                  <w:sz w:val="24"/>
                  <w:szCs w:val="24"/>
                  <w:lang w:val="en-US"/>
                </w:rPr>
                <w:t>Strategic Management: A Stakeholder Approach</w:t>
              </w:r>
              <w:r w:rsidRPr="00194A37">
                <w:rPr>
                  <w:rFonts w:ascii="Times New Roman" w:eastAsia="Times New Roman" w:hAnsi="Times New Roman" w:cs="Times New Roman"/>
                  <w:sz w:val="24"/>
                  <w:szCs w:val="24"/>
                  <w:lang w:val="en-US"/>
                </w:rPr>
                <w:t>, Pitman, Boston, MA.</w:t>
              </w:r>
            </w:p>
            <w:p w14:paraId="11402598"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lastRenderedPageBreak/>
                <w:t xml:space="preserve">Gao, C., Zuzul, T., Jones, G. &amp; Khanna, T. 2017, ‘Overcoming institutional voids: A reputation-based view of long-run survival’, </w:t>
              </w:r>
              <w:r w:rsidRPr="00194A37">
                <w:rPr>
                  <w:rFonts w:ascii="Times New Roman" w:eastAsia="Times New Roman" w:hAnsi="Times New Roman" w:cs="Times New Roman"/>
                  <w:i/>
                  <w:iCs/>
                  <w:sz w:val="24"/>
                  <w:szCs w:val="24"/>
                  <w:lang w:val="en-US"/>
                </w:rPr>
                <w:t>Strategic Management Journal</w:t>
              </w:r>
              <w:r w:rsidRPr="00194A37">
                <w:rPr>
                  <w:rFonts w:ascii="Times New Roman" w:eastAsia="Times New Roman" w:hAnsi="Times New Roman" w:cs="Times New Roman"/>
                  <w:sz w:val="24"/>
                  <w:szCs w:val="24"/>
                  <w:lang w:val="en-US"/>
                </w:rPr>
                <w:t>, vol. 38, no. 11, pp. 2147–2167.</w:t>
              </w:r>
            </w:p>
            <w:p w14:paraId="64EEE4F3"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Henisz, W.J., Dorobantu, S. &amp; Nartey, L.J. 2014, ‘Spinning gold: The financial returns to stakeholder engagement’, </w:t>
              </w:r>
              <w:r w:rsidRPr="00194A37">
                <w:rPr>
                  <w:rFonts w:ascii="Times New Roman" w:eastAsia="Times New Roman" w:hAnsi="Times New Roman" w:cs="Times New Roman"/>
                  <w:i/>
                  <w:iCs/>
                  <w:sz w:val="24"/>
                  <w:szCs w:val="24"/>
                  <w:lang w:val="en-US"/>
                </w:rPr>
                <w:t>Strategic Management Journal</w:t>
              </w:r>
              <w:r w:rsidRPr="00194A37">
                <w:rPr>
                  <w:rFonts w:ascii="Times New Roman" w:eastAsia="Times New Roman" w:hAnsi="Times New Roman" w:cs="Times New Roman"/>
                  <w:sz w:val="24"/>
                  <w:szCs w:val="24"/>
                  <w:lang w:val="en-US"/>
                </w:rPr>
                <w:t>, vol. 35, no. 12, pp. 1727–1748. doi:10.1002/smj.2180</w:t>
              </w:r>
            </w:p>
            <w:p w14:paraId="3BD228FA"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Hennart, J.-F. 2010, ‘Transaction cost theory and international business’, </w:t>
              </w:r>
              <w:r w:rsidRPr="00194A37">
                <w:rPr>
                  <w:rFonts w:ascii="Times New Roman" w:eastAsia="Times New Roman" w:hAnsi="Times New Roman" w:cs="Times New Roman"/>
                  <w:i/>
                  <w:iCs/>
                  <w:sz w:val="24"/>
                  <w:szCs w:val="24"/>
                  <w:lang w:val="en-US"/>
                </w:rPr>
                <w:t>Journal of Retailing</w:t>
              </w:r>
              <w:r w:rsidRPr="00194A37">
                <w:rPr>
                  <w:rFonts w:ascii="Times New Roman" w:eastAsia="Times New Roman" w:hAnsi="Times New Roman" w:cs="Times New Roman"/>
                  <w:sz w:val="24"/>
                  <w:szCs w:val="24"/>
                  <w:lang w:val="en-US"/>
                </w:rPr>
                <w:t>, vol. 86, no. 3, pp. 257–269.</w:t>
              </w:r>
            </w:p>
            <w:p w14:paraId="087ACB7A"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Hofstede, G., Hofstede, G.J. &amp; Minkov, M. 2010, </w:t>
              </w:r>
              <w:r w:rsidRPr="00194A37">
                <w:rPr>
                  <w:rFonts w:ascii="Times New Roman" w:eastAsia="Times New Roman" w:hAnsi="Times New Roman" w:cs="Times New Roman"/>
                  <w:i/>
                  <w:iCs/>
                  <w:sz w:val="24"/>
                  <w:szCs w:val="24"/>
                  <w:lang w:val="en-US"/>
                </w:rPr>
                <w:t>Cultures and Organizations: Software of the Mind – Intercultural Cooperation and Its Importance for Survival</w:t>
              </w:r>
              <w:r w:rsidRPr="00194A37">
                <w:rPr>
                  <w:rFonts w:ascii="Times New Roman" w:eastAsia="Times New Roman" w:hAnsi="Times New Roman" w:cs="Times New Roman"/>
                  <w:sz w:val="24"/>
                  <w:szCs w:val="24"/>
                  <w:lang w:val="en-US"/>
                </w:rPr>
                <w:t>, 3rd edn, McGraw-Hill, New York.</w:t>
              </w:r>
            </w:p>
            <w:p w14:paraId="69DCB3D3"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Hofstede Insights 2025, </w:t>
              </w:r>
              <w:r w:rsidRPr="00194A37">
                <w:rPr>
                  <w:rFonts w:ascii="Times New Roman" w:eastAsia="Times New Roman" w:hAnsi="Times New Roman" w:cs="Times New Roman"/>
                  <w:i/>
                  <w:iCs/>
                  <w:sz w:val="24"/>
                  <w:szCs w:val="24"/>
                  <w:lang w:val="en-US"/>
                </w:rPr>
                <w:t>Country Comparison – United Kingdom, Nigeria</w:t>
              </w:r>
              <w:r w:rsidRPr="00194A37">
                <w:rPr>
                  <w:rFonts w:ascii="Times New Roman" w:eastAsia="Times New Roman" w:hAnsi="Times New Roman" w:cs="Times New Roman"/>
                  <w:sz w:val="24"/>
                  <w:szCs w:val="24"/>
                  <w:lang w:val="en-US"/>
                </w:rPr>
                <w:t xml:space="preserve">, Hofstede Insights. [online] Available at: </w:t>
              </w:r>
              <w:hyperlink r:id="rId13" w:tgtFrame="_new" w:history="1">
                <w:r w:rsidRPr="00194A37">
                  <w:rPr>
                    <w:rFonts w:ascii="Times New Roman" w:eastAsia="Times New Roman" w:hAnsi="Times New Roman" w:cs="Times New Roman"/>
                    <w:sz w:val="24"/>
                    <w:szCs w:val="24"/>
                    <w:lang w:val="en-US"/>
                  </w:rPr>
                  <w:t>https://www.hofstede-insights.com</w:t>
                </w:r>
              </w:hyperlink>
            </w:p>
            <w:p w14:paraId="52EBA1CF"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House, R.J., Hanges, P.J., Javidan, M., Dorfman, P.W. &amp; Gupta, V. (eds) 2004, </w:t>
              </w:r>
              <w:r w:rsidRPr="00194A37">
                <w:rPr>
                  <w:rFonts w:ascii="Times New Roman" w:eastAsia="Times New Roman" w:hAnsi="Times New Roman" w:cs="Times New Roman"/>
                  <w:i/>
                  <w:iCs/>
                  <w:sz w:val="24"/>
                  <w:szCs w:val="24"/>
                  <w:lang w:val="en-US"/>
                </w:rPr>
                <w:t>Culture, Leadership, and Organizations: The GLOBE Study of 62 Societies</w:t>
              </w:r>
              <w:r w:rsidRPr="00194A37">
                <w:rPr>
                  <w:rFonts w:ascii="Times New Roman" w:eastAsia="Times New Roman" w:hAnsi="Times New Roman" w:cs="Times New Roman"/>
                  <w:sz w:val="24"/>
                  <w:szCs w:val="24"/>
                  <w:lang w:val="en-US"/>
                </w:rPr>
                <w:t>, Sage, Thousand Oaks, CA.</w:t>
              </w:r>
            </w:p>
            <w:p w14:paraId="34AB5B37"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Idemudia, U. 2014, ‘Corporate–community engagement strategies in the Niger Delta: Some critical reflections’, </w:t>
              </w:r>
              <w:r w:rsidRPr="00194A37">
                <w:rPr>
                  <w:rFonts w:ascii="Times New Roman" w:eastAsia="Times New Roman" w:hAnsi="Times New Roman" w:cs="Times New Roman"/>
                  <w:i/>
                  <w:iCs/>
                  <w:sz w:val="24"/>
                  <w:szCs w:val="24"/>
                  <w:lang w:val="en-US"/>
                </w:rPr>
                <w:t>The Extractive Industries and Society</w:t>
              </w:r>
              <w:r w:rsidRPr="00194A37">
                <w:rPr>
                  <w:rFonts w:ascii="Times New Roman" w:eastAsia="Times New Roman" w:hAnsi="Times New Roman" w:cs="Times New Roman"/>
                  <w:sz w:val="24"/>
                  <w:szCs w:val="24"/>
                  <w:lang w:val="en-US"/>
                </w:rPr>
                <w:t>, vol. 1, no. 2, pp. 154–162.</w:t>
              </w:r>
            </w:p>
            <w:p w14:paraId="2CD71EBB"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Idemudia, U. 2018, ‘Shell–NGO partnership and peace in Nigeria: Critical insights and implications’, </w:t>
              </w:r>
              <w:r w:rsidRPr="00194A37">
                <w:rPr>
                  <w:rFonts w:ascii="Times New Roman" w:eastAsia="Times New Roman" w:hAnsi="Times New Roman" w:cs="Times New Roman"/>
                  <w:i/>
                  <w:iCs/>
                  <w:sz w:val="24"/>
                  <w:szCs w:val="24"/>
                  <w:lang w:val="en-US"/>
                </w:rPr>
                <w:t>Organization &amp; Environment</w:t>
              </w:r>
              <w:r w:rsidRPr="00194A37">
                <w:rPr>
                  <w:rFonts w:ascii="Times New Roman" w:eastAsia="Times New Roman" w:hAnsi="Times New Roman" w:cs="Times New Roman"/>
                  <w:sz w:val="24"/>
                  <w:szCs w:val="24"/>
                  <w:lang w:val="en-US"/>
                </w:rPr>
                <w:t>, vol. 31, no. 4, pp. 384–405. doi:10.1177/1086026617718428</w:t>
              </w:r>
            </w:p>
            <w:p w14:paraId="53C2A5ED"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Khanna, T. &amp; Palepu, K. 2010, </w:t>
              </w:r>
              <w:r w:rsidRPr="00194A37">
                <w:rPr>
                  <w:rFonts w:ascii="Times New Roman" w:eastAsia="Times New Roman" w:hAnsi="Times New Roman" w:cs="Times New Roman"/>
                  <w:i/>
                  <w:iCs/>
                  <w:sz w:val="24"/>
                  <w:szCs w:val="24"/>
                  <w:lang w:val="en-US"/>
                </w:rPr>
                <w:t>Winning in Emerging Markets: A Road Map for Strategy and Execution</w:t>
              </w:r>
              <w:r w:rsidRPr="00194A37">
                <w:rPr>
                  <w:rFonts w:ascii="Times New Roman" w:eastAsia="Times New Roman" w:hAnsi="Times New Roman" w:cs="Times New Roman"/>
                  <w:sz w:val="24"/>
                  <w:szCs w:val="24"/>
                  <w:lang w:val="en-US"/>
                </w:rPr>
                <w:t>, Harvard Business Press, Boston, MA.</w:t>
              </w:r>
            </w:p>
            <w:p w14:paraId="6D646590"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Lindén, O. &amp; Pålsson, J. 2013, ‘Oil contamination in Ogoniland, Niger Delta’, </w:t>
              </w:r>
              <w:r w:rsidRPr="00194A37">
                <w:rPr>
                  <w:rFonts w:ascii="Times New Roman" w:eastAsia="Times New Roman" w:hAnsi="Times New Roman" w:cs="Times New Roman"/>
                  <w:i/>
                  <w:iCs/>
                  <w:sz w:val="24"/>
                  <w:szCs w:val="24"/>
                  <w:lang w:val="en-US"/>
                </w:rPr>
                <w:t>AMBIO</w:t>
              </w:r>
              <w:r w:rsidRPr="00194A37">
                <w:rPr>
                  <w:rFonts w:ascii="Times New Roman" w:eastAsia="Times New Roman" w:hAnsi="Times New Roman" w:cs="Times New Roman"/>
                  <w:sz w:val="24"/>
                  <w:szCs w:val="24"/>
                  <w:lang w:val="en-US"/>
                </w:rPr>
                <w:t>, vol. 42, no. 6, pp. 685–701. doi:10.1007/s13280-013-0412-8</w:t>
              </w:r>
            </w:p>
            <w:p w14:paraId="3F9937CE"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Miller, K.D. 1992, ‘A framework for integrated risk management in international business’, </w:t>
              </w:r>
              <w:r w:rsidRPr="00194A37">
                <w:rPr>
                  <w:rFonts w:ascii="Times New Roman" w:eastAsia="Times New Roman" w:hAnsi="Times New Roman" w:cs="Times New Roman"/>
                  <w:i/>
                  <w:iCs/>
                  <w:sz w:val="24"/>
                  <w:szCs w:val="24"/>
                  <w:lang w:val="en-US"/>
                </w:rPr>
                <w:t>Journal of International Business Studies</w:t>
              </w:r>
              <w:r w:rsidRPr="00194A37">
                <w:rPr>
                  <w:rFonts w:ascii="Times New Roman" w:eastAsia="Times New Roman" w:hAnsi="Times New Roman" w:cs="Times New Roman"/>
                  <w:sz w:val="24"/>
                  <w:szCs w:val="24"/>
                  <w:lang w:val="en-US"/>
                </w:rPr>
                <w:t>, vol. 23, no. 2, pp. 311–331. doi:10.1057/palgrave.jibs.8490270</w:t>
              </w:r>
            </w:p>
            <w:p w14:paraId="73FEA24A"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Porter, M.E. 1985, </w:t>
              </w:r>
              <w:r w:rsidRPr="00194A37">
                <w:rPr>
                  <w:rFonts w:ascii="Times New Roman" w:eastAsia="Times New Roman" w:hAnsi="Times New Roman" w:cs="Times New Roman"/>
                  <w:i/>
                  <w:iCs/>
                  <w:sz w:val="24"/>
                  <w:szCs w:val="24"/>
                  <w:lang w:val="en-US"/>
                </w:rPr>
                <w:t>Competitive Advantage: Creating and Sustaining Superior Performance</w:t>
              </w:r>
              <w:r w:rsidRPr="00194A37">
                <w:rPr>
                  <w:rFonts w:ascii="Times New Roman" w:eastAsia="Times New Roman" w:hAnsi="Times New Roman" w:cs="Times New Roman"/>
                  <w:sz w:val="24"/>
                  <w:szCs w:val="24"/>
                  <w:lang w:val="en-US"/>
                </w:rPr>
                <w:t>, Free Press, New York.</w:t>
              </w:r>
            </w:p>
            <w:p w14:paraId="0AA4E387"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Reuters 2024, ‘Shell to exit Nigeria’s troubled onshore oil after nearly a century’, </w:t>
              </w:r>
              <w:r w:rsidRPr="00194A37">
                <w:rPr>
                  <w:rFonts w:ascii="Times New Roman" w:eastAsia="Times New Roman" w:hAnsi="Times New Roman" w:cs="Times New Roman"/>
                  <w:i/>
                  <w:iCs/>
                  <w:sz w:val="24"/>
                  <w:szCs w:val="24"/>
                  <w:lang w:val="en-US"/>
                </w:rPr>
                <w:t>Reuters</w:t>
              </w:r>
              <w:r w:rsidRPr="00194A37">
                <w:rPr>
                  <w:rFonts w:ascii="Times New Roman" w:eastAsia="Times New Roman" w:hAnsi="Times New Roman" w:cs="Times New Roman"/>
                  <w:sz w:val="24"/>
                  <w:szCs w:val="24"/>
                  <w:lang w:val="en-US"/>
                </w:rPr>
                <w:t>, 16 January. [online] Available at: https://www.reuters.com</w:t>
              </w:r>
            </w:p>
            <w:p w14:paraId="72B96238"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Reuters 2024, ‘Fact check: Shell sells Nigerian onshore subsidiary but remains in offshore sector’, </w:t>
              </w:r>
              <w:r w:rsidRPr="00194A37">
                <w:rPr>
                  <w:rFonts w:ascii="Times New Roman" w:eastAsia="Times New Roman" w:hAnsi="Times New Roman" w:cs="Times New Roman"/>
                  <w:i/>
                  <w:iCs/>
                  <w:sz w:val="24"/>
                  <w:szCs w:val="24"/>
                  <w:lang w:val="en-US"/>
                </w:rPr>
                <w:t>Reuters</w:t>
              </w:r>
              <w:r w:rsidRPr="00194A37">
                <w:rPr>
                  <w:rFonts w:ascii="Times New Roman" w:eastAsia="Times New Roman" w:hAnsi="Times New Roman" w:cs="Times New Roman"/>
                  <w:sz w:val="24"/>
                  <w:szCs w:val="24"/>
                  <w:lang w:val="en-US"/>
                </w:rPr>
                <w:t>, 30 January. [online] Available at: https://www.reuters.com</w:t>
              </w:r>
            </w:p>
            <w:p w14:paraId="4CF9F6AE"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Reuters 2025, ‘Shell completes sale of Nigerian onshore subsidiary SPDC’, </w:t>
              </w:r>
              <w:r w:rsidRPr="00194A37">
                <w:rPr>
                  <w:rFonts w:ascii="Times New Roman" w:eastAsia="Times New Roman" w:hAnsi="Times New Roman" w:cs="Times New Roman"/>
                  <w:i/>
                  <w:iCs/>
                  <w:sz w:val="24"/>
                  <w:szCs w:val="24"/>
                  <w:lang w:val="en-US"/>
                </w:rPr>
                <w:t>Reuters</w:t>
              </w:r>
              <w:r w:rsidRPr="00194A37">
                <w:rPr>
                  <w:rFonts w:ascii="Times New Roman" w:eastAsia="Times New Roman" w:hAnsi="Times New Roman" w:cs="Times New Roman"/>
                  <w:sz w:val="24"/>
                  <w:szCs w:val="24"/>
                  <w:lang w:val="en-US"/>
                </w:rPr>
                <w:t>, 13 March. [online] Available at: https://www.reuters.com</w:t>
              </w:r>
            </w:p>
            <w:p w14:paraId="2C794043"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Rugman, A.M. &amp; Verbeke, A. 2004, ‘A perspective on regional and global strategies of multinational enterprises’, </w:t>
              </w:r>
              <w:r w:rsidRPr="00194A37">
                <w:rPr>
                  <w:rFonts w:ascii="Times New Roman" w:eastAsia="Times New Roman" w:hAnsi="Times New Roman" w:cs="Times New Roman"/>
                  <w:i/>
                  <w:iCs/>
                  <w:sz w:val="24"/>
                  <w:szCs w:val="24"/>
                  <w:lang w:val="en-US"/>
                </w:rPr>
                <w:t>Journal of International Business Studies</w:t>
              </w:r>
              <w:r w:rsidRPr="00194A37">
                <w:rPr>
                  <w:rFonts w:ascii="Times New Roman" w:eastAsia="Times New Roman" w:hAnsi="Times New Roman" w:cs="Times New Roman"/>
                  <w:sz w:val="24"/>
                  <w:szCs w:val="24"/>
                  <w:lang w:val="en-US"/>
                </w:rPr>
                <w:t>, vol. 35, no. 1, pp. 3–18.</w:t>
              </w:r>
            </w:p>
            <w:p w14:paraId="42A31605"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Shell plc 2024, </w:t>
              </w:r>
              <w:r w:rsidRPr="00194A37">
                <w:rPr>
                  <w:rFonts w:ascii="Times New Roman" w:eastAsia="Times New Roman" w:hAnsi="Times New Roman" w:cs="Times New Roman"/>
                  <w:i/>
                  <w:iCs/>
                  <w:sz w:val="24"/>
                  <w:szCs w:val="24"/>
                  <w:lang w:val="en-US"/>
                </w:rPr>
                <w:t>Annual Report and Accounts 2023</w:t>
              </w:r>
              <w:r w:rsidRPr="00194A37">
                <w:rPr>
                  <w:rFonts w:ascii="Times New Roman" w:eastAsia="Times New Roman" w:hAnsi="Times New Roman" w:cs="Times New Roman"/>
                  <w:sz w:val="24"/>
                  <w:szCs w:val="24"/>
                  <w:lang w:val="en-US"/>
                </w:rPr>
                <w:t xml:space="preserve">, Shell plc, London. [online] Available at: </w:t>
              </w:r>
              <w:hyperlink r:id="rId14" w:tgtFrame="_new" w:history="1">
                <w:r w:rsidRPr="00194A37">
                  <w:rPr>
                    <w:rFonts w:ascii="Times New Roman" w:eastAsia="Times New Roman" w:hAnsi="Times New Roman" w:cs="Times New Roman"/>
                    <w:sz w:val="24"/>
                    <w:szCs w:val="24"/>
                    <w:lang w:val="en-US"/>
                  </w:rPr>
                  <w:t>https://www.shell.com/investors/results-and-reporting/annual-report-archive.html</w:t>
                </w:r>
              </w:hyperlink>
            </w:p>
            <w:p w14:paraId="059082D4"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lastRenderedPageBreak/>
                <w:t xml:space="preserve">Shell plc 2024, ‘Shell agrees to sell Nigerian onshore subsidiary SPDC’, </w:t>
              </w:r>
              <w:r w:rsidRPr="00194A37">
                <w:rPr>
                  <w:rFonts w:ascii="Times New Roman" w:eastAsia="Times New Roman" w:hAnsi="Times New Roman" w:cs="Times New Roman"/>
                  <w:i/>
                  <w:iCs/>
                  <w:sz w:val="24"/>
                  <w:szCs w:val="24"/>
                  <w:lang w:val="en-US"/>
                </w:rPr>
                <w:t>News and media release</w:t>
              </w:r>
              <w:r w:rsidRPr="00194A37">
                <w:rPr>
                  <w:rFonts w:ascii="Times New Roman" w:eastAsia="Times New Roman" w:hAnsi="Times New Roman" w:cs="Times New Roman"/>
                  <w:sz w:val="24"/>
                  <w:szCs w:val="24"/>
                  <w:lang w:val="en-US"/>
                </w:rPr>
                <w:t xml:space="preserve">, 16 January. [online] Available at: </w:t>
              </w:r>
              <w:hyperlink r:id="rId15" w:tgtFrame="_new" w:history="1">
                <w:r w:rsidRPr="00194A37">
                  <w:rPr>
                    <w:rFonts w:ascii="Times New Roman" w:eastAsia="Times New Roman" w:hAnsi="Times New Roman" w:cs="Times New Roman"/>
                    <w:sz w:val="24"/>
                    <w:szCs w:val="24"/>
                    <w:lang w:val="en-US"/>
                  </w:rPr>
                  <w:t>https://www.shell.com/news-and-insights/newsroom/news-and-media-releases/2024/shell-agrees-to-sell-nigerian-onshore-subsidiary-spdc.html</w:t>
                </w:r>
              </w:hyperlink>
            </w:p>
            <w:p w14:paraId="13F7BDA9"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Shell plc 2025, ‘Shell invests in Nigeria offshore gas development’, </w:t>
              </w:r>
              <w:r w:rsidRPr="00194A37">
                <w:rPr>
                  <w:rFonts w:ascii="Times New Roman" w:eastAsia="Times New Roman" w:hAnsi="Times New Roman" w:cs="Times New Roman"/>
                  <w:i/>
                  <w:iCs/>
                  <w:sz w:val="24"/>
                  <w:szCs w:val="24"/>
                  <w:lang w:val="en-US"/>
                </w:rPr>
                <w:t>News and media release</w:t>
              </w:r>
              <w:r w:rsidRPr="00194A37">
                <w:rPr>
                  <w:rFonts w:ascii="Times New Roman" w:eastAsia="Times New Roman" w:hAnsi="Times New Roman" w:cs="Times New Roman"/>
                  <w:sz w:val="24"/>
                  <w:szCs w:val="24"/>
                  <w:lang w:val="en-US"/>
                </w:rPr>
                <w:t xml:space="preserve">, 14 October. [online] Available at: </w:t>
              </w:r>
              <w:hyperlink r:id="rId16" w:tgtFrame="_new" w:history="1">
                <w:r w:rsidRPr="00194A37">
                  <w:rPr>
                    <w:rFonts w:ascii="Times New Roman" w:eastAsia="Times New Roman" w:hAnsi="Times New Roman" w:cs="Times New Roman"/>
                    <w:sz w:val="24"/>
                    <w:szCs w:val="24"/>
                    <w:lang w:val="en-US"/>
                  </w:rPr>
                  <w:t>https://www.shell.com/news-and-insights/newsroom/news-and-media-releases/2025/shell-invests-in-nigeria-offshore-gas-development.html</w:t>
                </w:r>
              </w:hyperlink>
            </w:p>
            <w:p w14:paraId="2233AA2E"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Shell Nigeria 2025, ‘Shell Nigeria – About us and what we do’, Shell Companies in Nigeria. [online] Available at: </w:t>
              </w:r>
              <w:hyperlink r:id="rId17" w:tgtFrame="_new" w:history="1">
                <w:r w:rsidRPr="00194A37">
                  <w:rPr>
                    <w:rFonts w:ascii="Times New Roman" w:eastAsia="Times New Roman" w:hAnsi="Times New Roman" w:cs="Times New Roman"/>
                    <w:sz w:val="24"/>
                    <w:szCs w:val="24"/>
                    <w:lang w:val="en-US"/>
                  </w:rPr>
                  <w:t>https://www.shell.com.ng</w:t>
                </w:r>
              </w:hyperlink>
            </w:p>
            <w:p w14:paraId="33145983"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Teece, D.J. 2014, ‘A dynamic capabilities-based entrepreneurial theory of the multinational enterprise’, </w:t>
              </w:r>
              <w:r w:rsidRPr="00194A37">
                <w:rPr>
                  <w:rFonts w:ascii="Times New Roman" w:eastAsia="Times New Roman" w:hAnsi="Times New Roman" w:cs="Times New Roman"/>
                  <w:i/>
                  <w:iCs/>
                  <w:sz w:val="24"/>
                  <w:szCs w:val="24"/>
                  <w:lang w:val="en-US"/>
                </w:rPr>
                <w:t>Journal of International Business Studies</w:t>
              </w:r>
              <w:r w:rsidRPr="00194A37">
                <w:rPr>
                  <w:rFonts w:ascii="Times New Roman" w:eastAsia="Times New Roman" w:hAnsi="Times New Roman" w:cs="Times New Roman"/>
                  <w:sz w:val="24"/>
                  <w:szCs w:val="24"/>
                  <w:lang w:val="en-US"/>
                </w:rPr>
                <w:t>, vol. 45, no. 1, pp. 8–37.</w:t>
              </w:r>
            </w:p>
            <w:p w14:paraId="2EBAD646"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Uduji, J.I., Okolo-Obasi, E.N. &amp; Asongu, S.A. 2021, ‘Oil extraction in Nigeria’s Ogoniland: The role of corporate social responsibility in averting a resurgence of violence’, </w:t>
              </w:r>
              <w:r w:rsidRPr="00194A37">
                <w:rPr>
                  <w:rFonts w:ascii="Times New Roman" w:eastAsia="Times New Roman" w:hAnsi="Times New Roman" w:cs="Times New Roman"/>
                  <w:i/>
                  <w:iCs/>
                  <w:sz w:val="24"/>
                  <w:szCs w:val="24"/>
                  <w:lang w:val="en-US"/>
                </w:rPr>
                <w:t>Resources Policy</w:t>
              </w:r>
              <w:r w:rsidRPr="00194A37">
                <w:rPr>
                  <w:rFonts w:ascii="Times New Roman" w:eastAsia="Times New Roman" w:hAnsi="Times New Roman" w:cs="Times New Roman"/>
                  <w:sz w:val="24"/>
                  <w:szCs w:val="24"/>
                  <w:lang w:val="en-US"/>
                </w:rPr>
                <w:t>, vol. 70, 101927.</w:t>
              </w:r>
            </w:p>
            <w:p w14:paraId="50BB138B" w14:textId="77777777"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UNEP (United Nations Environment Programme) 2011, </w:t>
              </w:r>
              <w:r w:rsidRPr="00194A37">
                <w:rPr>
                  <w:rFonts w:ascii="Times New Roman" w:eastAsia="Times New Roman" w:hAnsi="Times New Roman" w:cs="Times New Roman"/>
                  <w:i/>
                  <w:iCs/>
                  <w:sz w:val="24"/>
                  <w:szCs w:val="24"/>
                  <w:lang w:val="en-US"/>
                </w:rPr>
                <w:t>Environmental Assessment of Ogoniland</w:t>
              </w:r>
              <w:r w:rsidRPr="00194A37">
                <w:rPr>
                  <w:rFonts w:ascii="Times New Roman" w:eastAsia="Times New Roman" w:hAnsi="Times New Roman" w:cs="Times New Roman"/>
                  <w:sz w:val="24"/>
                  <w:szCs w:val="24"/>
                  <w:lang w:val="en-US"/>
                </w:rPr>
                <w:t xml:space="preserve">, UNEP, Nairobi. [online] Available at: </w:t>
              </w:r>
              <w:hyperlink r:id="rId18" w:tgtFrame="_new" w:history="1">
                <w:r w:rsidRPr="00194A37">
                  <w:rPr>
                    <w:rFonts w:ascii="Times New Roman" w:eastAsia="Times New Roman" w:hAnsi="Times New Roman" w:cs="Times New Roman"/>
                    <w:sz w:val="24"/>
                    <w:szCs w:val="24"/>
                    <w:lang w:val="en-US"/>
                  </w:rPr>
                  <w:t>https://www.unep.org</w:t>
                </w:r>
              </w:hyperlink>
            </w:p>
            <w:p w14:paraId="37FC10C8" w14:textId="0A76594A" w:rsidR="00BF1211" w:rsidRPr="00194A37" w:rsidRDefault="00BF1211" w:rsidP="00194A37">
              <w:pPr>
                <w:pStyle w:val="ListParagraph"/>
                <w:numPr>
                  <w:ilvl w:val="0"/>
                  <w:numId w:val="9"/>
                </w:numPr>
                <w:spacing w:before="100" w:beforeAutospacing="1" w:after="100" w:afterAutospacing="1"/>
                <w:rPr>
                  <w:rFonts w:ascii="Times New Roman" w:eastAsia="Times New Roman" w:hAnsi="Times New Roman" w:cs="Times New Roman"/>
                  <w:sz w:val="24"/>
                  <w:szCs w:val="24"/>
                  <w:lang w:val="en-US"/>
                </w:rPr>
              </w:pPr>
              <w:r w:rsidRPr="00194A37">
                <w:rPr>
                  <w:rFonts w:ascii="Times New Roman" w:eastAsia="Times New Roman" w:hAnsi="Times New Roman" w:cs="Times New Roman"/>
                  <w:sz w:val="24"/>
                  <w:szCs w:val="24"/>
                  <w:lang w:val="en-US"/>
                </w:rPr>
                <w:t xml:space="preserve">Financial Times 2024, ‘Big Oil’s dirty legacy in Nigeria’, </w:t>
              </w:r>
              <w:r w:rsidRPr="00194A37">
                <w:rPr>
                  <w:rFonts w:ascii="Times New Roman" w:eastAsia="Times New Roman" w:hAnsi="Times New Roman" w:cs="Times New Roman"/>
                  <w:i/>
                  <w:iCs/>
                  <w:sz w:val="24"/>
                  <w:szCs w:val="24"/>
                  <w:lang w:val="en-US"/>
                </w:rPr>
                <w:t>Financial Times</w:t>
              </w:r>
              <w:r w:rsidRPr="00194A37">
                <w:rPr>
                  <w:rFonts w:ascii="Times New Roman" w:eastAsia="Times New Roman" w:hAnsi="Times New Roman" w:cs="Times New Roman"/>
                  <w:sz w:val="24"/>
                  <w:szCs w:val="24"/>
                  <w:lang w:val="en-US"/>
                </w:rPr>
                <w:t>, 6 November. [online] Available at: https://www.ft.com</w:t>
              </w:r>
            </w:p>
          </w:sdtContent>
        </w:sdt>
      </w:sdtContent>
    </w:sdt>
    <w:p w14:paraId="5A861B70" w14:textId="77777777" w:rsidR="00041330" w:rsidRDefault="00041330" w:rsidP="00AD4D1F">
      <w:pPr>
        <w:spacing w:before="100" w:beforeAutospacing="1" w:after="100" w:afterAutospacing="1" w:line="240" w:lineRule="auto"/>
        <w:outlineLvl w:val="1"/>
        <w:rPr>
          <w:rFonts w:ascii="Times New Roman" w:eastAsia="Times New Roman" w:hAnsi="Times New Roman" w:cs="Times New Roman"/>
          <w:b/>
          <w:bCs/>
          <w:sz w:val="36"/>
          <w:szCs w:val="36"/>
          <w:lang w:val="en-US"/>
        </w:rPr>
      </w:pPr>
    </w:p>
    <w:p w14:paraId="40E3B564" w14:textId="77777777" w:rsidR="00912A97" w:rsidRDefault="00912A97" w:rsidP="00AD4D1F">
      <w:pPr>
        <w:spacing w:before="100" w:beforeAutospacing="1" w:after="100" w:afterAutospacing="1" w:line="240" w:lineRule="auto"/>
        <w:outlineLvl w:val="1"/>
        <w:rPr>
          <w:rFonts w:ascii="Times New Roman" w:eastAsia="Times New Roman" w:hAnsi="Times New Roman" w:cs="Times New Roman"/>
          <w:b/>
          <w:bCs/>
          <w:sz w:val="36"/>
          <w:szCs w:val="36"/>
          <w:lang w:val="en-US"/>
        </w:rPr>
      </w:pPr>
    </w:p>
    <w:p w14:paraId="7EB93BC0" w14:textId="77777777" w:rsidR="00912A97" w:rsidRDefault="00912A97" w:rsidP="00AD4D1F">
      <w:pPr>
        <w:spacing w:before="100" w:beforeAutospacing="1" w:after="100" w:afterAutospacing="1" w:line="240" w:lineRule="auto"/>
        <w:outlineLvl w:val="1"/>
        <w:rPr>
          <w:rFonts w:ascii="Times New Roman" w:eastAsia="Times New Roman" w:hAnsi="Times New Roman" w:cs="Times New Roman"/>
          <w:b/>
          <w:bCs/>
          <w:sz w:val="36"/>
          <w:szCs w:val="36"/>
          <w:lang w:val="en-US"/>
        </w:rPr>
      </w:pPr>
    </w:p>
    <w:p w14:paraId="7315B550" w14:textId="77777777" w:rsidR="00912A97" w:rsidRDefault="00912A97" w:rsidP="00AD4D1F">
      <w:pPr>
        <w:spacing w:before="100" w:beforeAutospacing="1" w:after="100" w:afterAutospacing="1" w:line="240" w:lineRule="auto"/>
        <w:outlineLvl w:val="1"/>
        <w:rPr>
          <w:rFonts w:ascii="Times New Roman" w:eastAsia="Times New Roman" w:hAnsi="Times New Roman" w:cs="Times New Roman"/>
          <w:b/>
          <w:bCs/>
          <w:sz w:val="36"/>
          <w:szCs w:val="36"/>
          <w:lang w:val="en-US"/>
        </w:rPr>
      </w:pPr>
    </w:p>
    <w:p w14:paraId="19780830" w14:textId="77777777" w:rsidR="00041330" w:rsidRDefault="00041330" w:rsidP="00AD4D1F">
      <w:pPr>
        <w:spacing w:before="100" w:beforeAutospacing="1" w:after="100" w:afterAutospacing="1" w:line="240" w:lineRule="auto"/>
        <w:outlineLvl w:val="1"/>
        <w:rPr>
          <w:rFonts w:ascii="Times New Roman" w:eastAsia="Times New Roman" w:hAnsi="Times New Roman" w:cs="Times New Roman"/>
          <w:b/>
          <w:bCs/>
          <w:sz w:val="36"/>
          <w:szCs w:val="36"/>
          <w:lang w:val="en-US"/>
        </w:rPr>
      </w:pPr>
    </w:p>
    <w:p w14:paraId="7984E8E5" w14:textId="77777777" w:rsidR="00041330" w:rsidRDefault="00041330" w:rsidP="00AD4D1F">
      <w:pPr>
        <w:spacing w:before="100" w:beforeAutospacing="1" w:after="100" w:afterAutospacing="1" w:line="240" w:lineRule="auto"/>
        <w:outlineLvl w:val="1"/>
        <w:rPr>
          <w:rFonts w:ascii="Times New Roman" w:eastAsia="Times New Roman" w:hAnsi="Times New Roman" w:cs="Times New Roman"/>
          <w:b/>
          <w:bCs/>
          <w:sz w:val="36"/>
          <w:szCs w:val="36"/>
          <w:lang w:val="en-US"/>
        </w:rPr>
      </w:pPr>
    </w:p>
    <w:p w14:paraId="1A4EE5C5" w14:textId="77777777" w:rsidR="0069602A" w:rsidRPr="0069602A" w:rsidRDefault="0069602A">
      <w:pPr>
        <w:rPr>
          <w:lang w:val="en-US"/>
        </w:rPr>
      </w:pPr>
    </w:p>
    <w:sectPr w:rsidR="0069602A" w:rsidRPr="0069602A">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5D44F" w14:textId="77777777" w:rsidR="001A73C0" w:rsidRDefault="001A73C0" w:rsidP="00E85E9B">
      <w:pPr>
        <w:spacing w:after="0" w:line="240" w:lineRule="auto"/>
      </w:pPr>
      <w:r>
        <w:separator/>
      </w:r>
    </w:p>
  </w:endnote>
  <w:endnote w:type="continuationSeparator" w:id="0">
    <w:p w14:paraId="019F4950" w14:textId="77777777" w:rsidR="001A73C0" w:rsidRDefault="001A73C0" w:rsidP="00E85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7868280"/>
      <w:docPartObj>
        <w:docPartGallery w:val="Page Numbers (Bottom of Page)"/>
        <w:docPartUnique/>
      </w:docPartObj>
    </w:sdtPr>
    <w:sdtContent>
      <w:p w14:paraId="6B22FCD6" w14:textId="627E3899" w:rsidR="009745A8" w:rsidRDefault="009745A8">
        <w:pPr>
          <w:pStyle w:val="Footer"/>
          <w:jc w:val="right"/>
        </w:pPr>
        <w:r>
          <w:fldChar w:fldCharType="begin"/>
        </w:r>
        <w:r>
          <w:instrText>PAGE   \* MERGEFORMAT</w:instrText>
        </w:r>
        <w:r>
          <w:fldChar w:fldCharType="separate"/>
        </w:r>
        <w:r>
          <w:t>2</w:t>
        </w:r>
        <w:r>
          <w:fldChar w:fldCharType="end"/>
        </w:r>
      </w:p>
    </w:sdtContent>
  </w:sdt>
  <w:p w14:paraId="1EDCDFE5" w14:textId="77777777" w:rsidR="009745A8" w:rsidRDefault="00974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FC0B5" w14:textId="77777777" w:rsidR="001A73C0" w:rsidRDefault="001A73C0" w:rsidP="00E85E9B">
      <w:pPr>
        <w:spacing w:after="0" w:line="240" w:lineRule="auto"/>
      </w:pPr>
      <w:r>
        <w:separator/>
      </w:r>
    </w:p>
  </w:footnote>
  <w:footnote w:type="continuationSeparator" w:id="0">
    <w:p w14:paraId="517B7E1D" w14:textId="77777777" w:rsidR="001A73C0" w:rsidRDefault="001A73C0" w:rsidP="00E85E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B2277"/>
    <w:multiLevelType w:val="multilevel"/>
    <w:tmpl w:val="B64AE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F281C"/>
    <w:multiLevelType w:val="hybridMultilevel"/>
    <w:tmpl w:val="D9C608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F7703D"/>
    <w:multiLevelType w:val="multilevel"/>
    <w:tmpl w:val="49162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022D5E"/>
    <w:multiLevelType w:val="hybridMultilevel"/>
    <w:tmpl w:val="3976F2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4975103"/>
    <w:multiLevelType w:val="hybridMultilevel"/>
    <w:tmpl w:val="A06E193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49B6666"/>
    <w:multiLevelType w:val="multilevel"/>
    <w:tmpl w:val="625603D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34BD7372"/>
    <w:multiLevelType w:val="multilevel"/>
    <w:tmpl w:val="689EFC6A"/>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9654C99"/>
    <w:multiLevelType w:val="hybridMultilevel"/>
    <w:tmpl w:val="110A12A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5F8B109C"/>
    <w:multiLevelType w:val="hybridMultilevel"/>
    <w:tmpl w:val="E81C1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8A4035"/>
    <w:multiLevelType w:val="hybridMultilevel"/>
    <w:tmpl w:val="689CB4D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195650515">
    <w:abstractNumId w:val="5"/>
  </w:num>
  <w:num w:numId="2" w16cid:durableId="1499149472">
    <w:abstractNumId w:val="0"/>
  </w:num>
  <w:num w:numId="3" w16cid:durableId="1617371070">
    <w:abstractNumId w:val="2"/>
  </w:num>
  <w:num w:numId="4" w16cid:durableId="693306168">
    <w:abstractNumId w:val="9"/>
  </w:num>
  <w:num w:numId="5" w16cid:durableId="320819223">
    <w:abstractNumId w:val="6"/>
  </w:num>
  <w:num w:numId="6" w16cid:durableId="974870435">
    <w:abstractNumId w:val="8"/>
  </w:num>
  <w:num w:numId="7" w16cid:durableId="511992393">
    <w:abstractNumId w:val="4"/>
  </w:num>
  <w:num w:numId="8" w16cid:durableId="157812285">
    <w:abstractNumId w:val="1"/>
  </w:num>
  <w:num w:numId="9" w16cid:durableId="1283221778">
    <w:abstractNumId w:val="3"/>
  </w:num>
  <w:num w:numId="10" w16cid:durableId="9195628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02A"/>
    <w:rsid w:val="00000984"/>
    <w:rsid w:val="00016E97"/>
    <w:rsid w:val="00027CCB"/>
    <w:rsid w:val="00041330"/>
    <w:rsid w:val="00056B01"/>
    <w:rsid w:val="000636C3"/>
    <w:rsid w:val="00064225"/>
    <w:rsid w:val="00096313"/>
    <w:rsid w:val="000D3159"/>
    <w:rsid w:val="000D594F"/>
    <w:rsid w:val="000E6378"/>
    <w:rsid w:val="000F7AAE"/>
    <w:rsid w:val="001257E1"/>
    <w:rsid w:val="0013336A"/>
    <w:rsid w:val="00141B56"/>
    <w:rsid w:val="00143801"/>
    <w:rsid w:val="001444D9"/>
    <w:rsid w:val="001600CD"/>
    <w:rsid w:val="00176820"/>
    <w:rsid w:val="00186E8E"/>
    <w:rsid w:val="00194A37"/>
    <w:rsid w:val="001A73C0"/>
    <w:rsid w:val="001B01F2"/>
    <w:rsid w:val="001B0C33"/>
    <w:rsid w:val="001B5770"/>
    <w:rsid w:val="001E4B88"/>
    <w:rsid w:val="00204D10"/>
    <w:rsid w:val="002070ED"/>
    <w:rsid w:val="00224E86"/>
    <w:rsid w:val="00225072"/>
    <w:rsid w:val="002739D8"/>
    <w:rsid w:val="00276474"/>
    <w:rsid w:val="00283631"/>
    <w:rsid w:val="002874F0"/>
    <w:rsid w:val="002B6744"/>
    <w:rsid w:val="002D7FA9"/>
    <w:rsid w:val="002E61A1"/>
    <w:rsid w:val="002F51F5"/>
    <w:rsid w:val="00302C96"/>
    <w:rsid w:val="00310CA1"/>
    <w:rsid w:val="00321118"/>
    <w:rsid w:val="0034517E"/>
    <w:rsid w:val="003509E7"/>
    <w:rsid w:val="00353B8F"/>
    <w:rsid w:val="0037463B"/>
    <w:rsid w:val="003765D6"/>
    <w:rsid w:val="003806D2"/>
    <w:rsid w:val="00383950"/>
    <w:rsid w:val="00395D7B"/>
    <w:rsid w:val="003B2EDA"/>
    <w:rsid w:val="003C0578"/>
    <w:rsid w:val="003C390E"/>
    <w:rsid w:val="003E57D7"/>
    <w:rsid w:val="003F1097"/>
    <w:rsid w:val="00415FC0"/>
    <w:rsid w:val="004214A2"/>
    <w:rsid w:val="00442711"/>
    <w:rsid w:val="0044771E"/>
    <w:rsid w:val="0045017B"/>
    <w:rsid w:val="004517A5"/>
    <w:rsid w:val="00452273"/>
    <w:rsid w:val="004573A0"/>
    <w:rsid w:val="0048464F"/>
    <w:rsid w:val="004A0663"/>
    <w:rsid w:val="004B2CDA"/>
    <w:rsid w:val="004C7B99"/>
    <w:rsid w:val="004D3494"/>
    <w:rsid w:val="0050529E"/>
    <w:rsid w:val="00505D94"/>
    <w:rsid w:val="00525DAA"/>
    <w:rsid w:val="00532D0C"/>
    <w:rsid w:val="00542701"/>
    <w:rsid w:val="0055211D"/>
    <w:rsid w:val="0056241F"/>
    <w:rsid w:val="0056249E"/>
    <w:rsid w:val="005B2DB8"/>
    <w:rsid w:val="005C38B1"/>
    <w:rsid w:val="005C7B92"/>
    <w:rsid w:val="005D791D"/>
    <w:rsid w:val="005F7FBF"/>
    <w:rsid w:val="0060244D"/>
    <w:rsid w:val="00602607"/>
    <w:rsid w:val="00605E4C"/>
    <w:rsid w:val="00611AE5"/>
    <w:rsid w:val="00636FF3"/>
    <w:rsid w:val="006603E7"/>
    <w:rsid w:val="00672563"/>
    <w:rsid w:val="006822B3"/>
    <w:rsid w:val="006822EB"/>
    <w:rsid w:val="0068504A"/>
    <w:rsid w:val="0069602A"/>
    <w:rsid w:val="006A0409"/>
    <w:rsid w:val="006C7215"/>
    <w:rsid w:val="006D22E7"/>
    <w:rsid w:val="006E443B"/>
    <w:rsid w:val="006F71F4"/>
    <w:rsid w:val="00700CB8"/>
    <w:rsid w:val="00725778"/>
    <w:rsid w:val="00726277"/>
    <w:rsid w:val="00745DA0"/>
    <w:rsid w:val="0076460B"/>
    <w:rsid w:val="00773F9F"/>
    <w:rsid w:val="0077783F"/>
    <w:rsid w:val="00780F77"/>
    <w:rsid w:val="007835D3"/>
    <w:rsid w:val="007836F5"/>
    <w:rsid w:val="00794742"/>
    <w:rsid w:val="007956BD"/>
    <w:rsid w:val="007A0C47"/>
    <w:rsid w:val="007C306E"/>
    <w:rsid w:val="007D751E"/>
    <w:rsid w:val="007E0803"/>
    <w:rsid w:val="007E4034"/>
    <w:rsid w:val="008107CB"/>
    <w:rsid w:val="008202A4"/>
    <w:rsid w:val="0085038C"/>
    <w:rsid w:val="008659D8"/>
    <w:rsid w:val="00873320"/>
    <w:rsid w:val="0087679A"/>
    <w:rsid w:val="008853E6"/>
    <w:rsid w:val="00890845"/>
    <w:rsid w:val="00890DC8"/>
    <w:rsid w:val="008B3DF1"/>
    <w:rsid w:val="008C6F0C"/>
    <w:rsid w:val="009125CE"/>
    <w:rsid w:val="00912A97"/>
    <w:rsid w:val="009241AA"/>
    <w:rsid w:val="00956B92"/>
    <w:rsid w:val="009643A0"/>
    <w:rsid w:val="00967085"/>
    <w:rsid w:val="00970D3F"/>
    <w:rsid w:val="009745A8"/>
    <w:rsid w:val="009868D2"/>
    <w:rsid w:val="00993D03"/>
    <w:rsid w:val="0099507A"/>
    <w:rsid w:val="009A0BA2"/>
    <w:rsid w:val="009B73D8"/>
    <w:rsid w:val="009C28DF"/>
    <w:rsid w:val="00A0451F"/>
    <w:rsid w:val="00A16BAE"/>
    <w:rsid w:val="00A33A86"/>
    <w:rsid w:val="00A4408E"/>
    <w:rsid w:val="00A90D50"/>
    <w:rsid w:val="00A91EA4"/>
    <w:rsid w:val="00A921E0"/>
    <w:rsid w:val="00A93B06"/>
    <w:rsid w:val="00AA0B6A"/>
    <w:rsid w:val="00AA3F5C"/>
    <w:rsid w:val="00AD4D1F"/>
    <w:rsid w:val="00AD6516"/>
    <w:rsid w:val="00AE78BA"/>
    <w:rsid w:val="00AF09DD"/>
    <w:rsid w:val="00B12029"/>
    <w:rsid w:val="00B203EF"/>
    <w:rsid w:val="00B37DEB"/>
    <w:rsid w:val="00B40B5D"/>
    <w:rsid w:val="00B446ED"/>
    <w:rsid w:val="00BA37BD"/>
    <w:rsid w:val="00BB58A9"/>
    <w:rsid w:val="00BD2F64"/>
    <w:rsid w:val="00BF1211"/>
    <w:rsid w:val="00C64C27"/>
    <w:rsid w:val="00C74215"/>
    <w:rsid w:val="00C80DDE"/>
    <w:rsid w:val="00C94DC2"/>
    <w:rsid w:val="00CA13A0"/>
    <w:rsid w:val="00CC1748"/>
    <w:rsid w:val="00CF4EED"/>
    <w:rsid w:val="00CF7EA9"/>
    <w:rsid w:val="00D0171C"/>
    <w:rsid w:val="00D62B03"/>
    <w:rsid w:val="00D72A84"/>
    <w:rsid w:val="00D7761B"/>
    <w:rsid w:val="00D838F0"/>
    <w:rsid w:val="00DA1CBF"/>
    <w:rsid w:val="00DB4404"/>
    <w:rsid w:val="00DC0596"/>
    <w:rsid w:val="00DD75A4"/>
    <w:rsid w:val="00DE1CC5"/>
    <w:rsid w:val="00DE3D3A"/>
    <w:rsid w:val="00DF33EE"/>
    <w:rsid w:val="00DF6F96"/>
    <w:rsid w:val="00E7141C"/>
    <w:rsid w:val="00E72BFF"/>
    <w:rsid w:val="00E821B7"/>
    <w:rsid w:val="00E85E9B"/>
    <w:rsid w:val="00EA0B48"/>
    <w:rsid w:val="00EA146E"/>
    <w:rsid w:val="00EC1A01"/>
    <w:rsid w:val="00EF3EFB"/>
    <w:rsid w:val="00F269A2"/>
    <w:rsid w:val="00F7026C"/>
    <w:rsid w:val="00F90CDE"/>
    <w:rsid w:val="00F93380"/>
    <w:rsid w:val="00F9604F"/>
    <w:rsid w:val="00FA09F2"/>
    <w:rsid w:val="00FB1E5B"/>
    <w:rsid w:val="00FC4892"/>
    <w:rsid w:val="00FF1FCE"/>
    <w:rsid w:val="00FF5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2181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02A"/>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69602A"/>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69602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69602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9602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6960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60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60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60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02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69602A"/>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69602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rsid w:val="0069602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69602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6960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0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0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02A"/>
    <w:rPr>
      <w:rFonts w:eastAsiaTheme="majorEastAsia" w:cstheme="majorBidi"/>
      <w:color w:val="272727" w:themeColor="text1" w:themeTint="D8"/>
    </w:rPr>
  </w:style>
  <w:style w:type="paragraph" w:styleId="Title">
    <w:name w:val="Title"/>
    <w:basedOn w:val="Normal"/>
    <w:next w:val="Normal"/>
    <w:link w:val="TitleChar"/>
    <w:uiPriority w:val="10"/>
    <w:qFormat/>
    <w:rsid w:val="006960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0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0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0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0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602A"/>
    <w:rPr>
      <w:i/>
      <w:iCs/>
      <w:color w:val="404040" w:themeColor="text1" w:themeTint="BF"/>
    </w:rPr>
  </w:style>
  <w:style w:type="paragraph" w:styleId="ListParagraph">
    <w:name w:val="List Paragraph"/>
    <w:basedOn w:val="Normal"/>
    <w:uiPriority w:val="34"/>
    <w:qFormat/>
    <w:rsid w:val="0069602A"/>
    <w:pPr>
      <w:ind w:left="720"/>
      <w:contextualSpacing/>
    </w:pPr>
  </w:style>
  <w:style w:type="character" w:styleId="IntenseEmphasis">
    <w:name w:val="Intense Emphasis"/>
    <w:basedOn w:val="DefaultParagraphFont"/>
    <w:uiPriority w:val="21"/>
    <w:qFormat/>
    <w:rsid w:val="0069602A"/>
    <w:rPr>
      <w:i/>
      <w:iCs/>
      <w:color w:val="365F91" w:themeColor="accent1" w:themeShade="BF"/>
    </w:rPr>
  </w:style>
  <w:style w:type="paragraph" w:styleId="IntenseQuote">
    <w:name w:val="Intense Quote"/>
    <w:basedOn w:val="Normal"/>
    <w:next w:val="Normal"/>
    <w:link w:val="IntenseQuoteChar"/>
    <w:uiPriority w:val="30"/>
    <w:qFormat/>
    <w:rsid w:val="0069602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9602A"/>
    <w:rPr>
      <w:i/>
      <w:iCs/>
      <w:color w:val="365F91" w:themeColor="accent1" w:themeShade="BF"/>
    </w:rPr>
  </w:style>
  <w:style w:type="character" w:styleId="IntenseReference">
    <w:name w:val="Intense Reference"/>
    <w:basedOn w:val="DefaultParagraphFont"/>
    <w:uiPriority w:val="32"/>
    <w:qFormat/>
    <w:rsid w:val="0069602A"/>
    <w:rPr>
      <w:b/>
      <w:bCs/>
      <w:smallCaps/>
      <w:color w:val="365F91" w:themeColor="accent1" w:themeShade="BF"/>
      <w:spacing w:val="5"/>
    </w:rPr>
  </w:style>
  <w:style w:type="paragraph" w:styleId="NormalWeb">
    <w:name w:val="Normal (Web)"/>
    <w:basedOn w:val="Normal"/>
    <w:uiPriority w:val="99"/>
    <w:semiHidden/>
    <w:unhideWhenUsed/>
    <w:rsid w:val="0069602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ms-1">
    <w:name w:val="ms-1"/>
    <w:basedOn w:val="DefaultParagraphFont"/>
    <w:rsid w:val="0069602A"/>
  </w:style>
  <w:style w:type="character" w:styleId="Hyperlink">
    <w:name w:val="Hyperlink"/>
    <w:basedOn w:val="DefaultParagraphFont"/>
    <w:uiPriority w:val="99"/>
    <w:unhideWhenUsed/>
    <w:rsid w:val="0069602A"/>
    <w:rPr>
      <w:color w:val="0000FF"/>
      <w:u w:val="single"/>
    </w:rPr>
  </w:style>
  <w:style w:type="character" w:customStyle="1" w:styleId="max-w-15ch">
    <w:name w:val="max-w-[15ch]"/>
    <w:basedOn w:val="DefaultParagraphFont"/>
    <w:rsid w:val="0069602A"/>
  </w:style>
  <w:style w:type="character" w:customStyle="1" w:styleId="-me-1">
    <w:name w:val="-me-1"/>
    <w:basedOn w:val="DefaultParagraphFont"/>
    <w:rsid w:val="0069602A"/>
  </w:style>
  <w:style w:type="character" w:styleId="Emphasis">
    <w:name w:val="Emphasis"/>
    <w:basedOn w:val="DefaultParagraphFont"/>
    <w:uiPriority w:val="20"/>
    <w:qFormat/>
    <w:rsid w:val="0069602A"/>
    <w:rPr>
      <w:i/>
      <w:iCs/>
    </w:rPr>
  </w:style>
  <w:style w:type="character" w:styleId="Strong">
    <w:name w:val="Strong"/>
    <w:basedOn w:val="DefaultParagraphFont"/>
    <w:uiPriority w:val="22"/>
    <w:qFormat/>
    <w:rsid w:val="0069602A"/>
    <w:rPr>
      <w:b/>
      <w:bCs/>
    </w:rPr>
  </w:style>
  <w:style w:type="table" w:styleId="GridTable5Dark-Accent1">
    <w:name w:val="Grid Table 5 Dark Accent 1"/>
    <w:basedOn w:val="TableNormal"/>
    <w:uiPriority w:val="50"/>
    <w:rsid w:val="00D838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TOCHeading">
    <w:name w:val="TOC Heading"/>
    <w:basedOn w:val="Heading1"/>
    <w:next w:val="Normal"/>
    <w:uiPriority w:val="39"/>
    <w:unhideWhenUsed/>
    <w:qFormat/>
    <w:rsid w:val="00224E86"/>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224E86"/>
    <w:pPr>
      <w:spacing w:after="100"/>
    </w:pPr>
  </w:style>
  <w:style w:type="paragraph" w:styleId="TOC2">
    <w:name w:val="toc 2"/>
    <w:basedOn w:val="Normal"/>
    <w:next w:val="Normal"/>
    <w:autoRedefine/>
    <w:uiPriority w:val="39"/>
    <w:unhideWhenUsed/>
    <w:rsid w:val="00224E86"/>
    <w:pPr>
      <w:spacing w:after="100"/>
      <w:ind w:left="220"/>
    </w:pPr>
  </w:style>
  <w:style w:type="paragraph" w:styleId="TOC3">
    <w:name w:val="toc 3"/>
    <w:basedOn w:val="Normal"/>
    <w:next w:val="Normal"/>
    <w:autoRedefine/>
    <w:uiPriority w:val="39"/>
    <w:unhideWhenUsed/>
    <w:rsid w:val="00224E86"/>
    <w:pPr>
      <w:spacing w:after="100"/>
      <w:ind w:left="440"/>
    </w:pPr>
  </w:style>
  <w:style w:type="paragraph" w:styleId="Header">
    <w:name w:val="header"/>
    <w:basedOn w:val="Normal"/>
    <w:link w:val="HeaderChar"/>
    <w:uiPriority w:val="99"/>
    <w:unhideWhenUsed/>
    <w:rsid w:val="00E85E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E9B"/>
  </w:style>
  <w:style w:type="paragraph" w:styleId="Footer">
    <w:name w:val="footer"/>
    <w:basedOn w:val="Normal"/>
    <w:link w:val="FooterChar"/>
    <w:uiPriority w:val="99"/>
    <w:unhideWhenUsed/>
    <w:rsid w:val="00E85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E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fstede-insights.com" TargetMode="External"/><Relationship Id="rId18" Type="http://schemas.openxmlformats.org/officeDocument/2006/relationships/hyperlink" Target="https://www.unep.or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hell.com.ng?utm_source=chatgpt.com" TargetMode="External"/><Relationship Id="rId2" Type="http://schemas.openxmlformats.org/officeDocument/2006/relationships/numbering" Target="numbering.xml"/><Relationship Id="rId16" Type="http://schemas.openxmlformats.org/officeDocument/2006/relationships/hyperlink" Target="https://www.shell.com/news-and-insights/newsroom/news-and-media-releases/2025/shell-invests-in-nigeria-offshore-gas-development.html?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shell.com/news-and-insights/newsroom/news-and-media-releases/2024/shell-agrees-to-sell-nigerian-onshore-subsidiary-spdc.html?utm_source=chatgpt.com"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hell.com/investors/results-and-reporting/annual-report-archive.htm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86EC9C-7661-41EA-BBC5-ED8651E3D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7758</Words>
  <Characters>44227</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2025-11-21T23:48:00Z</dcterms:created>
  <dcterms:modified xsi:type="dcterms:W3CDTF">2025-11-21T23:48:00Z</dcterms:modified>
</cp:coreProperties>
</file>