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ACBDB6" w14:textId="3C578BF6" w:rsidR="003F3651" w:rsidRDefault="00F37B62" w:rsidP="007F31CE">
      <w:pPr>
        <w:jc w:val="center"/>
      </w:pPr>
      <w:r>
        <w:rPr>
          <w:noProof/>
          <w:lang w:val="en-US" w:eastAsia="en-US"/>
        </w:rPr>
        <w:drawing>
          <wp:inline distT="0" distB="0" distL="0" distR="0" wp14:anchorId="319B7E25" wp14:editId="21DE67F3">
            <wp:extent cx="4186451" cy="1388506"/>
            <wp:effectExtent l="0" t="0" r="508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1979" cy="1390340"/>
                    </a:xfrm>
                    <a:prstGeom prst="rect">
                      <a:avLst/>
                    </a:prstGeom>
                    <a:noFill/>
                  </pic:spPr>
                </pic:pic>
              </a:graphicData>
            </a:graphic>
          </wp:inline>
        </w:drawing>
      </w:r>
    </w:p>
    <w:p w14:paraId="05A13EAD" w14:textId="15EE3251" w:rsidR="00F37B62" w:rsidRDefault="00F37B62"/>
    <w:p w14:paraId="3A2C342B" w14:textId="4CDA3754" w:rsidR="00F37B62" w:rsidRDefault="00F37B62"/>
    <w:p w14:paraId="6A8965F5" w14:textId="4B31DB52" w:rsidR="00F37B62" w:rsidRPr="006833D5" w:rsidRDefault="006833D5" w:rsidP="007F31CE">
      <w:pPr>
        <w:jc w:val="center"/>
        <w:rPr>
          <w:rFonts w:ascii="Arial" w:hAnsi="Arial" w:cs="Arial"/>
          <w:b/>
          <w:bCs/>
          <w:sz w:val="44"/>
          <w:szCs w:val="44"/>
        </w:rPr>
      </w:pPr>
      <w:r w:rsidRPr="006833D5">
        <w:rPr>
          <w:rFonts w:ascii="Arial" w:hAnsi="Arial" w:cs="Arial"/>
          <w:b/>
          <w:bCs/>
          <w:sz w:val="44"/>
          <w:szCs w:val="44"/>
        </w:rPr>
        <w:t>BA (Hons) Leadership and Management</w:t>
      </w:r>
    </w:p>
    <w:p w14:paraId="43FA50BC" w14:textId="1990816A" w:rsidR="00F37B62" w:rsidRPr="007F31CE" w:rsidRDefault="007F31CE" w:rsidP="007F31CE">
      <w:pPr>
        <w:spacing w:line="600" w:lineRule="auto"/>
        <w:jc w:val="center"/>
        <w:rPr>
          <w:rFonts w:ascii="Arial" w:hAnsi="Arial" w:cs="Arial"/>
        </w:rPr>
      </w:pPr>
      <w:r w:rsidRPr="007F31CE">
        <w:rPr>
          <w:rFonts w:ascii="Arial" w:hAnsi="Arial" w:cs="Arial"/>
        </w:rPr>
        <w:t>(Stakeholders Engagement)</w:t>
      </w:r>
    </w:p>
    <w:p w14:paraId="1EE10BBF" w14:textId="30DFF817" w:rsidR="00F37B62" w:rsidRPr="008F4215" w:rsidRDefault="00F37B62" w:rsidP="007F31CE">
      <w:pPr>
        <w:spacing w:line="600" w:lineRule="auto"/>
        <w:jc w:val="center"/>
        <w:rPr>
          <w:rFonts w:ascii="Arial" w:hAnsi="Arial" w:cs="Arial"/>
          <w:b/>
          <w:bCs/>
          <w:i/>
          <w:iCs/>
        </w:rPr>
      </w:pPr>
      <w:r w:rsidRPr="008F4215">
        <w:rPr>
          <w:rFonts w:ascii="Arial" w:hAnsi="Arial" w:cs="Arial"/>
          <w:b/>
          <w:bCs/>
          <w:i/>
          <w:iCs/>
        </w:rPr>
        <w:t>Student Name:</w:t>
      </w:r>
      <w:r w:rsidR="00B164C1">
        <w:rPr>
          <w:rFonts w:ascii="Arial" w:hAnsi="Arial" w:cs="Arial"/>
          <w:b/>
          <w:bCs/>
          <w:i/>
          <w:iCs/>
        </w:rPr>
        <w:t xml:space="preserve"> Helga Timea Nyerges</w:t>
      </w:r>
    </w:p>
    <w:p w14:paraId="432CDF3F" w14:textId="748EC789" w:rsidR="00F37B62" w:rsidRDefault="00F37B62" w:rsidP="007F31CE">
      <w:pPr>
        <w:spacing w:line="600" w:lineRule="auto"/>
        <w:jc w:val="center"/>
        <w:rPr>
          <w:rFonts w:ascii="Arial" w:hAnsi="Arial" w:cs="Arial"/>
          <w:b/>
          <w:bCs/>
          <w:i/>
          <w:iCs/>
        </w:rPr>
      </w:pPr>
      <w:r w:rsidRPr="008F4215">
        <w:rPr>
          <w:rFonts w:ascii="Arial" w:hAnsi="Arial" w:cs="Arial"/>
          <w:b/>
          <w:bCs/>
          <w:i/>
          <w:iCs/>
        </w:rPr>
        <w:t>Student Number:</w:t>
      </w:r>
      <w:r w:rsidR="00B164C1">
        <w:rPr>
          <w:rFonts w:ascii="Arial" w:hAnsi="Arial" w:cs="Arial"/>
          <w:b/>
          <w:bCs/>
          <w:i/>
          <w:iCs/>
        </w:rPr>
        <w:t xml:space="preserve"> </w:t>
      </w:r>
      <w:r w:rsidR="00B164C1" w:rsidRPr="00B164C1">
        <w:rPr>
          <w:rFonts w:ascii="Arial" w:hAnsi="Arial" w:cs="Arial"/>
          <w:b/>
          <w:bCs/>
          <w:i/>
          <w:iCs/>
        </w:rPr>
        <w:t>2336465</w:t>
      </w:r>
    </w:p>
    <w:p w14:paraId="7E1CCFBB" w14:textId="77777777" w:rsidR="007F31CE" w:rsidRPr="008F4215" w:rsidRDefault="007F31CE" w:rsidP="007F31CE">
      <w:pPr>
        <w:spacing w:line="600" w:lineRule="auto"/>
        <w:jc w:val="center"/>
        <w:rPr>
          <w:rFonts w:ascii="Arial" w:hAnsi="Arial" w:cs="Arial"/>
          <w:b/>
          <w:bCs/>
          <w:i/>
          <w:iCs/>
        </w:rPr>
      </w:pPr>
    </w:p>
    <w:p w14:paraId="777CB569" w14:textId="12655473" w:rsidR="00F37B62" w:rsidRDefault="00F37B62" w:rsidP="007F31CE">
      <w:pPr>
        <w:spacing w:line="600" w:lineRule="auto"/>
        <w:jc w:val="center"/>
        <w:rPr>
          <w:rFonts w:ascii="Arial" w:hAnsi="Arial" w:cs="Arial"/>
          <w:i/>
          <w:iCs/>
        </w:rPr>
      </w:pPr>
      <w:r w:rsidRPr="19DF5ED4">
        <w:rPr>
          <w:rFonts w:ascii="Arial" w:hAnsi="Arial" w:cs="Arial"/>
          <w:b/>
          <w:bCs/>
          <w:i/>
          <w:iCs/>
        </w:rPr>
        <w:t>Course Name:</w:t>
      </w:r>
      <w:r w:rsidRPr="19DF5ED4">
        <w:rPr>
          <w:rFonts w:ascii="Arial" w:hAnsi="Arial" w:cs="Arial"/>
          <w:i/>
          <w:iCs/>
        </w:rPr>
        <w:t xml:space="preserve"> </w:t>
      </w:r>
      <w:r w:rsidR="006833D5">
        <w:rPr>
          <w:rFonts w:ascii="Arial" w:hAnsi="Arial" w:cs="Arial"/>
          <w:i/>
          <w:iCs/>
        </w:rPr>
        <w:t>Understanding and Engaging stakeholders LCLM5001</w:t>
      </w:r>
    </w:p>
    <w:p w14:paraId="453BF464" w14:textId="77777777" w:rsidR="007F31CE" w:rsidRDefault="007F31CE" w:rsidP="007F31CE">
      <w:pPr>
        <w:spacing w:line="600" w:lineRule="auto"/>
        <w:jc w:val="center"/>
        <w:rPr>
          <w:rFonts w:ascii="Arial" w:hAnsi="Arial" w:cs="Arial"/>
          <w:i/>
          <w:iCs/>
        </w:rPr>
      </w:pPr>
    </w:p>
    <w:p w14:paraId="3F81286F" w14:textId="77777777" w:rsidR="007F31CE" w:rsidRPr="00F37B62" w:rsidRDefault="007F31CE" w:rsidP="007F31CE">
      <w:pPr>
        <w:spacing w:line="600" w:lineRule="auto"/>
        <w:jc w:val="center"/>
        <w:rPr>
          <w:rFonts w:ascii="Arial" w:hAnsi="Arial" w:cs="Arial"/>
          <w:i/>
          <w:iCs/>
        </w:rPr>
      </w:pPr>
    </w:p>
    <w:p w14:paraId="556C6252" w14:textId="3EC89E59" w:rsidR="00F37B62" w:rsidRDefault="00F37B62" w:rsidP="007F31CE">
      <w:pPr>
        <w:spacing w:line="600" w:lineRule="auto"/>
        <w:jc w:val="center"/>
        <w:rPr>
          <w:rFonts w:ascii="Arial" w:hAnsi="Arial" w:cs="Arial"/>
          <w:i/>
          <w:iCs/>
        </w:rPr>
      </w:pPr>
      <w:r w:rsidRPr="008F4215">
        <w:rPr>
          <w:rFonts w:ascii="Arial" w:hAnsi="Arial" w:cs="Arial"/>
          <w:b/>
          <w:bCs/>
          <w:i/>
          <w:iCs/>
        </w:rPr>
        <w:t xml:space="preserve">Lecturer Name: </w:t>
      </w:r>
      <w:r w:rsidR="007F31CE">
        <w:rPr>
          <w:rFonts w:ascii="Arial" w:hAnsi="Arial" w:cs="Arial"/>
          <w:b/>
          <w:bCs/>
          <w:i/>
          <w:iCs/>
        </w:rPr>
        <w:t xml:space="preserve">Dr. </w:t>
      </w:r>
      <w:r w:rsidR="006833D5">
        <w:rPr>
          <w:rFonts w:ascii="Arial" w:hAnsi="Arial" w:cs="Arial"/>
          <w:i/>
          <w:iCs/>
        </w:rPr>
        <w:t>Kazeem Oseni</w:t>
      </w:r>
    </w:p>
    <w:p w14:paraId="1D93CDAE" w14:textId="77777777" w:rsidR="007F31CE" w:rsidRDefault="007F31CE" w:rsidP="007F31CE">
      <w:pPr>
        <w:spacing w:line="600" w:lineRule="auto"/>
        <w:jc w:val="center"/>
        <w:rPr>
          <w:rFonts w:ascii="Arial" w:hAnsi="Arial" w:cs="Arial"/>
          <w:i/>
          <w:iCs/>
        </w:rPr>
      </w:pPr>
    </w:p>
    <w:p w14:paraId="2C69753F" w14:textId="77777777" w:rsidR="007F31CE" w:rsidRDefault="007F31CE" w:rsidP="007F31CE">
      <w:pPr>
        <w:spacing w:line="600" w:lineRule="auto"/>
        <w:jc w:val="center"/>
        <w:rPr>
          <w:rFonts w:ascii="Arial" w:hAnsi="Arial" w:cs="Arial"/>
          <w:i/>
          <w:iCs/>
        </w:rPr>
      </w:pPr>
    </w:p>
    <w:p w14:paraId="456E7B9F" w14:textId="77777777" w:rsidR="007F31CE" w:rsidRPr="00F37B62" w:rsidRDefault="007F31CE" w:rsidP="007F31CE">
      <w:pPr>
        <w:spacing w:line="600" w:lineRule="auto"/>
        <w:jc w:val="center"/>
        <w:rPr>
          <w:rFonts w:ascii="Arial" w:hAnsi="Arial" w:cs="Arial"/>
          <w:i/>
          <w:iCs/>
        </w:rPr>
      </w:pPr>
    </w:p>
    <w:p w14:paraId="390047F9" w14:textId="325A3F0E" w:rsidR="19DF5ED4" w:rsidRDefault="00F37B62" w:rsidP="007F31CE">
      <w:pPr>
        <w:spacing w:line="600" w:lineRule="auto"/>
        <w:jc w:val="center"/>
        <w:rPr>
          <w:rFonts w:ascii="Arial" w:hAnsi="Arial" w:cs="Arial"/>
          <w:b/>
          <w:bCs/>
          <w:i/>
          <w:iCs/>
        </w:rPr>
      </w:pPr>
      <w:r w:rsidRPr="19DF5ED4">
        <w:rPr>
          <w:rFonts w:ascii="Arial" w:hAnsi="Arial" w:cs="Arial"/>
          <w:b/>
          <w:bCs/>
          <w:i/>
          <w:iCs/>
        </w:rPr>
        <w:t>Session</w:t>
      </w:r>
      <w:r w:rsidRPr="19DF5ED4">
        <w:rPr>
          <w:rFonts w:ascii="Arial" w:hAnsi="Arial" w:cs="Arial"/>
          <w:i/>
          <w:iCs/>
        </w:rPr>
        <w:t>:</w:t>
      </w:r>
      <w:r w:rsidR="008D1598">
        <w:rPr>
          <w:rFonts w:ascii="Arial" w:hAnsi="Arial" w:cs="Arial"/>
          <w:i/>
          <w:iCs/>
        </w:rPr>
        <w:t xml:space="preserve"> </w:t>
      </w:r>
      <w:r w:rsidR="007F31CE">
        <w:rPr>
          <w:rFonts w:ascii="Arial" w:hAnsi="Arial" w:cs="Arial"/>
          <w:i/>
          <w:iCs/>
        </w:rPr>
        <w:t>October</w:t>
      </w:r>
      <w:r w:rsidR="008D1598">
        <w:rPr>
          <w:rFonts w:ascii="Arial" w:hAnsi="Arial" w:cs="Arial"/>
          <w:i/>
          <w:iCs/>
        </w:rPr>
        <w:t xml:space="preserve"> </w:t>
      </w:r>
      <w:r w:rsidRPr="19DF5ED4">
        <w:rPr>
          <w:rFonts w:ascii="Arial" w:hAnsi="Arial" w:cs="Arial"/>
          <w:b/>
          <w:bCs/>
          <w:i/>
          <w:iCs/>
        </w:rPr>
        <w:t>202</w:t>
      </w:r>
      <w:r w:rsidR="008D1598">
        <w:rPr>
          <w:rFonts w:ascii="Arial" w:hAnsi="Arial" w:cs="Arial"/>
          <w:b/>
          <w:bCs/>
          <w:i/>
          <w:iCs/>
        </w:rPr>
        <w:t>5</w:t>
      </w:r>
      <w:r w:rsidRPr="19DF5ED4">
        <w:rPr>
          <w:rFonts w:ascii="Arial" w:hAnsi="Arial" w:cs="Arial"/>
          <w:b/>
          <w:bCs/>
          <w:i/>
          <w:iCs/>
        </w:rPr>
        <w:t xml:space="preserve"> Term</w:t>
      </w:r>
    </w:p>
    <w:p w14:paraId="35114BF3" w14:textId="77777777" w:rsidR="007F31CE" w:rsidRDefault="007F31CE" w:rsidP="19DF5ED4">
      <w:pPr>
        <w:spacing w:line="600" w:lineRule="auto"/>
        <w:rPr>
          <w:rFonts w:ascii="Arial" w:hAnsi="Arial" w:cs="Arial"/>
          <w:b/>
          <w:bCs/>
          <w:i/>
          <w:iCs/>
        </w:rPr>
      </w:pPr>
    </w:p>
    <w:p w14:paraId="0CFA2AD1" w14:textId="77777777" w:rsidR="00B164C1" w:rsidRPr="00B164C1" w:rsidRDefault="00B164C1" w:rsidP="00B164C1">
      <w:pPr>
        <w:spacing w:line="360" w:lineRule="auto"/>
        <w:rPr>
          <w:rFonts w:ascii="Apple Color Emoji" w:eastAsia="Aptos" w:hAnsi="Apple Color Emoji" w:cs="Apple Color Emoji"/>
          <w:b/>
          <w:bCs/>
          <w:sz w:val="24"/>
          <w:lang w:eastAsia="en-US"/>
        </w:rPr>
      </w:pPr>
    </w:p>
    <w:p w14:paraId="74495290" w14:textId="77777777" w:rsidR="00B164C1" w:rsidRPr="00B164C1" w:rsidRDefault="00B164C1" w:rsidP="00B164C1">
      <w:pPr>
        <w:spacing w:line="360" w:lineRule="auto"/>
        <w:rPr>
          <w:rFonts w:ascii="Times New Roman" w:eastAsia="Aptos" w:hAnsi="Times New Roman" w:cs="Arial"/>
          <w:sz w:val="24"/>
          <w:lang w:eastAsia="en-US"/>
        </w:rPr>
      </w:pPr>
      <w:r w:rsidRPr="00B164C1">
        <w:rPr>
          <w:rFonts w:ascii="Times New Roman" w:eastAsia="Aptos" w:hAnsi="Times New Roman" w:cs="Arial"/>
          <w:b/>
          <w:bCs/>
          <w:sz w:val="24"/>
          <w:lang w:eastAsia="en-US"/>
        </w:rPr>
        <w:t xml:space="preserve">Executive Summary </w:t>
      </w:r>
    </w:p>
    <w:p w14:paraId="3BF158D2"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report examines the stakeholder engagement plan of launching a new wearable health device by Withings UK. The smartwatch that tracks the heart rate, oxygen level, and the sleeping patterns will be released in the next six months. With the help of SWOT, PESTLE, RACI, and four 4Cs model, the report examines stakeholder roles and challenges, and engagement strategies. It illustrates how an early partnership with NHS advisors, regulatory bodies, and internal teams can be of positive influence. It gives suggestions on how to make the engagement more effective in the future. The importance of successful, timely, and compliant product introductions in health technology is demonstrated to rely on the effectiveness of managing stakeholders.</w:t>
      </w:r>
    </w:p>
    <w:p w14:paraId="34E94988" w14:textId="77777777" w:rsidR="00B164C1" w:rsidRPr="00B164C1" w:rsidRDefault="00B164C1" w:rsidP="00B164C1">
      <w:pPr>
        <w:spacing w:line="360" w:lineRule="auto"/>
        <w:rPr>
          <w:rFonts w:ascii="Times New Roman" w:eastAsia="Aptos" w:hAnsi="Times New Roman" w:cs="Arial"/>
          <w:sz w:val="24"/>
          <w:lang w:eastAsia="en-US"/>
        </w:rPr>
      </w:pPr>
    </w:p>
    <w:p w14:paraId="74B6A6B1" w14:textId="77777777" w:rsidR="00B164C1" w:rsidRPr="00B164C1" w:rsidRDefault="00B164C1" w:rsidP="00B164C1">
      <w:pPr>
        <w:spacing w:line="360" w:lineRule="auto"/>
        <w:rPr>
          <w:rFonts w:ascii="Times New Roman" w:eastAsia="Aptos" w:hAnsi="Times New Roman" w:cs="Arial"/>
          <w:sz w:val="24"/>
          <w:lang w:eastAsia="en-US"/>
        </w:rPr>
      </w:pPr>
    </w:p>
    <w:p w14:paraId="1E25CEA9" w14:textId="77777777" w:rsidR="00B164C1" w:rsidRPr="00B164C1" w:rsidRDefault="00B164C1" w:rsidP="00B164C1">
      <w:pPr>
        <w:spacing w:line="360" w:lineRule="auto"/>
        <w:rPr>
          <w:rFonts w:ascii="Times New Roman" w:eastAsia="Aptos" w:hAnsi="Times New Roman" w:cs="Arial"/>
          <w:sz w:val="24"/>
          <w:lang w:eastAsia="en-US"/>
        </w:rPr>
      </w:pPr>
    </w:p>
    <w:p w14:paraId="2B75F4B3" w14:textId="77777777" w:rsidR="00B164C1" w:rsidRPr="00B164C1" w:rsidRDefault="00B164C1" w:rsidP="00B164C1">
      <w:pPr>
        <w:spacing w:line="360" w:lineRule="auto"/>
        <w:rPr>
          <w:rFonts w:ascii="Times New Roman" w:eastAsia="Aptos" w:hAnsi="Times New Roman" w:cs="Arial"/>
          <w:sz w:val="24"/>
          <w:lang w:eastAsia="en-US"/>
        </w:rPr>
      </w:pPr>
    </w:p>
    <w:p w14:paraId="67393F8E" w14:textId="77777777" w:rsidR="00B164C1" w:rsidRPr="00B164C1" w:rsidRDefault="00B164C1" w:rsidP="00B164C1">
      <w:pPr>
        <w:spacing w:line="360" w:lineRule="auto"/>
        <w:rPr>
          <w:rFonts w:ascii="Times New Roman" w:eastAsia="Aptos" w:hAnsi="Times New Roman" w:cs="Arial"/>
          <w:sz w:val="24"/>
          <w:lang w:eastAsia="en-US"/>
        </w:rPr>
      </w:pPr>
    </w:p>
    <w:p w14:paraId="1A482432" w14:textId="77777777" w:rsidR="00B164C1" w:rsidRPr="00B164C1" w:rsidRDefault="00B164C1" w:rsidP="00B164C1">
      <w:pPr>
        <w:spacing w:line="360" w:lineRule="auto"/>
        <w:rPr>
          <w:rFonts w:ascii="Times New Roman" w:eastAsia="Aptos" w:hAnsi="Times New Roman" w:cs="Arial"/>
          <w:sz w:val="24"/>
          <w:lang w:eastAsia="en-US"/>
        </w:rPr>
      </w:pPr>
    </w:p>
    <w:p w14:paraId="5CA1646F" w14:textId="77777777" w:rsidR="00B164C1" w:rsidRPr="00B164C1" w:rsidRDefault="00B164C1" w:rsidP="00B164C1">
      <w:pPr>
        <w:spacing w:line="360" w:lineRule="auto"/>
        <w:rPr>
          <w:rFonts w:ascii="Times New Roman" w:eastAsia="Aptos" w:hAnsi="Times New Roman" w:cs="Arial"/>
          <w:sz w:val="24"/>
          <w:lang w:eastAsia="en-US"/>
        </w:rPr>
      </w:pPr>
    </w:p>
    <w:p w14:paraId="3696E119" w14:textId="77777777" w:rsidR="00B164C1" w:rsidRPr="00B164C1" w:rsidRDefault="00B164C1" w:rsidP="00B164C1">
      <w:pPr>
        <w:spacing w:line="360" w:lineRule="auto"/>
        <w:rPr>
          <w:rFonts w:ascii="Times New Roman" w:eastAsia="Aptos" w:hAnsi="Times New Roman" w:cs="Arial"/>
          <w:sz w:val="24"/>
          <w:lang w:eastAsia="en-US"/>
        </w:rPr>
      </w:pPr>
    </w:p>
    <w:p w14:paraId="55464FB3" w14:textId="77777777" w:rsidR="00B164C1" w:rsidRPr="00B164C1" w:rsidRDefault="00B164C1" w:rsidP="00B164C1">
      <w:pPr>
        <w:spacing w:line="360" w:lineRule="auto"/>
        <w:rPr>
          <w:rFonts w:ascii="Times New Roman" w:eastAsia="Aptos" w:hAnsi="Times New Roman" w:cs="Arial"/>
          <w:sz w:val="24"/>
          <w:lang w:eastAsia="en-US"/>
        </w:rPr>
      </w:pPr>
    </w:p>
    <w:p w14:paraId="056C7B25" w14:textId="77777777" w:rsidR="00B164C1" w:rsidRPr="00B164C1" w:rsidRDefault="00B164C1" w:rsidP="00B164C1">
      <w:pPr>
        <w:spacing w:line="360" w:lineRule="auto"/>
        <w:rPr>
          <w:rFonts w:ascii="Times New Roman" w:eastAsia="Aptos" w:hAnsi="Times New Roman" w:cs="Arial"/>
          <w:sz w:val="24"/>
          <w:lang w:eastAsia="en-US"/>
        </w:rPr>
      </w:pPr>
    </w:p>
    <w:p w14:paraId="2DBCEA3F" w14:textId="77777777" w:rsidR="00B164C1" w:rsidRPr="00B164C1" w:rsidRDefault="00B164C1" w:rsidP="00B164C1">
      <w:pPr>
        <w:spacing w:line="360" w:lineRule="auto"/>
        <w:rPr>
          <w:rFonts w:ascii="Times New Roman" w:eastAsia="Aptos" w:hAnsi="Times New Roman" w:cs="Arial"/>
          <w:sz w:val="24"/>
          <w:lang w:eastAsia="en-US"/>
        </w:rPr>
      </w:pPr>
    </w:p>
    <w:p w14:paraId="43734861" w14:textId="77777777" w:rsidR="00B164C1" w:rsidRPr="00B164C1" w:rsidRDefault="00B164C1" w:rsidP="00B164C1">
      <w:pPr>
        <w:spacing w:line="360" w:lineRule="auto"/>
        <w:rPr>
          <w:rFonts w:ascii="Times New Roman" w:eastAsia="Aptos" w:hAnsi="Times New Roman" w:cs="Arial"/>
          <w:sz w:val="24"/>
          <w:lang w:eastAsia="en-US"/>
        </w:rPr>
      </w:pPr>
    </w:p>
    <w:p w14:paraId="38AC94BE" w14:textId="77777777" w:rsidR="00B164C1" w:rsidRPr="00B164C1" w:rsidRDefault="00B164C1" w:rsidP="00B164C1">
      <w:pPr>
        <w:spacing w:line="360" w:lineRule="auto"/>
        <w:rPr>
          <w:rFonts w:ascii="Times New Roman" w:eastAsia="Aptos" w:hAnsi="Times New Roman" w:cs="Arial"/>
          <w:sz w:val="24"/>
          <w:lang w:eastAsia="en-US"/>
        </w:rPr>
      </w:pPr>
    </w:p>
    <w:p w14:paraId="4FD31F41" w14:textId="77777777" w:rsidR="00B164C1" w:rsidRPr="00B164C1" w:rsidRDefault="00B164C1" w:rsidP="00B164C1">
      <w:pPr>
        <w:spacing w:line="360" w:lineRule="auto"/>
        <w:rPr>
          <w:rFonts w:ascii="Times New Roman" w:eastAsia="Aptos" w:hAnsi="Times New Roman" w:cs="Arial"/>
          <w:sz w:val="24"/>
          <w:lang w:eastAsia="en-US"/>
        </w:rPr>
      </w:pPr>
    </w:p>
    <w:p w14:paraId="7162DF78" w14:textId="77777777" w:rsidR="00B164C1" w:rsidRPr="00B164C1" w:rsidRDefault="00B164C1" w:rsidP="00B164C1">
      <w:pPr>
        <w:spacing w:line="360" w:lineRule="auto"/>
        <w:rPr>
          <w:rFonts w:ascii="Times New Roman" w:eastAsia="Aptos" w:hAnsi="Times New Roman" w:cs="Arial"/>
          <w:sz w:val="24"/>
          <w:lang w:eastAsia="en-US"/>
        </w:rPr>
      </w:pPr>
    </w:p>
    <w:p w14:paraId="7923FD25" w14:textId="77777777" w:rsidR="00B164C1" w:rsidRPr="00B164C1" w:rsidRDefault="00B164C1" w:rsidP="00B164C1">
      <w:pPr>
        <w:spacing w:line="360" w:lineRule="auto"/>
        <w:rPr>
          <w:rFonts w:ascii="Times New Roman" w:eastAsia="Aptos" w:hAnsi="Times New Roman" w:cs="Arial"/>
          <w:sz w:val="24"/>
          <w:lang w:eastAsia="en-US"/>
        </w:rPr>
      </w:pPr>
    </w:p>
    <w:p w14:paraId="74B36CB3" w14:textId="77777777" w:rsidR="00B164C1" w:rsidRPr="00B164C1" w:rsidRDefault="00B164C1" w:rsidP="00B164C1">
      <w:pPr>
        <w:spacing w:line="360" w:lineRule="auto"/>
        <w:rPr>
          <w:rFonts w:ascii="Times New Roman" w:eastAsia="Aptos" w:hAnsi="Times New Roman" w:cs="Arial"/>
          <w:sz w:val="24"/>
          <w:lang w:eastAsia="en-US"/>
        </w:rPr>
      </w:pPr>
    </w:p>
    <w:sdt>
      <w:sdtPr>
        <w:rPr>
          <w:rFonts w:ascii="Times New Roman" w:eastAsia="Aptos" w:hAnsi="Times New Roman" w:cs="Arial"/>
          <w:sz w:val="24"/>
          <w:lang w:eastAsia="en-US"/>
        </w:rPr>
        <w:id w:val="-299073415"/>
        <w:docPartObj>
          <w:docPartGallery w:val="Table of Contents"/>
          <w:docPartUnique/>
        </w:docPartObj>
      </w:sdtPr>
      <w:sdtEndPr>
        <w:rPr>
          <w:noProof/>
        </w:rPr>
      </w:sdtEndPr>
      <w:sdtContent>
        <w:p w14:paraId="225DFD66" w14:textId="77777777" w:rsidR="00B164C1" w:rsidRPr="00B164C1" w:rsidRDefault="00B164C1" w:rsidP="00B164C1">
          <w:pPr>
            <w:keepNext/>
            <w:keepLines/>
            <w:spacing w:before="480" w:after="0" w:line="276" w:lineRule="auto"/>
            <w:rPr>
              <w:rFonts w:ascii="Times New Roman" w:eastAsia="Malgun Gothic" w:hAnsi="Times New Roman" w:cs="Times New Roman"/>
              <w:b/>
              <w:bCs/>
              <w:color w:val="0F4761"/>
              <w:sz w:val="28"/>
              <w:szCs w:val="28"/>
              <w:lang w:val="en-US" w:eastAsia="en-US"/>
            </w:rPr>
          </w:pPr>
          <w:r w:rsidRPr="00B164C1">
            <w:rPr>
              <w:rFonts w:ascii="Times New Roman" w:eastAsia="Malgun Gothic" w:hAnsi="Times New Roman" w:cs="Times New Roman"/>
              <w:b/>
              <w:bCs/>
              <w:color w:val="0F4761"/>
              <w:sz w:val="28"/>
              <w:szCs w:val="28"/>
              <w:lang w:val="en-US" w:eastAsia="en-US"/>
            </w:rPr>
            <w:t>Table of Contents</w:t>
          </w:r>
        </w:p>
        <w:p w14:paraId="0ACEFAF7" w14:textId="77777777" w:rsidR="00B164C1" w:rsidRPr="00B164C1" w:rsidRDefault="00B164C1" w:rsidP="00B164C1">
          <w:pPr>
            <w:tabs>
              <w:tab w:val="left" w:pos="480"/>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r w:rsidRPr="00B164C1">
            <w:rPr>
              <w:rFonts w:ascii="Times New Roman" w:eastAsia="Aptos" w:hAnsi="Times New Roman" w:cs="Times New Roman"/>
              <w:i/>
              <w:iCs/>
              <w:sz w:val="24"/>
              <w:szCs w:val="28"/>
              <w:lang w:eastAsia="en-US"/>
            </w:rPr>
            <w:fldChar w:fldCharType="begin"/>
          </w:r>
          <w:r w:rsidRPr="00B164C1">
            <w:rPr>
              <w:rFonts w:ascii="Times New Roman" w:eastAsia="Aptos" w:hAnsi="Times New Roman" w:cs="Times New Roman"/>
              <w:b/>
              <w:bCs/>
              <w:i/>
              <w:iCs/>
              <w:sz w:val="24"/>
              <w:szCs w:val="28"/>
              <w:lang w:eastAsia="en-US"/>
            </w:rPr>
            <w:instrText xml:space="preserve"> TOC \o "1-3" \h \z \u </w:instrText>
          </w:r>
          <w:r w:rsidRPr="00B164C1">
            <w:rPr>
              <w:rFonts w:ascii="Times New Roman" w:eastAsia="Aptos" w:hAnsi="Times New Roman" w:cs="Times New Roman"/>
              <w:i/>
              <w:iCs/>
              <w:sz w:val="24"/>
              <w:szCs w:val="28"/>
              <w:lang w:eastAsia="en-US"/>
            </w:rPr>
            <w:fldChar w:fldCharType="separate"/>
          </w:r>
          <w:hyperlink w:anchor="_Toc215003162" w:history="1">
            <w:r w:rsidRPr="00B164C1">
              <w:rPr>
                <w:rFonts w:ascii="Times New Roman" w:eastAsia="Aptos" w:hAnsi="Times New Roman" w:cs="Times New Roman"/>
                <w:b/>
                <w:bCs/>
                <w:i/>
                <w:iCs/>
                <w:noProof/>
                <w:color w:val="467886"/>
                <w:sz w:val="24"/>
                <w:szCs w:val="28"/>
                <w:u w:val="single"/>
                <w:lang w:eastAsia="en-US"/>
              </w:rPr>
              <w:t>1.</w:t>
            </w:r>
            <w:r w:rsidRPr="00B164C1">
              <w:rPr>
                <w:rFonts w:ascii="Times New Roman" w:eastAsia="Batang" w:hAnsi="Times New Roman" w:cs="Times New Roman"/>
                <w:noProof/>
                <w:kern w:val="2"/>
                <w:sz w:val="24"/>
                <w:szCs w:val="24"/>
                <w:lang w:eastAsia="ko-KR"/>
                <w14:ligatures w14:val="standardContextual"/>
              </w:rPr>
              <w:tab/>
            </w:r>
            <w:r w:rsidRPr="00B164C1">
              <w:rPr>
                <w:rFonts w:ascii="Times New Roman" w:eastAsia="Aptos" w:hAnsi="Times New Roman" w:cs="Times New Roman"/>
                <w:b/>
                <w:bCs/>
                <w:i/>
                <w:iCs/>
                <w:noProof/>
                <w:color w:val="467886"/>
                <w:sz w:val="24"/>
                <w:szCs w:val="28"/>
                <w:u w:val="single"/>
                <w:lang w:eastAsia="en-US"/>
              </w:rPr>
              <w:t>Introduction to Withings UK</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_Toc215003162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5</w:t>
            </w:r>
            <w:r w:rsidRPr="00B164C1">
              <w:rPr>
                <w:rFonts w:ascii="Times New Roman" w:eastAsia="Aptos" w:hAnsi="Times New Roman" w:cs="Times New Roman"/>
                <w:b/>
                <w:bCs/>
                <w:i/>
                <w:iCs/>
                <w:noProof/>
                <w:webHidden/>
                <w:sz w:val="24"/>
                <w:szCs w:val="28"/>
                <w:lang w:eastAsia="en-US"/>
              </w:rPr>
              <w:fldChar w:fldCharType="end"/>
            </w:r>
          </w:hyperlink>
        </w:p>
        <w:p w14:paraId="417E7F17" w14:textId="77777777" w:rsidR="00B164C1" w:rsidRPr="00B164C1" w:rsidRDefault="00B164C1" w:rsidP="00B164C1">
          <w:pPr>
            <w:tabs>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hyperlink w:anchor="_Toc215003163" w:history="1">
            <w:r w:rsidRPr="00B164C1">
              <w:rPr>
                <w:rFonts w:ascii="Times New Roman" w:eastAsia="Aptos" w:hAnsi="Times New Roman" w:cs="Times New Roman"/>
                <w:b/>
                <w:bCs/>
                <w:i/>
                <w:iCs/>
                <w:noProof/>
                <w:color w:val="467886"/>
                <w:sz w:val="24"/>
                <w:szCs w:val="28"/>
                <w:u w:val="single"/>
                <w:lang w:eastAsia="en-US"/>
              </w:rPr>
              <w:t>2. Project Overview: New Health Wearable Launch</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_Toc215003163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5</w:t>
            </w:r>
            <w:r w:rsidRPr="00B164C1">
              <w:rPr>
                <w:rFonts w:ascii="Times New Roman" w:eastAsia="Aptos" w:hAnsi="Times New Roman" w:cs="Times New Roman"/>
                <w:b/>
                <w:bCs/>
                <w:i/>
                <w:iCs/>
                <w:noProof/>
                <w:webHidden/>
                <w:sz w:val="24"/>
                <w:szCs w:val="28"/>
                <w:lang w:eastAsia="en-US"/>
              </w:rPr>
              <w:fldChar w:fldCharType="end"/>
            </w:r>
          </w:hyperlink>
        </w:p>
        <w:p w14:paraId="2CDE7963" w14:textId="77777777" w:rsidR="00B164C1" w:rsidRPr="00B164C1" w:rsidRDefault="00B164C1" w:rsidP="00B164C1">
          <w:pPr>
            <w:tabs>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hyperlink w:anchor="_Toc215003164" w:history="1">
            <w:r w:rsidRPr="00B164C1">
              <w:rPr>
                <w:rFonts w:ascii="Times New Roman" w:eastAsia="Aptos" w:hAnsi="Times New Roman" w:cs="Times New Roman"/>
                <w:b/>
                <w:bCs/>
                <w:i/>
                <w:iCs/>
                <w:noProof/>
                <w:color w:val="467886"/>
                <w:sz w:val="24"/>
                <w:szCs w:val="28"/>
                <w:u w:val="single"/>
                <w:lang w:eastAsia="en-US"/>
              </w:rPr>
              <w:t>3. Situational Analysis</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_Toc215003164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5</w:t>
            </w:r>
            <w:r w:rsidRPr="00B164C1">
              <w:rPr>
                <w:rFonts w:ascii="Times New Roman" w:eastAsia="Aptos" w:hAnsi="Times New Roman" w:cs="Times New Roman"/>
                <w:b/>
                <w:bCs/>
                <w:i/>
                <w:iCs/>
                <w:noProof/>
                <w:webHidden/>
                <w:sz w:val="24"/>
                <w:szCs w:val="28"/>
                <w:lang w:eastAsia="en-US"/>
              </w:rPr>
              <w:fldChar w:fldCharType="end"/>
            </w:r>
          </w:hyperlink>
        </w:p>
        <w:p w14:paraId="6DE3913F"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65" w:history="1">
            <w:r w:rsidRPr="00B164C1">
              <w:rPr>
                <w:rFonts w:ascii="Times New Roman" w:eastAsia="Aptos" w:hAnsi="Times New Roman" w:cs="Times New Roman"/>
                <w:b/>
                <w:bCs/>
                <w:noProof/>
                <w:color w:val="467886"/>
                <w:szCs w:val="26"/>
                <w:u w:val="single"/>
                <w:lang w:eastAsia="en-US"/>
              </w:rPr>
              <w:t>3.1 SWOT Analysis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_Toc215003165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5</w:t>
            </w:r>
            <w:r w:rsidRPr="00B164C1">
              <w:rPr>
                <w:rFonts w:ascii="Times New Roman" w:eastAsia="Aptos" w:hAnsi="Times New Roman" w:cs="Times New Roman"/>
                <w:b/>
                <w:bCs/>
                <w:noProof/>
                <w:webHidden/>
                <w:szCs w:val="26"/>
                <w:lang w:eastAsia="en-US"/>
              </w:rPr>
              <w:fldChar w:fldCharType="end"/>
            </w:r>
          </w:hyperlink>
        </w:p>
        <w:p w14:paraId="4E480643"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66" w:history="1">
            <w:r w:rsidRPr="00B164C1">
              <w:rPr>
                <w:rFonts w:ascii="Times New Roman" w:eastAsia="Aptos" w:hAnsi="Times New Roman" w:cs="Times New Roman"/>
                <w:b/>
                <w:bCs/>
                <w:noProof/>
                <w:color w:val="467886"/>
                <w:szCs w:val="26"/>
                <w:u w:val="single"/>
                <w:lang w:eastAsia="en-US"/>
              </w:rPr>
              <w:t>3.2 PESTLE Analysis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_Toc215003166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6</w:t>
            </w:r>
            <w:r w:rsidRPr="00B164C1">
              <w:rPr>
                <w:rFonts w:ascii="Times New Roman" w:eastAsia="Aptos" w:hAnsi="Times New Roman" w:cs="Times New Roman"/>
                <w:b/>
                <w:bCs/>
                <w:noProof/>
                <w:webHidden/>
                <w:szCs w:val="26"/>
                <w:lang w:eastAsia="en-US"/>
              </w:rPr>
              <w:fldChar w:fldCharType="end"/>
            </w:r>
          </w:hyperlink>
        </w:p>
        <w:p w14:paraId="3C25133A"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67" w:history="1">
            <w:r w:rsidRPr="00B164C1">
              <w:rPr>
                <w:rFonts w:ascii="Times New Roman" w:eastAsia="Aptos" w:hAnsi="Times New Roman" w:cs="Times New Roman"/>
                <w:b/>
                <w:bCs/>
                <w:noProof/>
                <w:color w:val="467886"/>
                <w:szCs w:val="26"/>
                <w:u w:val="single"/>
                <w:lang w:eastAsia="en-US"/>
              </w:rPr>
              <w:t>3.3 SMART Objectives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_Toc215003167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7</w:t>
            </w:r>
            <w:r w:rsidRPr="00B164C1">
              <w:rPr>
                <w:rFonts w:ascii="Times New Roman" w:eastAsia="Aptos" w:hAnsi="Times New Roman" w:cs="Times New Roman"/>
                <w:b/>
                <w:bCs/>
                <w:noProof/>
                <w:webHidden/>
                <w:szCs w:val="26"/>
                <w:lang w:eastAsia="en-US"/>
              </w:rPr>
              <w:fldChar w:fldCharType="end"/>
            </w:r>
          </w:hyperlink>
        </w:p>
        <w:p w14:paraId="755F7E92" w14:textId="77777777" w:rsidR="00B164C1" w:rsidRPr="00B164C1" w:rsidRDefault="00B164C1" w:rsidP="00B164C1">
          <w:pPr>
            <w:tabs>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hyperlink w:anchor="_Toc215003168" w:history="1">
            <w:r w:rsidRPr="00B164C1">
              <w:rPr>
                <w:rFonts w:ascii="Times New Roman" w:eastAsia="Aptos" w:hAnsi="Times New Roman" w:cs="Times New Roman"/>
                <w:b/>
                <w:bCs/>
                <w:i/>
                <w:iCs/>
                <w:noProof/>
                <w:color w:val="467886"/>
                <w:sz w:val="24"/>
                <w:szCs w:val="28"/>
                <w:u w:val="single"/>
                <w:lang w:eastAsia="en-US"/>
              </w:rPr>
              <w:t>4. Identification of Stakeholders</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_Toc215003168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8</w:t>
            </w:r>
            <w:r w:rsidRPr="00B164C1">
              <w:rPr>
                <w:rFonts w:ascii="Times New Roman" w:eastAsia="Aptos" w:hAnsi="Times New Roman" w:cs="Times New Roman"/>
                <w:b/>
                <w:bCs/>
                <w:i/>
                <w:iCs/>
                <w:noProof/>
                <w:webHidden/>
                <w:sz w:val="24"/>
                <w:szCs w:val="28"/>
                <w:lang w:eastAsia="en-US"/>
              </w:rPr>
              <w:fldChar w:fldCharType="end"/>
            </w:r>
          </w:hyperlink>
        </w:p>
        <w:p w14:paraId="6B879375"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69" w:history="1">
            <w:r w:rsidRPr="00B164C1">
              <w:rPr>
                <w:rFonts w:ascii="Times New Roman" w:eastAsia="Aptos" w:hAnsi="Times New Roman" w:cs="Times New Roman"/>
                <w:b/>
                <w:bCs/>
                <w:noProof/>
                <w:color w:val="467886"/>
                <w:szCs w:val="26"/>
                <w:u w:val="single"/>
                <w:lang w:eastAsia="en-US"/>
              </w:rPr>
              <w:t>4.1 Internal Stakeholders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_Toc215003169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8</w:t>
            </w:r>
            <w:r w:rsidRPr="00B164C1">
              <w:rPr>
                <w:rFonts w:ascii="Times New Roman" w:eastAsia="Aptos" w:hAnsi="Times New Roman" w:cs="Times New Roman"/>
                <w:b/>
                <w:bCs/>
                <w:noProof/>
                <w:webHidden/>
                <w:szCs w:val="26"/>
                <w:lang w:eastAsia="en-US"/>
              </w:rPr>
              <w:fldChar w:fldCharType="end"/>
            </w:r>
          </w:hyperlink>
        </w:p>
        <w:p w14:paraId="4B30E969"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0" w:history="1">
            <w:r w:rsidRPr="00B164C1">
              <w:rPr>
                <w:rFonts w:ascii="Times New Roman" w:eastAsia="Aptos" w:hAnsi="Times New Roman" w:cs="Times New Roman"/>
                <w:b/>
                <w:bCs/>
                <w:noProof/>
                <w:color w:val="467886"/>
                <w:szCs w:val="26"/>
                <w:u w:val="single"/>
                <w:lang w:eastAsia="en-US"/>
              </w:rPr>
              <w:t>4.2 External Stakeholders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_Toc215003170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9</w:t>
            </w:r>
            <w:r w:rsidRPr="00B164C1">
              <w:rPr>
                <w:rFonts w:ascii="Times New Roman" w:eastAsia="Aptos" w:hAnsi="Times New Roman" w:cs="Times New Roman"/>
                <w:b/>
                <w:bCs/>
                <w:noProof/>
                <w:webHidden/>
                <w:szCs w:val="26"/>
                <w:lang w:eastAsia="en-US"/>
              </w:rPr>
              <w:fldChar w:fldCharType="end"/>
            </w:r>
          </w:hyperlink>
        </w:p>
        <w:p w14:paraId="2E774F5E"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1" w:history="1">
            <w:r w:rsidRPr="00B164C1">
              <w:rPr>
                <w:rFonts w:ascii="Times New Roman" w:eastAsia="Aptos" w:hAnsi="Times New Roman" w:cs="Times New Roman"/>
                <w:b/>
                <w:bCs/>
                <w:noProof/>
                <w:color w:val="467886"/>
                <w:szCs w:val="26"/>
                <w:u w:val="single"/>
                <w:lang w:eastAsia="en-US"/>
              </w:rPr>
              <w:t>4.3 Stakeholder Mapping (Mendelow Matrix)</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_Toc215003171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9</w:t>
            </w:r>
            <w:r w:rsidRPr="00B164C1">
              <w:rPr>
                <w:rFonts w:ascii="Times New Roman" w:eastAsia="Aptos" w:hAnsi="Times New Roman" w:cs="Times New Roman"/>
                <w:b/>
                <w:bCs/>
                <w:noProof/>
                <w:webHidden/>
                <w:szCs w:val="26"/>
                <w:lang w:eastAsia="en-US"/>
              </w:rPr>
              <w:fldChar w:fldCharType="end"/>
            </w:r>
          </w:hyperlink>
        </w:p>
        <w:p w14:paraId="322C840B" w14:textId="77777777" w:rsidR="00B164C1" w:rsidRPr="00B164C1" w:rsidRDefault="00B164C1" w:rsidP="00B164C1">
          <w:pPr>
            <w:tabs>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hyperlink w:anchor="_Toc215003172" w:history="1">
            <w:r w:rsidRPr="00B164C1">
              <w:rPr>
                <w:rFonts w:ascii="Times New Roman" w:eastAsia="Aptos" w:hAnsi="Times New Roman" w:cs="Times New Roman"/>
                <w:b/>
                <w:bCs/>
                <w:i/>
                <w:iCs/>
                <w:noProof/>
                <w:color w:val="467886"/>
                <w:sz w:val="24"/>
                <w:szCs w:val="28"/>
                <w:u w:val="single"/>
                <w:lang w:eastAsia="en-US"/>
              </w:rPr>
              <w:t>5. Stakeholder Roles, Benefits &amp; Challenges</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_Toc215003172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9</w:t>
            </w:r>
            <w:r w:rsidRPr="00B164C1">
              <w:rPr>
                <w:rFonts w:ascii="Times New Roman" w:eastAsia="Aptos" w:hAnsi="Times New Roman" w:cs="Times New Roman"/>
                <w:b/>
                <w:bCs/>
                <w:i/>
                <w:iCs/>
                <w:noProof/>
                <w:webHidden/>
                <w:sz w:val="24"/>
                <w:szCs w:val="28"/>
                <w:lang w:eastAsia="en-US"/>
              </w:rPr>
              <w:fldChar w:fldCharType="end"/>
            </w:r>
          </w:hyperlink>
        </w:p>
        <w:p w14:paraId="70D26AFE"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3" w:history="1">
            <w:r w:rsidRPr="00B164C1">
              <w:rPr>
                <w:rFonts w:ascii="Times New Roman" w:eastAsia="Aptos" w:hAnsi="Times New Roman" w:cs="Times New Roman"/>
                <w:b/>
                <w:bCs/>
                <w:noProof/>
                <w:color w:val="467886"/>
                <w:szCs w:val="26"/>
                <w:u w:val="single"/>
                <w:lang w:eastAsia="en-US"/>
              </w:rPr>
              <w:t>5.1 Internal Stakeholder Roles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_Toc215003173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9</w:t>
            </w:r>
            <w:r w:rsidRPr="00B164C1">
              <w:rPr>
                <w:rFonts w:ascii="Times New Roman" w:eastAsia="Aptos" w:hAnsi="Times New Roman" w:cs="Times New Roman"/>
                <w:b/>
                <w:bCs/>
                <w:noProof/>
                <w:webHidden/>
                <w:szCs w:val="26"/>
                <w:lang w:eastAsia="en-US"/>
              </w:rPr>
              <w:fldChar w:fldCharType="end"/>
            </w:r>
          </w:hyperlink>
        </w:p>
        <w:p w14:paraId="535F79AC"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4" w:history="1">
            <w:r w:rsidRPr="00B164C1">
              <w:rPr>
                <w:rFonts w:ascii="Times New Roman" w:eastAsia="Aptos" w:hAnsi="Times New Roman" w:cs="Times New Roman"/>
                <w:b/>
                <w:bCs/>
                <w:noProof/>
                <w:color w:val="467886"/>
                <w:szCs w:val="26"/>
                <w:u w:val="single"/>
                <w:lang w:eastAsia="en-US"/>
              </w:rPr>
              <w:t>5.2 External Stakeholder Roles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_Toc215003174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10</w:t>
            </w:r>
            <w:r w:rsidRPr="00B164C1">
              <w:rPr>
                <w:rFonts w:ascii="Times New Roman" w:eastAsia="Aptos" w:hAnsi="Times New Roman" w:cs="Times New Roman"/>
                <w:b/>
                <w:bCs/>
                <w:noProof/>
                <w:webHidden/>
                <w:szCs w:val="26"/>
                <w:lang w:eastAsia="en-US"/>
              </w:rPr>
              <w:fldChar w:fldCharType="end"/>
            </w:r>
          </w:hyperlink>
        </w:p>
        <w:p w14:paraId="10CBAECD"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5" w:history="1">
            <w:r w:rsidRPr="00B164C1">
              <w:rPr>
                <w:rFonts w:ascii="Times New Roman" w:eastAsia="Aptos" w:hAnsi="Times New Roman" w:cs="Times New Roman"/>
                <w:b/>
                <w:bCs/>
                <w:noProof/>
                <w:color w:val="467886"/>
                <w:szCs w:val="26"/>
                <w:u w:val="single"/>
                <w:lang w:eastAsia="en-US"/>
              </w:rPr>
              <w:t>5.3 Value and Risk</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_Toc215003175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11</w:t>
            </w:r>
            <w:r w:rsidRPr="00B164C1">
              <w:rPr>
                <w:rFonts w:ascii="Times New Roman" w:eastAsia="Aptos" w:hAnsi="Times New Roman" w:cs="Times New Roman"/>
                <w:b/>
                <w:bCs/>
                <w:noProof/>
                <w:webHidden/>
                <w:szCs w:val="26"/>
                <w:lang w:eastAsia="en-US"/>
              </w:rPr>
              <w:fldChar w:fldCharType="end"/>
            </w:r>
          </w:hyperlink>
        </w:p>
        <w:p w14:paraId="70FDB6DA"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6" w:history="1">
            <w:r w:rsidRPr="00B164C1">
              <w:rPr>
                <w:rFonts w:ascii="Times New Roman" w:eastAsia="Aptos" w:hAnsi="Times New Roman" w:cs="Times New Roman"/>
                <w:b/>
                <w:bCs/>
                <w:noProof/>
                <w:color w:val="467886"/>
                <w:szCs w:val="26"/>
                <w:u w:val="single"/>
                <w:lang w:eastAsia="en-US"/>
              </w:rPr>
              <w:t>6.1 Stakeholder Engagement Plan</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_Toc215003176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12</w:t>
            </w:r>
            <w:r w:rsidRPr="00B164C1">
              <w:rPr>
                <w:rFonts w:ascii="Times New Roman" w:eastAsia="Aptos" w:hAnsi="Times New Roman" w:cs="Times New Roman"/>
                <w:b/>
                <w:bCs/>
                <w:noProof/>
                <w:webHidden/>
                <w:szCs w:val="26"/>
                <w:lang w:eastAsia="en-US"/>
              </w:rPr>
              <w:fldChar w:fldCharType="end"/>
            </w:r>
          </w:hyperlink>
        </w:p>
        <w:p w14:paraId="505CB4DE" w14:textId="77777777" w:rsidR="00B164C1" w:rsidRPr="00B164C1" w:rsidRDefault="00B164C1" w:rsidP="00B164C1">
          <w:pPr>
            <w:tabs>
              <w:tab w:val="left" w:pos="960"/>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7" w:history="1">
            <w:r w:rsidRPr="00B164C1">
              <w:rPr>
                <w:rFonts w:ascii="Times New Roman" w:eastAsia="Aptos" w:hAnsi="Times New Roman" w:cs="Times New Roman"/>
                <w:b/>
                <w:bCs/>
                <w:noProof/>
                <w:color w:val="467886"/>
                <w:szCs w:val="26"/>
                <w:u w:val="single"/>
                <w:lang w:eastAsia="en-US"/>
              </w:rPr>
              <w:t>6.3</w:t>
            </w:r>
            <w:r w:rsidRPr="00B164C1">
              <w:rPr>
                <w:rFonts w:ascii="Times New Roman" w:eastAsia="Batang" w:hAnsi="Times New Roman" w:cs="Times New Roman"/>
                <w:noProof/>
                <w:kern w:val="2"/>
                <w:sz w:val="24"/>
                <w:szCs w:val="24"/>
                <w:lang w:eastAsia="ko-KR"/>
                <w14:ligatures w14:val="standardContextual"/>
              </w:rPr>
              <w:tab/>
            </w:r>
            <w:r w:rsidRPr="00B164C1">
              <w:rPr>
                <w:rFonts w:ascii="Times New Roman" w:eastAsia="Aptos" w:hAnsi="Times New Roman" w:cs="Times New Roman"/>
                <w:b/>
                <w:bCs/>
                <w:noProof/>
                <w:color w:val="467886"/>
                <w:szCs w:val="26"/>
                <w:u w:val="single"/>
                <w:lang w:eastAsia="en-US"/>
              </w:rPr>
              <w:t>Communication Plan</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_Toc215003177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12</w:t>
            </w:r>
            <w:r w:rsidRPr="00B164C1">
              <w:rPr>
                <w:rFonts w:ascii="Times New Roman" w:eastAsia="Aptos" w:hAnsi="Times New Roman" w:cs="Times New Roman"/>
                <w:b/>
                <w:bCs/>
                <w:noProof/>
                <w:webHidden/>
                <w:szCs w:val="26"/>
                <w:lang w:eastAsia="en-US"/>
              </w:rPr>
              <w:fldChar w:fldCharType="end"/>
            </w:r>
          </w:hyperlink>
        </w:p>
        <w:p w14:paraId="0F93833D"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8" w:history="1">
            <w:r w:rsidRPr="00B164C1">
              <w:rPr>
                <w:rFonts w:ascii="Times New Roman" w:eastAsia="Aptos" w:hAnsi="Times New Roman" w:cs="Times New Roman"/>
                <w:b/>
                <w:bCs/>
                <w:noProof/>
                <w:color w:val="467886"/>
                <w:szCs w:val="26"/>
                <w:u w:val="single"/>
                <w:lang w:eastAsia="en-US"/>
              </w:rPr>
              <w:t>6.3 RACI Matrix</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_Toc215003178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13</w:t>
            </w:r>
            <w:r w:rsidRPr="00B164C1">
              <w:rPr>
                <w:rFonts w:ascii="Times New Roman" w:eastAsia="Aptos" w:hAnsi="Times New Roman" w:cs="Times New Roman"/>
                <w:b/>
                <w:bCs/>
                <w:noProof/>
                <w:webHidden/>
                <w:szCs w:val="26"/>
                <w:lang w:eastAsia="en-US"/>
              </w:rPr>
              <w:fldChar w:fldCharType="end"/>
            </w:r>
          </w:hyperlink>
        </w:p>
        <w:p w14:paraId="291E85CA"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79" w:history="1">
            <w:r w:rsidRPr="00B164C1">
              <w:rPr>
                <w:rFonts w:ascii="Times New Roman" w:eastAsia="Aptos" w:hAnsi="Times New Roman" w:cs="Times New Roman"/>
                <w:b/>
                <w:bCs/>
                <w:noProof/>
                <w:color w:val="467886"/>
                <w:szCs w:val="26"/>
                <w:u w:val="single"/>
                <w:lang w:eastAsia="en-US"/>
              </w:rPr>
              <w:t>6.4 Additional Models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_Toc215003179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13</w:t>
            </w:r>
            <w:r w:rsidRPr="00B164C1">
              <w:rPr>
                <w:rFonts w:ascii="Times New Roman" w:eastAsia="Aptos" w:hAnsi="Times New Roman" w:cs="Times New Roman"/>
                <w:b/>
                <w:bCs/>
                <w:noProof/>
                <w:webHidden/>
                <w:szCs w:val="26"/>
                <w:lang w:eastAsia="en-US"/>
              </w:rPr>
              <w:fldChar w:fldCharType="end"/>
            </w:r>
          </w:hyperlink>
        </w:p>
        <w:p w14:paraId="12FF6CEE" w14:textId="77777777" w:rsidR="00B164C1" w:rsidRPr="00B164C1" w:rsidRDefault="00B164C1" w:rsidP="00B164C1">
          <w:pPr>
            <w:tabs>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hyperlink w:anchor="_Toc215003180" w:history="1">
            <w:r w:rsidRPr="00B164C1">
              <w:rPr>
                <w:rFonts w:ascii="Times New Roman" w:eastAsia="Aptos" w:hAnsi="Times New Roman" w:cs="Times New Roman"/>
                <w:b/>
                <w:bCs/>
                <w:i/>
                <w:iCs/>
                <w:noProof/>
                <w:color w:val="467886"/>
                <w:sz w:val="24"/>
                <w:szCs w:val="28"/>
                <w:u w:val="single"/>
                <w:lang w:eastAsia="en-US"/>
              </w:rPr>
              <w:t>7. Stakeholder Engagement &amp; Conflict Management (4Cs Model)</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_Toc215003180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13</w:t>
            </w:r>
            <w:r w:rsidRPr="00B164C1">
              <w:rPr>
                <w:rFonts w:ascii="Times New Roman" w:eastAsia="Aptos" w:hAnsi="Times New Roman" w:cs="Times New Roman"/>
                <w:b/>
                <w:bCs/>
                <w:i/>
                <w:iCs/>
                <w:noProof/>
                <w:webHidden/>
                <w:sz w:val="24"/>
                <w:szCs w:val="28"/>
                <w:lang w:eastAsia="en-US"/>
              </w:rPr>
              <w:fldChar w:fldCharType="end"/>
            </w:r>
          </w:hyperlink>
        </w:p>
        <w:p w14:paraId="6C029211"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81" w:history="1">
            <w:r w:rsidRPr="00B164C1">
              <w:rPr>
                <w:rFonts w:ascii="Times New Roman" w:eastAsia="Aptos" w:hAnsi="Times New Roman" w:cs="Times New Roman"/>
                <w:b/>
                <w:bCs/>
                <w:noProof/>
                <w:color w:val="467886"/>
                <w:szCs w:val="26"/>
                <w:u w:val="single"/>
                <w:lang w:eastAsia="en-US"/>
              </w:rPr>
              <w:t>7.1 Role of Project Manager</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_Toc215003181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13</w:t>
            </w:r>
            <w:r w:rsidRPr="00B164C1">
              <w:rPr>
                <w:rFonts w:ascii="Times New Roman" w:eastAsia="Aptos" w:hAnsi="Times New Roman" w:cs="Times New Roman"/>
                <w:b/>
                <w:bCs/>
                <w:noProof/>
                <w:webHidden/>
                <w:szCs w:val="26"/>
                <w:lang w:eastAsia="en-US"/>
              </w:rPr>
              <w:fldChar w:fldCharType="end"/>
            </w:r>
          </w:hyperlink>
        </w:p>
        <w:p w14:paraId="39AA8B70"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82" w:history="1">
            <w:r w:rsidRPr="00B164C1">
              <w:rPr>
                <w:rFonts w:ascii="Times New Roman" w:eastAsia="Aptos" w:hAnsi="Times New Roman" w:cs="Times New Roman"/>
                <w:b/>
                <w:bCs/>
                <w:noProof/>
                <w:color w:val="467886"/>
                <w:szCs w:val="26"/>
                <w:u w:val="single"/>
                <w:lang w:eastAsia="en-US"/>
              </w:rPr>
              <w:t>7.2 Stakeholder Engagement Process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_Toc215003182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13</w:t>
            </w:r>
            <w:r w:rsidRPr="00B164C1">
              <w:rPr>
                <w:rFonts w:ascii="Times New Roman" w:eastAsia="Aptos" w:hAnsi="Times New Roman" w:cs="Times New Roman"/>
                <w:b/>
                <w:bCs/>
                <w:noProof/>
                <w:webHidden/>
                <w:szCs w:val="26"/>
                <w:lang w:eastAsia="en-US"/>
              </w:rPr>
              <w:fldChar w:fldCharType="end"/>
            </w:r>
          </w:hyperlink>
        </w:p>
        <w:p w14:paraId="5EB42BDD"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83" w:history="1">
            <w:r w:rsidRPr="00B164C1">
              <w:rPr>
                <w:rFonts w:ascii="Times New Roman" w:eastAsia="Aptos" w:hAnsi="Times New Roman" w:cs="Times New Roman"/>
                <w:b/>
                <w:bCs/>
                <w:noProof/>
                <w:color w:val="467886"/>
                <w:szCs w:val="26"/>
                <w:u w:val="single"/>
                <w:lang w:eastAsia="en-US"/>
              </w:rPr>
              <w:t>7.3 4C’s Model in Action</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_Toc215003183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14</w:t>
            </w:r>
            <w:r w:rsidRPr="00B164C1">
              <w:rPr>
                <w:rFonts w:ascii="Times New Roman" w:eastAsia="Aptos" w:hAnsi="Times New Roman" w:cs="Times New Roman"/>
                <w:b/>
                <w:bCs/>
                <w:noProof/>
                <w:webHidden/>
                <w:szCs w:val="26"/>
                <w:lang w:eastAsia="en-US"/>
              </w:rPr>
              <w:fldChar w:fldCharType="end"/>
            </w:r>
          </w:hyperlink>
        </w:p>
        <w:p w14:paraId="4103B7DE"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84" w:history="1">
            <w:r w:rsidRPr="00B164C1">
              <w:rPr>
                <w:rFonts w:ascii="Times New Roman" w:eastAsia="Aptos" w:hAnsi="Times New Roman" w:cs="Times New Roman"/>
                <w:b/>
                <w:bCs/>
                <w:noProof/>
                <w:color w:val="467886"/>
                <w:szCs w:val="26"/>
                <w:u w:val="single"/>
                <w:lang w:eastAsia="en-US"/>
              </w:rPr>
              <w:t>7.4 Conflict Management Techniques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_Toc215003184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14</w:t>
            </w:r>
            <w:r w:rsidRPr="00B164C1">
              <w:rPr>
                <w:rFonts w:ascii="Times New Roman" w:eastAsia="Aptos" w:hAnsi="Times New Roman" w:cs="Times New Roman"/>
                <w:b/>
                <w:bCs/>
                <w:noProof/>
                <w:webHidden/>
                <w:szCs w:val="26"/>
                <w:lang w:eastAsia="en-US"/>
              </w:rPr>
              <w:fldChar w:fldCharType="end"/>
            </w:r>
          </w:hyperlink>
        </w:p>
        <w:p w14:paraId="46B19FC8" w14:textId="77777777" w:rsidR="00B164C1" w:rsidRPr="00B164C1" w:rsidRDefault="00B164C1" w:rsidP="00B164C1">
          <w:pPr>
            <w:tabs>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hyperlink w:anchor="_Toc215003185" w:history="1">
            <w:r w:rsidRPr="00B164C1">
              <w:rPr>
                <w:rFonts w:ascii="Times New Roman" w:eastAsia="Aptos" w:hAnsi="Times New Roman" w:cs="Times New Roman"/>
                <w:b/>
                <w:bCs/>
                <w:i/>
                <w:iCs/>
                <w:noProof/>
                <w:color w:val="467886"/>
                <w:sz w:val="24"/>
                <w:szCs w:val="28"/>
                <w:u w:val="single"/>
                <w:lang w:eastAsia="en-US"/>
              </w:rPr>
              <w:t>8. Evaluation of Impact and Recommendations</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_Toc215003185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15</w:t>
            </w:r>
            <w:r w:rsidRPr="00B164C1">
              <w:rPr>
                <w:rFonts w:ascii="Times New Roman" w:eastAsia="Aptos" w:hAnsi="Times New Roman" w:cs="Times New Roman"/>
                <w:b/>
                <w:bCs/>
                <w:i/>
                <w:iCs/>
                <w:noProof/>
                <w:webHidden/>
                <w:sz w:val="24"/>
                <w:szCs w:val="28"/>
                <w:lang w:eastAsia="en-US"/>
              </w:rPr>
              <w:fldChar w:fldCharType="end"/>
            </w:r>
          </w:hyperlink>
        </w:p>
        <w:p w14:paraId="274B9738"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86" w:history="1">
            <w:r w:rsidRPr="00B164C1">
              <w:rPr>
                <w:rFonts w:ascii="Times New Roman" w:eastAsia="Aptos" w:hAnsi="Times New Roman" w:cs="Times New Roman"/>
                <w:b/>
                <w:bCs/>
                <w:noProof/>
                <w:color w:val="467886"/>
                <w:szCs w:val="26"/>
                <w:u w:val="single"/>
                <w:lang w:eastAsia="en-US"/>
              </w:rPr>
              <w:t>8.1 Impact of Stakeholder Engagement</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_Toc215003186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15</w:t>
            </w:r>
            <w:r w:rsidRPr="00B164C1">
              <w:rPr>
                <w:rFonts w:ascii="Times New Roman" w:eastAsia="Aptos" w:hAnsi="Times New Roman" w:cs="Times New Roman"/>
                <w:b/>
                <w:bCs/>
                <w:noProof/>
                <w:webHidden/>
                <w:szCs w:val="26"/>
                <w:lang w:eastAsia="en-US"/>
              </w:rPr>
              <w:fldChar w:fldCharType="end"/>
            </w:r>
          </w:hyperlink>
        </w:p>
        <w:p w14:paraId="19F517D6"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87" w:history="1">
            <w:r w:rsidRPr="00B164C1">
              <w:rPr>
                <w:rFonts w:ascii="Times New Roman" w:eastAsia="Aptos" w:hAnsi="Times New Roman" w:cs="Times New Roman"/>
                <w:b/>
                <w:bCs/>
                <w:noProof/>
                <w:color w:val="467886"/>
                <w:szCs w:val="26"/>
                <w:u w:val="single"/>
                <w:lang w:eastAsia="en-US"/>
              </w:rPr>
              <w:t>8.2 Challenges Faced</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_Toc215003187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16</w:t>
            </w:r>
            <w:r w:rsidRPr="00B164C1">
              <w:rPr>
                <w:rFonts w:ascii="Times New Roman" w:eastAsia="Aptos" w:hAnsi="Times New Roman" w:cs="Times New Roman"/>
                <w:b/>
                <w:bCs/>
                <w:noProof/>
                <w:webHidden/>
                <w:szCs w:val="26"/>
                <w:lang w:eastAsia="en-US"/>
              </w:rPr>
              <w:fldChar w:fldCharType="end"/>
            </w:r>
          </w:hyperlink>
        </w:p>
        <w:p w14:paraId="6AA03412" w14:textId="77777777" w:rsidR="00B164C1" w:rsidRPr="00B164C1" w:rsidRDefault="00B164C1" w:rsidP="00B164C1">
          <w:pPr>
            <w:tabs>
              <w:tab w:val="right" w:leader="dot" w:pos="9016"/>
            </w:tabs>
            <w:spacing w:before="120" w:after="0" w:line="360" w:lineRule="auto"/>
            <w:ind w:left="240"/>
            <w:rPr>
              <w:rFonts w:ascii="Times New Roman" w:eastAsia="Batang" w:hAnsi="Times New Roman" w:cs="Times New Roman"/>
              <w:noProof/>
              <w:kern w:val="2"/>
              <w:sz w:val="24"/>
              <w:szCs w:val="24"/>
              <w:lang w:eastAsia="ko-KR"/>
              <w14:ligatures w14:val="standardContextual"/>
            </w:rPr>
          </w:pPr>
          <w:hyperlink w:anchor="_Toc215003188" w:history="1">
            <w:r w:rsidRPr="00B164C1">
              <w:rPr>
                <w:rFonts w:ascii="Times New Roman" w:eastAsia="Aptos" w:hAnsi="Times New Roman" w:cs="Times New Roman"/>
                <w:b/>
                <w:bCs/>
                <w:noProof/>
                <w:color w:val="467886"/>
                <w:szCs w:val="26"/>
                <w:u w:val="single"/>
                <w:lang w:eastAsia="en-US"/>
              </w:rPr>
              <w:t>8.3 Recommendations</w:t>
            </w:r>
            <w:r w:rsidRPr="00B164C1">
              <w:rPr>
                <w:rFonts w:ascii="Times New Roman" w:eastAsia="Aptos" w:hAnsi="Times New Roman" w:cs="Times New Roman"/>
                <w:b/>
                <w:bCs/>
                <w:noProof/>
                <w:webHidden/>
                <w:szCs w:val="26"/>
                <w:lang w:eastAsia="en-US"/>
              </w:rPr>
              <w:tab/>
            </w:r>
            <w:r w:rsidRPr="00B164C1">
              <w:rPr>
                <w:rFonts w:ascii="Times New Roman" w:eastAsia="Aptos" w:hAnsi="Times New Roman" w:cs="Times New Roman"/>
                <w:b/>
                <w:bCs/>
                <w:noProof/>
                <w:webHidden/>
                <w:szCs w:val="26"/>
                <w:lang w:eastAsia="en-US"/>
              </w:rPr>
              <w:fldChar w:fldCharType="begin"/>
            </w:r>
            <w:r w:rsidRPr="00B164C1">
              <w:rPr>
                <w:rFonts w:ascii="Times New Roman" w:eastAsia="Aptos" w:hAnsi="Times New Roman" w:cs="Times New Roman"/>
                <w:b/>
                <w:bCs/>
                <w:noProof/>
                <w:webHidden/>
                <w:szCs w:val="26"/>
                <w:lang w:eastAsia="en-US"/>
              </w:rPr>
              <w:instrText xml:space="preserve"> PAGEREF _Toc215003188 \h </w:instrText>
            </w:r>
            <w:r w:rsidRPr="00B164C1">
              <w:rPr>
                <w:rFonts w:ascii="Times New Roman" w:eastAsia="Aptos" w:hAnsi="Times New Roman" w:cs="Times New Roman"/>
                <w:b/>
                <w:bCs/>
                <w:noProof/>
                <w:webHidden/>
                <w:szCs w:val="26"/>
                <w:lang w:eastAsia="en-US"/>
              </w:rPr>
            </w:r>
            <w:r w:rsidRPr="00B164C1">
              <w:rPr>
                <w:rFonts w:ascii="Times New Roman" w:eastAsia="Aptos" w:hAnsi="Times New Roman" w:cs="Times New Roman"/>
                <w:b/>
                <w:bCs/>
                <w:noProof/>
                <w:webHidden/>
                <w:szCs w:val="26"/>
                <w:lang w:eastAsia="en-US"/>
              </w:rPr>
              <w:fldChar w:fldCharType="separate"/>
            </w:r>
            <w:r w:rsidRPr="00B164C1">
              <w:rPr>
                <w:rFonts w:ascii="Times New Roman" w:eastAsia="Aptos" w:hAnsi="Times New Roman" w:cs="Times New Roman"/>
                <w:b/>
                <w:bCs/>
                <w:noProof/>
                <w:webHidden/>
                <w:szCs w:val="26"/>
                <w:lang w:eastAsia="en-US"/>
              </w:rPr>
              <w:t>16</w:t>
            </w:r>
            <w:r w:rsidRPr="00B164C1">
              <w:rPr>
                <w:rFonts w:ascii="Times New Roman" w:eastAsia="Aptos" w:hAnsi="Times New Roman" w:cs="Times New Roman"/>
                <w:b/>
                <w:bCs/>
                <w:noProof/>
                <w:webHidden/>
                <w:szCs w:val="26"/>
                <w:lang w:eastAsia="en-US"/>
              </w:rPr>
              <w:fldChar w:fldCharType="end"/>
            </w:r>
          </w:hyperlink>
        </w:p>
        <w:p w14:paraId="1EFA93BF" w14:textId="77777777" w:rsidR="00B164C1" w:rsidRPr="00B164C1" w:rsidRDefault="00B164C1" w:rsidP="00B164C1">
          <w:pPr>
            <w:tabs>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hyperlink w:anchor="_Toc215003189" w:history="1">
            <w:r w:rsidRPr="00B164C1">
              <w:rPr>
                <w:rFonts w:ascii="Times New Roman" w:eastAsia="Aptos" w:hAnsi="Times New Roman" w:cs="Times New Roman"/>
                <w:b/>
                <w:bCs/>
                <w:i/>
                <w:iCs/>
                <w:noProof/>
                <w:color w:val="467886"/>
                <w:sz w:val="24"/>
                <w:szCs w:val="28"/>
                <w:u w:val="single"/>
                <w:lang w:eastAsia="en-US"/>
              </w:rPr>
              <w:t>9. Conclusion</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_Toc215003189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17</w:t>
            </w:r>
            <w:r w:rsidRPr="00B164C1">
              <w:rPr>
                <w:rFonts w:ascii="Times New Roman" w:eastAsia="Aptos" w:hAnsi="Times New Roman" w:cs="Times New Roman"/>
                <w:b/>
                <w:bCs/>
                <w:i/>
                <w:iCs/>
                <w:noProof/>
                <w:webHidden/>
                <w:sz w:val="24"/>
                <w:szCs w:val="28"/>
                <w:lang w:eastAsia="en-US"/>
              </w:rPr>
              <w:fldChar w:fldCharType="end"/>
            </w:r>
          </w:hyperlink>
        </w:p>
        <w:p w14:paraId="0E02CDDF" w14:textId="77777777" w:rsidR="00B164C1" w:rsidRPr="00B164C1" w:rsidRDefault="00B164C1" w:rsidP="00B164C1">
          <w:pPr>
            <w:tabs>
              <w:tab w:val="right" w:leader="dot" w:pos="9016"/>
            </w:tabs>
            <w:spacing w:before="120" w:after="0" w:line="360" w:lineRule="auto"/>
            <w:rPr>
              <w:rFonts w:ascii="Times New Roman" w:eastAsia="Batang" w:hAnsi="Times New Roman" w:cs="Times New Roman"/>
              <w:noProof/>
              <w:kern w:val="2"/>
              <w:sz w:val="24"/>
              <w:szCs w:val="24"/>
              <w:lang w:eastAsia="ko-KR"/>
              <w14:ligatures w14:val="standardContextual"/>
            </w:rPr>
          </w:pPr>
          <w:hyperlink w:anchor="_Toc215003190" w:history="1">
            <w:r w:rsidRPr="00B164C1">
              <w:rPr>
                <w:rFonts w:ascii="Times New Roman" w:eastAsia="Aptos" w:hAnsi="Times New Roman" w:cs="Times New Roman"/>
                <w:b/>
                <w:bCs/>
                <w:i/>
                <w:iCs/>
                <w:noProof/>
                <w:color w:val="467886"/>
                <w:sz w:val="24"/>
                <w:szCs w:val="28"/>
                <w:u w:val="single"/>
                <w:lang w:eastAsia="en-US"/>
              </w:rPr>
              <w:t>10. References</w:t>
            </w:r>
            <w:r w:rsidRPr="00B164C1">
              <w:rPr>
                <w:rFonts w:ascii="Times New Roman" w:eastAsia="Aptos" w:hAnsi="Times New Roman" w:cs="Times New Roman"/>
                <w:b/>
                <w:bCs/>
                <w:i/>
                <w:iCs/>
                <w:noProof/>
                <w:webHidden/>
                <w:sz w:val="24"/>
                <w:szCs w:val="28"/>
                <w:lang w:eastAsia="en-US"/>
              </w:rPr>
              <w:tab/>
            </w:r>
            <w:r w:rsidRPr="00B164C1">
              <w:rPr>
                <w:rFonts w:ascii="Times New Roman" w:eastAsia="Aptos" w:hAnsi="Times New Roman" w:cs="Times New Roman"/>
                <w:b/>
                <w:bCs/>
                <w:i/>
                <w:iCs/>
                <w:noProof/>
                <w:webHidden/>
                <w:sz w:val="24"/>
                <w:szCs w:val="28"/>
                <w:lang w:eastAsia="en-US"/>
              </w:rPr>
              <w:fldChar w:fldCharType="begin"/>
            </w:r>
            <w:r w:rsidRPr="00B164C1">
              <w:rPr>
                <w:rFonts w:ascii="Times New Roman" w:eastAsia="Aptos" w:hAnsi="Times New Roman" w:cs="Times New Roman"/>
                <w:b/>
                <w:bCs/>
                <w:i/>
                <w:iCs/>
                <w:noProof/>
                <w:webHidden/>
                <w:sz w:val="24"/>
                <w:szCs w:val="28"/>
                <w:lang w:eastAsia="en-US"/>
              </w:rPr>
              <w:instrText xml:space="preserve"> PAGEREF _Toc215003190 \h </w:instrText>
            </w:r>
            <w:r w:rsidRPr="00B164C1">
              <w:rPr>
                <w:rFonts w:ascii="Times New Roman" w:eastAsia="Aptos" w:hAnsi="Times New Roman" w:cs="Times New Roman"/>
                <w:b/>
                <w:bCs/>
                <w:i/>
                <w:iCs/>
                <w:noProof/>
                <w:webHidden/>
                <w:sz w:val="24"/>
                <w:szCs w:val="28"/>
                <w:lang w:eastAsia="en-US"/>
              </w:rPr>
            </w:r>
            <w:r w:rsidRPr="00B164C1">
              <w:rPr>
                <w:rFonts w:ascii="Times New Roman" w:eastAsia="Aptos" w:hAnsi="Times New Roman" w:cs="Times New Roman"/>
                <w:b/>
                <w:bCs/>
                <w:i/>
                <w:iCs/>
                <w:noProof/>
                <w:webHidden/>
                <w:sz w:val="24"/>
                <w:szCs w:val="28"/>
                <w:lang w:eastAsia="en-US"/>
              </w:rPr>
              <w:fldChar w:fldCharType="separate"/>
            </w:r>
            <w:r w:rsidRPr="00B164C1">
              <w:rPr>
                <w:rFonts w:ascii="Times New Roman" w:eastAsia="Aptos" w:hAnsi="Times New Roman" w:cs="Times New Roman"/>
                <w:b/>
                <w:bCs/>
                <w:i/>
                <w:iCs/>
                <w:noProof/>
                <w:webHidden/>
                <w:sz w:val="24"/>
                <w:szCs w:val="28"/>
                <w:lang w:eastAsia="en-US"/>
              </w:rPr>
              <w:t>19</w:t>
            </w:r>
            <w:r w:rsidRPr="00B164C1">
              <w:rPr>
                <w:rFonts w:ascii="Times New Roman" w:eastAsia="Aptos" w:hAnsi="Times New Roman" w:cs="Times New Roman"/>
                <w:b/>
                <w:bCs/>
                <w:i/>
                <w:iCs/>
                <w:noProof/>
                <w:webHidden/>
                <w:sz w:val="24"/>
                <w:szCs w:val="28"/>
                <w:lang w:eastAsia="en-US"/>
              </w:rPr>
              <w:fldChar w:fldCharType="end"/>
            </w:r>
          </w:hyperlink>
        </w:p>
        <w:p w14:paraId="1CA0A26E" w14:textId="77777777" w:rsidR="00B164C1" w:rsidRPr="00B164C1" w:rsidRDefault="00B164C1" w:rsidP="00B164C1">
          <w:pPr>
            <w:spacing w:line="360" w:lineRule="auto"/>
            <w:rPr>
              <w:rFonts w:ascii="Times New Roman" w:eastAsia="Aptos" w:hAnsi="Times New Roman" w:cs="Arial"/>
              <w:sz w:val="24"/>
              <w:lang w:eastAsia="en-US"/>
            </w:rPr>
          </w:pPr>
          <w:r w:rsidRPr="00B164C1">
            <w:rPr>
              <w:rFonts w:ascii="Times New Roman" w:eastAsia="Aptos" w:hAnsi="Times New Roman" w:cs="Times New Roman"/>
              <w:b/>
              <w:bCs/>
              <w:noProof/>
              <w:sz w:val="24"/>
              <w:lang w:eastAsia="en-US"/>
            </w:rPr>
            <w:fldChar w:fldCharType="end"/>
          </w:r>
        </w:p>
      </w:sdtContent>
    </w:sdt>
    <w:p w14:paraId="59841533" w14:textId="77777777" w:rsidR="00B164C1" w:rsidRPr="00B164C1" w:rsidRDefault="00B164C1" w:rsidP="00B164C1">
      <w:pPr>
        <w:spacing w:line="360" w:lineRule="auto"/>
        <w:rPr>
          <w:rFonts w:ascii="Times New Roman" w:eastAsia="Aptos" w:hAnsi="Times New Roman" w:cs="Arial"/>
          <w:sz w:val="24"/>
          <w:lang w:eastAsia="en-US"/>
        </w:rPr>
      </w:pPr>
    </w:p>
    <w:p w14:paraId="3B2E2B0E" w14:textId="77777777" w:rsidR="00B164C1" w:rsidRPr="00B164C1" w:rsidRDefault="00B164C1" w:rsidP="00B164C1">
      <w:pPr>
        <w:spacing w:line="360" w:lineRule="auto"/>
        <w:rPr>
          <w:rFonts w:ascii="Times New Roman" w:eastAsia="Aptos" w:hAnsi="Times New Roman" w:cs="Arial"/>
          <w:sz w:val="24"/>
          <w:lang w:eastAsia="en-US"/>
        </w:rPr>
      </w:pPr>
    </w:p>
    <w:p w14:paraId="753696A4" w14:textId="77777777" w:rsidR="00B164C1" w:rsidRPr="00B164C1" w:rsidRDefault="00B164C1" w:rsidP="00B164C1">
      <w:pPr>
        <w:spacing w:line="360" w:lineRule="auto"/>
        <w:rPr>
          <w:rFonts w:ascii="Times New Roman" w:eastAsia="Aptos" w:hAnsi="Times New Roman" w:cs="Arial"/>
          <w:sz w:val="24"/>
          <w:lang w:eastAsia="en-US"/>
        </w:rPr>
      </w:pPr>
    </w:p>
    <w:p w14:paraId="4A3E1A9F" w14:textId="77777777" w:rsidR="00B164C1" w:rsidRPr="00B164C1" w:rsidRDefault="00B164C1" w:rsidP="00B164C1">
      <w:pPr>
        <w:spacing w:line="360" w:lineRule="auto"/>
        <w:rPr>
          <w:rFonts w:ascii="Times New Roman" w:eastAsia="Aptos" w:hAnsi="Times New Roman" w:cs="Arial"/>
          <w:sz w:val="24"/>
          <w:lang w:eastAsia="en-US"/>
        </w:rPr>
      </w:pPr>
    </w:p>
    <w:p w14:paraId="4B902824" w14:textId="77777777" w:rsidR="00B164C1" w:rsidRPr="00B164C1" w:rsidRDefault="00B164C1" w:rsidP="00B164C1">
      <w:pPr>
        <w:spacing w:line="360" w:lineRule="auto"/>
        <w:rPr>
          <w:rFonts w:ascii="Times New Roman" w:eastAsia="Aptos" w:hAnsi="Times New Roman" w:cs="Arial"/>
          <w:sz w:val="24"/>
          <w:lang w:eastAsia="en-US"/>
        </w:rPr>
      </w:pPr>
    </w:p>
    <w:p w14:paraId="7460D9DF" w14:textId="77777777" w:rsidR="00B164C1" w:rsidRPr="00B164C1" w:rsidRDefault="00B164C1" w:rsidP="00B164C1">
      <w:pPr>
        <w:spacing w:line="360" w:lineRule="auto"/>
        <w:rPr>
          <w:rFonts w:ascii="Times New Roman" w:eastAsia="Aptos" w:hAnsi="Times New Roman" w:cs="Arial"/>
          <w:sz w:val="24"/>
          <w:lang w:eastAsia="en-US"/>
        </w:rPr>
      </w:pPr>
    </w:p>
    <w:p w14:paraId="42933653" w14:textId="77777777" w:rsidR="00B164C1" w:rsidRPr="00B164C1" w:rsidRDefault="00B164C1" w:rsidP="00B164C1">
      <w:pPr>
        <w:spacing w:line="360" w:lineRule="auto"/>
        <w:rPr>
          <w:rFonts w:ascii="Times New Roman" w:eastAsia="Aptos" w:hAnsi="Times New Roman" w:cs="Arial"/>
          <w:sz w:val="24"/>
          <w:lang w:eastAsia="en-US"/>
        </w:rPr>
      </w:pPr>
    </w:p>
    <w:p w14:paraId="2497E0CD" w14:textId="77777777" w:rsidR="00B164C1" w:rsidRPr="00B164C1" w:rsidRDefault="00B164C1" w:rsidP="00B164C1">
      <w:pPr>
        <w:spacing w:line="360" w:lineRule="auto"/>
        <w:rPr>
          <w:rFonts w:ascii="Times New Roman" w:eastAsia="Aptos" w:hAnsi="Times New Roman" w:cs="Arial"/>
          <w:sz w:val="24"/>
          <w:lang w:eastAsia="en-US"/>
        </w:rPr>
      </w:pPr>
    </w:p>
    <w:p w14:paraId="7197D95C" w14:textId="77777777" w:rsidR="00B164C1" w:rsidRPr="00B164C1" w:rsidRDefault="00B164C1" w:rsidP="00B164C1">
      <w:pPr>
        <w:spacing w:line="360" w:lineRule="auto"/>
        <w:rPr>
          <w:rFonts w:ascii="Times New Roman" w:eastAsia="Aptos" w:hAnsi="Times New Roman" w:cs="Arial"/>
          <w:sz w:val="24"/>
          <w:lang w:eastAsia="en-US"/>
        </w:rPr>
      </w:pPr>
    </w:p>
    <w:p w14:paraId="697A83CC" w14:textId="77777777" w:rsidR="00B164C1" w:rsidRPr="00B164C1" w:rsidRDefault="00B164C1" w:rsidP="00B164C1">
      <w:pPr>
        <w:spacing w:line="360" w:lineRule="auto"/>
        <w:rPr>
          <w:rFonts w:ascii="Times New Roman" w:eastAsia="Aptos" w:hAnsi="Times New Roman" w:cs="Arial"/>
          <w:sz w:val="24"/>
          <w:lang w:eastAsia="en-US"/>
        </w:rPr>
      </w:pPr>
    </w:p>
    <w:p w14:paraId="1C1F202C" w14:textId="77777777" w:rsidR="00B164C1" w:rsidRPr="00B164C1" w:rsidRDefault="00B164C1" w:rsidP="00B164C1">
      <w:pPr>
        <w:spacing w:line="360" w:lineRule="auto"/>
        <w:rPr>
          <w:rFonts w:ascii="Times New Roman" w:eastAsia="Aptos" w:hAnsi="Times New Roman" w:cs="Arial"/>
          <w:sz w:val="24"/>
          <w:lang w:eastAsia="en-US"/>
        </w:rPr>
      </w:pPr>
    </w:p>
    <w:p w14:paraId="71220382" w14:textId="77777777" w:rsidR="00B164C1" w:rsidRPr="00B164C1" w:rsidRDefault="00B164C1" w:rsidP="00B164C1">
      <w:pPr>
        <w:spacing w:line="360" w:lineRule="auto"/>
        <w:rPr>
          <w:rFonts w:ascii="Times New Roman" w:eastAsia="Aptos" w:hAnsi="Times New Roman" w:cs="Arial"/>
          <w:sz w:val="24"/>
          <w:lang w:eastAsia="en-US"/>
        </w:rPr>
      </w:pPr>
    </w:p>
    <w:p w14:paraId="40ED9607" w14:textId="77777777" w:rsidR="00B164C1" w:rsidRPr="00B164C1" w:rsidRDefault="00B164C1" w:rsidP="00B164C1">
      <w:pPr>
        <w:spacing w:line="360" w:lineRule="auto"/>
        <w:rPr>
          <w:rFonts w:ascii="Times New Roman" w:eastAsia="Aptos" w:hAnsi="Times New Roman" w:cs="Arial"/>
          <w:sz w:val="24"/>
          <w:lang w:eastAsia="en-US"/>
        </w:rPr>
      </w:pPr>
    </w:p>
    <w:p w14:paraId="75A1517F" w14:textId="77777777" w:rsidR="00B164C1" w:rsidRPr="00B164C1" w:rsidRDefault="00B164C1" w:rsidP="00B164C1">
      <w:pPr>
        <w:spacing w:line="360" w:lineRule="auto"/>
        <w:rPr>
          <w:rFonts w:ascii="Times New Roman" w:eastAsia="Aptos" w:hAnsi="Times New Roman" w:cs="Arial"/>
          <w:sz w:val="24"/>
          <w:lang w:eastAsia="en-US"/>
        </w:rPr>
      </w:pPr>
    </w:p>
    <w:p w14:paraId="48C075DD" w14:textId="77777777" w:rsidR="00B164C1" w:rsidRPr="00B164C1" w:rsidRDefault="00B164C1" w:rsidP="00B164C1">
      <w:pPr>
        <w:spacing w:line="360" w:lineRule="auto"/>
        <w:rPr>
          <w:rFonts w:ascii="Times New Roman" w:eastAsia="Aptos" w:hAnsi="Times New Roman" w:cs="Arial"/>
          <w:sz w:val="24"/>
          <w:lang w:eastAsia="en-US"/>
        </w:rPr>
      </w:pPr>
    </w:p>
    <w:p w14:paraId="1A767B86" w14:textId="77777777" w:rsidR="00B164C1" w:rsidRPr="00B164C1" w:rsidRDefault="00B164C1" w:rsidP="00B164C1">
      <w:pPr>
        <w:spacing w:line="360" w:lineRule="auto"/>
        <w:rPr>
          <w:rFonts w:ascii="Times New Roman" w:eastAsia="Aptos" w:hAnsi="Times New Roman" w:cs="Arial"/>
          <w:sz w:val="24"/>
          <w:lang w:eastAsia="en-US"/>
        </w:rPr>
      </w:pPr>
    </w:p>
    <w:p w14:paraId="4E6D8E28" w14:textId="77777777" w:rsidR="00B164C1" w:rsidRPr="00B164C1" w:rsidRDefault="00B164C1" w:rsidP="00B164C1">
      <w:pPr>
        <w:spacing w:line="360" w:lineRule="auto"/>
        <w:rPr>
          <w:rFonts w:ascii="Times New Roman" w:eastAsia="Aptos" w:hAnsi="Times New Roman" w:cs="Arial"/>
          <w:sz w:val="24"/>
          <w:lang w:eastAsia="en-US"/>
        </w:rPr>
      </w:pPr>
    </w:p>
    <w:p w14:paraId="5BF38380" w14:textId="77777777" w:rsidR="00B164C1" w:rsidRPr="00B164C1" w:rsidRDefault="00B164C1" w:rsidP="00B164C1">
      <w:pPr>
        <w:spacing w:line="360" w:lineRule="auto"/>
        <w:rPr>
          <w:rFonts w:ascii="Times New Roman" w:eastAsia="Aptos" w:hAnsi="Times New Roman" w:cs="Arial"/>
          <w:sz w:val="24"/>
          <w:lang w:eastAsia="en-US"/>
        </w:rPr>
      </w:pPr>
    </w:p>
    <w:p w14:paraId="28089FB7" w14:textId="77777777" w:rsidR="00B164C1" w:rsidRPr="00B164C1" w:rsidRDefault="00B164C1" w:rsidP="00B164C1">
      <w:pPr>
        <w:spacing w:line="360" w:lineRule="auto"/>
        <w:rPr>
          <w:rFonts w:ascii="Times New Roman" w:eastAsia="Aptos" w:hAnsi="Times New Roman" w:cs="Arial"/>
          <w:sz w:val="24"/>
          <w:lang w:eastAsia="en-US"/>
        </w:rPr>
      </w:pPr>
    </w:p>
    <w:p w14:paraId="6DE3FDA1" w14:textId="77777777" w:rsidR="00B164C1" w:rsidRPr="00B164C1" w:rsidRDefault="00B164C1" w:rsidP="00B164C1">
      <w:pPr>
        <w:spacing w:line="360" w:lineRule="auto"/>
        <w:rPr>
          <w:rFonts w:ascii="Times New Roman" w:eastAsia="Aptos" w:hAnsi="Times New Roman" w:cs="Arial"/>
          <w:sz w:val="24"/>
          <w:lang w:eastAsia="en-US"/>
        </w:rPr>
      </w:pPr>
    </w:p>
    <w:p w14:paraId="5E85F4A2" w14:textId="77777777" w:rsidR="00B164C1" w:rsidRPr="00B164C1" w:rsidRDefault="00B164C1" w:rsidP="00B164C1">
      <w:pPr>
        <w:keepNext/>
        <w:keepLines/>
        <w:numPr>
          <w:ilvl w:val="0"/>
          <w:numId w:val="2"/>
        </w:numPr>
        <w:spacing w:before="240" w:line="360" w:lineRule="auto"/>
        <w:outlineLvl w:val="0"/>
        <w:rPr>
          <w:rFonts w:ascii="Times New Roman" w:eastAsia="Malgun Gothic" w:hAnsi="Times New Roman" w:cs="Times New Roman"/>
          <w:b/>
          <w:sz w:val="24"/>
          <w:szCs w:val="32"/>
          <w:lang w:eastAsia="en-US"/>
        </w:rPr>
      </w:pPr>
      <w:bookmarkStart w:id="0" w:name="_Toc215003162"/>
      <w:r w:rsidRPr="00B164C1">
        <w:rPr>
          <w:rFonts w:ascii="Times New Roman" w:eastAsia="Malgun Gothic" w:hAnsi="Times New Roman" w:cs="Times New Roman"/>
          <w:b/>
          <w:sz w:val="24"/>
          <w:szCs w:val="32"/>
          <w:lang w:eastAsia="en-US"/>
        </w:rPr>
        <w:lastRenderedPageBreak/>
        <w:t>Introduction to Withings UK</w:t>
      </w:r>
      <w:bookmarkEnd w:id="0"/>
    </w:p>
    <w:p w14:paraId="5406E176" w14:textId="77777777" w:rsidR="00B164C1" w:rsidRPr="00B164C1" w:rsidRDefault="00B164C1" w:rsidP="00B164C1">
      <w:pPr>
        <w:spacing w:line="360" w:lineRule="auto"/>
        <w:rPr>
          <w:rFonts w:ascii="Times New Roman" w:eastAsia="Aptos" w:hAnsi="Times New Roman" w:cs="Arial"/>
          <w:sz w:val="24"/>
          <w:lang w:eastAsia="en-US"/>
        </w:rPr>
      </w:pPr>
      <w:r w:rsidRPr="00B164C1">
        <w:rPr>
          <w:rFonts w:ascii="Times New Roman" w:eastAsia="Aptos" w:hAnsi="Times New Roman" w:cs="Arial"/>
          <w:sz w:val="24"/>
          <w:lang w:eastAsia="en-US"/>
        </w:rPr>
        <w:t>Withings is a transnational health technology corporation that was established in 2008 in France. It has since taken a good footing in the United Kingdom specializing in production and marketing of smart health devices (Wang et al., 2024). The company has known an innovative technology in its products like the ScanWatch, Body Smart scales and the Sleep Analyser, which are products aimed at giving users real-time he</w:t>
      </w:r>
      <w:bookmarkStart w:id="1" w:name="_GoBack"/>
      <w:bookmarkEnd w:id="1"/>
      <w:r w:rsidRPr="00B164C1">
        <w:rPr>
          <w:rFonts w:ascii="Times New Roman" w:eastAsia="Aptos" w:hAnsi="Times New Roman" w:cs="Arial"/>
          <w:sz w:val="24"/>
          <w:lang w:eastAsia="en-US"/>
        </w:rPr>
        <w:t xml:space="preserve">alth information by powering their products through monitoring them and enabling them to make choices that would help them improve on their health. </w:t>
      </w:r>
    </w:p>
    <w:p w14:paraId="27045A50" w14:textId="77777777" w:rsidR="00B164C1" w:rsidRPr="00B164C1" w:rsidRDefault="00B164C1" w:rsidP="00B164C1">
      <w:pPr>
        <w:keepNext/>
        <w:keepLines/>
        <w:spacing w:before="240" w:line="360" w:lineRule="auto"/>
        <w:outlineLvl w:val="0"/>
        <w:rPr>
          <w:rFonts w:ascii="Times New Roman" w:eastAsia="Malgun Gothic" w:hAnsi="Times New Roman" w:cs="Times New Roman"/>
          <w:b/>
          <w:sz w:val="24"/>
          <w:szCs w:val="32"/>
          <w:lang w:eastAsia="en-US"/>
        </w:rPr>
      </w:pPr>
      <w:bookmarkStart w:id="2" w:name="_Toc215003163"/>
      <w:r w:rsidRPr="00B164C1">
        <w:rPr>
          <w:rFonts w:ascii="Times New Roman" w:eastAsia="Malgun Gothic" w:hAnsi="Times New Roman" w:cs="Times New Roman"/>
          <w:b/>
          <w:sz w:val="24"/>
          <w:szCs w:val="32"/>
          <w:lang w:eastAsia="en-US"/>
        </w:rPr>
        <w:t>2. Project Overview: New Health Wearable Launch</w:t>
      </w:r>
      <w:bookmarkEnd w:id="2"/>
      <w:r w:rsidRPr="00B164C1">
        <w:rPr>
          <w:rFonts w:ascii="Times New Roman" w:eastAsia="Malgun Gothic" w:hAnsi="Times New Roman" w:cs="Times New Roman"/>
          <w:b/>
          <w:sz w:val="24"/>
          <w:szCs w:val="32"/>
          <w:lang w:eastAsia="en-US"/>
        </w:rPr>
        <w:t xml:space="preserve"> </w:t>
      </w:r>
    </w:p>
    <w:p w14:paraId="6D097EDC" w14:textId="77777777" w:rsidR="00B164C1" w:rsidRPr="00B164C1" w:rsidRDefault="00B164C1" w:rsidP="00B164C1">
      <w:pPr>
        <w:spacing w:line="360" w:lineRule="auto"/>
        <w:rPr>
          <w:rFonts w:ascii="Times New Roman" w:eastAsia="Aptos" w:hAnsi="Times New Roman" w:cs="Arial"/>
          <w:sz w:val="24"/>
          <w:lang w:eastAsia="en-US"/>
        </w:rPr>
      </w:pPr>
      <w:r w:rsidRPr="00B164C1">
        <w:rPr>
          <w:rFonts w:ascii="Times New Roman" w:eastAsia="Aptos" w:hAnsi="Times New Roman" w:cs="Arial"/>
          <w:sz w:val="24"/>
          <w:lang w:eastAsia="en-US"/>
        </w:rPr>
        <w:t>Withings UK is also ready to release a new health wearable device: a smartwatch that will track the heart rate, blood oxygen levels (SpO2) and sleep activity with high clinical functionality. This product is another important part of the intelligent health system of the company, and it is being developed directly regarding the growing need in personal health tracking and support of the remote care in the UK, particularly in cooperation with NHS programs (Virgillito, Pierluigi Catalfo and Ledda, 2025). The distinguishing feature of this new device is its medical grade precision and being able to provide NHS compatible data which will then seamlessly integrate with electronic health records and allow them to cooperate with the healthcare organization. The gadget will also have artificial intelligence-based insights and easy mobile user interface to ensure that personal health tracking is easily performed and is more of an action item. The launch of the project will take place in six months and will have to be coordinated by a set of multiple departments such as product development, regulatory affairs, marketing, sales manager, and customer services (Vannelli et al., 2024). Any unit is influential in making the device perform according to the expectations of functional and legal systems as well as consumers.</w:t>
      </w:r>
    </w:p>
    <w:p w14:paraId="2054A8EC" w14:textId="77777777" w:rsidR="00B164C1" w:rsidRPr="00B164C1" w:rsidRDefault="00B164C1" w:rsidP="00B164C1">
      <w:pPr>
        <w:keepNext/>
        <w:keepLines/>
        <w:spacing w:before="240" w:line="360" w:lineRule="auto"/>
        <w:outlineLvl w:val="0"/>
        <w:rPr>
          <w:rFonts w:ascii="Times New Roman" w:eastAsia="Malgun Gothic" w:hAnsi="Times New Roman" w:cs="Times New Roman"/>
          <w:b/>
          <w:i/>
          <w:iCs/>
          <w:sz w:val="24"/>
          <w:szCs w:val="32"/>
          <w:lang w:eastAsia="en-US"/>
        </w:rPr>
      </w:pPr>
      <w:bookmarkStart w:id="3" w:name="_Toc215003164"/>
      <w:r w:rsidRPr="00B164C1">
        <w:rPr>
          <w:rFonts w:ascii="Times New Roman" w:eastAsia="Malgun Gothic" w:hAnsi="Times New Roman" w:cs="Times New Roman"/>
          <w:b/>
          <w:sz w:val="24"/>
          <w:szCs w:val="32"/>
          <w:lang w:eastAsia="en-US"/>
        </w:rPr>
        <w:t>3. Situational Analysis</w:t>
      </w:r>
      <w:bookmarkEnd w:id="3"/>
      <w:r w:rsidRPr="00B164C1">
        <w:rPr>
          <w:rFonts w:ascii="Times New Roman" w:eastAsia="Malgun Gothic" w:hAnsi="Times New Roman" w:cs="Times New Roman"/>
          <w:b/>
          <w:sz w:val="24"/>
          <w:szCs w:val="32"/>
          <w:lang w:eastAsia="en-US"/>
        </w:rPr>
        <w:t xml:space="preserve"> </w:t>
      </w:r>
    </w:p>
    <w:p w14:paraId="6AE127E5" w14:textId="77777777" w:rsidR="00B164C1" w:rsidRPr="00B164C1" w:rsidRDefault="00B164C1" w:rsidP="00B164C1">
      <w:pPr>
        <w:keepNext/>
        <w:keepLines/>
        <w:spacing w:before="40" w:line="360" w:lineRule="auto"/>
        <w:outlineLvl w:val="1"/>
        <w:rPr>
          <w:rFonts w:ascii="Times New Roman" w:eastAsia="Malgun Gothic" w:hAnsi="Times New Roman" w:cs="Times New Roman"/>
          <w:b/>
          <w:i/>
          <w:sz w:val="24"/>
          <w:szCs w:val="26"/>
          <w:lang w:eastAsia="en-US"/>
        </w:rPr>
      </w:pPr>
      <w:bookmarkStart w:id="4" w:name="_Toc215003165"/>
      <w:r w:rsidRPr="00B164C1">
        <w:rPr>
          <w:rFonts w:ascii="Times New Roman" w:eastAsia="Malgun Gothic" w:hAnsi="Times New Roman" w:cs="Times New Roman"/>
          <w:b/>
          <w:i/>
          <w:sz w:val="24"/>
          <w:szCs w:val="26"/>
          <w:lang w:eastAsia="en-US"/>
        </w:rPr>
        <w:t>3.1 SWOT Analysis</w:t>
      </w:r>
      <w:bookmarkEnd w:id="4"/>
      <w:r w:rsidRPr="00B164C1">
        <w:rPr>
          <w:rFonts w:ascii="Times New Roman" w:eastAsia="Malgun Gothic" w:hAnsi="Times New Roman" w:cs="Times New Roman"/>
          <w:b/>
          <w:i/>
          <w:sz w:val="24"/>
          <w:szCs w:val="26"/>
          <w:lang w:eastAsia="en-US"/>
        </w:rPr>
        <w:t xml:space="preserve"> </w:t>
      </w:r>
    </w:p>
    <w:p w14:paraId="5AC464F1" w14:textId="77777777" w:rsidR="00B164C1" w:rsidRPr="00B164C1" w:rsidRDefault="00B164C1" w:rsidP="00B164C1">
      <w:pPr>
        <w:spacing w:line="360" w:lineRule="auto"/>
        <w:rPr>
          <w:rFonts w:ascii="Times New Roman" w:eastAsia="Aptos" w:hAnsi="Times New Roman" w:cs="Arial"/>
          <w:sz w:val="24"/>
          <w:lang w:eastAsia="en-US"/>
        </w:rPr>
      </w:pPr>
      <w:r w:rsidRPr="00B164C1">
        <w:rPr>
          <w:rFonts w:ascii="Times New Roman" w:eastAsia="Aptos" w:hAnsi="Times New Roman" w:cs="Arial"/>
          <w:sz w:val="24"/>
          <w:lang w:eastAsia="en-US"/>
        </w:rPr>
        <w:t>The digital health-related environment consumer environment is fast changing with Withings UK having to operate within a rapidly changing environment where internal resource strength, and external forces determine the effectiveness of new product launch. The SWOT analysis refers to the critical issues impacting the introduction of the new wearable product.</w:t>
      </w:r>
    </w:p>
    <w:p w14:paraId="3B6148FE" w14:textId="77777777" w:rsidR="00B164C1" w:rsidRPr="00B164C1" w:rsidRDefault="00B164C1" w:rsidP="00B164C1">
      <w:pPr>
        <w:spacing w:line="360" w:lineRule="auto"/>
        <w:jc w:val="both"/>
        <w:rPr>
          <w:rFonts w:ascii="Times New Roman" w:eastAsia="Aptos" w:hAnsi="Times New Roman" w:cs="Arial"/>
          <w:b/>
          <w:bCs/>
          <w:sz w:val="24"/>
          <w:lang w:eastAsia="en-US"/>
        </w:rPr>
      </w:pPr>
      <w:r w:rsidRPr="00B164C1">
        <w:rPr>
          <w:rFonts w:ascii="Times New Roman" w:eastAsia="Aptos" w:hAnsi="Times New Roman" w:cs="Arial"/>
          <w:b/>
          <w:bCs/>
          <w:sz w:val="24"/>
          <w:lang w:eastAsia="en-US"/>
        </w:rPr>
        <w:lastRenderedPageBreak/>
        <w:t>Strengths</w:t>
      </w:r>
    </w:p>
    <w:p w14:paraId="1E3A1124"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Withings is known to provide trusted and clinically validated smart health devices. Its medical grade accuracy especially in its products such as the ScanWatch and the Body+ scale is also a source of trust among consumers and health practitioners (Tu et al., 2025). The firm also enjoys high research and development potentials where innovativeness and adherence to changing health standards can be quickly achieved. </w:t>
      </w:r>
    </w:p>
    <w:p w14:paraId="34B055E4" w14:textId="77777777" w:rsidR="00B164C1" w:rsidRPr="00B164C1" w:rsidRDefault="00B164C1" w:rsidP="00B164C1">
      <w:pPr>
        <w:spacing w:line="360" w:lineRule="auto"/>
        <w:jc w:val="both"/>
        <w:rPr>
          <w:rFonts w:ascii="Times New Roman" w:eastAsia="Aptos" w:hAnsi="Times New Roman" w:cs="Arial"/>
          <w:b/>
          <w:bCs/>
          <w:sz w:val="24"/>
          <w:lang w:eastAsia="en-US"/>
        </w:rPr>
      </w:pPr>
      <w:r w:rsidRPr="00B164C1">
        <w:rPr>
          <w:rFonts w:ascii="Times New Roman" w:eastAsia="Aptos" w:hAnsi="Times New Roman" w:cs="Arial"/>
          <w:b/>
          <w:bCs/>
          <w:sz w:val="24"/>
          <w:lang w:eastAsia="en-US"/>
        </w:rPr>
        <w:t>Weaknesses</w:t>
      </w:r>
    </w:p>
    <w:p w14:paraId="6BDBCE10"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strengths notwithstanding, Withings is based in the competitive market segmented by bigger companies such as Apple, Fitbit (owned by Google) and Samsung. These rivals are more penetrated in the market, have bigger marketing budgets and established ecosystems. Besides this, although Withings does sell very high-quality products, it does not have the brand ubiquity of its competitors, which can put mainstream adoption off until it engages in vigorous marketing and NHS relationships.</w:t>
      </w:r>
    </w:p>
    <w:p w14:paraId="6A7D2B87" w14:textId="77777777" w:rsidR="00B164C1" w:rsidRPr="00B164C1" w:rsidRDefault="00B164C1" w:rsidP="00B164C1">
      <w:pPr>
        <w:spacing w:line="360" w:lineRule="auto"/>
        <w:jc w:val="both"/>
        <w:rPr>
          <w:rFonts w:ascii="Times New Roman" w:eastAsia="Aptos" w:hAnsi="Times New Roman" w:cs="Arial"/>
          <w:b/>
          <w:bCs/>
          <w:sz w:val="24"/>
          <w:lang w:eastAsia="en-US"/>
        </w:rPr>
      </w:pPr>
      <w:r w:rsidRPr="00B164C1">
        <w:rPr>
          <w:rFonts w:ascii="Times New Roman" w:eastAsia="Aptos" w:hAnsi="Times New Roman" w:cs="Arial"/>
          <w:b/>
          <w:bCs/>
          <w:sz w:val="24"/>
          <w:lang w:eastAsia="en-US"/>
        </w:rPr>
        <w:t>Opportunities</w:t>
      </w:r>
    </w:p>
    <w:p w14:paraId="5EFBD3A6"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The UK offers a special opportunity as the population is ageing and that needs long-term monitoring of their health and support (Timmis, 2021). The emergence of remote healthcare service, government funding of NHS Digital transformation also present opportunities that Withings can tap in order to have its devices integrate into formal health systems. </w:t>
      </w:r>
    </w:p>
    <w:p w14:paraId="7DF37FF0" w14:textId="77777777" w:rsidR="00B164C1" w:rsidRPr="00B164C1" w:rsidRDefault="00B164C1" w:rsidP="00B164C1">
      <w:pPr>
        <w:spacing w:line="360" w:lineRule="auto"/>
        <w:jc w:val="both"/>
        <w:rPr>
          <w:rFonts w:ascii="Times New Roman" w:eastAsia="Aptos" w:hAnsi="Times New Roman" w:cs="Arial"/>
          <w:b/>
          <w:bCs/>
          <w:sz w:val="24"/>
          <w:lang w:eastAsia="en-US"/>
        </w:rPr>
      </w:pPr>
      <w:r w:rsidRPr="00B164C1">
        <w:rPr>
          <w:rFonts w:ascii="Times New Roman" w:eastAsia="Aptos" w:hAnsi="Times New Roman" w:cs="Arial"/>
          <w:b/>
          <w:bCs/>
          <w:sz w:val="24"/>
          <w:lang w:eastAsia="en-US"/>
        </w:rPr>
        <w:t>Threats</w:t>
      </w:r>
    </w:p>
    <w:p w14:paraId="018004F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The external threats are data privacy issues associated with health tracking, in particular, in the context of the GDPR regulations. Failure in technology or inaccuracies in the monitoring of health might cause publicity or legal consequences (Smuck et al., 2021). Moreover, logistic challenges in the form of regulatory modifications will arise due to the Brexit. </w:t>
      </w:r>
    </w:p>
    <w:p w14:paraId="274B2510"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5" w:name="_Toc215003166"/>
      <w:r w:rsidRPr="00B164C1">
        <w:rPr>
          <w:rFonts w:ascii="Times New Roman" w:eastAsia="Malgun Gothic" w:hAnsi="Times New Roman" w:cs="Times New Roman"/>
          <w:b/>
          <w:i/>
          <w:sz w:val="24"/>
          <w:szCs w:val="26"/>
          <w:lang w:eastAsia="en-US"/>
        </w:rPr>
        <w:t>3.2 PESTLE Analysis</w:t>
      </w:r>
      <w:bookmarkEnd w:id="5"/>
      <w:r w:rsidRPr="00B164C1">
        <w:rPr>
          <w:rFonts w:ascii="Times New Roman" w:eastAsia="Malgun Gothic" w:hAnsi="Times New Roman" w:cs="Times New Roman"/>
          <w:b/>
          <w:i/>
          <w:sz w:val="24"/>
          <w:szCs w:val="26"/>
          <w:lang w:eastAsia="en-US"/>
        </w:rPr>
        <w:t xml:space="preserve"> </w:t>
      </w:r>
    </w:p>
    <w:p w14:paraId="08D9AC89"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PESTLE assessment is the assessment of the external macro-environment factors which are likely to influence the product launch of Withings in the UK.</w:t>
      </w:r>
    </w:p>
    <w:p w14:paraId="21BCBAF5"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Political</w:t>
      </w:r>
    </w:p>
    <w:p w14:paraId="605D0728"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The constant investment of remote health monitoring devices in the UK government under the digital transformation of the NHS promotes integration of remote health monitoring devices. </w:t>
      </w:r>
      <w:r w:rsidRPr="00B164C1">
        <w:rPr>
          <w:rFonts w:ascii="Times New Roman" w:eastAsia="Aptos" w:hAnsi="Times New Roman" w:cs="Arial"/>
          <w:sz w:val="24"/>
          <w:lang w:eastAsia="en-US"/>
        </w:rPr>
        <w:lastRenderedPageBreak/>
        <w:t>The policies fostering telemedicine and at-home treatment make the wearable launch by Withings a favourable policy environment.</w:t>
      </w:r>
    </w:p>
    <w:p w14:paraId="6BE869ED"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Economic</w:t>
      </w:r>
    </w:p>
    <w:p w14:paraId="4E3489E8"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In the post-Brexit economy, production and pricing could be influenced due to difficulties with import regulations, costs of different elements, and fluctuation of the exchange rates (Slattery et al., 2022). Nevertheless, increasing consumer enthusiasm in health related items provides a possibility of strong demand in spite of the wider economic panic.</w:t>
      </w:r>
    </w:p>
    <w:p w14:paraId="509B56D5"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Social</w:t>
      </w:r>
    </w:p>
    <w:p w14:paraId="725F0324"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Such focus is on personal wellness, preventive care and active ageing which has been growing. The general population is more open to online health apps, particularly those that allow a distance consultation and long-term medical monitoring. </w:t>
      </w:r>
    </w:p>
    <w:p w14:paraId="42086D25"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Technological</w:t>
      </w:r>
    </w:p>
    <w:p w14:paraId="5850020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The wearable health industry is changing rapidly due to the rapid development of AI and machine learning (Skinner et al., 2023). This is an opportunity that Withings can capitalise on with predictive analytics and personal insights integrated into its devices. </w:t>
      </w:r>
    </w:p>
    <w:p w14:paraId="106A9B5D"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Legal</w:t>
      </w:r>
    </w:p>
    <w:p w14:paraId="64D709F0"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wearable has to be in line with the strict GDPR regulations related to the personal data and should be approved by the appropriate regulatory agencies, including the Medicines and Healthcare products Regulatory Agency (MHRA). The violation of legal norms may lead to the postponement of the launch or influence entry into the market.</w:t>
      </w:r>
    </w:p>
    <w:p w14:paraId="28A51D25"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Environmental</w:t>
      </w:r>
    </w:p>
    <w:p w14:paraId="615BEFED"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problem of sustainability is growing within the minds of consumers. Withings should provide assurance to its new device of supporting the eco-friendly packaging, efficiency of the batteries used and proper disposition of batteries. One other possible differentiator of the competition can be environmental consciousness.</w:t>
      </w:r>
    </w:p>
    <w:p w14:paraId="1F104EFC"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6" w:name="_Toc215003167"/>
      <w:r w:rsidRPr="00B164C1">
        <w:rPr>
          <w:rFonts w:ascii="Times New Roman" w:eastAsia="Malgun Gothic" w:hAnsi="Times New Roman" w:cs="Times New Roman"/>
          <w:b/>
          <w:i/>
          <w:sz w:val="24"/>
          <w:szCs w:val="26"/>
          <w:lang w:eastAsia="en-US"/>
        </w:rPr>
        <w:t>3.3 SMART Objectives</w:t>
      </w:r>
      <w:bookmarkEnd w:id="6"/>
      <w:r w:rsidRPr="00B164C1">
        <w:rPr>
          <w:rFonts w:ascii="Times New Roman" w:eastAsia="Malgun Gothic" w:hAnsi="Times New Roman" w:cs="Times New Roman"/>
          <w:b/>
          <w:i/>
          <w:sz w:val="24"/>
          <w:szCs w:val="26"/>
          <w:lang w:eastAsia="en-US"/>
        </w:rPr>
        <w:t xml:space="preserve"> </w:t>
      </w:r>
    </w:p>
    <w:p w14:paraId="4FB2E500"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project will be executed based on SMART objectives in order to assure concentrated execution:</w:t>
      </w:r>
    </w:p>
    <w:p w14:paraId="1D080778"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lastRenderedPageBreak/>
        <w:t>Certain: Introduced in the UK a new smartwatch called Withings SmartVital in May 2026, containing the following functions: heart rate and SpO2, and sleep tracking (Rak, Quinn and Ciui, 2024).</w:t>
      </w:r>
    </w:p>
    <w:p w14:paraId="58135199"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Measurable This objective can be measured by the number of sales of 10,000 units in the first three months of the launch.</w:t>
      </w:r>
    </w:p>
    <w:p w14:paraId="782E2D99"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Possible: This goal can be achieved by leveraging on available Withings R&amp;D, supply chain and marketing strengths.</w:t>
      </w:r>
    </w:p>
    <w:p w14:paraId="1E9850AD"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Relevant The launch will contribute to the wider UK expansion strategy and alignment of Withings with NHS.</w:t>
      </w:r>
    </w:p>
    <w:p w14:paraId="545BCDB2"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Time-bound: The project delivery and entry into market shall be implemented within six months since the commencement of the project.</w:t>
      </w:r>
    </w:p>
    <w:p w14:paraId="60EEFF20" w14:textId="77777777" w:rsidR="00B164C1" w:rsidRPr="00B164C1" w:rsidRDefault="00B164C1" w:rsidP="00B164C1">
      <w:pPr>
        <w:keepNext/>
        <w:keepLines/>
        <w:spacing w:before="240" w:line="360" w:lineRule="auto"/>
        <w:jc w:val="both"/>
        <w:outlineLvl w:val="0"/>
        <w:rPr>
          <w:rFonts w:ascii="Times New Roman" w:eastAsia="Malgun Gothic" w:hAnsi="Times New Roman" w:cs="Times New Roman"/>
          <w:b/>
          <w:sz w:val="24"/>
          <w:szCs w:val="32"/>
          <w:lang w:eastAsia="en-US"/>
        </w:rPr>
      </w:pPr>
      <w:bookmarkStart w:id="7" w:name="_Toc215003168"/>
      <w:r w:rsidRPr="00B164C1">
        <w:rPr>
          <w:rFonts w:ascii="Times New Roman" w:eastAsia="Malgun Gothic" w:hAnsi="Times New Roman" w:cs="Times New Roman"/>
          <w:b/>
          <w:sz w:val="24"/>
          <w:szCs w:val="32"/>
          <w:lang w:eastAsia="en-US"/>
        </w:rPr>
        <w:t>4. Identification of Stakeholders</w:t>
      </w:r>
      <w:bookmarkEnd w:id="7"/>
      <w:r w:rsidRPr="00B164C1">
        <w:rPr>
          <w:rFonts w:ascii="Times New Roman" w:eastAsia="Malgun Gothic" w:hAnsi="Times New Roman" w:cs="Times New Roman"/>
          <w:b/>
          <w:sz w:val="24"/>
          <w:szCs w:val="32"/>
          <w:lang w:eastAsia="en-US"/>
        </w:rPr>
        <w:t xml:space="preserve"> </w:t>
      </w:r>
    </w:p>
    <w:p w14:paraId="4BBE6A2E"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8" w:name="_Toc215003169"/>
      <w:r w:rsidRPr="00B164C1">
        <w:rPr>
          <w:rFonts w:ascii="Times New Roman" w:eastAsia="Malgun Gothic" w:hAnsi="Times New Roman" w:cs="Times New Roman"/>
          <w:b/>
          <w:i/>
          <w:sz w:val="24"/>
          <w:szCs w:val="26"/>
          <w:lang w:eastAsia="en-US"/>
        </w:rPr>
        <w:t>4.1 Internal Stakeholders</w:t>
      </w:r>
      <w:bookmarkEnd w:id="8"/>
    </w:p>
    <w:p w14:paraId="62FC54B4"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Project Development Team: This is the team of hardware and software engineers, UX designers, and data scientists who will develop features of the smartwatch like its heart rate and SpO2 monitoring, and sleep-tracking (Pan et al., 2024). Their punctuality is critical in maintaining time.</w:t>
      </w:r>
    </w:p>
    <w:p w14:paraId="054A701C"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Marketing Department: The department will develop and implement awareness programs on the new device to both the consumers and the healthcare organizations. They also influence the brand message and product positioning in competitive market.</w:t>
      </w:r>
    </w:p>
    <w:p w14:paraId="13BB992C"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Sales &amp; Distribution Team: The stakeholders in this category take care of the establishment of partnerships with retail shops, and logistics management issues to make the product reach the customer as effectively as possible. They play critical roles in the accomplishment of initial sales targets.</w:t>
      </w:r>
    </w:p>
    <w:p w14:paraId="1EEFECE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Legal/Regulatory Affairs: This department makes sure that the product meets the UK law as provided in the GDPR and passes through the approval of the MHRA. Their contribution is essential in the prevention of time wastage and minimisation of legal risk.</w:t>
      </w:r>
    </w:p>
    <w:p w14:paraId="75600B11"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Customer Support: This group will attend to user-related problems and feedback in the post-launch phase that will help in customer satisfaction and retention.</w:t>
      </w:r>
    </w:p>
    <w:p w14:paraId="00959160"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lastRenderedPageBreak/>
        <w:t>Executive Leadership: The senior decision-makers have the strategic direction and funding (Nophar Geifman, Armes and Whetton, 2023). Their assistance becomes essential to coordinate activities across departments and achieve the long-term success.</w:t>
      </w:r>
    </w:p>
    <w:p w14:paraId="04F6CFA5"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9" w:name="_Toc215003170"/>
      <w:r w:rsidRPr="00B164C1">
        <w:rPr>
          <w:rFonts w:ascii="Times New Roman" w:eastAsia="Malgun Gothic" w:hAnsi="Times New Roman" w:cs="Times New Roman"/>
          <w:b/>
          <w:i/>
          <w:sz w:val="24"/>
          <w:szCs w:val="26"/>
          <w:lang w:eastAsia="en-US"/>
        </w:rPr>
        <w:t>4.2 External Stakeholders</w:t>
      </w:r>
      <w:bookmarkEnd w:id="9"/>
    </w:p>
    <w:p w14:paraId="0B88902A"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UK Suppliers and Manufacturers: These are the suppliers, who supply parts and materials to build devices. The result of their reliability is the quality of products and time to market.</w:t>
      </w:r>
    </w:p>
    <w:p w14:paraId="110F421B"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NHS and Medical Advisors: They are possible institutional users and endorsers, and thus NHS participation is crucial. Clinical validation is also determined by medical advisors in order to make sure that features are meaningful and evidence-based.</w:t>
      </w:r>
    </w:p>
    <w:p w14:paraId="1167CBC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MHRA (Medicines and Healthcare products Regulatory Agency): This regulator ascertains that the product is in accordance to UK requirements of medical device (Nnabuko, Uchenna Chioma, 2021). To be legal and get approvals on time, participation in MHRA is a compulsory activity.</w:t>
      </w:r>
    </w:p>
    <w:p w14:paraId="56013F4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Consumers: they include both the tech capable users and the older ones. Their comments and usage will be the determiner of the product in terms of commercial success.</w:t>
      </w:r>
    </w:p>
    <w:p w14:paraId="08E57CB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Health Tech Retailers: The device will be sold and marketed by such retailers as Currys, Amazon UK and Boots. Their coverage and customer relationship potential will tremendously impact on product exposure and trust.</w:t>
      </w:r>
    </w:p>
    <w:p w14:paraId="66EE3013"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10" w:name="_Toc215003171"/>
      <w:r w:rsidRPr="00B164C1">
        <w:rPr>
          <w:rFonts w:ascii="Times New Roman" w:eastAsia="Malgun Gothic" w:hAnsi="Times New Roman" w:cs="Times New Roman"/>
          <w:b/>
          <w:i/>
          <w:sz w:val="24"/>
          <w:szCs w:val="26"/>
          <w:lang w:eastAsia="en-US"/>
        </w:rPr>
        <w:t>4.3 Stakeholder Mapping (Mendelow Matrix)</w:t>
      </w:r>
      <w:bookmarkEnd w:id="10"/>
    </w:p>
    <w:p w14:paraId="5AB74090" w14:textId="77777777" w:rsidR="00B164C1" w:rsidRPr="00B164C1" w:rsidRDefault="00B164C1" w:rsidP="00B164C1">
      <w:pPr>
        <w:keepNext/>
        <w:keepLines/>
        <w:spacing w:before="240" w:line="360" w:lineRule="auto"/>
        <w:jc w:val="both"/>
        <w:outlineLvl w:val="0"/>
        <w:rPr>
          <w:rFonts w:ascii="Times New Roman" w:eastAsia="Malgun Gothic" w:hAnsi="Times New Roman" w:cs="Times New Roman"/>
          <w:b/>
          <w:sz w:val="24"/>
          <w:szCs w:val="32"/>
          <w:lang w:eastAsia="en-US"/>
        </w:rPr>
      </w:pPr>
      <w:bookmarkStart w:id="11" w:name="_Toc215003172"/>
      <w:r w:rsidRPr="00B164C1">
        <w:rPr>
          <w:rFonts w:ascii="Times New Roman" w:eastAsia="Malgun Gothic" w:hAnsi="Times New Roman" w:cs="Times New Roman"/>
          <w:b/>
          <w:sz w:val="24"/>
          <w:szCs w:val="32"/>
          <w:lang w:eastAsia="en-US"/>
        </w:rPr>
        <w:t>5. Stakeholder Roles, Benefits &amp; Challenges</w:t>
      </w:r>
      <w:bookmarkEnd w:id="11"/>
      <w:r w:rsidRPr="00B164C1">
        <w:rPr>
          <w:rFonts w:ascii="Times New Roman" w:eastAsia="Malgun Gothic" w:hAnsi="Times New Roman" w:cs="Times New Roman"/>
          <w:b/>
          <w:sz w:val="24"/>
          <w:szCs w:val="32"/>
          <w:lang w:eastAsia="en-US"/>
        </w:rPr>
        <w:t xml:space="preserve"> </w:t>
      </w:r>
    </w:p>
    <w:p w14:paraId="4334B139"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The role of the stakeholders in achieving the project and the value they add and the issues they are faced with are essential in managing the expectations and through reciprocal cooperation. </w:t>
      </w:r>
    </w:p>
    <w:p w14:paraId="577FBA89"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12" w:name="_Toc215003173"/>
      <w:r w:rsidRPr="00B164C1">
        <w:rPr>
          <w:rFonts w:ascii="Times New Roman" w:eastAsia="Malgun Gothic" w:hAnsi="Times New Roman" w:cs="Times New Roman"/>
          <w:b/>
          <w:i/>
          <w:sz w:val="24"/>
          <w:szCs w:val="26"/>
          <w:lang w:eastAsia="en-US"/>
        </w:rPr>
        <w:t>5.1 Internal Stakeholder Roles</w:t>
      </w:r>
      <w:bookmarkEnd w:id="12"/>
    </w:p>
    <w:p w14:paraId="5A240A03"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Product Development Team</w:t>
      </w:r>
    </w:p>
    <w:p w14:paraId="33A0F2AD"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This group handles the design, trials and optimization of the wearable gadget (Natalia Martínez Rodríguez et al., 2023). They verify the functions of the heart rate tracker and blood oxygen analysis as well as sleep analysis are of technical quality and clinical standards. </w:t>
      </w:r>
    </w:p>
    <w:p w14:paraId="408AABAB"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lastRenderedPageBreak/>
        <w:t>Provocation: The deadlines and quickness of the cycles can put high pressure on the team, in particular, when the demands of the stakeholders are changing.</w:t>
      </w:r>
    </w:p>
    <w:p w14:paraId="22E88A4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Marketing Department</w:t>
      </w:r>
    </w:p>
    <w:p w14:paraId="4E0D8063"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marketing department creates the image, message, and advertising content. They are indispensable in positioning the product to attract both the general consumers and the institutional consumers like the NHS.</w:t>
      </w:r>
    </w:p>
    <w:p w14:paraId="77033173"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Competing with stronger brands, such as Apple and Fitbit, makes differentiation in the markets and the conveyance of the value especially difficult.</w:t>
      </w:r>
    </w:p>
    <w:p w14:paraId="508D00A9"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Legal and Regulatory Team</w:t>
      </w:r>
    </w:p>
    <w:p w14:paraId="4C5F4536"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This department is in place to make sure that it complies with the data privacy laws (GDPR) and that MHRA approves the classification of medical-grade devices (Munoru, 2024). They play a very important role both legally and morally.</w:t>
      </w:r>
    </w:p>
    <w:p w14:paraId="7DEEFF15"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Difficulty: It may be a nightmare to navigate through the complicated legal landscape of health data at the expense of product functionality or feature set.</w:t>
      </w:r>
    </w:p>
    <w:p w14:paraId="54BCB9FF"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Executive Leadership</w:t>
      </w:r>
    </w:p>
    <w:p w14:paraId="67383EBB"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senior management makes strategic decisions, dedicates funding, and authorizes major milestones of projects. The reason behind their support is that the launch will be aligned with the overall UK expansion strategy of Withings.</w:t>
      </w:r>
    </w:p>
    <w:p w14:paraId="73CB76A1"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Problem: The issue of balancing investment and anticipated return on investment (ROI) is risky financially, in the event of not achieving the projected sales.</w:t>
      </w:r>
    </w:p>
    <w:p w14:paraId="5F92F180"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13" w:name="_Toc215003174"/>
      <w:r w:rsidRPr="00B164C1">
        <w:rPr>
          <w:rFonts w:ascii="Times New Roman" w:eastAsia="Malgun Gothic" w:hAnsi="Times New Roman" w:cs="Times New Roman"/>
          <w:b/>
          <w:i/>
          <w:sz w:val="24"/>
          <w:szCs w:val="26"/>
          <w:lang w:eastAsia="en-US"/>
        </w:rPr>
        <w:t>5.2 External Stakeholder Roles</w:t>
      </w:r>
      <w:bookmarkEnd w:id="13"/>
    </w:p>
    <w:p w14:paraId="2347B4D0"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NHS and Medical Advisors</w:t>
      </w:r>
    </w:p>
    <w:p w14:paraId="10F045F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These stakeholders provide critical clinical advice and contribute to the proving of the relevance of the device in the real-life healthcare context</w:t>
      </w:r>
      <w:r w:rsidRPr="00B164C1">
        <w:rPr>
          <w:rFonts w:ascii="Times New Roman" w:eastAsia="Aptos" w:hAnsi="Times New Roman" w:cs="Arial"/>
          <w:sz w:val="24"/>
          <w:lang w:val="en-US" w:eastAsia="en-US"/>
        </w:rPr>
        <w:t xml:space="preserve"> (Lee and Kim, 2024)</w:t>
      </w:r>
      <w:r w:rsidRPr="00B164C1">
        <w:rPr>
          <w:rFonts w:ascii="Times New Roman" w:eastAsia="Aptos" w:hAnsi="Times New Roman" w:cs="Arial"/>
          <w:sz w:val="24"/>
          <w:lang w:eastAsia="en-US"/>
        </w:rPr>
        <w:t>. They add credibility and resonance to NHS digital health objectives.</w:t>
      </w:r>
    </w:p>
    <w:p w14:paraId="6CB8C342"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Ask: interest in bureaucracy, various levels of approval and changing priorities in the health services of the population can slow down engagement.</w:t>
      </w:r>
    </w:p>
    <w:p w14:paraId="0727B377" w14:textId="77777777" w:rsidR="00B164C1" w:rsidRPr="00B164C1" w:rsidRDefault="00B164C1" w:rsidP="00B164C1">
      <w:pPr>
        <w:spacing w:line="360" w:lineRule="auto"/>
        <w:jc w:val="both"/>
        <w:rPr>
          <w:rFonts w:ascii="Times New Roman" w:eastAsia="Aptos" w:hAnsi="Times New Roman" w:cs="Arial"/>
          <w:sz w:val="24"/>
          <w:lang w:eastAsia="en-US"/>
        </w:rPr>
      </w:pPr>
    </w:p>
    <w:p w14:paraId="191C92B5"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lastRenderedPageBreak/>
        <w:t>Regulators (MHRA)</w:t>
      </w:r>
    </w:p>
    <w:p w14:paraId="7834DF40"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MHRA checks on the medical compliance and safety of the product. Before selling the device as a health tool in the UK, regulatory approval is required.</w:t>
      </w:r>
    </w:p>
    <w:p w14:paraId="1F658E9E"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Challenge: Approval procedures are long and tedious and failure to follow them correctly may lead to delay in launching the product/service greatly.</w:t>
      </w:r>
    </w:p>
    <w:p w14:paraId="161CFA53" w14:textId="77777777" w:rsidR="00B164C1" w:rsidRPr="00B164C1" w:rsidRDefault="00B164C1" w:rsidP="00B164C1">
      <w:pPr>
        <w:spacing w:line="360" w:lineRule="auto"/>
        <w:jc w:val="both"/>
        <w:rPr>
          <w:rFonts w:ascii="Times New Roman" w:eastAsia="Aptos" w:hAnsi="Times New Roman" w:cs="Arial"/>
          <w:sz w:val="24"/>
          <w:lang w:eastAsia="en-US"/>
        </w:rPr>
      </w:pPr>
    </w:p>
    <w:p w14:paraId="70BBFB18"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Retailers</w:t>
      </w:r>
    </w:p>
    <w:p w14:paraId="769CC9B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Online retailers including Amazon UK, Currys, and pharmacy chains are to be at the centre of product visibility and distribution</w:t>
      </w:r>
      <w:r w:rsidRPr="00B164C1">
        <w:rPr>
          <w:rFonts w:ascii="Times New Roman" w:eastAsia="Aptos" w:hAnsi="Times New Roman" w:cs="Arial"/>
          <w:sz w:val="24"/>
          <w:lang w:val="en-US" w:eastAsia="en-US"/>
        </w:rPr>
        <w:t xml:space="preserve"> (Laurisz et al., 2023)</w:t>
      </w:r>
      <w:r w:rsidRPr="00B164C1">
        <w:rPr>
          <w:rFonts w:ascii="Times New Roman" w:eastAsia="Aptos" w:hAnsi="Times New Roman" w:cs="Arial"/>
          <w:sz w:val="24"/>
          <w:lang w:eastAsia="en-US"/>
        </w:rPr>
        <w:t>. They are delivered on time, and they are available because of their logistical support.</w:t>
      </w:r>
    </w:p>
    <w:p w14:paraId="77F37760"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Problem: Miscommunication or errors in demand forecasting can affect the coordination of inventory and the supply chain.</w:t>
      </w:r>
    </w:p>
    <w:p w14:paraId="52378E7E" w14:textId="77777777" w:rsidR="00B164C1" w:rsidRPr="00B164C1" w:rsidRDefault="00B164C1" w:rsidP="00B164C1">
      <w:pPr>
        <w:spacing w:line="360" w:lineRule="auto"/>
        <w:jc w:val="both"/>
        <w:rPr>
          <w:rFonts w:ascii="Times New Roman" w:eastAsia="Aptos" w:hAnsi="Times New Roman" w:cs="Arial"/>
          <w:sz w:val="24"/>
          <w:lang w:eastAsia="en-US"/>
        </w:rPr>
      </w:pPr>
    </w:p>
    <w:p w14:paraId="386251EA"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End Users</w:t>
      </w:r>
    </w:p>
    <w:p w14:paraId="2EED4531"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customers give feedback, adoption and WOM-marketing. They use their satisfaction to dictate success of the product and subsequent iterations.</w:t>
      </w:r>
    </w:p>
    <w:p w14:paraId="5F8431B4"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Challenge: Going to: The pre-launch engagement is not always easy as one cannot always spend time physically testing the device before launch and so the feedback regarding usability is limited during pre-launch period.</w:t>
      </w:r>
    </w:p>
    <w:p w14:paraId="6D73BC7A"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14" w:name="_Toc215003175"/>
      <w:r w:rsidRPr="00B164C1">
        <w:rPr>
          <w:rFonts w:ascii="Times New Roman" w:eastAsia="Malgun Gothic" w:hAnsi="Times New Roman" w:cs="Times New Roman"/>
          <w:b/>
          <w:i/>
          <w:sz w:val="24"/>
          <w:szCs w:val="26"/>
          <w:lang w:eastAsia="en-US"/>
        </w:rPr>
        <w:t>5.3 Value and Risk</w:t>
      </w:r>
      <w:bookmarkEnd w:id="14"/>
    </w:p>
    <w:p w14:paraId="0C12785A"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Stakeholders ensure great value due to their knowledge, contacts, and feedback. As a case in point, NHS cooperation improves the quality of the product, whereas consumer feedback causes improvements in a sequence. The markets are structured and accessed by retailers and regulators. Nevertheless, inconsistent priorities, information breakdown, and privacy threats are possible risks. </w:t>
      </w:r>
    </w:p>
    <w:p w14:paraId="3B9FDB0E" w14:textId="77777777" w:rsidR="00B164C1" w:rsidRPr="00B164C1" w:rsidRDefault="00B164C1" w:rsidP="00B164C1">
      <w:pPr>
        <w:spacing w:line="360" w:lineRule="auto"/>
        <w:jc w:val="both"/>
        <w:rPr>
          <w:rFonts w:ascii="Times New Roman" w:eastAsia="Aptos" w:hAnsi="Times New Roman" w:cs="Arial"/>
          <w:b/>
          <w:bCs/>
          <w:sz w:val="24"/>
          <w:lang w:eastAsia="en-US"/>
        </w:rPr>
      </w:pPr>
      <w:r w:rsidRPr="00B164C1">
        <w:rPr>
          <w:rFonts w:ascii="Times New Roman" w:eastAsia="Aptos" w:hAnsi="Times New Roman" w:cs="Arial"/>
          <w:b/>
          <w:bCs/>
          <w:sz w:val="24"/>
          <w:lang w:eastAsia="en-US"/>
        </w:rPr>
        <w:t xml:space="preserve">6. Engagement Tools &amp; Frameworks </w:t>
      </w:r>
    </w:p>
    <w:p w14:paraId="7EA37110"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15" w:name="_Toc215003176"/>
      <w:r w:rsidRPr="00B164C1">
        <w:rPr>
          <w:rFonts w:ascii="Times New Roman" w:eastAsia="Malgun Gothic" w:hAnsi="Times New Roman" w:cs="Times New Roman"/>
          <w:b/>
          <w:i/>
          <w:sz w:val="24"/>
          <w:szCs w:val="26"/>
          <w:lang w:eastAsia="en-US"/>
        </w:rPr>
        <w:lastRenderedPageBreak/>
        <w:t>6.1 Stakeholder Engagement Plan</w:t>
      </w:r>
      <w:bookmarkEnd w:id="15"/>
    </w:p>
    <w:p w14:paraId="5F356FDE"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Stakeholder engagement plan is essential in the development of a well-organized plan that will assist in ensuring that all stakeholders (this project includes all other parties involved in launching the new Withings wearable device) will contribute to the project at each project phase</w:t>
      </w:r>
      <w:r w:rsidRPr="00B164C1">
        <w:rPr>
          <w:rFonts w:ascii="Times New Roman" w:eastAsia="Aptos" w:hAnsi="Times New Roman" w:cs="Arial"/>
          <w:sz w:val="24"/>
          <w:lang w:val="en-US" w:eastAsia="en-US"/>
        </w:rPr>
        <w:t xml:space="preserve"> (Landers et al., 2023)</w:t>
      </w:r>
      <w:r w:rsidRPr="00B164C1">
        <w:rPr>
          <w:rFonts w:ascii="Times New Roman" w:eastAsia="Aptos" w:hAnsi="Times New Roman" w:cs="Arial"/>
          <w:sz w:val="24"/>
          <w:lang w:eastAsia="en-US"/>
        </w:rPr>
        <w:t>. The engagement process starts during the pre-launch stage wherein external teams, including the product development team, marketing team, legal team, and the executive leadership, are involved in the scope of the project, any major milestones, and regulatory forces. NHS advisors, retailers and regulators form part of external stakeholders that are gradually involved during the planning and testing phase to give initial feedback and maintenance of policies. Under testing, the NHS partners and few end users go through pilot testing sessions to test the accuracy and usability of the device. Feedback obtained during such early interactions is used to make final design enhancements (Kashani et al., 2023). When the project enters the release stage, the participation changes to the preparation of marketing campaigns, the alignment of distribution logistics, getting customer support teams to the full stage of training. This manner of organizing interactions in these stages makes Withings leverage every stakeholder to give at the appropriate time resulting in an enhanced efficiency on the project and product performance.</w:t>
      </w:r>
    </w:p>
    <w:p w14:paraId="201177A2" w14:textId="77777777" w:rsidR="00B164C1" w:rsidRPr="00B164C1" w:rsidRDefault="00B164C1" w:rsidP="00B164C1">
      <w:pPr>
        <w:keepNext/>
        <w:keepLines/>
        <w:numPr>
          <w:ilvl w:val="1"/>
          <w:numId w:val="1"/>
        </w:numPr>
        <w:spacing w:before="40" w:line="360" w:lineRule="auto"/>
        <w:jc w:val="both"/>
        <w:outlineLvl w:val="1"/>
        <w:rPr>
          <w:rFonts w:ascii="Times New Roman" w:eastAsia="Malgun Gothic" w:hAnsi="Times New Roman" w:cs="Times New Roman"/>
          <w:b/>
          <w:i/>
          <w:sz w:val="24"/>
          <w:szCs w:val="26"/>
          <w:lang w:eastAsia="en-US"/>
        </w:rPr>
      </w:pPr>
      <w:bookmarkStart w:id="16" w:name="_Toc215003177"/>
      <w:r w:rsidRPr="00B164C1">
        <w:rPr>
          <w:rFonts w:ascii="Times New Roman" w:eastAsia="Malgun Gothic" w:hAnsi="Times New Roman" w:cs="Times New Roman"/>
          <w:b/>
          <w:i/>
          <w:sz w:val="24"/>
          <w:szCs w:val="26"/>
          <w:lang w:eastAsia="en-US"/>
        </w:rPr>
        <w:t>Communication Plan</w:t>
      </w:r>
      <w:bookmarkEnd w:id="16"/>
    </w:p>
    <w:p w14:paraId="59274F7A"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Stakeholder engagement takes place based on effective communication. Internal communication at Withings UK takes place in digital platforms (Microsoft Teams and Slack) and allows real-time discussions, documents sharing, and meeting coordination between development, marketing, regulatory, and leadership groups. Frequently, update meetings and progress reports would ensure the cohesiveness of all internal groups. The external communication is made to suit requirements of various stakeholder groups. As an illustration, regulators and advisors of NHS are provided with formal updates through email, regular consultations, or through the submission of formal documentation to assist in compliance and clinical contribution (Kapeller et al., 2021). The retailers are kept updated via synchronized newsletters, online briefing lessons as well as scheduled launch communication to make sure that they are aware of product features and distribution requirements. The frequency of communication depends on the power of the stakeholders and the level of interest as stakeholders of high priority will be allowed to get more frequent and detailed updates. Such </w:t>
      </w:r>
      <w:r w:rsidRPr="00B164C1">
        <w:rPr>
          <w:rFonts w:ascii="Times New Roman" w:eastAsia="Aptos" w:hAnsi="Times New Roman" w:cs="Arial"/>
          <w:sz w:val="24"/>
          <w:lang w:eastAsia="en-US"/>
        </w:rPr>
        <w:lastRenderedPageBreak/>
        <w:t>an organized form of communication process promotes transparency, fosters trust and lowers chances of misalignment or delays.</w:t>
      </w:r>
    </w:p>
    <w:p w14:paraId="5420DC0D"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17" w:name="_Toc215003178"/>
      <w:r w:rsidRPr="00B164C1">
        <w:rPr>
          <w:rFonts w:ascii="Times New Roman" w:eastAsia="Malgun Gothic" w:hAnsi="Times New Roman" w:cs="Times New Roman"/>
          <w:b/>
          <w:i/>
          <w:sz w:val="24"/>
          <w:szCs w:val="26"/>
          <w:lang w:eastAsia="en-US"/>
        </w:rPr>
        <w:t>6.3 RACI Matrix</w:t>
      </w:r>
      <w:bookmarkEnd w:id="17"/>
    </w:p>
    <w:p w14:paraId="0BA6CBAC"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bCs/>
          <w:i/>
          <w:sz w:val="24"/>
          <w:szCs w:val="26"/>
          <w:lang w:eastAsia="en-US"/>
        </w:rPr>
      </w:pPr>
      <w:bookmarkStart w:id="18" w:name="_Toc215003179"/>
      <w:r w:rsidRPr="00B164C1">
        <w:rPr>
          <w:rFonts w:ascii="Times New Roman" w:eastAsia="Malgun Gothic" w:hAnsi="Times New Roman" w:cs="Times New Roman"/>
          <w:b/>
          <w:bCs/>
          <w:i/>
          <w:sz w:val="24"/>
          <w:szCs w:val="26"/>
          <w:lang w:eastAsia="en-US"/>
        </w:rPr>
        <w:t>6.4 Additional Models</w:t>
      </w:r>
      <w:bookmarkEnd w:id="18"/>
    </w:p>
    <w:p w14:paraId="18E03D02"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Stakeholder Theory as expressed by Freeman supports the need to build long-term based on trust relationships with all stakeholders since project success will be achieved through the fulfilment of needs and expectations of the groups outside shareholders (Kang and Exworthy, 2022). This theory justifies the strategy of Withings that will engage the healthcare institutions, users and regulators early in the project. Moreover, the Stakeholder Typology by Mitchell et al. utilises power, legitimacy, and urgency to prioritize the stakeholders. To illustrate, MHRA is very powerful and legit as well and thus, their involvement is very necessary whereas end users have high urgency in regards to the value of the feedback. The use of these models reinforces rigor and effectiveness of stakeholder management process.</w:t>
      </w:r>
    </w:p>
    <w:p w14:paraId="6D91400E" w14:textId="77777777" w:rsidR="00B164C1" w:rsidRPr="00B164C1" w:rsidRDefault="00B164C1" w:rsidP="00B164C1">
      <w:pPr>
        <w:keepNext/>
        <w:keepLines/>
        <w:spacing w:before="240" w:line="360" w:lineRule="auto"/>
        <w:jc w:val="both"/>
        <w:outlineLvl w:val="0"/>
        <w:rPr>
          <w:rFonts w:ascii="Times New Roman" w:eastAsia="Malgun Gothic" w:hAnsi="Times New Roman" w:cs="Times New Roman"/>
          <w:b/>
          <w:sz w:val="24"/>
          <w:szCs w:val="32"/>
          <w:lang w:eastAsia="en-US"/>
        </w:rPr>
      </w:pPr>
      <w:bookmarkStart w:id="19" w:name="_Toc215003180"/>
      <w:r w:rsidRPr="00B164C1">
        <w:rPr>
          <w:rFonts w:ascii="Times New Roman" w:eastAsia="Malgun Gothic" w:hAnsi="Times New Roman" w:cs="Times New Roman"/>
          <w:b/>
          <w:sz w:val="24"/>
          <w:szCs w:val="32"/>
          <w:lang w:eastAsia="en-US"/>
        </w:rPr>
        <w:t>7. Stakeholder Engagement &amp; Conflict Management (4Cs Model)</w:t>
      </w:r>
      <w:bookmarkEnd w:id="19"/>
      <w:r w:rsidRPr="00B164C1">
        <w:rPr>
          <w:rFonts w:ascii="Times New Roman" w:eastAsia="Malgun Gothic" w:hAnsi="Times New Roman" w:cs="Times New Roman"/>
          <w:b/>
          <w:sz w:val="24"/>
          <w:szCs w:val="32"/>
          <w:lang w:eastAsia="en-US"/>
        </w:rPr>
        <w:t xml:space="preserve"> </w:t>
      </w:r>
    </w:p>
    <w:p w14:paraId="78533A1D"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20" w:name="_Toc215003181"/>
      <w:r w:rsidRPr="00B164C1">
        <w:rPr>
          <w:rFonts w:ascii="Times New Roman" w:eastAsia="Malgun Gothic" w:hAnsi="Times New Roman" w:cs="Times New Roman"/>
          <w:b/>
          <w:i/>
          <w:sz w:val="24"/>
          <w:szCs w:val="26"/>
          <w:lang w:eastAsia="en-US"/>
        </w:rPr>
        <w:t>7.1 Role of Project Manager</w:t>
      </w:r>
      <w:bookmarkEnd w:id="20"/>
    </w:p>
    <w:p w14:paraId="2BE9736E"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main role as project manager will deal with leading the wearable device launch through ensuring that there is proper communication between the stakeholders and the project by reducing the risks during the project lifecycle (Haig et al., 2023). The project manager will serve as the communication hub where technical information is relayed amongst teams and that goals and expectations are thoroughly understood. This will entail schedule management, resource allocation and checking on progress in ensuring that it complies with the six-month launch plan. The project manager is another key player in ensuring that the stakeholders are satisfied by making sure there is proactive dealing with their concerns, making sure approvals are needed, and making sure the various teams are aware of their mandate. Moreover, the project manager should foresee and deal with any kind of disruption, including regulatory delays, technical delays, and make sure that the problem will be solved timely to ensure the continuity of the project.</w:t>
      </w:r>
    </w:p>
    <w:p w14:paraId="35FE1768"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21" w:name="_Toc215003182"/>
      <w:r w:rsidRPr="00B164C1">
        <w:rPr>
          <w:rFonts w:ascii="Times New Roman" w:eastAsia="Malgun Gothic" w:hAnsi="Times New Roman" w:cs="Times New Roman"/>
          <w:b/>
          <w:i/>
          <w:sz w:val="24"/>
          <w:szCs w:val="26"/>
          <w:lang w:eastAsia="en-US"/>
        </w:rPr>
        <w:t>7.2 Stakeholder Engagement Process</w:t>
      </w:r>
      <w:bookmarkEnd w:id="21"/>
    </w:p>
    <w:p w14:paraId="6FD4BF74"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The engagement is initiated with an identification of the stakeholders and then an assessment of their power, interest, and possible impact on the project takes place (Ginsburg, Picard and </w:t>
      </w:r>
      <w:r w:rsidRPr="00B164C1">
        <w:rPr>
          <w:rFonts w:ascii="Times New Roman" w:eastAsia="Aptos" w:hAnsi="Times New Roman" w:cs="Arial"/>
          <w:sz w:val="24"/>
          <w:lang w:eastAsia="en-US"/>
        </w:rPr>
        <w:lastRenderedPageBreak/>
        <w:t>Friend, 2024). After identification, the stakeholders are prioritised with the help of a tool like the Matrix designed by Mendelow to enable the project manager to design the engagement strategies accordingly. The expectations of the stakeholders, as well as their responsibilities and communication preference are recorded in the planning phase to bring about clarity. In implementation, the stakeholders will play their part in terms of development, approval, or feedback. Constant communication keeps track of the progress that is in line with the goals of the projects (Gehr and Russmann, 2022). The feedback used will enable Withings to make improvements to the device using the opinions of NHS advisors, consumers and internal testers. This is a cyclical process which assures us that the stakeholder perspectives are constantly taken into consideration which improves the design of the product and the overall readiness to launch the product.</w:t>
      </w:r>
    </w:p>
    <w:p w14:paraId="4FC1BAB4"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22" w:name="_Toc215003183"/>
      <w:r w:rsidRPr="00B164C1">
        <w:rPr>
          <w:rFonts w:ascii="Times New Roman" w:eastAsia="Malgun Gothic" w:hAnsi="Times New Roman" w:cs="Times New Roman"/>
          <w:b/>
          <w:i/>
          <w:sz w:val="24"/>
          <w:szCs w:val="26"/>
          <w:lang w:eastAsia="en-US"/>
        </w:rPr>
        <w:t>7.3 4C’s Model in Action</w:t>
      </w:r>
      <w:bookmarkEnd w:id="22"/>
    </w:p>
    <w:p w14:paraId="56246514"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4 Cs model offers a formalized relationship management methodology with regard to stakeholder relationships. The basis is on communication, which enables stakeholders to get timely and correct updates by use of dashboards, reports, and custom messages. Effective communication eliminates the doubt and ensures that the stakeholders do not lose trust, especially the high-power stakeholders like the executive management and the regulators. Through coordination, all activities of the different stakeholders are put in line with the entire project timeline (Coulentianos et al., 2022). This is by scheduling meetings, aligning the deliverables, and task-tracking tools like Jira or Trello to track progress and dependencies across teams. The collaboration is promoted through engaging the stakeholders in solving problems and making decisions. The interesting aspect is that it will be easier to resolve the conflicts of interests by supporting the open and collaborative culture, and the members of the team will feel important and involved. Collaboration goes a notch higher by helping the stakeholders to collaborate on organizational goals. In this project, the collaboration may be seen in the process of co-designs with medical experts of the NHS, in which product features are influenced by medical views directly, and in the marketing togetherness with retailers to promote the products. Such group work results in strengthening relationships and in making sure that end product is technical and user-friendly.</w:t>
      </w:r>
    </w:p>
    <w:p w14:paraId="4D469A5D"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23" w:name="_Toc215003184"/>
      <w:r w:rsidRPr="00B164C1">
        <w:rPr>
          <w:rFonts w:ascii="Times New Roman" w:eastAsia="Malgun Gothic" w:hAnsi="Times New Roman" w:cs="Times New Roman"/>
          <w:b/>
          <w:i/>
          <w:sz w:val="24"/>
          <w:szCs w:val="26"/>
          <w:lang w:eastAsia="en-US"/>
        </w:rPr>
        <w:t>7.4 Conflict Management Techniques</w:t>
      </w:r>
      <w:bookmarkEnd w:id="23"/>
    </w:p>
    <w:p w14:paraId="289CC36B"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The cross-functional projects involving health-tech environment with strict regulatory demands and different stakeholders are bound to be characterized by conflict. In order to </w:t>
      </w:r>
      <w:r w:rsidRPr="00B164C1">
        <w:rPr>
          <w:rFonts w:ascii="Times New Roman" w:eastAsia="Aptos" w:hAnsi="Times New Roman" w:cs="Arial"/>
          <w:sz w:val="24"/>
          <w:lang w:eastAsia="en-US"/>
        </w:rPr>
        <w:lastRenderedPageBreak/>
        <w:t>address the conflict situation properly, the project manager takes a proactive method to recognize the possible risks in time with the help of consistent evaluation and reviewing the communication process. Regular review meetings enable the teams to bring up issues and solve them before they get out of control (Coert et al., 2021). Concise failure paths are put in place where unsolved disputes are resolved by the executive management or other competent personnel. Documentation becomes of paramount importance, making the decisions, agreements, and responsibilities to be properly documented so the misunderstandings could be avoided. Through the use of transparency, dialogue stimulation, and coherent conflict-resolution measures, the project manager is able to keep disagreements at a minimum and maintain a positive stakeholder relationship that does not derail and is focused on project objectives.</w:t>
      </w:r>
    </w:p>
    <w:p w14:paraId="2101AD59" w14:textId="77777777" w:rsidR="00B164C1" w:rsidRPr="00B164C1" w:rsidRDefault="00B164C1" w:rsidP="00B164C1">
      <w:pPr>
        <w:keepNext/>
        <w:keepLines/>
        <w:spacing w:before="240" w:line="360" w:lineRule="auto"/>
        <w:jc w:val="both"/>
        <w:outlineLvl w:val="0"/>
        <w:rPr>
          <w:rFonts w:ascii="Times New Roman" w:eastAsia="Malgun Gothic" w:hAnsi="Times New Roman" w:cs="Times New Roman"/>
          <w:b/>
          <w:sz w:val="24"/>
          <w:szCs w:val="32"/>
          <w:lang w:eastAsia="en-US"/>
        </w:rPr>
      </w:pPr>
      <w:bookmarkStart w:id="24" w:name="_Toc215003185"/>
      <w:r w:rsidRPr="00B164C1">
        <w:rPr>
          <w:rFonts w:ascii="Times New Roman" w:eastAsia="Malgun Gothic" w:hAnsi="Times New Roman" w:cs="Times New Roman"/>
          <w:b/>
          <w:sz w:val="24"/>
          <w:szCs w:val="32"/>
          <w:lang w:eastAsia="en-US"/>
        </w:rPr>
        <w:t>8. Evaluation of Impact and Recommendations</w:t>
      </w:r>
      <w:bookmarkEnd w:id="24"/>
      <w:r w:rsidRPr="00B164C1">
        <w:rPr>
          <w:rFonts w:ascii="Times New Roman" w:eastAsia="Malgun Gothic" w:hAnsi="Times New Roman" w:cs="Times New Roman"/>
          <w:b/>
          <w:sz w:val="24"/>
          <w:szCs w:val="32"/>
          <w:lang w:eastAsia="en-US"/>
        </w:rPr>
        <w:t xml:space="preserve"> </w:t>
      </w:r>
    </w:p>
    <w:p w14:paraId="58640220"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25" w:name="_Toc215003186"/>
      <w:r w:rsidRPr="00B164C1">
        <w:rPr>
          <w:rFonts w:ascii="Times New Roman" w:eastAsia="Malgun Gothic" w:hAnsi="Times New Roman" w:cs="Times New Roman"/>
          <w:b/>
          <w:i/>
          <w:sz w:val="24"/>
          <w:szCs w:val="26"/>
          <w:lang w:eastAsia="en-US"/>
        </w:rPr>
        <w:t>8.1 Impact of Stakeholder Engagement</w:t>
      </w:r>
      <w:bookmarkEnd w:id="25"/>
    </w:p>
    <w:p w14:paraId="0FB27AD1"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overall stakeholder engagement strategy applied to the Withings UK wearable launch project has impacted the various fronts in a positive manner to a large scale. To begin with, the early and organized stakeholder engagement gave a direct positive effect on the product-market fit of the new device (Brophy et al., 2021). With feedback through NHS advisors, end users and internal development teams incorporated at earlier design and testing phases, the product was developed by enhancing the needs of both clinical and consumer communities. This was done through this iterative feedback mechanism which ensured that not only were the features provided to be sound in terms of technology but were also relevant in the real world healthcare environment.</w:t>
      </w:r>
    </w:p>
    <w:p w14:paraId="4D1E5AB3"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Interaction with NHS participants assisted in customising the device in accordance with the existing healthcare programs like remote monitoring and preventive health tracking. This arrangement made Withings a more legitimate health sector partner and active institutional adoption is probable to result in this. The Deliberate partnership with NHS advisors also increased the knowledge that Withings had about regulatory requirements and clinical usability, which helped make more informed decisions when developing a product.</w:t>
      </w:r>
    </w:p>
    <w:p w14:paraId="208A5667"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On the inner side, the involvement of the stakeholders helped to create more coherent teamwork and motivation. There were effective channels of communication, shared vision, and the application of systematic tools like RACI matrix which facilitated the development of trust </w:t>
      </w:r>
      <w:r w:rsidRPr="00B164C1">
        <w:rPr>
          <w:rFonts w:ascii="Times New Roman" w:eastAsia="Aptos" w:hAnsi="Times New Roman" w:cs="Arial"/>
          <w:sz w:val="24"/>
          <w:lang w:eastAsia="en-US"/>
        </w:rPr>
        <w:lastRenderedPageBreak/>
        <w:t>among departments and clarity regarding duties (Brasier et al., 2024). The inclusion of team members in the major decision-making processes within the project also made them feel engaged and motivated as they could participate in the product development, marketing and legal functions.</w:t>
      </w:r>
    </w:p>
    <w:p w14:paraId="76216AEE"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26" w:name="_Toc215003187"/>
      <w:r w:rsidRPr="00B164C1">
        <w:rPr>
          <w:rFonts w:ascii="Times New Roman" w:eastAsia="Malgun Gothic" w:hAnsi="Times New Roman" w:cs="Times New Roman"/>
          <w:b/>
          <w:i/>
          <w:sz w:val="24"/>
          <w:szCs w:val="26"/>
          <w:lang w:eastAsia="en-US"/>
        </w:rPr>
        <w:t>8.2 Challenges Faced</w:t>
      </w:r>
      <w:bookmarkEnd w:id="26"/>
    </w:p>
    <w:p w14:paraId="7B103188"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With all these positive results, there were challenges that were observed in the stakeholder engagement process. Balancing between conflicting interests, in particular, between consumer expectations and compliance demands was one of the most enduring problems. The end users wanted an easy and user-friendly product experience, whereas the legal and regulatory departments also needed some restrictions to guarantee the level of legal and regulatory compliance with the UK GDPR regulations. Finding a balance between the innovation and regulation was a complicated project, which demanded that various teams would have to make compromises (Bhaltadak, Ghewade and Yelne, 2024). It was also crucially involving in resources such that it required a lot of time and energy to organize meetings, coordinate communications, and take note of progress in various stakeholder groups. This constant engagement meant that the project manager and team leads had to keep on working hard and at some point, they were not focusing on the actual development process. The practices of a smaller team or a startup can be confronted with finding it hard to maintain such a degree of stakeholder involvement through extra means.</w:t>
      </w:r>
    </w:p>
    <w:p w14:paraId="37491F06" w14:textId="77777777" w:rsidR="00B164C1" w:rsidRPr="00B164C1" w:rsidRDefault="00B164C1" w:rsidP="00B164C1">
      <w:pPr>
        <w:spacing w:line="360" w:lineRule="auto"/>
        <w:jc w:val="both"/>
        <w:rPr>
          <w:rFonts w:ascii="Times New Roman" w:eastAsia="Aptos" w:hAnsi="Times New Roman" w:cs="Arial"/>
          <w:sz w:val="24"/>
          <w:lang w:eastAsia="en-US"/>
        </w:rPr>
      </w:pPr>
    </w:p>
    <w:p w14:paraId="0B380352" w14:textId="77777777" w:rsidR="00B164C1" w:rsidRPr="00B164C1" w:rsidRDefault="00B164C1" w:rsidP="00B164C1">
      <w:pPr>
        <w:keepNext/>
        <w:keepLines/>
        <w:spacing w:before="40" w:line="360" w:lineRule="auto"/>
        <w:jc w:val="both"/>
        <w:outlineLvl w:val="1"/>
        <w:rPr>
          <w:rFonts w:ascii="Times New Roman" w:eastAsia="Malgun Gothic" w:hAnsi="Times New Roman" w:cs="Times New Roman"/>
          <w:b/>
          <w:i/>
          <w:sz w:val="24"/>
          <w:szCs w:val="26"/>
          <w:lang w:eastAsia="en-US"/>
        </w:rPr>
      </w:pPr>
      <w:bookmarkStart w:id="27" w:name="_Toc215003188"/>
      <w:r w:rsidRPr="00B164C1">
        <w:rPr>
          <w:rFonts w:ascii="Times New Roman" w:eastAsia="Malgun Gothic" w:hAnsi="Times New Roman" w:cs="Times New Roman"/>
          <w:b/>
          <w:i/>
          <w:sz w:val="24"/>
          <w:szCs w:val="26"/>
          <w:lang w:eastAsia="en-US"/>
        </w:rPr>
        <w:t>8.3 Recommendations</w:t>
      </w:r>
      <w:bookmarkEnd w:id="27"/>
    </w:p>
    <w:p w14:paraId="7EE427F8"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In order to continue on the success of the stakeholder engagement process and to overcome the challenges encountered, there are several recommendations that are put forward. To begin with, Withings should employ the concept of stakeholder engagement as its institutional aspect in every product development project. Through incorporating the element of engagement into its project management model, the firm will be in a position to standardise its processes and curtail the learning curve in future projects it undertakes (Bahadori et al., 2024). Secondly, it is advisable that Withings establishes an internal stakeholder engagement team that would take charge of planning and ensuring stakeholder reactions among projects. This team would have centralisation of skills, alignment of communication strategies and consistency in the process of engaging various stakeholders. It would also reduce the pressure on individual project managers and enhance the quality of engagement in such a set-up. </w:t>
      </w:r>
    </w:p>
    <w:p w14:paraId="11DE445E"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lastRenderedPageBreak/>
        <w:t>They also need to invest in stakeholder engagement training of the team leaders and managers. Most of the difficulties encountered in this project were attributed to the difference in experience in communicating with the stakeholders. Training of teams on the practical aspects of negotiations, conflict resolution and inclusive communication, as a requirement of cross-functional projects involving a wide range of stakeholders can be provided through structured training. Furthermore, Withings ought to adopt stakeholder feedback capturing and application system after the launch. This would enable the organisation to repeat the product after it is in use and make other versions better (Ash et al., 2021). Regular surveys, feedbacks, and user analysis may also assist in steering changes, so that, the product remains to the expectations of stakeholders with time. Lastly, Withings could strive to create long-term NHS partnership models, shifting its game to one-time product discussion models to strategic partnerships. Through integrating itself into the digital strategies of the NHS, withings can orientate future products in accordance with national health agendas, avail them of pilot programmes and help in the larger agenda of preventive health within the United Kingdom. These alliances would also increase brand credibility and introduce new growth opportunities in the public health system.</w:t>
      </w:r>
    </w:p>
    <w:p w14:paraId="16F17396" w14:textId="77777777" w:rsidR="00B164C1" w:rsidRPr="00B164C1" w:rsidRDefault="00B164C1" w:rsidP="00B164C1">
      <w:pPr>
        <w:keepNext/>
        <w:keepLines/>
        <w:spacing w:before="240" w:line="360" w:lineRule="auto"/>
        <w:jc w:val="both"/>
        <w:outlineLvl w:val="0"/>
        <w:rPr>
          <w:rFonts w:ascii="Times New Roman" w:eastAsia="Malgun Gothic" w:hAnsi="Times New Roman" w:cs="Times New Roman"/>
          <w:b/>
          <w:sz w:val="24"/>
          <w:szCs w:val="32"/>
          <w:lang w:eastAsia="en-US"/>
        </w:rPr>
      </w:pPr>
      <w:bookmarkStart w:id="28" w:name="_Toc215003189"/>
      <w:r w:rsidRPr="00B164C1">
        <w:rPr>
          <w:rFonts w:ascii="Times New Roman" w:eastAsia="Malgun Gothic" w:hAnsi="Times New Roman" w:cs="Times New Roman"/>
          <w:b/>
          <w:sz w:val="24"/>
          <w:szCs w:val="32"/>
          <w:lang w:eastAsia="en-US"/>
        </w:rPr>
        <w:t>9. Conclusion</w:t>
      </w:r>
      <w:bookmarkEnd w:id="28"/>
      <w:r w:rsidRPr="00B164C1">
        <w:rPr>
          <w:rFonts w:ascii="Times New Roman" w:eastAsia="Malgun Gothic" w:hAnsi="Times New Roman" w:cs="Times New Roman"/>
          <w:b/>
          <w:sz w:val="24"/>
          <w:szCs w:val="32"/>
          <w:lang w:eastAsia="en-US"/>
        </w:rPr>
        <w:t xml:space="preserve"> </w:t>
      </w:r>
    </w:p>
    <w:p w14:paraId="47EC0620"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The example of the successful introduction of the new wearable health device by Withings UK has proved the importance of the stakeholder engagement as a key factor of the modern development of healthcare products. The participation of the internal and external stakeholders in the process of laying the project lifecycle also promoted a high level of compliance among the final product with the demands of its users, regulatory requirements, and strategic market goals. Having well-elaborated engagement mechanisms (RACI matrices, communication plans, and stakeholder mapping) the project has stayed on track, aligned and collaborated within teams. Such tools as the SWOT analysis and the Mendelow matrix assisted in making out important impact on the project environment, whereas the 4Cs model of communication, coordination, cooperation, and collaboration assisted in developing positive interactions between various groups of stakeholders. These frameworks made it possible to have not only strategic but also systematic and inclusive engagement.</w:t>
      </w:r>
    </w:p>
    <w:p w14:paraId="44B3E226" w14:textId="77777777" w:rsidR="00B164C1" w:rsidRPr="00B164C1" w:rsidRDefault="00B164C1" w:rsidP="00B164C1">
      <w:pPr>
        <w:spacing w:line="360" w:lineRule="auto"/>
        <w:jc w:val="both"/>
        <w:rPr>
          <w:rFonts w:ascii="Times New Roman" w:eastAsia="Aptos" w:hAnsi="Times New Roman" w:cs="Arial"/>
          <w:sz w:val="24"/>
          <w:lang w:eastAsia="en-US"/>
        </w:rPr>
      </w:pPr>
      <w:r w:rsidRPr="00B164C1">
        <w:rPr>
          <w:rFonts w:ascii="Times New Roman" w:eastAsia="Aptos" w:hAnsi="Times New Roman" w:cs="Arial"/>
          <w:sz w:val="24"/>
          <w:lang w:eastAsia="en-US"/>
        </w:rPr>
        <w:t xml:space="preserve">By doing so, Withings has managed to enhance its product-situated fit, achieve accelerated regulatory advancements, and enhance its positioning in association with the NHS and the end users. Nevertheless, the difficulties experienced, including a struggle between conflicting </w:t>
      </w:r>
      <w:r w:rsidRPr="00B164C1">
        <w:rPr>
          <w:rFonts w:ascii="Times New Roman" w:eastAsia="Aptos" w:hAnsi="Times New Roman" w:cs="Arial"/>
          <w:sz w:val="24"/>
          <w:lang w:eastAsia="en-US"/>
        </w:rPr>
        <w:lastRenderedPageBreak/>
        <w:t>priorities and dealing with the complexity of communication, demonstrate the necessity of consistent enhancement of engagement strategies. As the future, the lessons learned can assist Withings to future-proof its engagement capacity by incorporating stakeholder participation into its overall project approach, investing to develop engagement-oriented positions and development, and forging long-term alliances with key organisations such as the NHS. This will not only make the product development operations going forward stronger, but also make the company an innovative and trusted powerhouse in the UK health-tech market.</w:t>
      </w:r>
    </w:p>
    <w:p w14:paraId="43F7B48E" w14:textId="77777777" w:rsidR="00B164C1" w:rsidRPr="00B164C1" w:rsidRDefault="00B164C1" w:rsidP="00B164C1">
      <w:pPr>
        <w:spacing w:line="360" w:lineRule="auto"/>
        <w:jc w:val="both"/>
        <w:rPr>
          <w:rFonts w:ascii="Times New Roman" w:eastAsia="Aptos" w:hAnsi="Times New Roman" w:cs="Arial"/>
          <w:sz w:val="24"/>
          <w:lang w:eastAsia="en-US"/>
        </w:rPr>
      </w:pPr>
    </w:p>
    <w:p w14:paraId="10D682E1" w14:textId="77777777" w:rsidR="00B164C1" w:rsidRPr="00B164C1" w:rsidRDefault="00B164C1" w:rsidP="00B164C1">
      <w:pPr>
        <w:spacing w:line="360" w:lineRule="auto"/>
        <w:jc w:val="both"/>
        <w:rPr>
          <w:rFonts w:ascii="Times New Roman" w:eastAsia="Aptos" w:hAnsi="Times New Roman" w:cs="Arial"/>
          <w:sz w:val="24"/>
          <w:lang w:eastAsia="en-US"/>
        </w:rPr>
      </w:pPr>
    </w:p>
    <w:p w14:paraId="1067BCAB" w14:textId="77777777" w:rsidR="00B164C1" w:rsidRPr="00B164C1" w:rsidRDefault="00B164C1" w:rsidP="00B164C1">
      <w:pPr>
        <w:spacing w:line="360" w:lineRule="auto"/>
        <w:jc w:val="both"/>
        <w:rPr>
          <w:rFonts w:ascii="Times New Roman" w:eastAsia="Aptos" w:hAnsi="Times New Roman" w:cs="Arial"/>
          <w:sz w:val="24"/>
          <w:lang w:eastAsia="en-US"/>
        </w:rPr>
      </w:pPr>
    </w:p>
    <w:p w14:paraId="76BDB82C" w14:textId="77777777" w:rsidR="00B164C1" w:rsidRPr="00B164C1" w:rsidRDefault="00B164C1" w:rsidP="00B164C1">
      <w:pPr>
        <w:spacing w:line="360" w:lineRule="auto"/>
        <w:jc w:val="both"/>
        <w:rPr>
          <w:rFonts w:ascii="Times New Roman" w:eastAsia="Aptos" w:hAnsi="Times New Roman" w:cs="Arial"/>
          <w:sz w:val="24"/>
          <w:lang w:eastAsia="en-US"/>
        </w:rPr>
      </w:pPr>
    </w:p>
    <w:p w14:paraId="674F57D5" w14:textId="77777777" w:rsidR="00B164C1" w:rsidRPr="00B164C1" w:rsidRDefault="00B164C1" w:rsidP="00B164C1">
      <w:pPr>
        <w:spacing w:line="360" w:lineRule="auto"/>
        <w:jc w:val="both"/>
        <w:rPr>
          <w:rFonts w:ascii="Times New Roman" w:eastAsia="Aptos" w:hAnsi="Times New Roman" w:cs="Arial"/>
          <w:sz w:val="24"/>
          <w:lang w:eastAsia="en-US"/>
        </w:rPr>
      </w:pPr>
    </w:p>
    <w:p w14:paraId="69E97D4A" w14:textId="77777777" w:rsidR="00B164C1" w:rsidRPr="00B164C1" w:rsidRDefault="00B164C1" w:rsidP="00B164C1">
      <w:pPr>
        <w:spacing w:line="360" w:lineRule="auto"/>
        <w:jc w:val="both"/>
        <w:rPr>
          <w:rFonts w:ascii="Times New Roman" w:eastAsia="Aptos" w:hAnsi="Times New Roman" w:cs="Arial"/>
          <w:sz w:val="24"/>
          <w:lang w:eastAsia="en-US"/>
        </w:rPr>
      </w:pPr>
    </w:p>
    <w:p w14:paraId="3D7863D6" w14:textId="77777777" w:rsidR="00B164C1" w:rsidRPr="00B164C1" w:rsidRDefault="00B164C1" w:rsidP="00B164C1">
      <w:pPr>
        <w:spacing w:line="360" w:lineRule="auto"/>
        <w:jc w:val="both"/>
        <w:rPr>
          <w:rFonts w:ascii="Times New Roman" w:eastAsia="Aptos" w:hAnsi="Times New Roman" w:cs="Arial"/>
          <w:sz w:val="24"/>
          <w:lang w:eastAsia="en-US"/>
        </w:rPr>
      </w:pPr>
    </w:p>
    <w:p w14:paraId="4E9AEE6B" w14:textId="77777777" w:rsidR="00B164C1" w:rsidRPr="00B164C1" w:rsidRDefault="00B164C1" w:rsidP="00B164C1">
      <w:pPr>
        <w:spacing w:line="360" w:lineRule="auto"/>
        <w:jc w:val="both"/>
        <w:rPr>
          <w:rFonts w:ascii="Times New Roman" w:eastAsia="Aptos" w:hAnsi="Times New Roman" w:cs="Arial"/>
          <w:sz w:val="24"/>
          <w:lang w:eastAsia="en-US"/>
        </w:rPr>
      </w:pPr>
    </w:p>
    <w:p w14:paraId="28B96B5E" w14:textId="77777777" w:rsidR="00B164C1" w:rsidRPr="00B164C1" w:rsidRDefault="00B164C1" w:rsidP="00B164C1">
      <w:pPr>
        <w:spacing w:line="360" w:lineRule="auto"/>
        <w:jc w:val="both"/>
        <w:rPr>
          <w:rFonts w:ascii="Times New Roman" w:eastAsia="Aptos" w:hAnsi="Times New Roman" w:cs="Arial"/>
          <w:sz w:val="24"/>
          <w:lang w:eastAsia="en-US"/>
        </w:rPr>
      </w:pPr>
    </w:p>
    <w:p w14:paraId="6C58CF96" w14:textId="77777777" w:rsidR="00B164C1" w:rsidRPr="00B164C1" w:rsidRDefault="00B164C1" w:rsidP="00B164C1">
      <w:pPr>
        <w:spacing w:line="360" w:lineRule="auto"/>
        <w:jc w:val="both"/>
        <w:rPr>
          <w:rFonts w:ascii="Times New Roman" w:eastAsia="Aptos" w:hAnsi="Times New Roman" w:cs="Arial"/>
          <w:sz w:val="24"/>
          <w:lang w:eastAsia="en-US"/>
        </w:rPr>
      </w:pPr>
    </w:p>
    <w:p w14:paraId="2620908D" w14:textId="77777777" w:rsidR="00B164C1" w:rsidRPr="00B164C1" w:rsidRDefault="00B164C1" w:rsidP="00B164C1">
      <w:pPr>
        <w:spacing w:line="360" w:lineRule="auto"/>
        <w:jc w:val="both"/>
        <w:rPr>
          <w:rFonts w:ascii="Times New Roman" w:eastAsia="Aptos" w:hAnsi="Times New Roman" w:cs="Arial"/>
          <w:sz w:val="24"/>
          <w:lang w:eastAsia="en-US"/>
        </w:rPr>
      </w:pPr>
    </w:p>
    <w:p w14:paraId="4A5629CB" w14:textId="77777777" w:rsidR="00B164C1" w:rsidRPr="00B164C1" w:rsidRDefault="00B164C1" w:rsidP="00B164C1">
      <w:pPr>
        <w:spacing w:line="360" w:lineRule="auto"/>
        <w:jc w:val="both"/>
        <w:rPr>
          <w:rFonts w:ascii="Times New Roman" w:eastAsia="Aptos" w:hAnsi="Times New Roman" w:cs="Arial"/>
          <w:sz w:val="24"/>
          <w:lang w:eastAsia="en-US"/>
        </w:rPr>
      </w:pPr>
    </w:p>
    <w:p w14:paraId="668E2FE7" w14:textId="77777777" w:rsidR="00B164C1" w:rsidRPr="00B164C1" w:rsidRDefault="00B164C1" w:rsidP="00B164C1">
      <w:pPr>
        <w:spacing w:line="360" w:lineRule="auto"/>
        <w:jc w:val="both"/>
        <w:rPr>
          <w:rFonts w:ascii="Times New Roman" w:eastAsia="Aptos" w:hAnsi="Times New Roman" w:cs="Arial"/>
          <w:sz w:val="24"/>
          <w:lang w:eastAsia="en-US"/>
        </w:rPr>
      </w:pPr>
    </w:p>
    <w:p w14:paraId="77D0A4FB" w14:textId="77777777" w:rsidR="00B164C1" w:rsidRPr="00B164C1" w:rsidRDefault="00B164C1" w:rsidP="00B164C1">
      <w:pPr>
        <w:spacing w:line="360" w:lineRule="auto"/>
        <w:jc w:val="both"/>
        <w:rPr>
          <w:rFonts w:ascii="Times New Roman" w:eastAsia="Aptos" w:hAnsi="Times New Roman" w:cs="Arial"/>
          <w:sz w:val="24"/>
          <w:lang w:eastAsia="en-US"/>
        </w:rPr>
      </w:pPr>
    </w:p>
    <w:p w14:paraId="1A5618E3" w14:textId="77777777" w:rsidR="00B164C1" w:rsidRPr="00B164C1" w:rsidRDefault="00B164C1" w:rsidP="00B164C1">
      <w:pPr>
        <w:spacing w:line="360" w:lineRule="auto"/>
        <w:jc w:val="both"/>
        <w:rPr>
          <w:rFonts w:ascii="Times New Roman" w:eastAsia="Aptos" w:hAnsi="Times New Roman" w:cs="Arial"/>
          <w:sz w:val="24"/>
          <w:lang w:eastAsia="en-US"/>
        </w:rPr>
      </w:pPr>
    </w:p>
    <w:p w14:paraId="74057EEC" w14:textId="77777777" w:rsidR="00B164C1" w:rsidRPr="00B164C1" w:rsidRDefault="00B164C1" w:rsidP="00B164C1">
      <w:pPr>
        <w:spacing w:line="360" w:lineRule="auto"/>
        <w:jc w:val="both"/>
        <w:rPr>
          <w:rFonts w:ascii="Times New Roman" w:eastAsia="Aptos" w:hAnsi="Times New Roman" w:cs="Arial"/>
          <w:sz w:val="24"/>
          <w:lang w:eastAsia="en-US"/>
        </w:rPr>
      </w:pPr>
    </w:p>
    <w:p w14:paraId="11E3285C" w14:textId="77777777" w:rsidR="00B164C1" w:rsidRPr="00B164C1" w:rsidRDefault="00B164C1" w:rsidP="00B164C1">
      <w:pPr>
        <w:spacing w:line="360" w:lineRule="auto"/>
        <w:jc w:val="both"/>
        <w:rPr>
          <w:rFonts w:ascii="Times New Roman" w:eastAsia="Aptos" w:hAnsi="Times New Roman" w:cs="Arial"/>
          <w:sz w:val="24"/>
          <w:lang w:eastAsia="en-US"/>
        </w:rPr>
      </w:pPr>
    </w:p>
    <w:p w14:paraId="52901861" w14:textId="77777777" w:rsidR="00B164C1" w:rsidRPr="00B164C1" w:rsidRDefault="00B164C1" w:rsidP="00B164C1">
      <w:pPr>
        <w:spacing w:line="360" w:lineRule="auto"/>
        <w:jc w:val="both"/>
        <w:rPr>
          <w:rFonts w:ascii="Times New Roman" w:eastAsia="Aptos" w:hAnsi="Times New Roman" w:cs="Arial"/>
          <w:sz w:val="24"/>
          <w:lang w:eastAsia="en-US"/>
        </w:rPr>
      </w:pPr>
    </w:p>
    <w:p w14:paraId="7D041B99" w14:textId="77777777" w:rsidR="00B164C1" w:rsidRPr="00B164C1" w:rsidRDefault="00B164C1" w:rsidP="00B164C1">
      <w:pPr>
        <w:spacing w:line="360" w:lineRule="auto"/>
        <w:jc w:val="both"/>
        <w:rPr>
          <w:rFonts w:ascii="Times New Roman" w:eastAsia="Aptos" w:hAnsi="Times New Roman" w:cs="Arial"/>
          <w:sz w:val="24"/>
          <w:lang w:eastAsia="en-US"/>
        </w:rPr>
      </w:pPr>
    </w:p>
    <w:p w14:paraId="21A3BF09" w14:textId="77777777" w:rsidR="00B164C1" w:rsidRPr="00B164C1" w:rsidRDefault="00B164C1" w:rsidP="00B164C1">
      <w:pPr>
        <w:keepNext/>
        <w:keepLines/>
        <w:spacing w:before="240" w:line="360" w:lineRule="auto"/>
        <w:jc w:val="both"/>
        <w:outlineLvl w:val="0"/>
        <w:rPr>
          <w:rFonts w:ascii="Times New Roman" w:eastAsia="Malgun Gothic" w:hAnsi="Times New Roman" w:cs="Times New Roman"/>
          <w:b/>
          <w:sz w:val="24"/>
          <w:szCs w:val="32"/>
          <w:lang w:eastAsia="en-US"/>
        </w:rPr>
      </w:pPr>
      <w:bookmarkStart w:id="29" w:name="_Toc215003190"/>
      <w:r w:rsidRPr="00B164C1">
        <w:rPr>
          <w:rFonts w:ascii="Times New Roman" w:eastAsia="Malgun Gothic" w:hAnsi="Times New Roman" w:cs="Times New Roman"/>
          <w:b/>
          <w:sz w:val="24"/>
          <w:szCs w:val="32"/>
          <w:lang w:eastAsia="en-US"/>
        </w:rPr>
        <w:lastRenderedPageBreak/>
        <w:t xml:space="preserve">10. </w:t>
      </w:r>
      <w:r w:rsidRPr="00B164C1">
        <w:rPr>
          <w:rFonts w:ascii="Times New Roman" w:eastAsia="Malgun Gothic" w:hAnsi="Times New Roman" w:cs="Times New Roman"/>
          <w:b/>
          <w:bCs/>
          <w:sz w:val="24"/>
          <w:szCs w:val="32"/>
          <w:lang w:eastAsia="en-US"/>
        </w:rPr>
        <w:t>References</w:t>
      </w:r>
      <w:bookmarkEnd w:id="29"/>
      <w:r w:rsidRPr="00B164C1">
        <w:rPr>
          <w:rFonts w:ascii="Times New Roman" w:eastAsia="Malgun Gothic" w:hAnsi="Times New Roman" w:cs="Times New Roman"/>
          <w:b/>
          <w:bCs/>
          <w:sz w:val="24"/>
          <w:szCs w:val="32"/>
          <w:lang w:eastAsia="en-US"/>
        </w:rPr>
        <w:t xml:space="preserve"> </w:t>
      </w:r>
    </w:p>
    <w:p w14:paraId="21E478E4"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Ash, G.I., Stults-Kolehmainen, M., Busa, M.A., Gaffey, A.E., Angeloudis, K., Muniz-Pardos, B., Gregory, R., Huggins, R.A., Redeker, N.S., Weinzimer, S.A., Grieco, L.A., Lyden, K., Megally, E., Vogiatzis, I., Scher, L., Zhu, X., Baker, J.S., Brandt, C., Businelle, M.S. and Fucito, L.M. (2021). Establishing a Global Standard for Wearable Devices in Sport and Exercise Medicine: Perspectives from Academic and Industry Stakeholders. </w:t>
      </w:r>
      <w:r w:rsidRPr="00B164C1">
        <w:rPr>
          <w:rFonts w:ascii="Times New Roman" w:eastAsia="Aptos" w:hAnsi="Times New Roman" w:cs="Arial"/>
          <w:i/>
          <w:iCs/>
          <w:sz w:val="24"/>
          <w:lang w:val="en-US" w:eastAsia="en-US"/>
        </w:rPr>
        <w:t>Sports Medicine</w:t>
      </w:r>
      <w:r w:rsidRPr="00B164C1">
        <w:rPr>
          <w:rFonts w:ascii="Times New Roman" w:eastAsia="Aptos" w:hAnsi="Times New Roman" w:cs="Arial"/>
          <w:sz w:val="24"/>
          <w:lang w:val="en-US" w:eastAsia="en-US"/>
        </w:rPr>
        <w:t>, 51(11), pp.2237–2250. doi:https://doi.org/10.1007/s40279-021-01543-5.</w:t>
      </w:r>
    </w:p>
    <w:p w14:paraId="54FE7448"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Bahadori, S., Buckle, P., Soukup Ascensao, T., Ghafur, S. and Kierkegaard, P. (2024). Evolving Digital Health Technologies: Aligning with and Enhancing the NICE Evidence Standards Framework – A Viewpoint Piece (Preprint). </w:t>
      </w:r>
      <w:r w:rsidRPr="00B164C1">
        <w:rPr>
          <w:rFonts w:ascii="Times New Roman" w:eastAsia="Aptos" w:hAnsi="Times New Roman" w:cs="Arial"/>
          <w:i/>
          <w:iCs/>
          <w:sz w:val="24"/>
          <w:lang w:val="en-US" w:eastAsia="en-US"/>
        </w:rPr>
        <w:t>JMIR mHealth and uHealth</w:t>
      </w:r>
      <w:r w:rsidRPr="00B164C1">
        <w:rPr>
          <w:rFonts w:ascii="Times New Roman" w:eastAsia="Aptos" w:hAnsi="Times New Roman" w:cs="Arial"/>
          <w:sz w:val="24"/>
          <w:lang w:val="en-US" w:eastAsia="en-US"/>
        </w:rPr>
        <w:t>. doi:https://doi.org/10.2196/67435.</w:t>
      </w:r>
    </w:p>
    <w:p w14:paraId="40BFC380"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Bhaltadak, V., Ghewade, B. and Yelne, S. (2024). A Comprehensive Review on Advancements in Wearable Technologies: Revolutionizing Cardiovascular Medicine. </w:t>
      </w:r>
      <w:r w:rsidRPr="00B164C1">
        <w:rPr>
          <w:rFonts w:ascii="Times New Roman" w:eastAsia="Aptos" w:hAnsi="Times New Roman" w:cs="Arial"/>
          <w:i/>
          <w:iCs/>
          <w:sz w:val="24"/>
          <w:lang w:val="en-US" w:eastAsia="en-US"/>
        </w:rPr>
        <w:t>Cureus</w:t>
      </w:r>
      <w:r w:rsidRPr="00B164C1">
        <w:rPr>
          <w:rFonts w:ascii="Times New Roman" w:eastAsia="Aptos" w:hAnsi="Times New Roman" w:cs="Arial"/>
          <w:sz w:val="24"/>
          <w:lang w:val="en-US" w:eastAsia="en-US"/>
        </w:rPr>
        <w:t>, [online] 16(5), p.e61312. doi:https://doi.org/10.7759/cureus.61312.</w:t>
      </w:r>
    </w:p>
    <w:p w14:paraId="17BBDB12"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Brasier, N., Wang, J., Gao, W., Sempionatto, J.R., Dincer, C., Ates, H.C., Güder, F., Olenik, S., Schauwecker, I., Schaffarczyk, D., Vayena, E., Ritz, N., Weisser, M., Mtenga, S., Ghaffari, R., Rogers, J.A. and Goldhahn, J. (2024). Applied body-fluid analysis by wearable devices. </w:t>
      </w:r>
      <w:r w:rsidRPr="00B164C1">
        <w:rPr>
          <w:rFonts w:ascii="Times New Roman" w:eastAsia="Aptos" w:hAnsi="Times New Roman" w:cs="Arial"/>
          <w:i/>
          <w:iCs/>
          <w:sz w:val="24"/>
          <w:lang w:val="en-US" w:eastAsia="en-US"/>
        </w:rPr>
        <w:t>Nature</w:t>
      </w:r>
      <w:r w:rsidRPr="00B164C1">
        <w:rPr>
          <w:rFonts w:ascii="Times New Roman" w:eastAsia="Aptos" w:hAnsi="Times New Roman" w:cs="Arial"/>
          <w:sz w:val="24"/>
          <w:lang w:val="en-US" w:eastAsia="en-US"/>
        </w:rPr>
        <w:t>, [online] 636(8041), pp.57–68. doi:https://doi.org/10.1038/s41586-024-08249-4.</w:t>
      </w:r>
    </w:p>
    <w:p w14:paraId="1CD005A7"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Brophy, K., Davies, S., Olenik, S., Çotur, Y., Ming, D., Van Zalk, N., O'hare, D., Güder, F. and Yetisen, A. (2021). The Future of Wearable Technologies. </w:t>
      </w:r>
      <w:r w:rsidRPr="00B164C1">
        <w:rPr>
          <w:rFonts w:ascii="Times New Roman" w:eastAsia="Aptos" w:hAnsi="Times New Roman" w:cs="Arial"/>
          <w:i/>
          <w:iCs/>
          <w:sz w:val="24"/>
          <w:lang w:val="en-US" w:eastAsia="en-US"/>
        </w:rPr>
        <w:t>The Future of Wearable Technologies</w:t>
      </w:r>
      <w:r w:rsidRPr="00B164C1">
        <w:rPr>
          <w:rFonts w:ascii="Times New Roman" w:eastAsia="Aptos" w:hAnsi="Times New Roman" w:cs="Arial"/>
          <w:sz w:val="24"/>
          <w:lang w:val="en-US" w:eastAsia="en-US"/>
        </w:rPr>
        <w:t>, [online] 6. doi:https://doi.org/10.25561/88893.</w:t>
      </w:r>
    </w:p>
    <w:p w14:paraId="73758F69"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Coert, R.M.H., Timmis, J.K., Boorsma, A. and Pasman, W.J. (2021). Stakeholder Perspectives on Barriers and Facilitators for the Adoption of Virtual Clinical Trials: Qualitative Study. </w:t>
      </w:r>
      <w:r w:rsidRPr="00B164C1">
        <w:rPr>
          <w:rFonts w:ascii="Times New Roman" w:eastAsia="Aptos" w:hAnsi="Times New Roman" w:cs="Arial"/>
          <w:i/>
          <w:iCs/>
          <w:sz w:val="24"/>
          <w:lang w:val="en-US" w:eastAsia="en-US"/>
        </w:rPr>
        <w:t>Journal of Medical Internet Research</w:t>
      </w:r>
      <w:r w:rsidRPr="00B164C1">
        <w:rPr>
          <w:rFonts w:ascii="Times New Roman" w:eastAsia="Aptos" w:hAnsi="Times New Roman" w:cs="Arial"/>
          <w:sz w:val="24"/>
          <w:lang w:val="en-US" w:eastAsia="en-US"/>
        </w:rPr>
        <w:t>, 23(7), p.e26813. doi:https://doi.org/10.2196/26813.</w:t>
      </w:r>
    </w:p>
    <w:p w14:paraId="000BB4BF"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Coulentianos, M., Rodriguez-Calero, I., Daly, S., Burridge, J. and Sienko, K. (2022). Stakeholders, Prototypes, and Settings of Front-End Medical Device Design Activities. </w:t>
      </w:r>
      <w:r w:rsidRPr="00B164C1">
        <w:rPr>
          <w:rFonts w:ascii="Times New Roman" w:eastAsia="Aptos" w:hAnsi="Times New Roman" w:cs="Arial"/>
          <w:i/>
          <w:iCs/>
          <w:sz w:val="24"/>
          <w:lang w:val="en-US" w:eastAsia="en-US"/>
        </w:rPr>
        <w:t>Journal of Medical Devices</w:t>
      </w:r>
      <w:r w:rsidRPr="00B164C1">
        <w:rPr>
          <w:rFonts w:ascii="Times New Roman" w:eastAsia="Aptos" w:hAnsi="Times New Roman" w:cs="Arial"/>
          <w:sz w:val="24"/>
          <w:lang w:val="en-US" w:eastAsia="en-US"/>
        </w:rPr>
        <w:t>. doi:https://doi.org/10.1115/1.4054207.</w:t>
      </w:r>
    </w:p>
    <w:p w14:paraId="5C21B1C4"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lastRenderedPageBreak/>
        <w:t xml:space="preserve">Gehr, S. and Russmann, C. (2022). Shaping the future of cardiovascular medicine in the new era of wearable devices. </w:t>
      </w:r>
      <w:r w:rsidRPr="00B164C1">
        <w:rPr>
          <w:rFonts w:ascii="Times New Roman" w:eastAsia="Aptos" w:hAnsi="Times New Roman" w:cs="Arial"/>
          <w:i/>
          <w:iCs/>
          <w:sz w:val="24"/>
          <w:lang w:val="en-US" w:eastAsia="en-US"/>
        </w:rPr>
        <w:t>Nature Reviews Cardiology</w:t>
      </w:r>
      <w:r w:rsidRPr="00B164C1">
        <w:rPr>
          <w:rFonts w:ascii="Times New Roman" w:eastAsia="Aptos" w:hAnsi="Times New Roman" w:cs="Arial"/>
          <w:sz w:val="24"/>
          <w:lang w:val="en-US" w:eastAsia="en-US"/>
        </w:rPr>
        <w:t>, 19(8), pp.501–502. doi:https://doi.org/10.1038/s41569-022-00729-2.</w:t>
      </w:r>
    </w:p>
    <w:p w14:paraId="13AD96C1"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Ginsburg, G.S., Picard, R.W. and Friend, S.H. (2024). Key Issues as Wearable Digital Health Technologies Enter Clinical Care. </w:t>
      </w:r>
      <w:r w:rsidRPr="00B164C1">
        <w:rPr>
          <w:rFonts w:ascii="Times New Roman" w:eastAsia="Aptos" w:hAnsi="Times New Roman" w:cs="Arial"/>
          <w:i/>
          <w:iCs/>
          <w:sz w:val="24"/>
          <w:lang w:val="en-US" w:eastAsia="en-US"/>
        </w:rPr>
        <w:t>The New England Journal of Medicine</w:t>
      </w:r>
      <w:r w:rsidRPr="00B164C1">
        <w:rPr>
          <w:rFonts w:ascii="Times New Roman" w:eastAsia="Aptos" w:hAnsi="Times New Roman" w:cs="Arial"/>
          <w:sz w:val="24"/>
          <w:lang w:val="en-US" w:eastAsia="en-US"/>
        </w:rPr>
        <w:t>, 390(12), pp.1118–1127. doi:https://doi.org/10.1056/nejmra2307160.</w:t>
      </w:r>
    </w:p>
    <w:p w14:paraId="057D3678"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Haig, M., Main, C., Danitza Chávez and Kanavos, P. (2023). A Value Framework to Assess Patient-Facing Digital Health Technologies That Aim to Improve Chronic Disease Management: A Delphi Approach. </w:t>
      </w:r>
      <w:r w:rsidRPr="00B164C1">
        <w:rPr>
          <w:rFonts w:ascii="Times New Roman" w:eastAsia="Aptos" w:hAnsi="Times New Roman" w:cs="Arial"/>
          <w:i/>
          <w:iCs/>
          <w:sz w:val="24"/>
          <w:lang w:val="en-US" w:eastAsia="en-US"/>
        </w:rPr>
        <w:t>Value in Health</w:t>
      </w:r>
      <w:r w:rsidRPr="00B164C1">
        <w:rPr>
          <w:rFonts w:ascii="Times New Roman" w:eastAsia="Aptos" w:hAnsi="Times New Roman" w:cs="Arial"/>
          <w:sz w:val="24"/>
          <w:lang w:val="en-US" w:eastAsia="en-US"/>
        </w:rPr>
        <w:t>, 26(10), pp.1474–1484. doi:https://doi.org/10.1016/j.jval.2023.06.008.</w:t>
      </w:r>
    </w:p>
    <w:p w14:paraId="2F9F5098"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Kang, H.S. and Exworthy, M. (2022). Wearing the Future—Wearables to Empower Users to Take Greater Responsibility for Their Health and Care: Scoping Review. </w:t>
      </w:r>
      <w:r w:rsidRPr="00B164C1">
        <w:rPr>
          <w:rFonts w:ascii="Times New Roman" w:eastAsia="Aptos" w:hAnsi="Times New Roman" w:cs="Arial"/>
          <w:i/>
          <w:iCs/>
          <w:sz w:val="24"/>
          <w:lang w:val="en-US" w:eastAsia="en-US"/>
        </w:rPr>
        <w:t>JMIR mHealth and uHealth</w:t>
      </w:r>
      <w:r w:rsidRPr="00B164C1">
        <w:rPr>
          <w:rFonts w:ascii="Times New Roman" w:eastAsia="Aptos" w:hAnsi="Times New Roman" w:cs="Arial"/>
          <w:sz w:val="24"/>
          <w:lang w:val="en-US" w:eastAsia="en-US"/>
        </w:rPr>
        <w:t>, [online] 10(7). doi:https://doi.org/10.2196/35684.</w:t>
      </w:r>
    </w:p>
    <w:p w14:paraId="0DE39723"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Kapeller, A., Felzmann, H., Fosch-Villaronga, E., Nizamis, K. and Hughes, A.-M. (2021). Implementing Ethical, Legal, and Societal Considerations in Wearable Robot Design. </w:t>
      </w:r>
      <w:r w:rsidRPr="00B164C1">
        <w:rPr>
          <w:rFonts w:ascii="Times New Roman" w:eastAsia="Aptos" w:hAnsi="Times New Roman" w:cs="Arial"/>
          <w:i/>
          <w:iCs/>
          <w:sz w:val="24"/>
          <w:lang w:val="en-US" w:eastAsia="en-US"/>
        </w:rPr>
        <w:t>Applied Sciences</w:t>
      </w:r>
      <w:r w:rsidRPr="00B164C1">
        <w:rPr>
          <w:rFonts w:ascii="Times New Roman" w:eastAsia="Aptos" w:hAnsi="Times New Roman" w:cs="Arial"/>
          <w:sz w:val="24"/>
          <w:lang w:val="en-US" w:eastAsia="en-US"/>
        </w:rPr>
        <w:t>, 11(15), p.6705. doi:https://doi.org/10.3390/app11156705.</w:t>
      </w:r>
    </w:p>
    <w:p w14:paraId="6F29CADE"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Kashani, K., Awdishu, L., Bagshaw, S.M., Barreto, E.F., Rolando Claure-Del Granado, Evans, B.J., Forni, L.G., Ghosh, E., Goldstein, S.L., Kane‐Gill, S.L., Koola, J.D., Koyner, J.L., Liu, M., Raghavan Murugan, Nadkarni, G.N., Neyra, J.A., Ninan, J., Ostermann, M., Pannu, N. and Rashidi, P. (2023). Digital health and acute kidney injury: consensus report of the 27th Acute Disease Quality Initiative workgroup. </w:t>
      </w:r>
      <w:r w:rsidRPr="00B164C1">
        <w:rPr>
          <w:rFonts w:ascii="Times New Roman" w:eastAsia="Aptos" w:hAnsi="Times New Roman" w:cs="Arial"/>
          <w:i/>
          <w:iCs/>
          <w:sz w:val="24"/>
          <w:lang w:val="en-US" w:eastAsia="en-US"/>
        </w:rPr>
        <w:t>Nature Reviews Nephrology</w:t>
      </w:r>
      <w:r w:rsidRPr="00B164C1">
        <w:rPr>
          <w:rFonts w:ascii="Times New Roman" w:eastAsia="Aptos" w:hAnsi="Times New Roman" w:cs="Arial"/>
          <w:sz w:val="24"/>
          <w:lang w:val="en-US" w:eastAsia="en-US"/>
        </w:rPr>
        <w:t>. doi:https://doi.org/10.1038/s41581-023-00744-7.</w:t>
      </w:r>
    </w:p>
    <w:p w14:paraId="3158867C"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Landers, C., Vayena, E., Amann, J. and Blasimme, A. (2023). Stuck in translation: Stakeholder perspectives on impediments to responsible digital health. </w:t>
      </w:r>
      <w:r w:rsidRPr="00B164C1">
        <w:rPr>
          <w:rFonts w:ascii="Times New Roman" w:eastAsia="Aptos" w:hAnsi="Times New Roman" w:cs="Arial"/>
          <w:i/>
          <w:iCs/>
          <w:sz w:val="24"/>
          <w:lang w:val="en-US" w:eastAsia="en-US"/>
        </w:rPr>
        <w:t>Frontiers in Digital Health</w:t>
      </w:r>
      <w:r w:rsidRPr="00B164C1">
        <w:rPr>
          <w:rFonts w:ascii="Times New Roman" w:eastAsia="Aptos" w:hAnsi="Times New Roman" w:cs="Arial"/>
          <w:sz w:val="24"/>
          <w:lang w:val="en-US" w:eastAsia="en-US"/>
        </w:rPr>
        <w:t>, [online] 5. doi:https://doi.org/10.3389/fdgth.2023.1069410.</w:t>
      </w:r>
    </w:p>
    <w:p w14:paraId="2C2C02D0"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Laurisz, N., Ćwiklicki, M., Żabiński, M., Canestrino, R. and Magliocca, P. (2023). The stakeholders’ involvement in healthcare 4.0 services provision: The perspective of co-creation. </w:t>
      </w:r>
      <w:r w:rsidRPr="00B164C1">
        <w:rPr>
          <w:rFonts w:ascii="Times New Roman" w:eastAsia="Aptos" w:hAnsi="Times New Roman" w:cs="Arial"/>
          <w:i/>
          <w:iCs/>
          <w:sz w:val="24"/>
          <w:lang w:val="en-US" w:eastAsia="en-US"/>
        </w:rPr>
        <w:t>International Journal of Environmental Research and Public Health</w:t>
      </w:r>
      <w:r w:rsidRPr="00B164C1">
        <w:rPr>
          <w:rFonts w:ascii="Times New Roman" w:eastAsia="Aptos" w:hAnsi="Times New Roman" w:cs="Arial"/>
          <w:sz w:val="24"/>
          <w:lang w:val="en-US" w:eastAsia="en-US"/>
        </w:rPr>
        <w:t>, [online] 20(3), p.2416. doi:https://doi.org/10.3390/ijerph20032416.</w:t>
      </w:r>
    </w:p>
    <w:p w14:paraId="2F74AF25"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lastRenderedPageBreak/>
        <w:t xml:space="preserve">Lee, N.K. and Kim, J.S. (2024). Status and Trends of the Digital Healthcare Industry. </w:t>
      </w:r>
      <w:r w:rsidRPr="00B164C1">
        <w:rPr>
          <w:rFonts w:ascii="Times New Roman" w:eastAsia="Aptos" w:hAnsi="Times New Roman" w:cs="Arial"/>
          <w:i/>
          <w:iCs/>
          <w:sz w:val="24"/>
          <w:lang w:val="en-US" w:eastAsia="en-US"/>
        </w:rPr>
        <w:t>Healthcare Informatics Research</w:t>
      </w:r>
      <w:r w:rsidRPr="00B164C1">
        <w:rPr>
          <w:rFonts w:ascii="Times New Roman" w:eastAsia="Aptos" w:hAnsi="Times New Roman" w:cs="Arial"/>
          <w:sz w:val="24"/>
          <w:lang w:val="en-US" w:eastAsia="en-US"/>
        </w:rPr>
        <w:t>, [online] 30(3), pp.172–183. doi:https://doi.org/10.4258/hir.2024.30.3.172.</w:t>
      </w:r>
    </w:p>
    <w:p w14:paraId="2A6FE028"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Munoru, E. (2024). Stakeholder involvement in the implementation of digital health technologies. </w:t>
      </w:r>
      <w:r w:rsidRPr="00B164C1">
        <w:rPr>
          <w:rFonts w:ascii="Times New Roman" w:eastAsia="Aptos" w:hAnsi="Times New Roman" w:cs="Arial"/>
          <w:i/>
          <w:iCs/>
          <w:sz w:val="24"/>
          <w:lang w:val="en-US" w:eastAsia="en-US"/>
        </w:rPr>
        <w:t>Theseus.fi</w:t>
      </w:r>
      <w:r w:rsidRPr="00B164C1">
        <w:rPr>
          <w:rFonts w:ascii="Times New Roman" w:eastAsia="Aptos" w:hAnsi="Times New Roman" w:cs="Arial"/>
          <w:sz w:val="24"/>
          <w:lang w:val="en-US" w:eastAsia="en-US"/>
        </w:rPr>
        <w:t>. [online] doi:http://www.theseus.fi/handle/10024/869044.</w:t>
      </w:r>
    </w:p>
    <w:p w14:paraId="20F71D79"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Natalia Martínez Rodríguez, Burleson, G., Linnes, J.C. and Sienko, K.H. (2023). Thinking Beyond the Device: An Overview of Human- and Equity-Centered Approaches for Health Technology Design. </w:t>
      </w:r>
      <w:r w:rsidRPr="00B164C1">
        <w:rPr>
          <w:rFonts w:ascii="Times New Roman" w:eastAsia="Aptos" w:hAnsi="Times New Roman" w:cs="Arial"/>
          <w:i/>
          <w:iCs/>
          <w:sz w:val="24"/>
          <w:lang w:val="en-US" w:eastAsia="en-US"/>
        </w:rPr>
        <w:t>Annual Review of Biomedical Engineering</w:t>
      </w:r>
      <w:r w:rsidRPr="00B164C1">
        <w:rPr>
          <w:rFonts w:ascii="Times New Roman" w:eastAsia="Aptos" w:hAnsi="Times New Roman" w:cs="Arial"/>
          <w:sz w:val="24"/>
          <w:lang w:val="en-US" w:eastAsia="en-US"/>
        </w:rPr>
        <w:t>, 25(1), pp.257–280. doi:https://doi.org/10.1146/annurev-bioeng-081922-024834.</w:t>
      </w:r>
    </w:p>
    <w:p w14:paraId="4332749D"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Nnabuko, Uchenna Chioma (2021). Value cocreation in health. </w:t>
      </w:r>
      <w:r w:rsidRPr="00B164C1">
        <w:rPr>
          <w:rFonts w:ascii="Times New Roman" w:eastAsia="Aptos" w:hAnsi="Times New Roman" w:cs="Arial"/>
          <w:i/>
          <w:iCs/>
          <w:sz w:val="24"/>
          <w:lang w:val="en-US" w:eastAsia="en-US"/>
        </w:rPr>
        <w:t>Ed.ac.uk</w:t>
      </w:r>
      <w:r w:rsidRPr="00B164C1">
        <w:rPr>
          <w:rFonts w:ascii="Times New Roman" w:eastAsia="Aptos" w:hAnsi="Times New Roman" w:cs="Arial"/>
          <w:sz w:val="24"/>
          <w:lang w:val="en-US" w:eastAsia="en-US"/>
        </w:rPr>
        <w:t>. [online] doi:https://hdl.handle.net/1842/38213.</w:t>
      </w:r>
    </w:p>
    <w:p w14:paraId="01B073B8"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Nophar Geifman, Armes, J. and Whetton, A.D. (2023). Identifying developments over a decade in the digital health and telemedicine landscape in the UK using quantitative text mining. 5. doi:https://doi.org/10.3389/fdgth.2023.1092008.</w:t>
      </w:r>
    </w:p>
    <w:p w14:paraId="695414A9"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Pan, Z., Liao, S., Sun, W., Zhou, H., Lin, S., Chen, D., Jiang, S., Long, H., Fan, J., Deng, F., Zhang, W., Chen, B., Wang, J., Huang, Y., Li, J. and Chen, Y. (2024). Screening and early warning system for chronic obstructive pulmonary disease with obstructive sleep apnoea based on the medical Internet of Things in three levels of healthcare: protocol for a prospective, multicentre, observational cohort study. </w:t>
      </w:r>
      <w:r w:rsidRPr="00B164C1">
        <w:rPr>
          <w:rFonts w:ascii="Times New Roman" w:eastAsia="Aptos" w:hAnsi="Times New Roman" w:cs="Arial"/>
          <w:i/>
          <w:iCs/>
          <w:sz w:val="24"/>
          <w:lang w:val="en-US" w:eastAsia="en-US"/>
        </w:rPr>
        <w:t>BMJ Open</w:t>
      </w:r>
      <w:r w:rsidRPr="00B164C1">
        <w:rPr>
          <w:rFonts w:ascii="Times New Roman" w:eastAsia="Aptos" w:hAnsi="Times New Roman" w:cs="Arial"/>
          <w:sz w:val="24"/>
          <w:lang w:val="en-US" w:eastAsia="en-US"/>
        </w:rPr>
        <w:t>, [online] 14(2), p.e075257. doi:https://doi.org/10.1136/bmjopen-2023-075257.</w:t>
      </w:r>
    </w:p>
    <w:p w14:paraId="59A987CA"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Rak, R., Quinn, P. and Ciui, B. (2024). ENHANCING DIGITAL HEALTH INNOVATION IN THE EU WITH EFFECTIVE INDUSTRIAL STRATEGY POLICIES - A FOCUS ON WEARABLE MEDICAL DEVICES. [online] doi:https://doi.org/10.2760/88816.</w:t>
      </w:r>
    </w:p>
    <w:p w14:paraId="57CB2C8B"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Skinner, A., Costantini, I., Stone, C., Darios, J., Gray, M., Iryna Culpin and Pearson, R.M. (2023). Identifying stakeholder priorities in use of wearable cameras for researching parent-child interactions. </w:t>
      </w:r>
      <w:r w:rsidRPr="00B164C1">
        <w:rPr>
          <w:rFonts w:ascii="Times New Roman" w:eastAsia="Aptos" w:hAnsi="Times New Roman" w:cs="Arial"/>
          <w:i/>
          <w:iCs/>
          <w:sz w:val="24"/>
          <w:lang w:val="en-US" w:eastAsia="en-US"/>
        </w:rPr>
        <w:t>Frontiers in child and adolescent psychiatry</w:t>
      </w:r>
      <w:r w:rsidRPr="00B164C1">
        <w:rPr>
          <w:rFonts w:ascii="Times New Roman" w:eastAsia="Aptos" w:hAnsi="Times New Roman" w:cs="Arial"/>
          <w:sz w:val="24"/>
          <w:lang w:val="en-US" w:eastAsia="en-US"/>
        </w:rPr>
        <w:t>, 2. doi:https://doi.org/10.3389/frcha.2023.1111299.</w:t>
      </w:r>
    </w:p>
    <w:p w14:paraId="2878BA5F"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Slattery, O., Trubetskaya, A., Moore, S. and McDermott, O. (2022). A Review of Lean Methodology Application and Its Integration in Medical Device New Product Introduction Processes. </w:t>
      </w:r>
      <w:r w:rsidRPr="00B164C1">
        <w:rPr>
          <w:rFonts w:ascii="Times New Roman" w:eastAsia="Aptos" w:hAnsi="Times New Roman" w:cs="Arial"/>
          <w:i/>
          <w:iCs/>
          <w:sz w:val="24"/>
          <w:lang w:val="en-US" w:eastAsia="en-US"/>
        </w:rPr>
        <w:t>Processes</w:t>
      </w:r>
      <w:r w:rsidRPr="00B164C1">
        <w:rPr>
          <w:rFonts w:ascii="Times New Roman" w:eastAsia="Aptos" w:hAnsi="Times New Roman" w:cs="Arial"/>
          <w:sz w:val="24"/>
          <w:lang w:val="en-US" w:eastAsia="en-US"/>
        </w:rPr>
        <w:t>, 10(10), p.2005. doi:https://doi.org/10.3390/pr10102005.</w:t>
      </w:r>
    </w:p>
    <w:p w14:paraId="3A929B3D"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lastRenderedPageBreak/>
        <w:t xml:space="preserve">Smuck, M., Odonkor, C.A., Wilt, J.K., Schmidt, N. and Swiernik, M.A. (2021). The emerging clinical role of wearables: factors for successful implementation in healthcare. </w:t>
      </w:r>
      <w:r w:rsidRPr="00B164C1">
        <w:rPr>
          <w:rFonts w:ascii="Times New Roman" w:eastAsia="Aptos" w:hAnsi="Times New Roman" w:cs="Arial"/>
          <w:i/>
          <w:iCs/>
          <w:sz w:val="24"/>
          <w:lang w:val="en-US" w:eastAsia="en-US"/>
        </w:rPr>
        <w:t>npj Digital Medicine</w:t>
      </w:r>
      <w:r w:rsidRPr="00B164C1">
        <w:rPr>
          <w:rFonts w:ascii="Times New Roman" w:eastAsia="Aptos" w:hAnsi="Times New Roman" w:cs="Arial"/>
          <w:sz w:val="24"/>
          <w:lang w:val="en-US" w:eastAsia="en-US"/>
        </w:rPr>
        <w:t>, [online] 4(1), pp.1–8. doi:https://doi.org/10.1038/s41746-021-00418-3.</w:t>
      </w:r>
    </w:p>
    <w:p w14:paraId="255A4D00"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Timmis, J.K. (2021). </w:t>
      </w:r>
      <w:r w:rsidRPr="00B164C1">
        <w:rPr>
          <w:rFonts w:ascii="Times New Roman" w:eastAsia="Aptos" w:hAnsi="Times New Roman" w:cs="Arial"/>
          <w:i/>
          <w:iCs/>
          <w:sz w:val="24"/>
          <w:lang w:val="en-US" w:eastAsia="en-US"/>
        </w:rPr>
        <w:t>Improving healthcare innovation and decision making by extensive stakeholder involvement</w:t>
      </w:r>
      <w:r w:rsidRPr="00B164C1">
        <w:rPr>
          <w:rFonts w:ascii="Times New Roman" w:eastAsia="Aptos" w:hAnsi="Times New Roman" w:cs="Arial"/>
          <w:sz w:val="24"/>
          <w:lang w:val="en-US" w:eastAsia="en-US"/>
        </w:rPr>
        <w:t>. [online] Vrije Universiteit Amsterdam. Available at: https://research.vu.nl/en/publications/improving-healthcare-innovation-and-decision-making-by-extensive-.</w:t>
      </w:r>
    </w:p>
    <w:p w14:paraId="1448CAAD"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Tu, J., Flynn, C.D., Yeom, J., Wu, Z., Kelley, S.O. and Gao, W. (2025). Wearable biomolecular sensing nanotechnologies in chronic disease management. </w:t>
      </w:r>
      <w:r w:rsidRPr="00B164C1">
        <w:rPr>
          <w:rFonts w:ascii="Times New Roman" w:eastAsia="Aptos" w:hAnsi="Times New Roman" w:cs="Arial"/>
          <w:i/>
          <w:iCs/>
          <w:sz w:val="24"/>
          <w:lang w:val="en-US" w:eastAsia="en-US"/>
        </w:rPr>
        <w:t>Nature Nanotechnology</w:t>
      </w:r>
      <w:r w:rsidRPr="00B164C1">
        <w:rPr>
          <w:rFonts w:ascii="Times New Roman" w:eastAsia="Aptos" w:hAnsi="Times New Roman" w:cs="Arial"/>
          <w:sz w:val="24"/>
          <w:lang w:val="en-US" w:eastAsia="en-US"/>
        </w:rPr>
        <w:t>, 20(10), pp.1388–1404. doi:https://doi.org/10.1038/s41565-025-02010-2.</w:t>
      </w:r>
    </w:p>
    <w:p w14:paraId="479401E0"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Vannelli, S., Visintin, F., Clio Dosi, Fiorini, L., Rovini, E. and Cavallo, F. (2024). A Framework for the Human-Centered Design of Service Processes Enabled by Medical Devices: A Case Study of Wearable Devices for Parkinson’s Disease. </w:t>
      </w:r>
      <w:r w:rsidRPr="00B164C1">
        <w:rPr>
          <w:rFonts w:ascii="Times New Roman" w:eastAsia="Aptos" w:hAnsi="Times New Roman" w:cs="Arial"/>
          <w:i/>
          <w:iCs/>
          <w:sz w:val="24"/>
          <w:lang w:val="en-US" w:eastAsia="en-US"/>
        </w:rPr>
        <w:t>International Journal of Environmental Research and Public Health</w:t>
      </w:r>
      <w:r w:rsidRPr="00B164C1">
        <w:rPr>
          <w:rFonts w:ascii="Times New Roman" w:eastAsia="Aptos" w:hAnsi="Times New Roman" w:cs="Arial"/>
          <w:sz w:val="24"/>
          <w:lang w:val="en-US" w:eastAsia="en-US"/>
        </w:rPr>
        <w:t>, 21(10), pp.1367–1367. doi:https://doi.org/10.3390/ijerph21101367.</w:t>
      </w:r>
    </w:p>
    <w:p w14:paraId="1418BC9A"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Virgillito, D., Pierluigi Catalfo and Ledda, C. (2025). Wearables in Healthcare Organizations: Implications for Occupational Health, Organizational Performance, and Economic Outcomes. </w:t>
      </w:r>
      <w:r w:rsidRPr="00B164C1">
        <w:rPr>
          <w:rFonts w:ascii="Times New Roman" w:eastAsia="Aptos" w:hAnsi="Times New Roman" w:cs="Arial"/>
          <w:i/>
          <w:iCs/>
          <w:sz w:val="24"/>
          <w:lang w:val="en-US" w:eastAsia="en-US"/>
        </w:rPr>
        <w:t>Healthcare</w:t>
      </w:r>
      <w:r w:rsidRPr="00B164C1">
        <w:rPr>
          <w:rFonts w:ascii="Times New Roman" w:eastAsia="Aptos" w:hAnsi="Times New Roman" w:cs="Arial"/>
          <w:sz w:val="24"/>
          <w:lang w:val="en-US" w:eastAsia="en-US"/>
        </w:rPr>
        <w:t>, [online] 13(18), pp.2289–2289. doi:https://doi.org/10.3390/healthcare13182289.</w:t>
      </w:r>
    </w:p>
    <w:p w14:paraId="14082BB3" w14:textId="77777777" w:rsidR="00B164C1" w:rsidRPr="00B164C1" w:rsidRDefault="00B164C1" w:rsidP="00B164C1">
      <w:pPr>
        <w:spacing w:line="360" w:lineRule="auto"/>
        <w:rPr>
          <w:rFonts w:ascii="Times New Roman" w:eastAsia="Aptos" w:hAnsi="Times New Roman" w:cs="Arial"/>
          <w:sz w:val="24"/>
          <w:lang w:val="en-US" w:eastAsia="en-US"/>
        </w:rPr>
      </w:pPr>
      <w:r w:rsidRPr="00B164C1">
        <w:rPr>
          <w:rFonts w:ascii="Times New Roman" w:eastAsia="Aptos" w:hAnsi="Times New Roman" w:cs="Arial"/>
          <w:sz w:val="24"/>
          <w:lang w:val="en-US" w:eastAsia="en-US"/>
        </w:rPr>
        <w:t xml:space="preserve">Wang, C., Shirzaei Sani, E., Shih, C.-D., Lim, C.T., Wang, J., Armstrong, D.G. and Gao, W. (2024). Wound management materials and technologies from bench to bedside and beyond. </w:t>
      </w:r>
      <w:r w:rsidRPr="00B164C1">
        <w:rPr>
          <w:rFonts w:ascii="Times New Roman" w:eastAsia="Aptos" w:hAnsi="Times New Roman" w:cs="Arial"/>
          <w:i/>
          <w:iCs/>
          <w:sz w:val="24"/>
          <w:lang w:val="en-US" w:eastAsia="en-US"/>
        </w:rPr>
        <w:t>Nature Reviews Materials</w:t>
      </w:r>
      <w:r w:rsidRPr="00B164C1">
        <w:rPr>
          <w:rFonts w:ascii="Times New Roman" w:eastAsia="Aptos" w:hAnsi="Times New Roman" w:cs="Arial"/>
          <w:sz w:val="24"/>
          <w:lang w:val="en-US" w:eastAsia="en-US"/>
        </w:rPr>
        <w:t>, [online] pp.1–17. doi:https://doi.org/10.1038/s41578-024-00693-y.</w:t>
      </w:r>
    </w:p>
    <w:p w14:paraId="18813E02" w14:textId="77777777" w:rsidR="00B164C1" w:rsidRPr="00B164C1" w:rsidRDefault="00B164C1" w:rsidP="00B164C1">
      <w:pPr>
        <w:spacing w:line="360" w:lineRule="auto"/>
        <w:rPr>
          <w:rFonts w:ascii="Times New Roman" w:eastAsia="Aptos" w:hAnsi="Times New Roman" w:cs="Arial"/>
          <w:sz w:val="24"/>
          <w:lang w:val="en-US" w:eastAsia="en-US"/>
        </w:rPr>
      </w:pPr>
    </w:p>
    <w:p w14:paraId="557D2D02" w14:textId="4FAFE366" w:rsidR="19DF5ED4" w:rsidRDefault="19DF5ED4" w:rsidP="19DF5ED4">
      <w:pPr>
        <w:spacing w:line="600" w:lineRule="auto"/>
        <w:rPr>
          <w:rFonts w:ascii="Arial" w:hAnsi="Arial" w:cs="Arial"/>
          <w:b/>
          <w:bCs/>
          <w:i/>
          <w:iCs/>
        </w:rPr>
      </w:pPr>
    </w:p>
    <w:p w14:paraId="5AA42B3D" w14:textId="55AB8D7C" w:rsidR="19DF5ED4" w:rsidRDefault="19DF5ED4" w:rsidP="19DF5ED4">
      <w:pPr>
        <w:spacing w:line="600" w:lineRule="auto"/>
        <w:rPr>
          <w:rFonts w:ascii="Arial" w:hAnsi="Arial" w:cs="Arial"/>
          <w:b/>
          <w:bCs/>
          <w:i/>
          <w:iCs/>
        </w:rPr>
      </w:pPr>
    </w:p>
    <w:p w14:paraId="48A12DF4" w14:textId="3BDA537D" w:rsidR="19DF5ED4" w:rsidRDefault="19DF5ED4" w:rsidP="19DF5ED4">
      <w:pPr>
        <w:spacing w:line="600" w:lineRule="auto"/>
        <w:rPr>
          <w:rFonts w:ascii="Arial" w:hAnsi="Arial" w:cs="Arial"/>
          <w:b/>
          <w:bCs/>
          <w:i/>
          <w:iCs/>
        </w:rPr>
      </w:pPr>
    </w:p>
    <w:p w14:paraId="048F3136" w14:textId="6FE39698" w:rsidR="19DF5ED4" w:rsidRDefault="19DF5ED4" w:rsidP="19DF5ED4">
      <w:pPr>
        <w:spacing w:line="600" w:lineRule="auto"/>
        <w:rPr>
          <w:rFonts w:ascii="Arial" w:hAnsi="Arial" w:cs="Arial"/>
          <w:b/>
          <w:bCs/>
          <w:i/>
          <w:iCs/>
        </w:rPr>
      </w:pPr>
    </w:p>
    <w:p w14:paraId="06981A62" w14:textId="7B36CF99" w:rsidR="19DF5ED4" w:rsidRDefault="19DF5ED4" w:rsidP="19DF5ED4">
      <w:pPr>
        <w:spacing w:line="600" w:lineRule="auto"/>
        <w:rPr>
          <w:rFonts w:ascii="Arial" w:hAnsi="Arial" w:cs="Arial"/>
          <w:b/>
          <w:bCs/>
          <w:i/>
          <w:iCs/>
        </w:rPr>
      </w:pPr>
    </w:p>
    <w:p w14:paraId="0002923C" w14:textId="57DD09C0" w:rsidR="19DF5ED4" w:rsidRDefault="19DF5ED4" w:rsidP="19DF5ED4">
      <w:pPr>
        <w:spacing w:line="600" w:lineRule="auto"/>
        <w:rPr>
          <w:rFonts w:ascii="Arial" w:hAnsi="Arial" w:cs="Arial"/>
          <w:b/>
          <w:bCs/>
          <w:i/>
          <w:iCs/>
        </w:rPr>
      </w:pPr>
    </w:p>
    <w:p w14:paraId="6F3E1302" w14:textId="5DCA3C3E" w:rsidR="19DF5ED4" w:rsidRDefault="19DF5ED4" w:rsidP="19DF5ED4">
      <w:pPr>
        <w:spacing w:line="600" w:lineRule="auto"/>
        <w:rPr>
          <w:rFonts w:ascii="Arial" w:hAnsi="Arial" w:cs="Arial"/>
          <w:b/>
          <w:bCs/>
          <w:i/>
          <w:iCs/>
        </w:rPr>
      </w:pPr>
    </w:p>
    <w:p w14:paraId="125A4E05" w14:textId="47B6F5F1" w:rsidR="19DF5ED4" w:rsidRDefault="19DF5ED4" w:rsidP="19DF5ED4">
      <w:pPr>
        <w:spacing w:line="600" w:lineRule="auto"/>
        <w:rPr>
          <w:rFonts w:ascii="Arial" w:hAnsi="Arial" w:cs="Arial"/>
          <w:b/>
          <w:bCs/>
          <w:i/>
          <w:iCs/>
        </w:rPr>
      </w:pPr>
    </w:p>
    <w:p w14:paraId="40639C48" w14:textId="774A44FC" w:rsidR="19DF5ED4" w:rsidRDefault="19DF5ED4" w:rsidP="19DF5ED4">
      <w:pPr>
        <w:spacing w:line="600" w:lineRule="auto"/>
        <w:rPr>
          <w:rFonts w:ascii="Arial" w:hAnsi="Arial" w:cs="Arial"/>
          <w:b/>
          <w:bCs/>
          <w:i/>
          <w:iCs/>
        </w:rPr>
      </w:pPr>
    </w:p>
    <w:p w14:paraId="48F16406" w14:textId="13292932" w:rsidR="19DF5ED4" w:rsidRDefault="19DF5ED4" w:rsidP="19DF5ED4">
      <w:pPr>
        <w:spacing w:line="600" w:lineRule="auto"/>
        <w:rPr>
          <w:rFonts w:ascii="Arial" w:hAnsi="Arial" w:cs="Arial"/>
          <w:b/>
          <w:bCs/>
          <w:i/>
          <w:iCs/>
        </w:rPr>
      </w:pPr>
    </w:p>
    <w:p w14:paraId="1CFD101F" w14:textId="0DE7090E" w:rsidR="19DF5ED4" w:rsidRDefault="19DF5ED4" w:rsidP="19DF5ED4">
      <w:pPr>
        <w:spacing w:line="600" w:lineRule="auto"/>
        <w:rPr>
          <w:rFonts w:ascii="Arial" w:hAnsi="Arial" w:cs="Arial"/>
          <w:b/>
          <w:bCs/>
          <w:i/>
          <w:iCs/>
        </w:rPr>
      </w:pPr>
    </w:p>
    <w:p w14:paraId="2DBEBD15" w14:textId="56E1C93C" w:rsidR="19DF5ED4" w:rsidRDefault="19DF5ED4" w:rsidP="19DF5ED4">
      <w:pPr>
        <w:spacing w:line="600" w:lineRule="auto"/>
        <w:rPr>
          <w:rFonts w:ascii="Arial" w:hAnsi="Arial" w:cs="Arial"/>
          <w:b/>
          <w:bCs/>
          <w:i/>
          <w:iCs/>
        </w:rPr>
      </w:pPr>
    </w:p>
    <w:p w14:paraId="6D8B169F" w14:textId="1AFA9E58" w:rsidR="19DF5ED4" w:rsidRDefault="19DF5ED4" w:rsidP="19DF5ED4">
      <w:pPr>
        <w:spacing w:line="600" w:lineRule="auto"/>
        <w:rPr>
          <w:rFonts w:ascii="Arial" w:hAnsi="Arial" w:cs="Arial"/>
          <w:b/>
          <w:bCs/>
          <w:i/>
          <w:iCs/>
        </w:rPr>
      </w:pPr>
    </w:p>
    <w:p w14:paraId="082E9941" w14:textId="407513F6" w:rsidR="19DF5ED4" w:rsidRDefault="19DF5ED4" w:rsidP="19DF5ED4">
      <w:pPr>
        <w:spacing w:line="600" w:lineRule="auto"/>
        <w:rPr>
          <w:rFonts w:ascii="Arial" w:hAnsi="Arial" w:cs="Arial"/>
          <w:b/>
          <w:bCs/>
          <w:i/>
          <w:iCs/>
        </w:rPr>
      </w:pPr>
    </w:p>
    <w:p w14:paraId="6DEB6CDE" w14:textId="0B221502" w:rsidR="19DF5ED4" w:rsidRDefault="19DF5ED4" w:rsidP="19DF5ED4">
      <w:pPr>
        <w:spacing w:line="600" w:lineRule="auto"/>
        <w:rPr>
          <w:rFonts w:ascii="Arial" w:hAnsi="Arial" w:cs="Arial"/>
          <w:b/>
          <w:bCs/>
          <w:i/>
          <w:iCs/>
        </w:rPr>
      </w:pPr>
    </w:p>
    <w:p w14:paraId="1C5F4720" w14:textId="7F4EFB7D" w:rsidR="19DF5ED4" w:rsidRDefault="19DF5ED4" w:rsidP="19DF5ED4">
      <w:pPr>
        <w:spacing w:line="600" w:lineRule="auto"/>
        <w:rPr>
          <w:rFonts w:ascii="Arial" w:hAnsi="Arial" w:cs="Arial"/>
          <w:b/>
          <w:bCs/>
          <w:i/>
          <w:iCs/>
        </w:rPr>
      </w:pPr>
    </w:p>
    <w:p w14:paraId="1028C0FF" w14:textId="39E974B0" w:rsidR="19DF5ED4" w:rsidRDefault="19DF5ED4" w:rsidP="19DF5ED4">
      <w:pPr>
        <w:spacing w:line="600" w:lineRule="auto"/>
        <w:rPr>
          <w:rFonts w:ascii="Arial" w:hAnsi="Arial" w:cs="Arial"/>
          <w:b/>
          <w:bCs/>
          <w:i/>
          <w:iCs/>
        </w:rPr>
      </w:pPr>
    </w:p>
    <w:p w14:paraId="1766FA8E" w14:textId="30C7E9B5" w:rsidR="19DF5ED4" w:rsidRDefault="19DF5ED4" w:rsidP="19DF5ED4">
      <w:pPr>
        <w:spacing w:line="600" w:lineRule="auto"/>
        <w:rPr>
          <w:rFonts w:ascii="Arial" w:hAnsi="Arial" w:cs="Arial"/>
          <w:b/>
          <w:bCs/>
          <w:i/>
          <w:iCs/>
        </w:rPr>
      </w:pPr>
    </w:p>
    <w:sectPr w:rsidR="19DF5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B51ED18" w14:textId="77777777" w:rsidR="00C37E6D" w:rsidRDefault="00C37E6D" w:rsidP="00F37B62">
      <w:pPr>
        <w:spacing w:after="0" w:line="240" w:lineRule="auto"/>
      </w:pPr>
      <w:r>
        <w:separator/>
      </w:r>
    </w:p>
  </w:endnote>
  <w:endnote w:type="continuationSeparator" w:id="0">
    <w:p w14:paraId="328A87AD" w14:textId="77777777" w:rsidR="00C37E6D" w:rsidRDefault="00C37E6D"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ple Color Emoji">
    <w:charset w:val="00"/>
    <w:family w:val="auto"/>
    <w:pitch w:val="variable"/>
    <w:sig w:usb0="00000003" w:usb1="18000000" w:usb2="14000000" w:usb3="00000000" w:csb0="00000001" w:csb1="00000000"/>
  </w:font>
  <w:font w:name="Aptos">
    <w:altName w:val="Arial"/>
    <w:charset w:val="00"/>
    <w:family w:val="swiss"/>
    <w:pitch w:val="variable"/>
    <w:sig w:usb0="00000001" w:usb1="00000003" w:usb2="00000000" w:usb3="00000000" w:csb0="0000019F" w:csb1="00000000"/>
  </w:font>
  <w:font w:name="Malgun Gothic">
    <w:altName w:val="맑은 고딕"/>
    <w:panose1 w:val="020B0503020000020004"/>
    <w:charset w:val="81"/>
    <w:family w:val="swiss"/>
    <w:pitch w:val="variable"/>
    <w:sig w:usb0="9000002F" w:usb1="29D77CFB" w:usb2="00000012" w:usb3="00000000" w:csb0="00080001" w:csb1="00000000"/>
  </w:font>
  <w:font w:name="Batang">
    <w:altName w:val="바탕"/>
    <w:panose1 w:val="02030600000101010101"/>
    <w:charset w:val="81"/>
    <w:family w:val="auto"/>
    <w:notTrueType/>
    <w:pitch w:val="fixed"/>
    <w:sig w:usb0="00000001" w:usb1="09060000" w:usb2="00000010" w:usb3="00000000" w:csb0="00080000"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A0F1D9" w14:textId="77777777" w:rsidR="00C37E6D" w:rsidRDefault="00C37E6D" w:rsidP="00F37B62">
      <w:pPr>
        <w:spacing w:after="0" w:line="240" w:lineRule="auto"/>
      </w:pPr>
      <w:r>
        <w:separator/>
      </w:r>
    </w:p>
  </w:footnote>
  <w:footnote w:type="continuationSeparator" w:id="0">
    <w:p w14:paraId="17824BFF" w14:textId="77777777" w:rsidR="00C37E6D" w:rsidRDefault="00C37E6D" w:rsidP="00F37B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4E5126"/>
    <w:multiLevelType w:val="multilevel"/>
    <w:tmpl w:val="D674CF8A"/>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254B588D"/>
    <w:multiLevelType w:val="hybridMultilevel"/>
    <w:tmpl w:val="89B8C5F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7811"/>
    <w:rsid w:val="000A4347"/>
    <w:rsid w:val="000B4E76"/>
    <w:rsid w:val="003C42A2"/>
    <w:rsid w:val="003F3651"/>
    <w:rsid w:val="006833D5"/>
    <w:rsid w:val="0072707E"/>
    <w:rsid w:val="007F31CE"/>
    <w:rsid w:val="008D1598"/>
    <w:rsid w:val="008F4215"/>
    <w:rsid w:val="00B164C1"/>
    <w:rsid w:val="00B465A0"/>
    <w:rsid w:val="00BF5CCA"/>
    <w:rsid w:val="00C37E6D"/>
    <w:rsid w:val="00D41CE9"/>
    <w:rsid w:val="00DA48EF"/>
    <w:rsid w:val="00E12960"/>
    <w:rsid w:val="00F37B62"/>
    <w:rsid w:val="00F5191F"/>
    <w:rsid w:val="00F67811"/>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23</Pages>
  <Words>6255</Words>
  <Characters>35657</Characters>
  <DocSecurity>0</DocSecurity>
  <Lines>297</Lines>
  <Paragraphs>83</Paragraphs>
  <ScaleCrop>false</ScaleCrop>
  <Company/>
  <LinksUpToDate>false</LinksUpToDate>
  <CharactersWithSpaces>41829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2025-02-28T10:23:00Z</dcterms:created>
  <dcterms:modified xsi:type="dcterms:W3CDTF">2025-12-15T12:45:00Z</dcterms:modified>
</cp:coreProperties>
</file>