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5BEA57" wp14:paraId="49A57919" wp14:textId="7947732F">
      <w:pPr>
        <w:shd w:val="clear" w:color="auto" w:fill="FFFFFF" w:themeFill="background1"/>
        <w:spacing w:before="90" w:beforeAutospacing="off" w:after="90" w:afterAutospacing="off"/>
        <w:jc w:val="both"/>
        <w:rPr>
          <w:rFonts w:ascii="Arial" w:hAnsi="Arial" w:eastAsia="Arial" w:cs="Arial"/>
          <w:b w:val="1"/>
          <w:bCs w:val="1"/>
          <w:noProof w:val="0"/>
          <w:color w:val="222222"/>
          <w:sz w:val="20"/>
          <w:szCs w:val="20"/>
          <w:lang w:val="en-US"/>
        </w:rPr>
      </w:pPr>
    </w:p>
    <w:p xmlns:wp14="http://schemas.microsoft.com/office/word/2010/wordml" w:rsidP="115BEA57" wp14:paraId="416CFCE7" wp14:textId="02EE9610">
      <w:pPr>
        <w:shd w:val="clear" w:color="auto" w:fill="FFFFFF" w:themeFill="background1"/>
        <w:spacing w:before="90" w:beforeAutospacing="off" w:after="90" w:afterAutospacing="off"/>
        <w:jc w:val="both"/>
      </w:pPr>
      <w:r w:rsidRPr="17F38FA1" w:rsidR="1BA49EE9">
        <w:rPr>
          <w:rFonts w:ascii="Arial" w:hAnsi="Arial" w:eastAsia="Arial" w:cs="Arial"/>
          <w:b w:val="1"/>
          <w:bCs w:val="1"/>
          <w:color w:val="222222"/>
          <w:sz w:val="20"/>
          <w:szCs w:val="20"/>
        </w:rPr>
        <w:t xml:space="preserve"> </w:t>
      </w:r>
    </w:p>
    <w:p xmlns:wp14="http://schemas.microsoft.com/office/word/2010/wordml" w:rsidP="17F38FA1" wp14:paraId="18539F61" wp14:textId="24793615">
      <w:pPr>
        <w:shd w:val="clear" w:color="auto" w:fill="FFFFFF" w:themeFill="background1"/>
        <w:spacing w:before="90" w:beforeAutospacing="off" w:after="90" w:afterAutospacing="off"/>
        <w:jc w:val="center"/>
        <w:rPr>
          <w:rFonts w:ascii="Arial" w:hAnsi="Arial" w:eastAsia="Arial" w:cs="Arial"/>
          <w:b w:val="1"/>
          <w:bCs w:val="1"/>
          <w:color w:val="222222"/>
          <w:sz w:val="32"/>
          <w:szCs w:val="32"/>
        </w:rPr>
      </w:pPr>
      <w:r w:rsidRPr="17F38FA1" w:rsidR="1BA49EE9">
        <w:rPr>
          <w:rFonts w:ascii="Arial" w:hAnsi="Arial" w:eastAsia="Arial" w:cs="Arial"/>
          <w:b w:val="1"/>
          <w:bCs w:val="1"/>
          <w:color w:val="222222"/>
          <w:sz w:val="32"/>
          <w:szCs w:val="32"/>
        </w:rPr>
        <w:t xml:space="preserve"> </w:t>
      </w:r>
    </w:p>
    <w:p xmlns:wp14="http://schemas.microsoft.com/office/word/2010/wordml" w:rsidP="17F38FA1" wp14:paraId="3E80DC6C" wp14:textId="32DAAB52">
      <w:pPr>
        <w:spacing w:before="0" w:beforeAutospacing="off" w:after="0" w:afterAutospacing="off"/>
        <w:jc w:val="center"/>
        <w:rPr>
          <w:rFonts w:ascii="Arial" w:hAnsi="Arial" w:eastAsia="Arial" w:cs="Arial"/>
          <w:b w:val="1"/>
          <w:bCs w:val="1"/>
          <w:sz w:val="32"/>
          <w:szCs w:val="32"/>
        </w:rPr>
      </w:pPr>
      <w:r w:rsidRPr="17F38FA1" w:rsidR="1BA49EE9">
        <w:rPr>
          <w:rFonts w:ascii="Arial" w:hAnsi="Arial" w:eastAsia="Arial" w:cs="Arial"/>
          <w:b w:val="1"/>
          <w:bCs w:val="1"/>
          <w:sz w:val="32"/>
          <w:szCs w:val="32"/>
        </w:rPr>
        <w:t xml:space="preserve"> </w:t>
      </w:r>
    </w:p>
    <w:p xmlns:wp14="http://schemas.microsoft.com/office/word/2010/wordml" w:rsidP="17F38FA1" wp14:paraId="533AF13E" wp14:textId="4CBC0D79">
      <w:pPr>
        <w:spacing w:before="0" w:beforeAutospacing="off" w:after="0" w:afterAutospacing="off"/>
        <w:jc w:val="center"/>
        <w:rPr>
          <w:rFonts w:ascii="Arial" w:hAnsi="Arial" w:eastAsia="Arial" w:cs="Arial"/>
          <w:b w:val="1"/>
          <w:bCs w:val="1"/>
          <w:sz w:val="32"/>
          <w:szCs w:val="32"/>
        </w:rPr>
      </w:pPr>
      <w:r w:rsidRPr="17F38FA1" w:rsidR="1BA49EE9">
        <w:rPr>
          <w:rFonts w:ascii="Arial" w:hAnsi="Arial" w:eastAsia="Arial" w:cs="Arial"/>
          <w:b w:val="1"/>
          <w:bCs w:val="1"/>
          <w:sz w:val="32"/>
          <w:szCs w:val="32"/>
        </w:rPr>
        <w:t xml:space="preserve"> </w:t>
      </w:r>
    </w:p>
    <w:p w:rsidR="605B8E88" w:rsidP="17F38FA1" w:rsidRDefault="605B8E88" w14:paraId="6738869A" w14:textId="02B1D441">
      <w:pPr>
        <w:pStyle w:val="Normal"/>
        <w:spacing w:before="0" w:beforeAutospacing="off" w:after="0" w:afterAutospacing="off"/>
        <w:jc w:val="center"/>
        <w:rPr>
          <w:rFonts w:ascii="Arial" w:hAnsi="Arial" w:eastAsia="Arial" w:cs="Arial"/>
          <w:noProof w:val="0"/>
          <w:sz w:val="32"/>
          <w:szCs w:val="32"/>
          <w:lang w:val="en-GB"/>
        </w:rPr>
      </w:pPr>
      <w:r w:rsidRPr="17F38FA1" w:rsidR="605B8E88">
        <w:rPr>
          <w:rFonts w:ascii="Arial" w:hAnsi="Arial" w:eastAsia="Arial" w:cs="Arial"/>
          <w:noProof w:val="0"/>
          <w:sz w:val="32"/>
          <w:szCs w:val="32"/>
          <w:lang w:val="en-GB"/>
        </w:rPr>
        <w:t xml:space="preserve">Evaluating Sustainability: Case Study Analysis, Restaurant of </w:t>
      </w:r>
      <w:r w:rsidRPr="17F38FA1" w:rsidR="605B8E88">
        <w:rPr>
          <w:rFonts w:ascii="Arial" w:hAnsi="Arial" w:eastAsia="Arial" w:cs="Arial"/>
          <w:noProof w:val="0"/>
          <w:sz w:val="32"/>
          <w:szCs w:val="32"/>
          <w:lang w:val="en-GB"/>
        </w:rPr>
        <w:t>choice:apricity</w:t>
      </w:r>
    </w:p>
    <w:p w:rsidR="605B8E88" w:rsidP="17F38FA1" w:rsidRDefault="605B8E88" w14:paraId="29C84DBE" w14:textId="61C90C31">
      <w:pPr>
        <w:pStyle w:val="Normal"/>
        <w:spacing w:before="0" w:beforeAutospacing="off" w:after="0" w:afterAutospacing="off"/>
        <w:jc w:val="center"/>
        <w:rPr>
          <w:rFonts w:ascii="Arial" w:hAnsi="Arial" w:eastAsia="Arial" w:cs="Arial"/>
          <w:noProof w:val="0"/>
          <w:sz w:val="32"/>
          <w:szCs w:val="32"/>
          <w:lang w:val="en-GB"/>
        </w:rPr>
      </w:pPr>
      <w:r w:rsidRPr="17F38FA1" w:rsidR="605B8E88">
        <w:rPr>
          <w:rFonts w:ascii="Arial" w:hAnsi="Arial" w:eastAsia="Arial" w:cs="Arial"/>
          <w:noProof w:val="0"/>
          <w:sz w:val="32"/>
          <w:szCs w:val="32"/>
          <w:lang w:val="en-GB"/>
        </w:rPr>
        <w:t xml:space="preserve"> Ellie morgan</w:t>
      </w:r>
    </w:p>
    <w:p w:rsidR="24118A2A" w:rsidP="17F38FA1" w:rsidRDefault="24118A2A" w14:paraId="222A4631" w14:textId="6B0789F5">
      <w:pPr>
        <w:pStyle w:val="Normal"/>
        <w:jc w:val="center"/>
        <w:rPr>
          <w:rFonts w:ascii="Arial" w:hAnsi="Arial" w:eastAsia="Arial" w:cs="Arial"/>
          <w:noProof w:val="0"/>
          <w:color w:val="auto"/>
          <w:sz w:val="32"/>
          <w:szCs w:val="32"/>
          <w:lang w:val="en-GB"/>
        </w:rPr>
      </w:pPr>
      <w:r w:rsidRPr="17F38FA1" w:rsidR="24118A2A">
        <w:rPr>
          <w:rFonts w:ascii="Arial" w:hAnsi="Arial" w:eastAsia="Arial" w:cs="Arial"/>
          <w:noProof w:val="0"/>
          <w:color w:val="auto"/>
          <w:sz w:val="32"/>
          <w:szCs w:val="32"/>
          <w:lang w:val="en-GB"/>
        </w:rPr>
        <w:t>Embedding Sustainability within Organisations (BMGM5000)</w:t>
      </w:r>
    </w:p>
    <w:p w:rsidR="24118A2A" w:rsidP="17F38FA1" w:rsidRDefault="24118A2A" w14:paraId="62C65B75" w14:textId="17F17F57">
      <w:pPr>
        <w:pStyle w:val="Normal"/>
        <w:jc w:val="center"/>
        <w:rPr>
          <w:rFonts w:ascii="Arial" w:hAnsi="Arial" w:eastAsia="Arial" w:cs="Arial"/>
          <w:noProof w:val="0"/>
          <w:color w:val="auto"/>
          <w:sz w:val="32"/>
          <w:szCs w:val="32"/>
          <w:lang w:val="en-GB"/>
        </w:rPr>
      </w:pPr>
      <w:r w:rsidRPr="17F38FA1" w:rsidR="24118A2A">
        <w:rPr>
          <w:rFonts w:ascii="Arial" w:hAnsi="Arial" w:eastAsia="Arial" w:cs="Arial"/>
          <w:noProof w:val="0"/>
          <w:color w:val="auto"/>
          <w:sz w:val="32"/>
          <w:szCs w:val="32"/>
          <w:lang w:val="en-GB"/>
        </w:rPr>
        <w:t>Jemma smith</w:t>
      </w:r>
    </w:p>
    <w:p w:rsidR="605B8E88" w:rsidP="17F38FA1" w:rsidRDefault="605B8E88" w14:paraId="4A0E52F4" w14:textId="2B13CCE8">
      <w:pPr>
        <w:pStyle w:val="Normal"/>
        <w:rPr>
          <w:rFonts w:ascii="Aptos" w:hAnsi="Aptos" w:eastAsia="Aptos" w:cs="Aptos" w:asciiTheme="minorAscii" w:hAnsiTheme="minorAscii" w:eastAsiaTheme="minorAscii" w:cstheme="minorAscii"/>
          <w:noProof w:val="0"/>
          <w:color w:val="auto"/>
          <w:sz w:val="28"/>
          <w:szCs w:val="28"/>
          <w:lang w:val="en-GB"/>
        </w:rPr>
      </w:pPr>
      <w:r w:rsidRPr="17F38FA1" w:rsidR="605B8E88">
        <w:rPr>
          <w:noProof w:val="0"/>
          <w:color w:val="auto"/>
          <w:lang w:val="en-GB"/>
        </w:rPr>
        <w:t xml:space="preserve"> </w:t>
      </w:r>
    </w:p>
    <w:p xmlns:wp14="http://schemas.microsoft.com/office/word/2010/wordml" w:rsidP="17F38FA1" wp14:paraId="5BC996D8" wp14:textId="44DA80AF">
      <w:pPr>
        <w:spacing w:before="0" w:beforeAutospacing="off" w:after="0" w:afterAutospacing="off"/>
        <w:jc w:val="center"/>
        <w:rPr>
          <w:rFonts w:ascii="Aptos" w:hAnsi="Aptos" w:eastAsia="Aptos" w:cs="Aptos" w:asciiTheme="minorAscii" w:hAnsiTheme="minorAscii" w:eastAsiaTheme="minorAscii" w:cstheme="minorAscii"/>
          <w:b w:val="1"/>
          <w:bCs w:val="1"/>
          <w:noProof w:val="0"/>
          <w:sz w:val="28"/>
          <w:szCs w:val="28"/>
          <w:lang w:val="en-US"/>
        </w:rPr>
      </w:pPr>
    </w:p>
    <w:p xmlns:wp14="http://schemas.microsoft.com/office/word/2010/wordml" w:rsidP="17F38FA1" wp14:paraId="24D21255" wp14:textId="58294021">
      <w:pPr>
        <w:pStyle w:val="Normal"/>
        <w:spacing w:before="0" w:beforeAutospacing="off" w:after="0" w:afterAutospacing="off"/>
        <w:jc w:val="center"/>
      </w:pPr>
      <w:r w:rsidRPr="17F38FA1" w:rsidR="406D80B9">
        <w:rPr>
          <w:rFonts w:ascii="Calibri" w:hAnsi="Calibri" w:eastAsia="Calibri" w:cs="Calibri"/>
          <w:noProof w:val="0"/>
          <w:sz w:val="22"/>
          <w:szCs w:val="22"/>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rsidP="115BEA57" wp14:paraId="143DE2D4" wp14:textId="5466A29F">
      <w:pPr>
        <w:spacing w:before="0" w:beforeAutospacing="off" w:after="0" w:afterAutospacing="off"/>
        <w:jc w:val="center"/>
        <w:rPr>
          <w:rFonts w:ascii="Calibri" w:hAnsi="Calibri" w:eastAsia="Calibri" w:cs="Calibri"/>
          <w:b w:val="1"/>
          <w:bCs w:val="1"/>
          <w:noProof w:val="0"/>
          <w:sz w:val="22"/>
          <w:szCs w:val="22"/>
          <w:lang w:val="en-US"/>
        </w:rPr>
      </w:pPr>
    </w:p>
    <w:p xmlns:wp14="http://schemas.microsoft.com/office/word/2010/wordml" w:rsidP="115BEA57" wp14:paraId="6412D83F" wp14:textId="7D2F1384">
      <w:pPr>
        <w:spacing w:before="0" w:beforeAutospacing="off" w:after="0" w:afterAutospacing="off"/>
        <w:jc w:val="center"/>
        <w:rPr>
          <w:rFonts w:ascii="Calibri" w:hAnsi="Calibri" w:eastAsia="Calibri" w:cs="Calibri"/>
          <w:b w:val="1"/>
          <w:bCs w:val="1"/>
          <w:noProof w:val="0"/>
          <w:sz w:val="22"/>
          <w:szCs w:val="22"/>
          <w:lang w:val="en-US"/>
        </w:rPr>
      </w:pPr>
    </w:p>
    <w:p w:rsidR="17F38FA1" w:rsidP="17F38FA1" w:rsidRDefault="17F38FA1" w14:paraId="6D6A4444" w14:textId="1214D919">
      <w:pPr>
        <w:spacing w:before="0" w:beforeAutospacing="off" w:after="0" w:afterAutospacing="off"/>
        <w:jc w:val="center"/>
        <w:rPr>
          <w:rFonts w:ascii="Calibri" w:hAnsi="Calibri" w:eastAsia="Calibri" w:cs="Calibri"/>
          <w:b w:val="1"/>
          <w:bCs w:val="1"/>
          <w:sz w:val="22"/>
          <w:szCs w:val="22"/>
        </w:rPr>
      </w:pPr>
    </w:p>
    <w:p w:rsidR="17F38FA1" w:rsidP="17F38FA1" w:rsidRDefault="17F38FA1" w14:paraId="1B942086" w14:textId="1D66F702">
      <w:pPr>
        <w:spacing w:before="0" w:beforeAutospacing="off" w:after="0" w:afterAutospacing="off"/>
        <w:jc w:val="center"/>
        <w:rPr>
          <w:rFonts w:ascii="Calibri" w:hAnsi="Calibri" w:eastAsia="Calibri" w:cs="Calibri"/>
          <w:b w:val="1"/>
          <w:bCs w:val="1"/>
          <w:sz w:val="22"/>
          <w:szCs w:val="22"/>
        </w:rPr>
      </w:pPr>
    </w:p>
    <w:p w:rsidR="17F38FA1" w:rsidP="17F38FA1" w:rsidRDefault="17F38FA1" w14:paraId="15D83245" w14:textId="7BFE691B">
      <w:pPr>
        <w:spacing w:before="0" w:beforeAutospacing="off" w:after="0" w:afterAutospacing="off"/>
        <w:jc w:val="center"/>
        <w:rPr>
          <w:rFonts w:ascii="Calibri" w:hAnsi="Calibri" w:eastAsia="Calibri" w:cs="Calibri"/>
          <w:b w:val="1"/>
          <w:bCs w:val="1"/>
          <w:sz w:val="22"/>
          <w:szCs w:val="22"/>
        </w:rPr>
      </w:pPr>
    </w:p>
    <w:p w:rsidR="17F38FA1" w:rsidP="17F38FA1" w:rsidRDefault="17F38FA1" w14:paraId="4DDD35D0" w14:textId="2B8E38C7">
      <w:pPr>
        <w:spacing w:before="0" w:beforeAutospacing="off" w:after="0" w:afterAutospacing="off"/>
        <w:jc w:val="center"/>
        <w:rPr>
          <w:rFonts w:ascii="Calibri" w:hAnsi="Calibri" w:eastAsia="Calibri" w:cs="Calibri"/>
          <w:b w:val="1"/>
          <w:bCs w:val="1"/>
          <w:sz w:val="22"/>
          <w:szCs w:val="22"/>
        </w:rPr>
      </w:pPr>
    </w:p>
    <w:p w:rsidR="17F38FA1" w:rsidP="17F38FA1" w:rsidRDefault="17F38FA1" w14:paraId="2AAB9853" w14:textId="2F70432A">
      <w:pPr>
        <w:spacing w:before="0" w:beforeAutospacing="off" w:after="0" w:afterAutospacing="off"/>
        <w:jc w:val="center"/>
        <w:rPr>
          <w:rFonts w:ascii="Calibri" w:hAnsi="Calibri" w:eastAsia="Calibri" w:cs="Calibri"/>
          <w:b w:val="1"/>
          <w:bCs w:val="1"/>
          <w:sz w:val="22"/>
          <w:szCs w:val="22"/>
        </w:rPr>
      </w:pPr>
    </w:p>
    <w:p w:rsidR="17F38FA1" w:rsidP="17F38FA1" w:rsidRDefault="17F38FA1" w14:paraId="4137A798" w14:textId="66B35B2D">
      <w:pPr>
        <w:spacing w:before="0" w:beforeAutospacing="off" w:after="0" w:afterAutospacing="off"/>
        <w:jc w:val="center"/>
        <w:rPr>
          <w:rFonts w:ascii="Calibri" w:hAnsi="Calibri" w:eastAsia="Calibri" w:cs="Calibri"/>
          <w:b w:val="1"/>
          <w:bCs w:val="1"/>
          <w:sz w:val="22"/>
          <w:szCs w:val="22"/>
        </w:rPr>
      </w:pPr>
    </w:p>
    <w:p w:rsidR="17F38FA1" w:rsidP="17F38FA1" w:rsidRDefault="17F38FA1" w14:paraId="15551E42" w14:textId="7D27C02A">
      <w:pPr>
        <w:spacing w:before="0" w:beforeAutospacing="off" w:after="0" w:afterAutospacing="off"/>
        <w:jc w:val="center"/>
        <w:rPr>
          <w:rFonts w:ascii="Calibri" w:hAnsi="Calibri" w:eastAsia="Calibri" w:cs="Calibri"/>
          <w:b w:val="1"/>
          <w:bCs w:val="1"/>
          <w:sz w:val="22"/>
          <w:szCs w:val="22"/>
        </w:rPr>
      </w:pPr>
    </w:p>
    <w:p w:rsidR="17F38FA1" w:rsidP="17F38FA1" w:rsidRDefault="17F38FA1" w14:paraId="7E658D3D" w14:textId="49D598CA">
      <w:pPr>
        <w:spacing w:before="0" w:beforeAutospacing="off" w:after="0" w:afterAutospacing="off"/>
        <w:jc w:val="center"/>
        <w:rPr>
          <w:rFonts w:ascii="Calibri" w:hAnsi="Calibri" w:eastAsia="Calibri" w:cs="Calibri"/>
          <w:b w:val="1"/>
          <w:bCs w:val="1"/>
          <w:sz w:val="22"/>
          <w:szCs w:val="22"/>
        </w:rPr>
      </w:pPr>
    </w:p>
    <w:p w:rsidR="17F38FA1" w:rsidP="17F38FA1" w:rsidRDefault="17F38FA1" w14:paraId="63483C44" w14:textId="405AE7BF">
      <w:pPr>
        <w:spacing w:before="0" w:beforeAutospacing="off" w:after="0" w:afterAutospacing="off"/>
        <w:jc w:val="center"/>
        <w:rPr>
          <w:rFonts w:ascii="Calibri" w:hAnsi="Calibri" w:eastAsia="Calibri" w:cs="Calibri"/>
          <w:b w:val="1"/>
          <w:bCs w:val="1"/>
          <w:sz w:val="22"/>
          <w:szCs w:val="22"/>
        </w:rPr>
      </w:pPr>
    </w:p>
    <w:p xmlns:wp14="http://schemas.microsoft.com/office/word/2010/wordml" w:rsidP="115BEA57" wp14:paraId="5EA90870" wp14:textId="1BA4B073">
      <w:pPr>
        <w:spacing w:before="0" w:beforeAutospacing="off" w:after="0" w:afterAutospacing="off"/>
        <w:jc w:val="center"/>
        <w:rPr>
          <w:rFonts w:ascii="Calibri" w:hAnsi="Calibri" w:eastAsia="Calibri" w:cs="Calibri"/>
          <w:b w:val="1"/>
          <w:bCs w:val="1"/>
          <w:noProof w:val="0"/>
          <w:sz w:val="22"/>
          <w:szCs w:val="22"/>
          <w:lang w:val="en-US"/>
        </w:rPr>
      </w:pPr>
    </w:p>
    <w:p xmlns:wp14="http://schemas.microsoft.com/office/word/2010/wordml" w:rsidP="17F38FA1" wp14:paraId="736297F9" wp14:textId="4EC075EA">
      <w:pPr>
        <w:pStyle w:val="Heading1"/>
        <w:rPr>
          <w:rFonts w:ascii="Aptos" w:hAnsi="Aptos" w:eastAsia="Aptos" w:cs="Aptos" w:asciiTheme="minorAscii" w:hAnsiTheme="minorAscii" w:eastAsiaTheme="minorAscii" w:cstheme="minorAscii"/>
          <w:noProof w:val="0"/>
          <w:color w:val="auto"/>
          <w:sz w:val="32"/>
          <w:szCs w:val="32"/>
          <w:lang w:val="en-GB"/>
        </w:rPr>
      </w:pPr>
    </w:p>
    <w:p xmlns:wp14="http://schemas.microsoft.com/office/word/2010/wordml" w:rsidP="17F38FA1" wp14:paraId="23E25FF0" wp14:textId="58075C96">
      <w:pPr>
        <w:pStyle w:val="Normal"/>
        <w:rPr>
          <w:noProof w:val="0"/>
          <w:lang w:val="en-GB"/>
        </w:rPr>
      </w:pPr>
    </w:p>
    <w:p xmlns:wp14="http://schemas.microsoft.com/office/word/2010/wordml" w:rsidP="17F38FA1" wp14:paraId="0DA40BBD" wp14:textId="5F31C910">
      <w:pPr>
        <w:pStyle w:val="Normal"/>
        <w:rPr>
          <w:noProof w:val="0"/>
          <w:lang w:val="en-GB"/>
        </w:rPr>
      </w:pPr>
    </w:p>
    <w:p xmlns:wp14="http://schemas.microsoft.com/office/word/2010/wordml" w:rsidP="17F38FA1" wp14:paraId="78461E5F" wp14:textId="4C37EA19">
      <w:pPr>
        <w:pStyle w:val="Heading1"/>
        <w:rPr>
          <w:rFonts w:ascii="Aptos" w:hAnsi="Aptos" w:eastAsia="Aptos" w:cs="Aptos" w:asciiTheme="minorAscii" w:hAnsiTheme="minorAscii" w:eastAsiaTheme="minorAscii" w:cstheme="minorAscii"/>
          <w:noProof w:val="0"/>
          <w:color w:val="auto"/>
          <w:sz w:val="32"/>
          <w:szCs w:val="32"/>
          <w:lang w:val="en-GB"/>
        </w:rPr>
      </w:pPr>
      <w:bookmarkStart w:name="_Toc1988249193" w:id="1091976025"/>
      <w:bookmarkStart w:name="_Toc732556439" w:id="888143814"/>
      <w:r w:rsidRPr="17F38FA1" w:rsidR="6882D31A">
        <w:rPr>
          <w:rFonts w:ascii="Aptos" w:hAnsi="Aptos" w:eastAsia="Aptos" w:cs="Aptos" w:asciiTheme="minorAscii" w:hAnsiTheme="minorAscii" w:eastAsiaTheme="minorAscii" w:cstheme="minorAscii"/>
          <w:noProof w:val="0"/>
          <w:color w:val="auto"/>
          <w:sz w:val="32"/>
          <w:szCs w:val="32"/>
          <w:lang w:val="en-GB"/>
        </w:rPr>
        <w:t>Executive Summary</w:t>
      </w:r>
      <w:bookmarkEnd w:id="1091976025"/>
      <w:bookmarkEnd w:id="888143814"/>
    </w:p>
    <w:p xmlns:wp14="http://schemas.microsoft.com/office/word/2010/wordml" w:rsidP="17F38FA1" wp14:paraId="4CA26CA7" wp14:textId="65F9DD19">
      <w:pPr>
        <w:pStyle w:val="Normal"/>
      </w:pPr>
      <w:r w:rsidRPr="17F38FA1" w:rsidR="6882D31A">
        <w:rPr>
          <w:noProof w:val="0"/>
          <w:lang w:val="en-GB"/>
        </w:rPr>
        <w:t xml:space="preserve">This report critically evaluates how </w:t>
      </w:r>
      <w:r w:rsidRPr="17F38FA1" w:rsidR="6882D31A">
        <w:rPr>
          <w:noProof w:val="0"/>
          <w:lang w:val="en-GB"/>
        </w:rPr>
        <w:t>Apricity</w:t>
      </w:r>
      <w:r w:rsidRPr="17F38FA1" w:rsidR="6882D31A">
        <w:rPr>
          <w:noProof w:val="0"/>
          <w:lang w:val="en-GB"/>
        </w:rPr>
        <w:t xml:space="preserve">, a Michelin Green Star restaurant in London, embeds sustainability across its operations. Drawing on theories of sustainable gastronomy, the analysis explores how </w:t>
      </w:r>
      <w:r w:rsidRPr="17F38FA1" w:rsidR="6882D31A">
        <w:rPr>
          <w:noProof w:val="0"/>
          <w:lang w:val="en-GB"/>
        </w:rPr>
        <w:t>Apricity</w:t>
      </w:r>
      <w:r w:rsidRPr="17F38FA1" w:rsidR="6882D31A">
        <w:rPr>
          <w:noProof w:val="0"/>
          <w:lang w:val="en-GB"/>
        </w:rPr>
        <w:t xml:space="preserve"> integrates environmental stewardship, cultural preservation, social responsibility, and economic resilience into its organisational practices. The restaurant </w:t>
      </w:r>
      <w:r w:rsidRPr="17F38FA1" w:rsidR="6882D31A">
        <w:rPr>
          <w:noProof w:val="0"/>
          <w:lang w:val="en-GB"/>
        </w:rPr>
        <w:t>demonstrates</w:t>
      </w:r>
      <w:r w:rsidRPr="17F38FA1" w:rsidR="6882D31A">
        <w:rPr>
          <w:noProof w:val="0"/>
          <w:lang w:val="en-GB"/>
        </w:rPr>
        <w:t xml:space="preserve"> strong alignment with sustainable gastronomy principles through regenerative sourcing, hyper‑local supply chains, and low‑waste culinary techniques, although challenges </w:t>
      </w:r>
      <w:r w:rsidRPr="17F38FA1" w:rsidR="6882D31A">
        <w:rPr>
          <w:noProof w:val="0"/>
          <w:lang w:val="en-GB"/>
        </w:rPr>
        <w:t>remain</w:t>
      </w:r>
      <w:r w:rsidRPr="17F38FA1" w:rsidR="6882D31A">
        <w:rPr>
          <w:noProof w:val="0"/>
          <w:lang w:val="en-GB"/>
        </w:rPr>
        <w:t xml:space="preserve"> </w:t>
      </w:r>
      <w:r w:rsidRPr="17F38FA1" w:rsidR="6882D31A">
        <w:rPr>
          <w:noProof w:val="0"/>
          <w:lang w:val="en-GB"/>
        </w:rPr>
        <w:t>regarding</w:t>
      </w:r>
      <w:r w:rsidRPr="17F38FA1" w:rsidR="6882D31A">
        <w:rPr>
          <w:noProof w:val="0"/>
          <w:lang w:val="en-GB"/>
        </w:rPr>
        <w:t xml:space="preserve"> accessibility and the transparency of measurable sustainability outcomes.</w:t>
      </w:r>
    </w:p>
    <w:p xmlns:wp14="http://schemas.microsoft.com/office/word/2010/wordml" w:rsidP="17F38FA1" wp14:paraId="20EED083" wp14:textId="21BC391F">
      <w:pPr>
        <w:pStyle w:val="Normal"/>
      </w:pPr>
      <w:r w:rsidRPr="17F38FA1" w:rsidR="6882D31A">
        <w:rPr>
          <w:noProof w:val="0"/>
          <w:lang w:val="en-GB"/>
        </w:rPr>
        <w:t xml:space="preserve">The report also </w:t>
      </w:r>
      <w:r w:rsidRPr="17F38FA1" w:rsidR="6882D31A">
        <w:rPr>
          <w:noProof w:val="0"/>
          <w:lang w:val="en-GB"/>
        </w:rPr>
        <w:t>identifies</w:t>
      </w:r>
      <w:r w:rsidRPr="17F38FA1" w:rsidR="6882D31A">
        <w:rPr>
          <w:noProof w:val="0"/>
          <w:lang w:val="en-GB"/>
        </w:rPr>
        <w:t xml:space="preserve"> the key UK regulations governing restaurant operations, including food safety, hygiene, environmental protection, waste management, labour rights, and ethical supply chain legislation. Compliance with these frameworks reinforces </w:t>
      </w:r>
      <w:r w:rsidRPr="17F38FA1" w:rsidR="6882D31A">
        <w:rPr>
          <w:noProof w:val="0"/>
          <w:lang w:val="en-GB"/>
        </w:rPr>
        <w:t>Apricity’s</w:t>
      </w:r>
      <w:r w:rsidRPr="17F38FA1" w:rsidR="6882D31A">
        <w:rPr>
          <w:noProof w:val="0"/>
          <w:lang w:val="en-GB"/>
        </w:rPr>
        <w:t xml:space="preserve"> sustainability commitments and ensures operational accountability.</w:t>
      </w:r>
    </w:p>
    <w:p xmlns:wp14="http://schemas.microsoft.com/office/word/2010/wordml" w:rsidP="17F38FA1" wp14:paraId="6AD6ABCF" wp14:textId="7F177DB4">
      <w:pPr>
        <w:pStyle w:val="Normal"/>
      </w:pPr>
      <w:r w:rsidRPr="17F38FA1" w:rsidR="6882D31A">
        <w:rPr>
          <w:noProof w:val="0"/>
          <w:lang w:val="en-GB"/>
        </w:rPr>
        <w:t xml:space="preserve">Finally, the report examines the relevance of the circular economy to </w:t>
      </w:r>
      <w:r w:rsidRPr="17F38FA1" w:rsidR="6882D31A">
        <w:rPr>
          <w:noProof w:val="0"/>
          <w:lang w:val="en-GB"/>
        </w:rPr>
        <w:t>Apricity’s</w:t>
      </w:r>
      <w:r w:rsidRPr="17F38FA1" w:rsidR="6882D31A">
        <w:rPr>
          <w:noProof w:val="0"/>
          <w:lang w:val="en-GB"/>
        </w:rPr>
        <w:t xml:space="preserve"> model. The restaurant’s root‑to‑stem cooking, regenerative partnerships, and material‑efficient practices reflect circular principles aimed at reducing waste and regenerating natural systems. However, the scalability of such practices across the wider hospitality sector </w:t>
      </w:r>
      <w:r w:rsidRPr="17F38FA1" w:rsidR="6882D31A">
        <w:rPr>
          <w:noProof w:val="0"/>
          <w:lang w:val="en-GB"/>
        </w:rPr>
        <w:t>remains</w:t>
      </w:r>
      <w:r w:rsidRPr="17F38FA1" w:rsidR="6882D31A">
        <w:rPr>
          <w:noProof w:val="0"/>
          <w:lang w:val="en-GB"/>
        </w:rPr>
        <w:t xml:space="preserve"> limited.</w:t>
      </w:r>
    </w:p>
    <w:p xmlns:wp14="http://schemas.microsoft.com/office/word/2010/wordml" w:rsidP="115BEA57" wp14:paraId="58FFBA54" wp14:textId="3CED48ED">
      <w:pPr>
        <w:spacing w:before="0" w:beforeAutospacing="off" w:after="0" w:afterAutospacing="off"/>
        <w:jc w:val="center"/>
        <w:rPr>
          <w:rFonts w:ascii="Calibri" w:hAnsi="Calibri" w:eastAsia="Calibri" w:cs="Calibri"/>
          <w:b w:val="1"/>
          <w:bCs w:val="1"/>
          <w:noProof w:val="0"/>
          <w:sz w:val="22"/>
          <w:szCs w:val="22"/>
          <w:lang w:val="en-US"/>
        </w:rPr>
      </w:pPr>
    </w:p>
    <w:p xmlns:wp14="http://schemas.microsoft.com/office/word/2010/wordml" w:rsidP="115BEA57" wp14:paraId="33C2B181" wp14:textId="3E4AB01B">
      <w:pPr>
        <w:spacing w:before="0" w:beforeAutospacing="off" w:after="0" w:afterAutospacing="off"/>
        <w:jc w:val="center"/>
        <w:rPr>
          <w:rFonts w:ascii="Calibri" w:hAnsi="Calibri" w:eastAsia="Calibri" w:cs="Calibri"/>
          <w:b w:val="1"/>
          <w:bCs w:val="1"/>
          <w:noProof w:val="0"/>
          <w:sz w:val="22"/>
          <w:szCs w:val="22"/>
          <w:lang w:val="en-US"/>
        </w:rPr>
      </w:pPr>
    </w:p>
    <w:p xmlns:wp14="http://schemas.microsoft.com/office/word/2010/wordml" w:rsidP="17F38FA1" wp14:paraId="7DB5AF8D" wp14:textId="69380ACF">
      <w:pPr>
        <w:spacing w:before="0" w:beforeAutospacing="off" w:after="0" w:afterAutospacing="off"/>
        <w:jc w:val="left"/>
        <w:rPr>
          <w:rFonts w:ascii="Arial" w:hAnsi="Arial" w:eastAsia="Arial" w:cs="Arial"/>
          <w:b w:val="0"/>
          <w:bCs w:val="0"/>
          <w:noProof w:val="0"/>
          <w:sz w:val="22"/>
          <w:szCs w:val="22"/>
          <w:lang w:val="en-US"/>
        </w:rPr>
      </w:pPr>
    </w:p>
    <w:sdt>
      <w:sdtPr>
        <w:id w:val="1853868461"/>
        <w:docPartObj>
          <w:docPartGallery w:val="Table of Contents"/>
          <w:docPartUnique/>
        </w:docPartObj>
      </w:sdtPr>
      <w:sdtContent>
        <w:p w:rsidR="17F38FA1" w:rsidP="17F38FA1" w:rsidRDefault="17F38FA1" w14:paraId="29D0E45F" w14:textId="167F212C">
          <w:pPr>
            <w:pStyle w:val="TOC1"/>
            <w:tabs>
              <w:tab w:val="right" w:leader="dot" w:pos="9360"/>
            </w:tabs>
            <w:bidi w:val="0"/>
            <w:rPr>
              <w:rStyle w:val="Hyperlink"/>
            </w:rPr>
          </w:pPr>
          <w:r>
            <w:fldChar w:fldCharType="begin"/>
          </w:r>
          <w:r>
            <w:instrText xml:space="preserve">TOC \o "1-9" \z \u \h</w:instrText>
          </w:r>
          <w:r>
            <w:fldChar w:fldCharType="separate"/>
          </w:r>
          <w:hyperlink w:anchor="_Toc732556439">
            <w:r w:rsidRPr="17F38FA1" w:rsidR="17F38FA1">
              <w:rPr>
                <w:rStyle w:val="Hyperlink"/>
              </w:rPr>
              <w:t>Executive Summary</w:t>
            </w:r>
            <w:r>
              <w:tab/>
            </w:r>
            <w:r>
              <w:fldChar w:fldCharType="begin"/>
            </w:r>
            <w:r>
              <w:instrText xml:space="preserve">PAGEREF _Toc732556439 \h</w:instrText>
            </w:r>
            <w:r>
              <w:fldChar w:fldCharType="separate"/>
            </w:r>
            <w:r w:rsidRPr="17F38FA1" w:rsidR="17F38FA1">
              <w:rPr>
                <w:rStyle w:val="Hyperlink"/>
              </w:rPr>
              <w:t>1</w:t>
            </w:r>
            <w:r>
              <w:fldChar w:fldCharType="end"/>
            </w:r>
          </w:hyperlink>
        </w:p>
        <w:p w:rsidR="17F38FA1" w:rsidP="17F38FA1" w:rsidRDefault="17F38FA1" w14:paraId="35BDB641" w14:textId="195A4D7C">
          <w:pPr>
            <w:pStyle w:val="TOC1"/>
            <w:tabs>
              <w:tab w:val="right" w:leader="dot" w:pos="9360"/>
            </w:tabs>
            <w:bidi w:val="0"/>
            <w:rPr>
              <w:rStyle w:val="Hyperlink"/>
            </w:rPr>
          </w:pPr>
          <w:hyperlink w:anchor="_Toc1062748268">
            <w:r w:rsidRPr="17F38FA1" w:rsidR="17F38FA1">
              <w:rPr>
                <w:rStyle w:val="Hyperlink"/>
              </w:rPr>
              <w:t>Introduction</w:t>
            </w:r>
            <w:r>
              <w:tab/>
            </w:r>
            <w:r>
              <w:fldChar w:fldCharType="begin"/>
            </w:r>
            <w:r>
              <w:instrText xml:space="preserve">PAGEREF _Toc1062748268 \h</w:instrText>
            </w:r>
            <w:r>
              <w:fldChar w:fldCharType="separate"/>
            </w:r>
            <w:r w:rsidRPr="17F38FA1" w:rsidR="17F38FA1">
              <w:rPr>
                <w:rStyle w:val="Hyperlink"/>
              </w:rPr>
              <w:t>2</w:t>
            </w:r>
            <w:r>
              <w:fldChar w:fldCharType="end"/>
            </w:r>
          </w:hyperlink>
        </w:p>
        <w:p w:rsidR="17F38FA1" w:rsidP="17F38FA1" w:rsidRDefault="17F38FA1" w14:paraId="03CCA3FB" w14:textId="047E70C9">
          <w:pPr>
            <w:pStyle w:val="TOC1"/>
            <w:tabs>
              <w:tab w:val="right" w:leader="dot" w:pos="9360"/>
            </w:tabs>
            <w:bidi w:val="0"/>
            <w:rPr>
              <w:rStyle w:val="Hyperlink"/>
            </w:rPr>
          </w:pPr>
          <w:hyperlink w:anchor="_Toc911838976">
            <w:r w:rsidRPr="17F38FA1" w:rsidR="17F38FA1">
              <w:rPr>
                <w:rStyle w:val="Hyperlink"/>
              </w:rPr>
              <w:t>Principles and Pillars of Sustainable Gastronomy: Critical Evaluation of Apricity</w:t>
            </w:r>
            <w:r>
              <w:tab/>
            </w:r>
            <w:r>
              <w:fldChar w:fldCharType="begin"/>
            </w:r>
            <w:r>
              <w:instrText xml:space="preserve">PAGEREF _Toc911838976 \h</w:instrText>
            </w:r>
            <w:r>
              <w:fldChar w:fldCharType="separate"/>
            </w:r>
            <w:r w:rsidRPr="17F38FA1" w:rsidR="17F38FA1">
              <w:rPr>
                <w:rStyle w:val="Hyperlink"/>
              </w:rPr>
              <w:t>3</w:t>
            </w:r>
            <w:r>
              <w:fldChar w:fldCharType="end"/>
            </w:r>
          </w:hyperlink>
        </w:p>
        <w:p w:rsidR="17F38FA1" w:rsidP="17F38FA1" w:rsidRDefault="17F38FA1" w14:paraId="0329D8B7" w14:textId="69A0A803">
          <w:pPr>
            <w:pStyle w:val="TOC1"/>
            <w:tabs>
              <w:tab w:val="right" w:leader="dot" w:pos="9360"/>
            </w:tabs>
            <w:bidi w:val="0"/>
            <w:rPr>
              <w:rStyle w:val="Hyperlink"/>
            </w:rPr>
          </w:pPr>
          <w:hyperlink w:anchor="_Toc652769048">
            <w:r w:rsidRPr="17F38FA1" w:rsidR="17F38FA1">
              <w:rPr>
                <w:rStyle w:val="Hyperlink"/>
              </w:rPr>
              <w:t>Regulations and Legislation Relevant to the Restaurant Sector</w:t>
            </w:r>
            <w:r>
              <w:tab/>
            </w:r>
            <w:r>
              <w:fldChar w:fldCharType="begin"/>
            </w:r>
            <w:r>
              <w:instrText xml:space="preserve">PAGEREF _Toc652769048 \h</w:instrText>
            </w:r>
            <w:r>
              <w:fldChar w:fldCharType="separate"/>
            </w:r>
            <w:r w:rsidRPr="17F38FA1" w:rsidR="17F38FA1">
              <w:rPr>
                <w:rStyle w:val="Hyperlink"/>
              </w:rPr>
              <w:t>5</w:t>
            </w:r>
            <w:r>
              <w:fldChar w:fldCharType="end"/>
            </w:r>
          </w:hyperlink>
        </w:p>
        <w:p w:rsidR="17F38FA1" w:rsidP="17F38FA1" w:rsidRDefault="17F38FA1" w14:paraId="5313852C" w14:textId="1E3D1DCD">
          <w:pPr>
            <w:pStyle w:val="TOC1"/>
            <w:tabs>
              <w:tab w:val="right" w:leader="dot" w:pos="9360"/>
            </w:tabs>
            <w:bidi w:val="0"/>
            <w:rPr>
              <w:rStyle w:val="Hyperlink"/>
            </w:rPr>
          </w:pPr>
          <w:hyperlink w:anchor="_Toc1243997692">
            <w:r w:rsidRPr="17F38FA1" w:rsidR="17F38FA1">
              <w:rPr>
                <w:rStyle w:val="Hyperlink"/>
              </w:rPr>
              <w:t>Examining the Circular Economy and Its Relevance to Apricity</w:t>
            </w:r>
            <w:r>
              <w:tab/>
            </w:r>
            <w:r>
              <w:fldChar w:fldCharType="begin"/>
            </w:r>
            <w:r>
              <w:instrText xml:space="preserve">PAGEREF _Toc1243997692 \h</w:instrText>
            </w:r>
            <w:r>
              <w:fldChar w:fldCharType="separate"/>
            </w:r>
            <w:r w:rsidRPr="17F38FA1" w:rsidR="17F38FA1">
              <w:rPr>
                <w:rStyle w:val="Hyperlink"/>
              </w:rPr>
              <w:t>7</w:t>
            </w:r>
            <w:r>
              <w:fldChar w:fldCharType="end"/>
            </w:r>
          </w:hyperlink>
        </w:p>
        <w:p w:rsidR="17F38FA1" w:rsidP="17F38FA1" w:rsidRDefault="17F38FA1" w14:paraId="25711BB7" w14:textId="3C719A48">
          <w:pPr>
            <w:pStyle w:val="TOC1"/>
            <w:tabs>
              <w:tab w:val="right" w:leader="dot" w:pos="9360"/>
            </w:tabs>
            <w:bidi w:val="0"/>
            <w:rPr>
              <w:rStyle w:val="Hyperlink"/>
            </w:rPr>
          </w:pPr>
          <w:hyperlink w:anchor="_Toc1243081361">
            <w:r w:rsidRPr="17F38FA1" w:rsidR="17F38FA1">
              <w:rPr>
                <w:rStyle w:val="Hyperlink"/>
              </w:rPr>
              <w:t>Conclusion</w:t>
            </w:r>
            <w:r>
              <w:tab/>
            </w:r>
            <w:r>
              <w:fldChar w:fldCharType="begin"/>
            </w:r>
            <w:r>
              <w:instrText xml:space="preserve">PAGEREF _Toc1243081361 \h</w:instrText>
            </w:r>
            <w:r>
              <w:fldChar w:fldCharType="separate"/>
            </w:r>
            <w:r w:rsidRPr="17F38FA1" w:rsidR="17F38FA1">
              <w:rPr>
                <w:rStyle w:val="Hyperlink"/>
              </w:rPr>
              <w:t>8</w:t>
            </w:r>
            <w:r>
              <w:fldChar w:fldCharType="end"/>
            </w:r>
          </w:hyperlink>
        </w:p>
        <w:p w:rsidR="17F38FA1" w:rsidP="17F38FA1" w:rsidRDefault="17F38FA1" w14:paraId="7871BA4B" w14:textId="3FBAF4BC">
          <w:pPr>
            <w:pStyle w:val="TOC1"/>
            <w:tabs>
              <w:tab w:val="right" w:leader="dot" w:pos="9360"/>
            </w:tabs>
            <w:bidi w:val="0"/>
            <w:rPr>
              <w:rStyle w:val="Hyperlink"/>
            </w:rPr>
          </w:pPr>
          <w:hyperlink w:anchor="_Toc762892180">
            <w:r w:rsidRPr="17F38FA1" w:rsidR="17F38FA1">
              <w:rPr>
                <w:rStyle w:val="Hyperlink"/>
              </w:rPr>
              <w:t>References</w:t>
            </w:r>
            <w:r>
              <w:tab/>
            </w:r>
            <w:r>
              <w:fldChar w:fldCharType="begin"/>
            </w:r>
            <w:r>
              <w:instrText xml:space="preserve">PAGEREF _Toc762892180 \h</w:instrText>
            </w:r>
            <w:r>
              <w:fldChar w:fldCharType="separate"/>
            </w:r>
            <w:r w:rsidRPr="17F38FA1" w:rsidR="17F38FA1">
              <w:rPr>
                <w:rStyle w:val="Hyperlink"/>
              </w:rPr>
              <w:t>10</w:t>
            </w:r>
            <w:r>
              <w:fldChar w:fldCharType="end"/>
            </w:r>
          </w:hyperlink>
          <w:r>
            <w:fldChar w:fldCharType="end"/>
          </w:r>
        </w:p>
      </w:sdtContent>
    </w:sdt>
    <w:p xmlns:wp14="http://schemas.microsoft.com/office/word/2010/wordml" w:rsidP="17F38FA1" wp14:paraId="5E8CBF17" wp14:textId="1AA39BCF">
      <w:pPr>
        <w:spacing w:before="0" w:beforeAutospacing="off" w:after="0" w:afterAutospacing="off"/>
        <w:jc w:val="left"/>
        <w:rPr>
          <w:rFonts w:ascii="Calibri" w:hAnsi="Calibri" w:eastAsia="Calibri" w:cs="Calibri"/>
          <w:b w:val="1"/>
          <w:bCs w:val="1"/>
          <w:noProof w:val="0"/>
          <w:sz w:val="22"/>
          <w:szCs w:val="22"/>
          <w:lang w:val="en-US"/>
        </w:rPr>
      </w:pPr>
    </w:p>
    <w:p xmlns:wp14="http://schemas.microsoft.com/office/word/2010/wordml" w:rsidP="115BEA57" wp14:paraId="0698C4C3" wp14:textId="2D92C58F">
      <w:pPr>
        <w:spacing w:before="0" w:beforeAutospacing="off" w:after="0" w:afterAutospacing="off"/>
        <w:jc w:val="center"/>
        <w:rPr>
          <w:rFonts w:ascii="Calibri" w:hAnsi="Calibri" w:eastAsia="Calibri" w:cs="Calibri"/>
          <w:b w:val="1"/>
          <w:bCs w:val="1"/>
          <w:noProof w:val="0"/>
          <w:sz w:val="22"/>
          <w:szCs w:val="22"/>
          <w:lang w:val="en-US"/>
        </w:rPr>
      </w:pPr>
    </w:p>
    <w:p xmlns:wp14="http://schemas.microsoft.com/office/word/2010/wordml" w:rsidP="115BEA57" wp14:paraId="5FB8A57E" wp14:textId="33A47F4B">
      <w:pPr>
        <w:spacing w:before="0" w:beforeAutospacing="off" w:after="0" w:afterAutospacing="off"/>
        <w:jc w:val="center"/>
        <w:rPr>
          <w:rFonts w:ascii="Calibri" w:hAnsi="Calibri" w:eastAsia="Calibri" w:cs="Calibri"/>
          <w:b w:val="1"/>
          <w:bCs w:val="1"/>
          <w:noProof w:val="0"/>
          <w:sz w:val="22"/>
          <w:szCs w:val="22"/>
          <w:lang w:val="en-US"/>
        </w:rPr>
      </w:pPr>
    </w:p>
    <w:p w:rsidR="17F38FA1" w:rsidP="17F38FA1" w:rsidRDefault="17F38FA1" w14:paraId="07CF299F" w14:textId="4BDCF0EF">
      <w:pPr>
        <w:pStyle w:val="Normal"/>
        <w:spacing w:before="0" w:beforeAutospacing="off" w:after="0" w:afterAutospacing="off"/>
        <w:jc w:val="center"/>
        <w:rPr>
          <w:rFonts w:ascii="Calibri" w:hAnsi="Calibri" w:eastAsia="Calibri" w:cs="Calibri"/>
          <w:b w:val="1"/>
          <w:bCs w:val="1"/>
          <w:sz w:val="22"/>
          <w:szCs w:val="22"/>
        </w:rPr>
      </w:pPr>
    </w:p>
    <w:p w:rsidR="17F38FA1" w:rsidP="17F38FA1" w:rsidRDefault="17F38FA1" w14:paraId="30220F26" w14:textId="39B9EDCF">
      <w:pPr>
        <w:pStyle w:val="Normal"/>
        <w:spacing w:before="0" w:beforeAutospacing="off" w:after="0" w:afterAutospacing="off"/>
        <w:jc w:val="center"/>
        <w:rPr>
          <w:rFonts w:ascii="Calibri" w:hAnsi="Calibri" w:eastAsia="Calibri" w:cs="Calibri"/>
          <w:b w:val="1"/>
          <w:bCs w:val="1"/>
          <w:sz w:val="22"/>
          <w:szCs w:val="22"/>
        </w:rPr>
      </w:pPr>
    </w:p>
    <w:p w:rsidR="1BA49EE9" w:rsidP="17F38FA1" w:rsidRDefault="1BA49EE9" w14:paraId="2753792F" w14:textId="2116389A">
      <w:pPr>
        <w:pStyle w:val="Normal"/>
        <w:spacing w:before="0" w:beforeAutospacing="off" w:after="0" w:afterAutospacing="off"/>
        <w:jc w:val="center"/>
        <w:rPr>
          <w:rFonts w:ascii="Calibri" w:hAnsi="Calibri" w:eastAsia="Calibri" w:cs="Calibri"/>
          <w:b w:val="1"/>
          <w:bCs w:val="1"/>
          <w:sz w:val="22"/>
          <w:szCs w:val="22"/>
        </w:rPr>
      </w:pPr>
      <w:r w:rsidRPr="17F38FA1" w:rsidR="1BA49EE9">
        <w:rPr>
          <w:rFonts w:ascii="Calibri" w:hAnsi="Calibri" w:eastAsia="Calibri" w:cs="Calibri"/>
          <w:b w:val="1"/>
          <w:bCs w:val="1"/>
          <w:sz w:val="22"/>
          <w:szCs w:val="22"/>
        </w:rPr>
        <w:t xml:space="preserve"> </w:t>
      </w:r>
    </w:p>
    <w:p xmlns:wp14="http://schemas.microsoft.com/office/word/2010/wordml" w:rsidP="17F38FA1" wp14:paraId="25B417D0" wp14:textId="1DF3CD00">
      <w:pPr>
        <w:pStyle w:val="Heading1"/>
        <w:rPr>
          <w:b w:val="1"/>
          <w:bCs w:val="1"/>
          <w:color w:val="auto"/>
        </w:rPr>
      </w:pPr>
      <w:bookmarkStart w:name="_Toc1530097373" w:id="274997522"/>
      <w:bookmarkStart w:name="_Toc1062748268" w:id="1971866404"/>
      <w:r w:rsidRPr="17F38FA1" w:rsidR="1BA49EE9">
        <w:rPr>
          <w:b w:val="1"/>
          <w:bCs w:val="1"/>
          <w:color w:val="auto"/>
        </w:rPr>
        <w:t>Introduction</w:t>
      </w:r>
      <w:bookmarkEnd w:id="274997522"/>
      <w:bookmarkEnd w:id="1971866404"/>
    </w:p>
    <w:p xmlns:wp14="http://schemas.microsoft.com/office/word/2010/wordml" w:rsidP="17F38FA1" wp14:paraId="0ED9CA11" wp14:textId="1E87D708">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5E353060">
        <w:rPr>
          <w:rFonts w:ascii="Aptos" w:hAnsi="Aptos" w:eastAsia="Aptos" w:cs="Aptos" w:asciiTheme="minorAscii" w:hAnsiTheme="minorAscii" w:eastAsiaTheme="minorAscii" w:cstheme="minorAscii"/>
          <w:b w:val="0"/>
          <w:bCs w:val="0"/>
          <w:sz w:val="24"/>
          <w:szCs w:val="24"/>
        </w:rPr>
        <w:t xml:space="preserve">Sustainability has become a central strategic priority within the global hospitality sector, driven by increasing environmental pressures, shifting consumer expectations, and the growing recognition that food systems play a critical role in climate resilience (UNWTO, 2022). Restaurants are now expected not only to adopt sustainable practices but to embed them holistically across sourcing, production, service, and waste systems. This report critically evaluates how </w:t>
      </w:r>
      <w:r w:rsidRPr="17F38FA1" w:rsidR="5E353060">
        <w:rPr>
          <w:rFonts w:ascii="Aptos" w:hAnsi="Aptos" w:eastAsia="Aptos" w:cs="Aptos" w:asciiTheme="minorAscii" w:hAnsiTheme="minorAscii" w:eastAsiaTheme="minorAscii" w:cstheme="minorAscii"/>
          <w:b w:val="0"/>
          <w:bCs w:val="0"/>
          <w:sz w:val="24"/>
          <w:szCs w:val="24"/>
        </w:rPr>
        <w:t>Apricity</w:t>
      </w:r>
      <w:r w:rsidRPr="17F38FA1" w:rsidR="5E353060">
        <w:rPr>
          <w:rFonts w:ascii="Aptos" w:hAnsi="Aptos" w:eastAsia="Aptos" w:cs="Aptos" w:asciiTheme="minorAscii" w:hAnsiTheme="minorAscii" w:eastAsiaTheme="minorAscii" w:cstheme="minorAscii"/>
          <w:b w:val="0"/>
          <w:bCs w:val="0"/>
          <w:sz w:val="24"/>
          <w:szCs w:val="24"/>
        </w:rPr>
        <w:t>, a Michelin Green Star restaurant in London, has integrated sustainability into its operational and gastronomic philosophy, positioning itself as a model for regenerative dining (</w:t>
      </w:r>
      <w:r w:rsidRPr="17F38FA1" w:rsidR="5E353060">
        <w:rPr>
          <w:rFonts w:ascii="Aptos" w:hAnsi="Aptos" w:eastAsia="Aptos" w:cs="Aptos" w:asciiTheme="minorAscii" w:hAnsiTheme="minorAscii" w:eastAsiaTheme="minorAscii" w:cstheme="minorAscii"/>
          <w:b w:val="0"/>
          <w:bCs w:val="0"/>
          <w:sz w:val="24"/>
          <w:szCs w:val="24"/>
        </w:rPr>
        <w:t>Apricity</w:t>
      </w:r>
      <w:r w:rsidRPr="17F38FA1" w:rsidR="5E353060">
        <w:rPr>
          <w:rFonts w:ascii="Aptos" w:hAnsi="Aptos" w:eastAsia="Aptos" w:cs="Aptos" w:asciiTheme="minorAscii" w:hAnsiTheme="minorAscii" w:eastAsiaTheme="minorAscii" w:cstheme="minorAscii"/>
          <w:b w:val="0"/>
          <w:bCs w:val="0"/>
          <w:sz w:val="24"/>
          <w:szCs w:val="24"/>
        </w:rPr>
        <w:t>, 2024).</w:t>
      </w:r>
    </w:p>
    <w:p xmlns:wp14="http://schemas.microsoft.com/office/word/2010/wordml" w:rsidP="17F38FA1" wp14:paraId="20F45CE7" wp14:textId="0FA67C6A">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5E353060">
        <w:rPr>
          <w:rFonts w:ascii="Aptos" w:hAnsi="Aptos" w:eastAsia="Aptos" w:cs="Aptos" w:asciiTheme="minorAscii" w:hAnsiTheme="minorAscii" w:eastAsiaTheme="minorAscii" w:cstheme="minorAscii"/>
          <w:b w:val="0"/>
          <w:bCs w:val="0"/>
          <w:sz w:val="24"/>
          <w:szCs w:val="24"/>
        </w:rPr>
        <w:t xml:space="preserve">Drawing on </w:t>
      </w:r>
      <w:r w:rsidRPr="17F38FA1" w:rsidR="5E353060">
        <w:rPr>
          <w:rFonts w:ascii="Aptos" w:hAnsi="Aptos" w:eastAsia="Aptos" w:cs="Aptos" w:asciiTheme="minorAscii" w:hAnsiTheme="minorAscii" w:eastAsiaTheme="minorAscii" w:cstheme="minorAscii"/>
          <w:b w:val="0"/>
          <w:bCs w:val="0"/>
          <w:sz w:val="24"/>
          <w:szCs w:val="24"/>
        </w:rPr>
        <w:t>established</w:t>
      </w:r>
      <w:r w:rsidRPr="17F38FA1" w:rsidR="5E353060">
        <w:rPr>
          <w:rFonts w:ascii="Aptos" w:hAnsi="Aptos" w:eastAsia="Aptos" w:cs="Aptos" w:asciiTheme="minorAscii" w:hAnsiTheme="minorAscii" w:eastAsiaTheme="minorAscii" w:cstheme="minorAscii"/>
          <w:b w:val="0"/>
          <w:bCs w:val="0"/>
          <w:sz w:val="24"/>
          <w:szCs w:val="24"/>
        </w:rPr>
        <w:t xml:space="preserve"> theoretical frameworks</w:t>
      </w:r>
      <w:r w:rsidRPr="17F38FA1" w:rsidR="35974F46">
        <w:rPr>
          <w:rFonts w:ascii="Aptos" w:hAnsi="Aptos" w:eastAsia="Aptos" w:cs="Aptos" w:asciiTheme="minorAscii" w:hAnsiTheme="minorAscii" w:eastAsiaTheme="minorAscii" w:cstheme="minorAscii"/>
          <w:b w:val="0"/>
          <w:bCs w:val="0"/>
          <w:sz w:val="24"/>
          <w:szCs w:val="24"/>
        </w:rPr>
        <w:t xml:space="preserve">, </w:t>
      </w:r>
      <w:r w:rsidRPr="17F38FA1" w:rsidR="5E353060">
        <w:rPr>
          <w:rFonts w:ascii="Aptos" w:hAnsi="Aptos" w:eastAsia="Aptos" w:cs="Aptos" w:asciiTheme="minorAscii" w:hAnsiTheme="minorAscii" w:eastAsiaTheme="minorAscii" w:cstheme="minorAscii"/>
          <w:b w:val="0"/>
          <w:bCs w:val="0"/>
          <w:sz w:val="24"/>
          <w:szCs w:val="24"/>
        </w:rPr>
        <w:t xml:space="preserve">including the </w:t>
      </w:r>
      <w:r w:rsidRPr="17F38FA1" w:rsidR="5E353060">
        <w:rPr>
          <w:rFonts w:ascii="Aptos" w:hAnsi="Aptos" w:eastAsia="Aptos" w:cs="Aptos" w:asciiTheme="minorAscii" w:hAnsiTheme="minorAscii" w:eastAsiaTheme="minorAscii" w:cstheme="minorAscii"/>
          <w:b w:val="0"/>
          <w:bCs w:val="0"/>
          <w:sz w:val="24"/>
          <w:szCs w:val="24"/>
        </w:rPr>
        <w:t>triple bottom line</w:t>
      </w:r>
      <w:r w:rsidRPr="17F38FA1" w:rsidR="5E353060">
        <w:rPr>
          <w:rFonts w:ascii="Aptos" w:hAnsi="Aptos" w:eastAsia="Aptos" w:cs="Aptos" w:asciiTheme="minorAscii" w:hAnsiTheme="minorAscii" w:eastAsiaTheme="minorAscii" w:cstheme="minorAscii"/>
          <w:b w:val="0"/>
          <w:bCs w:val="0"/>
          <w:sz w:val="24"/>
          <w:szCs w:val="24"/>
        </w:rPr>
        <w:t xml:space="preserve"> (Elkington, 1997), </w:t>
      </w:r>
      <w:r w:rsidRPr="17F38FA1" w:rsidR="5E353060">
        <w:rPr>
          <w:rFonts w:ascii="Aptos" w:hAnsi="Aptos" w:eastAsia="Aptos" w:cs="Aptos" w:asciiTheme="minorAscii" w:hAnsiTheme="minorAscii" w:eastAsiaTheme="minorAscii" w:cstheme="minorAscii"/>
          <w:b w:val="0"/>
          <w:bCs w:val="0"/>
          <w:sz w:val="24"/>
          <w:szCs w:val="24"/>
        </w:rPr>
        <w:t>systems thinking</w:t>
      </w:r>
      <w:r w:rsidRPr="17F38FA1" w:rsidR="5E353060">
        <w:rPr>
          <w:rFonts w:ascii="Aptos" w:hAnsi="Aptos" w:eastAsia="Aptos" w:cs="Aptos" w:asciiTheme="minorAscii" w:hAnsiTheme="minorAscii" w:eastAsiaTheme="minorAscii" w:cstheme="minorAscii"/>
          <w:b w:val="0"/>
          <w:bCs w:val="0"/>
          <w:sz w:val="24"/>
          <w:szCs w:val="24"/>
        </w:rPr>
        <w:t xml:space="preserve"> (Meadows, 2008), and the </w:t>
      </w:r>
      <w:r w:rsidRPr="17F38FA1" w:rsidR="5E353060">
        <w:rPr>
          <w:rFonts w:ascii="Aptos" w:hAnsi="Aptos" w:eastAsia="Aptos" w:cs="Aptos" w:asciiTheme="minorAscii" w:hAnsiTheme="minorAscii" w:eastAsiaTheme="minorAscii" w:cstheme="minorAscii"/>
          <w:b w:val="0"/>
          <w:bCs w:val="0"/>
          <w:sz w:val="24"/>
          <w:szCs w:val="24"/>
        </w:rPr>
        <w:t>principles of sustainable gastronomy</w:t>
      </w:r>
      <w:r w:rsidRPr="17F38FA1" w:rsidR="5E353060">
        <w:rPr>
          <w:rFonts w:ascii="Aptos" w:hAnsi="Aptos" w:eastAsia="Aptos" w:cs="Aptos" w:asciiTheme="minorAscii" w:hAnsiTheme="minorAscii" w:eastAsiaTheme="minorAscii" w:cstheme="minorAscii"/>
          <w:b w:val="0"/>
          <w:bCs w:val="0"/>
          <w:sz w:val="24"/>
          <w:szCs w:val="24"/>
        </w:rPr>
        <w:t xml:space="preserve"> defined by the UN</w:t>
      </w:r>
      <w:r w:rsidRPr="17F38FA1" w:rsidR="2B569576">
        <w:rPr>
          <w:rFonts w:ascii="Aptos" w:hAnsi="Aptos" w:eastAsia="Aptos" w:cs="Aptos" w:asciiTheme="minorAscii" w:hAnsiTheme="minorAscii" w:eastAsiaTheme="minorAscii" w:cstheme="minorAscii"/>
          <w:b w:val="0"/>
          <w:bCs w:val="0"/>
          <w:sz w:val="24"/>
          <w:szCs w:val="24"/>
        </w:rPr>
        <w:t xml:space="preserve">, </w:t>
      </w:r>
      <w:r w:rsidRPr="17F38FA1" w:rsidR="5E353060">
        <w:rPr>
          <w:rFonts w:ascii="Aptos" w:hAnsi="Aptos" w:eastAsia="Aptos" w:cs="Aptos" w:asciiTheme="minorAscii" w:hAnsiTheme="minorAscii" w:eastAsiaTheme="minorAscii" w:cstheme="minorAscii"/>
          <w:b w:val="0"/>
          <w:bCs w:val="0"/>
          <w:sz w:val="24"/>
          <w:szCs w:val="24"/>
        </w:rPr>
        <w:t xml:space="preserve">this analysis assesses the depth, coherence, and authenticity of </w:t>
      </w:r>
      <w:r w:rsidRPr="17F38FA1" w:rsidR="5E353060">
        <w:rPr>
          <w:rFonts w:ascii="Aptos" w:hAnsi="Aptos" w:eastAsia="Aptos" w:cs="Aptos" w:asciiTheme="minorAscii" w:hAnsiTheme="minorAscii" w:eastAsiaTheme="minorAscii" w:cstheme="minorAscii"/>
          <w:b w:val="0"/>
          <w:bCs w:val="0"/>
          <w:sz w:val="24"/>
          <w:szCs w:val="24"/>
        </w:rPr>
        <w:t>Apricity’s</w:t>
      </w:r>
      <w:r w:rsidRPr="17F38FA1" w:rsidR="5E353060">
        <w:rPr>
          <w:rFonts w:ascii="Aptos" w:hAnsi="Aptos" w:eastAsia="Aptos" w:cs="Aptos" w:asciiTheme="minorAscii" w:hAnsiTheme="minorAscii" w:eastAsiaTheme="minorAscii" w:cstheme="minorAscii"/>
          <w:b w:val="0"/>
          <w:bCs w:val="0"/>
          <w:sz w:val="24"/>
          <w:szCs w:val="24"/>
        </w:rPr>
        <w:t xml:space="preserve"> sustainability strategy. The discussion explores how the restaurant aligns with the </w:t>
      </w:r>
      <w:r w:rsidRPr="17F38FA1" w:rsidR="5E353060">
        <w:rPr>
          <w:rFonts w:ascii="Aptos" w:hAnsi="Aptos" w:eastAsia="Aptos" w:cs="Aptos" w:asciiTheme="minorAscii" w:hAnsiTheme="minorAscii" w:eastAsiaTheme="minorAscii" w:cstheme="minorAscii"/>
          <w:b w:val="0"/>
          <w:bCs w:val="0"/>
          <w:sz w:val="24"/>
          <w:szCs w:val="24"/>
        </w:rPr>
        <w:t>pillars of sustainable gastronomy</w:t>
      </w:r>
      <w:r w:rsidRPr="17F38FA1" w:rsidR="5E353060">
        <w:rPr>
          <w:rFonts w:ascii="Aptos" w:hAnsi="Aptos" w:eastAsia="Aptos" w:cs="Aptos" w:asciiTheme="minorAscii" w:hAnsiTheme="minorAscii" w:eastAsiaTheme="minorAscii" w:cstheme="minorAscii"/>
          <w:b w:val="0"/>
          <w:bCs w:val="0"/>
          <w:sz w:val="24"/>
          <w:szCs w:val="24"/>
        </w:rPr>
        <w:t>, including ecological stewardship, cultural and culinary preservation, social responsibility, and long‑term economic viability (</w:t>
      </w:r>
      <w:r w:rsidRPr="17F38FA1" w:rsidR="5FD0ADDF">
        <w:rPr>
          <w:rFonts w:ascii="Aptos" w:hAnsi="Aptos" w:eastAsia="Aptos" w:cs="Aptos" w:asciiTheme="minorAscii" w:hAnsiTheme="minorAscii" w:eastAsiaTheme="minorAscii" w:cstheme="minorAscii"/>
          <w:b w:val="0"/>
          <w:bCs w:val="0"/>
          <w:sz w:val="24"/>
          <w:szCs w:val="24"/>
        </w:rPr>
        <w:t>Food and Agriculture Organization of the United Nations</w:t>
      </w:r>
      <w:r w:rsidRPr="17F38FA1" w:rsidR="5E353060">
        <w:rPr>
          <w:rFonts w:ascii="Aptos" w:hAnsi="Aptos" w:eastAsia="Aptos" w:cs="Aptos" w:asciiTheme="minorAscii" w:hAnsiTheme="minorAscii" w:eastAsiaTheme="minorAscii" w:cstheme="minorAscii"/>
          <w:b w:val="0"/>
          <w:bCs w:val="0"/>
          <w:sz w:val="24"/>
          <w:szCs w:val="24"/>
        </w:rPr>
        <w:t>, 2021). It further examines the regulatory landscape shaping sustainable restaurant operations, including UK legislation on food safety, waste management, carbon reporting, and ethical sourcing.</w:t>
      </w:r>
    </w:p>
    <w:p xmlns:wp14="http://schemas.microsoft.com/office/word/2010/wordml" w:rsidP="17F38FA1" wp14:paraId="6FFC5152" wp14:textId="0F650014">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5E353060">
        <w:rPr>
          <w:rFonts w:ascii="Aptos" w:hAnsi="Aptos" w:eastAsia="Aptos" w:cs="Aptos" w:asciiTheme="minorAscii" w:hAnsiTheme="minorAscii" w:eastAsiaTheme="minorAscii" w:cstheme="minorAscii"/>
          <w:b w:val="0"/>
          <w:bCs w:val="0"/>
          <w:sz w:val="24"/>
          <w:szCs w:val="24"/>
        </w:rPr>
        <w:t xml:space="preserve">Finally, the report evaluates the relevance of the </w:t>
      </w:r>
      <w:r w:rsidRPr="17F38FA1" w:rsidR="5E353060">
        <w:rPr>
          <w:rFonts w:ascii="Aptos" w:hAnsi="Aptos" w:eastAsia="Aptos" w:cs="Aptos" w:asciiTheme="minorAscii" w:hAnsiTheme="minorAscii" w:eastAsiaTheme="minorAscii" w:cstheme="minorAscii"/>
          <w:b w:val="0"/>
          <w:bCs w:val="0"/>
          <w:sz w:val="24"/>
          <w:szCs w:val="24"/>
        </w:rPr>
        <w:t>circular economy</w:t>
      </w:r>
      <w:r w:rsidRPr="17F38FA1" w:rsidR="5E353060">
        <w:rPr>
          <w:rFonts w:ascii="Aptos" w:hAnsi="Aptos" w:eastAsia="Aptos" w:cs="Aptos" w:asciiTheme="minorAscii" w:hAnsiTheme="minorAscii" w:eastAsiaTheme="minorAscii" w:cstheme="minorAscii"/>
          <w:b w:val="0"/>
          <w:bCs w:val="0"/>
          <w:sz w:val="24"/>
          <w:szCs w:val="24"/>
        </w:rPr>
        <w:t xml:space="preserve"> to </w:t>
      </w:r>
      <w:r w:rsidRPr="17F38FA1" w:rsidR="5E353060">
        <w:rPr>
          <w:rFonts w:ascii="Aptos" w:hAnsi="Aptos" w:eastAsia="Aptos" w:cs="Aptos" w:asciiTheme="minorAscii" w:hAnsiTheme="minorAscii" w:eastAsiaTheme="minorAscii" w:cstheme="minorAscii"/>
          <w:b w:val="0"/>
          <w:bCs w:val="0"/>
          <w:sz w:val="24"/>
          <w:szCs w:val="24"/>
        </w:rPr>
        <w:t>Apricity’s</w:t>
      </w:r>
      <w:r w:rsidRPr="17F38FA1" w:rsidR="5E353060">
        <w:rPr>
          <w:rFonts w:ascii="Aptos" w:hAnsi="Aptos" w:eastAsia="Aptos" w:cs="Aptos" w:asciiTheme="minorAscii" w:hAnsiTheme="minorAscii" w:eastAsiaTheme="minorAscii" w:cstheme="minorAscii"/>
          <w:b w:val="0"/>
          <w:bCs w:val="0"/>
          <w:sz w:val="24"/>
          <w:szCs w:val="24"/>
        </w:rPr>
        <w:t xml:space="preserve"> operational model, considering how closed‑loop systems, resource regeneration, and waste </w:t>
      </w:r>
      <w:r w:rsidRPr="17F38FA1" w:rsidR="5E353060">
        <w:rPr>
          <w:rFonts w:ascii="Aptos" w:hAnsi="Aptos" w:eastAsia="Aptos" w:cs="Aptos" w:asciiTheme="minorAscii" w:hAnsiTheme="minorAscii" w:eastAsiaTheme="minorAscii" w:cstheme="minorAscii"/>
          <w:b w:val="0"/>
          <w:bCs w:val="0"/>
          <w:sz w:val="24"/>
          <w:szCs w:val="24"/>
        </w:rPr>
        <w:t>minimisation</w:t>
      </w:r>
      <w:r w:rsidRPr="17F38FA1" w:rsidR="5E353060">
        <w:rPr>
          <w:rFonts w:ascii="Aptos" w:hAnsi="Aptos" w:eastAsia="Aptos" w:cs="Aptos" w:asciiTheme="minorAscii" w:hAnsiTheme="minorAscii" w:eastAsiaTheme="minorAscii" w:cstheme="minorAscii"/>
          <w:b w:val="0"/>
          <w:bCs w:val="0"/>
          <w:sz w:val="24"/>
          <w:szCs w:val="24"/>
        </w:rPr>
        <w:t xml:space="preserve"> can enhance resilience and support sustainable value creation within the restaurant sector (Ellen MacArthur Foundation, 2019). Through this critical lens, the report assesses the extent to which </w:t>
      </w:r>
      <w:r w:rsidRPr="17F38FA1" w:rsidR="5E353060">
        <w:rPr>
          <w:rFonts w:ascii="Aptos" w:hAnsi="Aptos" w:eastAsia="Aptos" w:cs="Aptos" w:asciiTheme="minorAscii" w:hAnsiTheme="minorAscii" w:eastAsiaTheme="minorAscii" w:cstheme="minorAscii"/>
          <w:b w:val="0"/>
          <w:bCs w:val="0"/>
          <w:sz w:val="24"/>
          <w:szCs w:val="24"/>
        </w:rPr>
        <w:t>Apricity’s</w:t>
      </w:r>
      <w:r w:rsidRPr="17F38FA1" w:rsidR="5E353060">
        <w:rPr>
          <w:rFonts w:ascii="Aptos" w:hAnsi="Aptos" w:eastAsia="Aptos" w:cs="Aptos" w:asciiTheme="minorAscii" w:hAnsiTheme="minorAscii" w:eastAsiaTheme="minorAscii" w:cstheme="minorAscii"/>
          <w:b w:val="0"/>
          <w:bCs w:val="0"/>
          <w:sz w:val="24"/>
          <w:szCs w:val="24"/>
        </w:rPr>
        <w:t xml:space="preserve"> practices reflect genuine sustainability leadership versus performative or incremental change.</w:t>
      </w:r>
    </w:p>
    <w:p xmlns:wp14="http://schemas.microsoft.com/office/word/2010/wordml" w:rsidP="17F38FA1" wp14:paraId="32C183C0" wp14:textId="4AB2DDFE">
      <w:pPr>
        <w:pStyle w:val="Heading1"/>
        <w:rPr>
          <w:b w:val="1"/>
          <w:bCs w:val="1"/>
          <w:noProof w:val="0"/>
          <w:color w:val="auto"/>
          <w:sz w:val="28"/>
          <w:szCs w:val="28"/>
          <w:lang w:val="en-GB"/>
        </w:rPr>
      </w:pPr>
      <w:bookmarkStart w:name="_Toc1612954381" w:id="1863551799"/>
      <w:bookmarkStart w:name="_Toc911838976" w:id="2039474032"/>
      <w:r w:rsidRPr="17F38FA1" w:rsidR="5ACC85BC">
        <w:rPr>
          <w:b w:val="1"/>
          <w:bCs w:val="1"/>
          <w:noProof w:val="0"/>
          <w:color w:val="auto"/>
          <w:sz w:val="28"/>
          <w:szCs w:val="28"/>
          <w:lang w:val="en-GB"/>
        </w:rPr>
        <w:t xml:space="preserve">Principles and Pillars of Sustainable Gastronomy: Critical Evaluation of </w:t>
      </w:r>
      <w:r w:rsidRPr="17F38FA1" w:rsidR="5ACC85BC">
        <w:rPr>
          <w:b w:val="1"/>
          <w:bCs w:val="1"/>
          <w:noProof w:val="0"/>
          <w:color w:val="auto"/>
          <w:sz w:val="28"/>
          <w:szCs w:val="28"/>
          <w:lang w:val="en-GB"/>
        </w:rPr>
        <w:t>Apricity</w:t>
      </w:r>
      <w:bookmarkEnd w:id="1863551799"/>
      <w:bookmarkEnd w:id="2039474032"/>
    </w:p>
    <w:p xmlns:wp14="http://schemas.microsoft.com/office/word/2010/wordml" w:rsidP="17F38FA1" wp14:paraId="163F3922" wp14:textId="018B0C40">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19382AA5">
        <w:rPr>
          <w:rFonts w:ascii="Aptos" w:hAnsi="Aptos" w:eastAsia="Aptos" w:cs="Aptos" w:asciiTheme="minorAscii" w:hAnsiTheme="minorAscii" w:eastAsiaTheme="minorAscii" w:cstheme="minorAscii"/>
          <w:b w:val="0"/>
          <w:bCs w:val="0"/>
          <w:sz w:val="24"/>
          <w:szCs w:val="24"/>
        </w:rPr>
        <w:t xml:space="preserve">Sustainable gastronomy is grounded in the idea that food systems must support environmental protection, cultural continuity, social equity, and long‑term economic resilience. It is increasingly framed as </w:t>
      </w:r>
      <w:r w:rsidRPr="17F38FA1" w:rsidR="19382AA5">
        <w:rPr>
          <w:rFonts w:ascii="Aptos" w:hAnsi="Aptos" w:eastAsia="Aptos" w:cs="Aptos" w:asciiTheme="minorAscii" w:hAnsiTheme="minorAscii" w:eastAsiaTheme="minorAscii" w:cstheme="minorAscii"/>
          <w:b w:val="0"/>
          <w:bCs w:val="0"/>
          <w:sz w:val="24"/>
          <w:szCs w:val="24"/>
        </w:rPr>
        <w:t>a holistic approach</w:t>
      </w:r>
      <w:r w:rsidRPr="17F38FA1" w:rsidR="19382AA5">
        <w:rPr>
          <w:rFonts w:ascii="Aptos" w:hAnsi="Aptos" w:eastAsia="Aptos" w:cs="Aptos" w:asciiTheme="minorAscii" w:hAnsiTheme="minorAscii" w:eastAsiaTheme="minorAscii" w:cstheme="minorAscii"/>
          <w:b w:val="0"/>
          <w:bCs w:val="0"/>
          <w:sz w:val="24"/>
          <w:szCs w:val="24"/>
        </w:rPr>
        <w:t xml:space="preserve"> that integrates ecological responsibility with culinary creativity and ethical business practice (Jones et al., 2016). The concept draws on sustainability theory, food system research, and ethical consumption literature, </w:t>
      </w:r>
      <w:r w:rsidRPr="17F38FA1" w:rsidR="19382AA5">
        <w:rPr>
          <w:rFonts w:ascii="Aptos" w:hAnsi="Aptos" w:eastAsia="Aptos" w:cs="Aptos" w:asciiTheme="minorAscii" w:hAnsiTheme="minorAscii" w:eastAsiaTheme="minorAscii" w:cstheme="minorAscii"/>
          <w:b w:val="0"/>
          <w:bCs w:val="0"/>
          <w:sz w:val="24"/>
          <w:szCs w:val="24"/>
        </w:rPr>
        <w:t>emphasising</w:t>
      </w:r>
      <w:r w:rsidRPr="17F38FA1" w:rsidR="19382AA5">
        <w:rPr>
          <w:rFonts w:ascii="Aptos" w:hAnsi="Aptos" w:eastAsia="Aptos" w:cs="Aptos" w:asciiTheme="minorAscii" w:hAnsiTheme="minorAscii" w:eastAsiaTheme="minorAscii" w:cstheme="minorAscii"/>
          <w:b w:val="0"/>
          <w:bCs w:val="0"/>
          <w:sz w:val="24"/>
          <w:szCs w:val="24"/>
        </w:rPr>
        <w:t xml:space="preserve"> four core pillars: environmental stewardship, cultural and culinary preservation, social responsibility, and economic viability. When assessed against these principles, </w:t>
      </w:r>
      <w:r w:rsidRPr="17F38FA1" w:rsidR="19382AA5">
        <w:rPr>
          <w:rFonts w:ascii="Aptos" w:hAnsi="Aptos" w:eastAsia="Aptos" w:cs="Aptos" w:asciiTheme="minorAscii" w:hAnsiTheme="minorAscii" w:eastAsiaTheme="minorAscii" w:cstheme="minorAscii"/>
          <w:b w:val="0"/>
          <w:bCs w:val="0"/>
          <w:sz w:val="24"/>
          <w:szCs w:val="24"/>
        </w:rPr>
        <w:t>Apricity</w:t>
      </w:r>
      <w:r w:rsidRPr="17F38FA1" w:rsidR="19382AA5">
        <w:rPr>
          <w:rFonts w:ascii="Aptos" w:hAnsi="Aptos" w:eastAsia="Aptos" w:cs="Aptos" w:asciiTheme="minorAscii" w:hAnsiTheme="minorAscii" w:eastAsiaTheme="minorAscii" w:cstheme="minorAscii"/>
          <w:b w:val="0"/>
          <w:bCs w:val="0"/>
          <w:sz w:val="24"/>
          <w:szCs w:val="24"/>
        </w:rPr>
        <w:t xml:space="preserve"> demonstrates a strong commitment to sustainable gastronomy, though certain tensions highlight the challenges of embedding sustainability within a high‑end dining model.</w:t>
      </w:r>
    </w:p>
    <w:p xmlns:wp14="http://schemas.microsoft.com/office/word/2010/wordml" w:rsidP="17F38FA1" wp14:paraId="594208A2" wp14:textId="4FDA0AAA">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19382AA5">
        <w:rPr>
          <w:rFonts w:ascii="Aptos" w:hAnsi="Aptos" w:eastAsia="Aptos" w:cs="Aptos" w:asciiTheme="minorAscii" w:hAnsiTheme="minorAscii" w:eastAsiaTheme="minorAscii" w:cstheme="minorAscii"/>
          <w:b w:val="0"/>
          <w:bCs w:val="0"/>
          <w:sz w:val="24"/>
          <w:szCs w:val="24"/>
        </w:rPr>
        <w:t xml:space="preserve">Environmental stewardship is widely </w:t>
      </w:r>
      <w:r w:rsidRPr="17F38FA1" w:rsidR="19382AA5">
        <w:rPr>
          <w:rFonts w:ascii="Aptos" w:hAnsi="Aptos" w:eastAsia="Aptos" w:cs="Aptos" w:asciiTheme="minorAscii" w:hAnsiTheme="minorAscii" w:eastAsiaTheme="minorAscii" w:cstheme="minorAscii"/>
          <w:b w:val="0"/>
          <w:bCs w:val="0"/>
          <w:sz w:val="24"/>
          <w:szCs w:val="24"/>
        </w:rPr>
        <w:t>recognised</w:t>
      </w:r>
      <w:r w:rsidRPr="17F38FA1" w:rsidR="19382AA5">
        <w:rPr>
          <w:rFonts w:ascii="Aptos" w:hAnsi="Aptos" w:eastAsia="Aptos" w:cs="Aptos" w:asciiTheme="minorAscii" w:hAnsiTheme="minorAscii" w:eastAsiaTheme="minorAscii" w:cstheme="minorAscii"/>
          <w:b w:val="0"/>
          <w:bCs w:val="0"/>
          <w:sz w:val="24"/>
          <w:szCs w:val="24"/>
        </w:rPr>
        <w:t xml:space="preserve"> as the foundation of sustainable gastronomy, requiring restaurants to </w:t>
      </w:r>
      <w:r w:rsidRPr="17F38FA1" w:rsidR="19382AA5">
        <w:rPr>
          <w:rFonts w:ascii="Aptos" w:hAnsi="Aptos" w:eastAsia="Aptos" w:cs="Aptos" w:asciiTheme="minorAscii" w:hAnsiTheme="minorAscii" w:eastAsiaTheme="minorAscii" w:cstheme="minorAscii"/>
          <w:b w:val="0"/>
          <w:bCs w:val="0"/>
          <w:sz w:val="24"/>
          <w:szCs w:val="24"/>
        </w:rPr>
        <w:t>minimise</w:t>
      </w:r>
      <w:r w:rsidRPr="17F38FA1" w:rsidR="19382AA5">
        <w:rPr>
          <w:rFonts w:ascii="Aptos" w:hAnsi="Aptos" w:eastAsia="Aptos" w:cs="Aptos" w:asciiTheme="minorAscii" w:hAnsiTheme="minorAscii" w:eastAsiaTheme="minorAscii" w:cstheme="minorAscii"/>
          <w:b w:val="0"/>
          <w:bCs w:val="0"/>
          <w:sz w:val="24"/>
          <w:szCs w:val="24"/>
        </w:rPr>
        <w:t xml:space="preserve"> ecological impact through responsible sourcing, biodiversity protection, and waste reduction (</w:t>
      </w:r>
      <w:r w:rsidRPr="17F38FA1" w:rsidR="19382AA5">
        <w:rPr>
          <w:rFonts w:ascii="Aptos" w:hAnsi="Aptos" w:eastAsia="Aptos" w:cs="Aptos" w:asciiTheme="minorAscii" w:hAnsiTheme="minorAscii" w:eastAsiaTheme="minorAscii" w:cstheme="minorAscii"/>
          <w:b w:val="0"/>
          <w:bCs w:val="0"/>
          <w:sz w:val="24"/>
          <w:szCs w:val="24"/>
        </w:rPr>
        <w:t>Gössling</w:t>
      </w:r>
      <w:r w:rsidRPr="17F38FA1" w:rsidR="19382AA5">
        <w:rPr>
          <w:rFonts w:ascii="Aptos" w:hAnsi="Aptos" w:eastAsia="Aptos" w:cs="Aptos" w:asciiTheme="minorAscii" w:hAnsiTheme="minorAscii" w:eastAsiaTheme="minorAscii" w:cstheme="minorAscii"/>
          <w:b w:val="0"/>
          <w:bCs w:val="0"/>
          <w:sz w:val="24"/>
          <w:szCs w:val="24"/>
        </w:rPr>
        <w:t xml:space="preserve"> et al., 2011). </w:t>
      </w:r>
      <w:r w:rsidRPr="17F38FA1" w:rsidR="19382AA5">
        <w:rPr>
          <w:rFonts w:ascii="Aptos" w:hAnsi="Aptos" w:eastAsia="Aptos" w:cs="Aptos" w:asciiTheme="minorAscii" w:hAnsiTheme="minorAscii" w:eastAsiaTheme="minorAscii" w:cstheme="minorAscii"/>
          <w:b w:val="0"/>
          <w:bCs w:val="0"/>
          <w:sz w:val="24"/>
          <w:szCs w:val="24"/>
        </w:rPr>
        <w:t>Apricity</w:t>
      </w:r>
      <w:r w:rsidRPr="17F38FA1" w:rsidR="19382AA5">
        <w:rPr>
          <w:rFonts w:ascii="Aptos" w:hAnsi="Aptos" w:eastAsia="Aptos" w:cs="Aptos" w:asciiTheme="minorAscii" w:hAnsiTheme="minorAscii" w:eastAsiaTheme="minorAscii" w:cstheme="minorAscii"/>
          <w:b w:val="0"/>
          <w:bCs w:val="0"/>
          <w:sz w:val="24"/>
          <w:szCs w:val="24"/>
        </w:rPr>
        <w:t xml:space="preserve"> aligns closely with this pillar by </w:t>
      </w:r>
      <w:r w:rsidRPr="17F38FA1" w:rsidR="19382AA5">
        <w:rPr>
          <w:rFonts w:ascii="Aptos" w:hAnsi="Aptos" w:eastAsia="Aptos" w:cs="Aptos" w:asciiTheme="minorAscii" w:hAnsiTheme="minorAscii" w:eastAsiaTheme="minorAscii" w:cstheme="minorAscii"/>
          <w:b w:val="0"/>
          <w:bCs w:val="0"/>
          <w:sz w:val="24"/>
          <w:szCs w:val="24"/>
        </w:rPr>
        <w:t>prioritising</w:t>
      </w:r>
      <w:r w:rsidRPr="17F38FA1" w:rsidR="19382AA5">
        <w:rPr>
          <w:rFonts w:ascii="Aptos" w:hAnsi="Aptos" w:eastAsia="Aptos" w:cs="Aptos" w:asciiTheme="minorAscii" w:hAnsiTheme="minorAscii" w:eastAsiaTheme="minorAscii" w:cstheme="minorAscii"/>
          <w:b w:val="0"/>
          <w:bCs w:val="0"/>
          <w:sz w:val="24"/>
          <w:szCs w:val="24"/>
        </w:rPr>
        <w:t xml:space="preserve"> regenerative agriculture, seasonal produce, and hyper‑local supply chains, which collectively reduce carbon emissions and support ecosystem health. Its low‑waste kitchen practices, including root‑to‑stem and nose‑to‑tail cooking, further reflect circular resource use. However, while these practices </w:t>
      </w:r>
      <w:r w:rsidRPr="17F38FA1" w:rsidR="19382AA5">
        <w:rPr>
          <w:rFonts w:ascii="Aptos" w:hAnsi="Aptos" w:eastAsia="Aptos" w:cs="Aptos" w:asciiTheme="minorAscii" w:hAnsiTheme="minorAscii" w:eastAsiaTheme="minorAscii" w:cstheme="minorAscii"/>
          <w:b w:val="0"/>
          <w:bCs w:val="0"/>
          <w:sz w:val="24"/>
          <w:szCs w:val="24"/>
        </w:rPr>
        <w:t>demonstrate</w:t>
      </w:r>
      <w:r w:rsidRPr="17F38FA1" w:rsidR="19382AA5">
        <w:rPr>
          <w:rFonts w:ascii="Aptos" w:hAnsi="Aptos" w:eastAsia="Aptos" w:cs="Aptos" w:asciiTheme="minorAscii" w:hAnsiTheme="minorAscii" w:eastAsiaTheme="minorAscii" w:cstheme="minorAscii"/>
          <w:b w:val="0"/>
          <w:bCs w:val="0"/>
          <w:sz w:val="24"/>
          <w:szCs w:val="24"/>
        </w:rPr>
        <w:t xml:space="preserve"> strong environmental intent, the restaurant could strengthen its sustainability credentials by publishing measurable environmental performance indicators, as transparency is increasingly viewed as essential for credible sustainability claims (Baldwin, 2015).</w:t>
      </w:r>
    </w:p>
    <w:p xmlns:wp14="http://schemas.microsoft.com/office/word/2010/wordml" w:rsidP="17F38FA1" wp14:paraId="59C82A32" wp14:textId="09A2FC1F">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19382AA5">
        <w:rPr>
          <w:rFonts w:ascii="Aptos" w:hAnsi="Aptos" w:eastAsia="Aptos" w:cs="Aptos" w:asciiTheme="minorAscii" w:hAnsiTheme="minorAscii" w:eastAsiaTheme="minorAscii" w:cstheme="minorAscii"/>
          <w:b w:val="0"/>
          <w:bCs w:val="0"/>
          <w:sz w:val="24"/>
          <w:szCs w:val="24"/>
        </w:rPr>
        <w:t xml:space="preserve">Cultural and culinary preservation forms another key pillar, </w:t>
      </w:r>
      <w:r w:rsidRPr="17F38FA1" w:rsidR="19382AA5">
        <w:rPr>
          <w:rFonts w:ascii="Aptos" w:hAnsi="Aptos" w:eastAsia="Aptos" w:cs="Aptos" w:asciiTheme="minorAscii" w:hAnsiTheme="minorAscii" w:eastAsiaTheme="minorAscii" w:cstheme="minorAscii"/>
          <w:b w:val="0"/>
          <w:bCs w:val="0"/>
          <w:sz w:val="24"/>
          <w:szCs w:val="24"/>
        </w:rPr>
        <w:t>emphasising</w:t>
      </w:r>
      <w:r w:rsidRPr="17F38FA1" w:rsidR="19382AA5">
        <w:rPr>
          <w:rFonts w:ascii="Aptos" w:hAnsi="Aptos" w:eastAsia="Aptos" w:cs="Aptos" w:asciiTheme="minorAscii" w:hAnsiTheme="minorAscii" w:eastAsiaTheme="minorAscii" w:cstheme="minorAscii"/>
          <w:b w:val="0"/>
          <w:bCs w:val="0"/>
          <w:sz w:val="24"/>
          <w:szCs w:val="24"/>
        </w:rPr>
        <w:t xml:space="preserve"> the protection of local food traditions, regional identity, and artisanal knowledge (Scarpato, 2002). </w:t>
      </w:r>
      <w:r w:rsidRPr="17F38FA1" w:rsidR="19382AA5">
        <w:rPr>
          <w:rFonts w:ascii="Aptos" w:hAnsi="Aptos" w:eastAsia="Aptos" w:cs="Aptos" w:asciiTheme="minorAscii" w:hAnsiTheme="minorAscii" w:eastAsiaTheme="minorAscii" w:cstheme="minorAscii"/>
          <w:b w:val="0"/>
          <w:bCs w:val="0"/>
          <w:sz w:val="24"/>
          <w:szCs w:val="24"/>
        </w:rPr>
        <w:t>Apricity</w:t>
      </w:r>
      <w:r w:rsidRPr="17F38FA1" w:rsidR="19382AA5">
        <w:rPr>
          <w:rFonts w:ascii="Aptos" w:hAnsi="Aptos" w:eastAsia="Aptos" w:cs="Aptos" w:asciiTheme="minorAscii" w:hAnsiTheme="minorAscii" w:eastAsiaTheme="minorAscii" w:cstheme="minorAscii"/>
          <w:b w:val="0"/>
          <w:bCs w:val="0"/>
          <w:sz w:val="24"/>
          <w:szCs w:val="24"/>
        </w:rPr>
        <w:t xml:space="preserve"> actively supports this principle by </w:t>
      </w:r>
      <w:r w:rsidRPr="17F38FA1" w:rsidR="19382AA5">
        <w:rPr>
          <w:rFonts w:ascii="Aptos" w:hAnsi="Aptos" w:eastAsia="Aptos" w:cs="Aptos" w:asciiTheme="minorAscii" w:hAnsiTheme="minorAscii" w:eastAsiaTheme="minorAscii" w:cstheme="minorAscii"/>
          <w:b w:val="0"/>
          <w:bCs w:val="0"/>
          <w:sz w:val="24"/>
          <w:szCs w:val="24"/>
        </w:rPr>
        <w:t>showcasing</w:t>
      </w:r>
      <w:r w:rsidRPr="17F38FA1" w:rsidR="19382AA5">
        <w:rPr>
          <w:rFonts w:ascii="Aptos" w:hAnsi="Aptos" w:eastAsia="Aptos" w:cs="Aptos" w:asciiTheme="minorAscii" w:hAnsiTheme="minorAscii" w:eastAsiaTheme="minorAscii" w:cstheme="minorAscii"/>
          <w:b w:val="0"/>
          <w:bCs w:val="0"/>
          <w:sz w:val="24"/>
          <w:szCs w:val="24"/>
        </w:rPr>
        <w:t xml:space="preserve"> British producers, heritage ingredients, and traditional preservation techniques. Its storytelling approach, which highlights the provenance and values of its suppliers, reinforces cultural connection and consumer awareness. </w:t>
      </w:r>
      <w:r w:rsidRPr="17F38FA1" w:rsidR="4753C8FB">
        <w:rPr>
          <w:rFonts w:ascii="Aptos" w:hAnsi="Aptos" w:eastAsia="Aptos" w:cs="Aptos" w:asciiTheme="minorAscii" w:hAnsiTheme="minorAscii" w:eastAsiaTheme="minorAscii" w:cstheme="minorAscii"/>
          <w:b w:val="0"/>
          <w:bCs w:val="0"/>
          <w:sz w:val="24"/>
          <w:szCs w:val="24"/>
        </w:rPr>
        <w:t>Yet</w:t>
      </w:r>
      <w:r w:rsidRPr="17F38FA1" w:rsidR="19382AA5">
        <w:rPr>
          <w:rFonts w:ascii="Aptos" w:hAnsi="Aptos" w:eastAsia="Aptos" w:cs="Aptos" w:asciiTheme="minorAscii" w:hAnsiTheme="minorAscii" w:eastAsiaTheme="minorAscii" w:cstheme="minorAscii"/>
          <w:b w:val="0"/>
          <w:bCs w:val="0"/>
          <w:sz w:val="24"/>
          <w:szCs w:val="24"/>
        </w:rPr>
        <w:t xml:space="preserve"> </w:t>
      </w:r>
      <w:r w:rsidRPr="17F38FA1" w:rsidR="19382AA5">
        <w:rPr>
          <w:rFonts w:ascii="Aptos" w:hAnsi="Aptos" w:eastAsia="Aptos" w:cs="Aptos" w:asciiTheme="minorAscii" w:hAnsiTheme="minorAscii" w:eastAsiaTheme="minorAscii" w:cstheme="minorAscii"/>
          <w:b w:val="0"/>
          <w:bCs w:val="0"/>
          <w:sz w:val="24"/>
          <w:szCs w:val="24"/>
        </w:rPr>
        <w:t xml:space="preserve">the exclusivity of its tasting‑menu format raises questions about accessibility. Sustainable gastronomy literature stresses that cultural preservation should be inclusive and community‑oriented, suggesting that </w:t>
      </w:r>
      <w:r w:rsidRPr="17F38FA1" w:rsidR="19382AA5">
        <w:rPr>
          <w:rFonts w:ascii="Aptos" w:hAnsi="Aptos" w:eastAsia="Aptos" w:cs="Aptos" w:asciiTheme="minorAscii" w:hAnsiTheme="minorAscii" w:eastAsiaTheme="minorAscii" w:cstheme="minorAscii"/>
          <w:b w:val="0"/>
          <w:bCs w:val="0"/>
          <w:sz w:val="24"/>
          <w:szCs w:val="24"/>
        </w:rPr>
        <w:t>A</w:t>
      </w:r>
      <w:r w:rsidRPr="17F38FA1" w:rsidR="19382AA5">
        <w:rPr>
          <w:rFonts w:ascii="Aptos" w:hAnsi="Aptos" w:eastAsia="Aptos" w:cs="Aptos" w:asciiTheme="minorAscii" w:hAnsiTheme="minorAscii" w:eastAsiaTheme="minorAscii" w:cstheme="minorAscii"/>
          <w:b w:val="0"/>
          <w:bCs w:val="0"/>
          <w:sz w:val="24"/>
          <w:szCs w:val="24"/>
        </w:rPr>
        <w:t>pricity’s</w:t>
      </w:r>
      <w:r w:rsidRPr="17F38FA1" w:rsidR="19382AA5">
        <w:rPr>
          <w:rFonts w:ascii="Aptos" w:hAnsi="Aptos" w:eastAsia="Aptos" w:cs="Aptos" w:asciiTheme="minorAscii" w:hAnsiTheme="minorAscii" w:eastAsiaTheme="minorAscii" w:cstheme="minorAscii"/>
          <w:b w:val="0"/>
          <w:bCs w:val="0"/>
          <w:sz w:val="24"/>
          <w:szCs w:val="24"/>
        </w:rPr>
        <w:t xml:space="preserve"> </w:t>
      </w:r>
      <w:r w:rsidRPr="17F38FA1" w:rsidR="19382AA5">
        <w:rPr>
          <w:rFonts w:ascii="Aptos" w:hAnsi="Aptos" w:eastAsia="Aptos" w:cs="Aptos" w:asciiTheme="minorAscii" w:hAnsiTheme="minorAscii" w:eastAsiaTheme="minorAscii" w:cstheme="minorAscii"/>
          <w:b w:val="0"/>
          <w:bCs w:val="0"/>
          <w:sz w:val="24"/>
          <w:szCs w:val="24"/>
        </w:rPr>
        <w:t>impact may be limited to a niche, affluent audience (Sims, 2009).</w:t>
      </w:r>
    </w:p>
    <w:p xmlns:wp14="http://schemas.microsoft.com/office/word/2010/wordml" w:rsidP="17F38FA1" wp14:paraId="16E42FA1" wp14:textId="1B13AC4F">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19382AA5">
        <w:rPr>
          <w:rFonts w:ascii="Aptos" w:hAnsi="Aptos" w:eastAsia="Aptos" w:cs="Aptos" w:asciiTheme="minorAscii" w:hAnsiTheme="minorAscii" w:eastAsiaTheme="minorAscii" w:cstheme="minorAscii"/>
          <w:b w:val="0"/>
          <w:bCs w:val="0"/>
          <w:sz w:val="24"/>
          <w:szCs w:val="24"/>
        </w:rPr>
        <w:t xml:space="preserve">Social responsibility is equally central to sustainable gastronomy, encompassing fair </w:t>
      </w:r>
      <w:r w:rsidRPr="17F38FA1" w:rsidR="19382AA5">
        <w:rPr>
          <w:rFonts w:ascii="Aptos" w:hAnsi="Aptos" w:eastAsia="Aptos" w:cs="Aptos" w:asciiTheme="minorAscii" w:hAnsiTheme="minorAscii" w:eastAsiaTheme="minorAscii" w:cstheme="minorAscii"/>
          <w:b w:val="0"/>
          <w:bCs w:val="0"/>
          <w:sz w:val="24"/>
          <w:szCs w:val="24"/>
        </w:rPr>
        <w:t>labour</w:t>
      </w:r>
      <w:r w:rsidRPr="17F38FA1" w:rsidR="19382AA5">
        <w:rPr>
          <w:rFonts w:ascii="Aptos" w:hAnsi="Aptos" w:eastAsia="Aptos" w:cs="Aptos" w:asciiTheme="minorAscii" w:hAnsiTheme="minorAscii" w:eastAsiaTheme="minorAscii" w:cstheme="minorAscii"/>
          <w:b w:val="0"/>
          <w:bCs w:val="0"/>
          <w:sz w:val="24"/>
          <w:szCs w:val="24"/>
        </w:rPr>
        <w:t xml:space="preserve"> practices, ethical supply chains, and community engagement (Sloan et al., 2013). </w:t>
      </w:r>
      <w:r w:rsidRPr="17F38FA1" w:rsidR="19382AA5">
        <w:rPr>
          <w:rFonts w:ascii="Aptos" w:hAnsi="Aptos" w:eastAsia="Aptos" w:cs="Aptos" w:asciiTheme="minorAscii" w:hAnsiTheme="minorAscii" w:eastAsiaTheme="minorAscii" w:cstheme="minorAscii"/>
          <w:b w:val="0"/>
          <w:bCs w:val="0"/>
          <w:sz w:val="24"/>
          <w:szCs w:val="24"/>
        </w:rPr>
        <w:t>Apricity</w:t>
      </w:r>
      <w:r w:rsidRPr="17F38FA1" w:rsidR="19382AA5">
        <w:rPr>
          <w:rFonts w:ascii="Aptos" w:hAnsi="Aptos" w:eastAsia="Aptos" w:cs="Aptos" w:asciiTheme="minorAscii" w:hAnsiTheme="minorAscii" w:eastAsiaTheme="minorAscii" w:cstheme="minorAscii"/>
          <w:b w:val="0"/>
          <w:bCs w:val="0"/>
          <w:sz w:val="24"/>
          <w:szCs w:val="24"/>
        </w:rPr>
        <w:t xml:space="preserve"> demonstrates alignment with this pillar through its partnerships with ethically minded producers and its commitment to </w:t>
      </w:r>
      <w:r w:rsidRPr="17F38FA1" w:rsidR="19382AA5">
        <w:rPr>
          <w:rFonts w:ascii="Aptos" w:hAnsi="Aptos" w:eastAsia="Aptos" w:cs="Aptos" w:asciiTheme="minorAscii" w:hAnsiTheme="minorAscii" w:eastAsiaTheme="minorAscii" w:cstheme="minorAscii"/>
          <w:b w:val="0"/>
          <w:bCs w:val="0"/>
          <w:sz w:val="24"/>
          <w:szCs w:val="24"/>
        </w:rPr>
        <w:t>equitable</w:t>
      </w:r>
      <w:r w:rsidRPr="17F38FA1" w:rsidR="19382AA5">
        <w:rPr>
          <w:rFonts w:ascii="Aptos" w:hAnsi="Aptos" w:eastAsia="Aptos" w:cs="Aptos" w:asciiTheme="minorAscii" w:hAnsiTheme="minorAscii" w:eastAsiaTheme="minorAscii" w:cstheme="minorAscii"/>
          <w:b w:val="0"/>
          <w:bCs w:val="0"/>
          <w:sz w:val="24"/>
          <w:szCs w:val="24"/>
        </w:rPr>
        <w:t xml:space="preserve"> staffing practices. The restaurant promotes a supportive workplace culture and invests in staff development, reflecting broader social sustainability values. However, publicly available information on staff wellbeing, diversity, or training outcomes </w:t>
      </w:r>
      <w:r w:rsidRPr="17F38FA1" w:rsidR="19382AA5">
        <w:rPr>
          <w:rFonts w:ascii="Aptos" w:hAnsi="Aptos" w:eastAsia="Aptos" w:cs="Aptos" w:asciiTheme="minorAscii" w:hAnsiTheme="minorAscii" w:eastAsiaTheme="minorAscii" w:cstheme="minorAscii"/>
          <w:b w:val="0"/>
          <w:bCs w:val="0"/>
          <w:sz w:val="24"/>
          <w:szCs w:val="24"/>
        </w:rPr>
        <w:t>remains</w:t>
      </w:r>
      <w:r w:rsidRPr="17F38FA1" w:rsidR="19382AA5">
        <w:rPr>
          <w:rFonts w:ascii="Aptos" w:hAnsi="Aptos" w:eastAsia="Aptos" w:cs="Aptos" w:asciiTheme="minorAscii" w:hAnsiTheme="minorAscii" w:eastAsiaTheme="minorAscii" w:cstheme="minorAscii"/>
          <w:b w:val="0"/>
          <w:bCs w:val="0"/>
          <w:sz w:val="24"/>
          <w:szCs w:val="24"/>
        </w:rPr>
        <w:t xml:space="preserve"> limited. Given that social sustainability increasingly requires transparent reporting and accountability, this lack of data </w:t>
      </w:r>
      <w:r w:rsidRPr="17F38FA1" w:rsidR="19382AA5">
        <w:rPr>
          <w:rFonts w:ascii="Aptos" w:hAnsi="Aptos" w:eastAsia="Aptos" w:cs="Aptos" w:asciiTheme="minorAscii" w:hAnsiTheme="minorAscii" w:eastAsiaTheme="minorAscii" w:cstheme="minorAscii"/>
          <w:b w:val="0"/>
          <w:bCs w:val="0"/>
          <w:sz w:val="24"/>
          <w:szCs w:val="24"/>
        </w:rPr>
        <w:t>represents</w:t>
      </w:r>
      <w:r w:rsidRPr="17F38FA1" w:rsidR="19382AA5">
        <w:rPr>
          <w:rFonts w:ascii="Aptos" w:hAnsi="Aptos" w:eastAsia="Aptos" w:cs="Aptos" w:asciiTheme="minorAscii" w:hAnsiTheme="minorAscii" w:eastAsiaTheme="minorAscii" w:cstheme="minorAscii"/>
          <w:b w:val="0"/>
          <w:bCs w:val="0"/>
          <w:sz w:val="24"/>
          <w:szCs w:val="24"/>
        </w:rPr>
        <w:t xml:space="preserve"> an area for improvement (Font et al., 2021).</w:t>
      </w:r>
    </w:p>
    <w:p xmlns:wp14="http://schemas.microsoft.com/office/word/2010/wordml" w:rsidP="17F38FA1" wp14:paraId="6F486081" wp14:textId="5C3C5D05">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19382AA5">
        <w:rPr>
          <w:rFonts w:ascii="Aptos" w:hAnsi="Aptos" w:eastAsia="Aptos" w:cs="Aptos" w:asciiTheme="minorAscii" w:hAnsiTheme="minorAscii" w:eastAsiaTheme="minorAscii" w:cstheme="minorAscii"/>
          <w:b w:val="0"/>
          <w:bCs w:val="0"/>
          <w:sz w:val="24"/>
          <w:szCs w:val="24"/>
        </w:rPr>
        <w:t xml:space="preserve">Economic viability </w:t>
      </w:r>
      <w:r w:rsidRPr="17F38FA1" w:rsidR="19382AA5">
        <w:rPr>
          <w:rFonts w:ascii="Aptos" w:hAnsi="Aptos" w:eastAsia="Aptos" w:cs="Aptos" w:asciiTheme="minorAscii" w:hAnsiTheme="minorAscii" w:eastAsiaTheme="minorAscii" w:cstheme="minorAscii"/>
          <w:b w:val="0"/>
          <w:bCs w:val="0"/>
          <w:sz w:val="24"/>
          <w:szCs w:val="24"/>
        </w:rPr>
        <w:t>represents</w:t>
      </w:r>
      <w:r w:rsidRPr="17F38FA1" w:rsidR="19382AA5">
        <w:rPr>
          <w:rFonts w:ascii="Aptos" w:hAnsi="Aptos" w:eastAsia="Aptos" w:cs="Aptos" w:asciiTheme="minorAscii" w:hAnsiTheme="minorAscii" w:eastAsiaTheme="minorAscii" w:cstheme="minorAscii"/>
          <w:b w:val="0"/>
          <w:bCs w:val="0"/>
          <w:sz w:val="24"/>
          <w:szCs w:val="24"/>
        </w:rPr>
        <w:t xml:space="preserve"> the final pillar, </w:t>
      </w:r>
      <w:r w:rsidRPr="17F38FA1" w:rsidR="19382AA5">
        <w:rPr>
          <w:rFonts w:ascii="Aptos" w:hAnsi="Aptos" w:eastAsia="Aptos" w:cs="Aptos" w:asciiTheme="minorAscii" w:hAnsiTheme="minorAscii" w:eastAsiaTheme="minorAscii" w:cstheme="minorAscii"/>
          <w:b w:val="0"/>
          <w:bCs w:val="0"/>
          <w:sz w:val="24"/>
          <w:szCs w:val="24"/>
        </w:rPr>
        <w:t>emphasising</w:t>
      </w:r>
      <w:r w:rsidRPr="17F38FA1" w:rsidR="19382AA5">
        <w:rPr>
          <w:rFonts w:ascii="Aptos" w:hAnsi="Aptos" w:eastAsia="Aptos" w:cs="Aptos" w:asciiTheme="minorAscii" w:hAnsiTheme="minorAscii" w:eastAsiaTheme="minorAscii" w:cstheme="minorAscii"/>
          <w:b w:val="0"/>
          <w:bCs w:val="0"/>
          <w:sz w:val="24"/>
          <w:szCs w:val="24"/>
        </w:rPr>
        <w:t xml:space="preserve"> the need for restaurants to balance profitability with long‑term resource stewardship (Bansal </w:t>
      </w:r>
      <w:r w:rsidRPr="17F38FA1" w:rsidR="2332B985">
        <w:rPr>
          <w:rFonts w:ascii="Aptos" w:hAnsi="Aptos" w:eastAsia="Aptos" w:cs="Aptos" w:asciiTheme="minorAscii" w:hAnsiTheme="minorAscii" w:eastAsiaTheme="minorAscii" w:cstheme="minorAscii"/>
          <w:b w:val="0"/>
          <w:bCs w:val="0"/>
          <w:sz w:val="24"/>
          <w:szCs w:val="24"/>
        </w:rPr>
        <w:t>an</w:t>
      </w:r>
      <w:r w:rsidRPr="17F38FA1" w:rsidR="2332B985">
        <w:rPr>
          <w:rFonts w:ascii="Aptos" w:hAnsi="Aptos" w:eastAsia="Aptos" w:cs="Aptos" w:asciiTheme="minorAscii" w:hAnsiTheme="minorAscii" w:eastAsiaTheme="minorAscii" w:cstheme="minorAscii"/>
          <w:b w:val="0"/>
          <w:bCs w:val="0"/>
          <w:sz w:val="24"/>
          <w:szCs w:val="24"/>
        </w:rPr>
        <w:t>d</w:t>
      </w:r>
      <w:r w:rsidRPr="17F38FA1" w:rsidR="19382AA5">
        <w:rPr>
          <w:rFonts w:ascii="Aptos" w:hAnsi="Aptos" w:eastAsia="Aptos" w:cs="Aptos" w:asciiTheme="minorAscii" w:hAnsiTheme="minorAscii" w:eastAsiaTheme="minorAscii" w:cstheme="minorAscii"/>
          <w:b w:val="0"/>
          <w:bCs w:val="0"/>
          <w:sz w:val="24"/>
          <w:szCs w:val="24"/>
        </w:rPr>
        <w:t xml:space="preserve"> </w:t>
      </w:r>
      <w:r w:rsidRPr="17F38FA1" w:rsidR="19382AA5">
        <w:rPr>
          <w:rFonts w:ascii="Aptos" w:hAnsi="Aptos" w:eastAsia="Aptos" w:cs="Aptos" w:asciiTheme="minorAscii" w:hAnsiTheme="minorAscii" w:eastAsiaTheme="minorAscii" w:cstheme="minorAscii"/>
          <w:b w:val="0"/>
          <w:bCs w:val="0"/>
          <w:sz w:val="24"/>
          <w:szCs w:val="24"/>
        </w:rPr>
        <w:t>DesJardi</w:t>
      </w:r>
      <w:r w:rsidRPr="17F38FA1" w:rsidR="19382AA5">
        <w:rPr>
          <w:rFonts w:ascii="Aptos" w:hAnsi="Aptos" w:eastAsia="Aptos" w:cs="Aptos" w:asciiTheme="minorAscii" w:hAnsiTheme="minorAscii" w:eastAsiaTheme="minorAscii" w:cstheme="minorAscii"/>
          <w:b w:val="0"/>
          <w:bCs w:val="0"/>
          <w:sz w:val="24"/>
          <w:szCs w:val="24"/>
        </w:rPr>
        <w:t>ne</w:t>
      </w:r>
      <w:r w:rsidRPr="17F38FA1" w:rsidR="19382AA5">
        <w:rPr>
          <w:rFonts w:ascii="Aptos" w:hAnsi="Aptos" w:eastAsia="Aptos" w:cs="Aptos" w:asciiTheme="minorAscii" w:hAnsiTheme="minorAscii" w:eastAsiaTheme="minorAscii" w:cstheme="minorAscii"/>
          <w:b w:val="0"/>
          <w:bCs w:val="0"/>
          <w:sz w:val="24"/>
          <w:szCs w:val="24"/>
        </w:rPr>
        <w:t>, 2014)</w:t>
      </w:r>
      <w:r w:rsidRPr="17F38FA1" w:rsidR="19382AA5">
        <w:rPr>
          <w:rFonts w:ascii="Aptos" w:hAnsi="Aptos" w:eastAsia="Aptos" w:cs="Aptos" w:asciiTheme="minorAscii" w:hAnsiTheme="minorAscii" w:eastAsiaTheme="minorAscii" w:cstheme="minorAscii"/>
          <w:b w:val="0"/>
          <w:bCs w:val="0"/>
          <w:sz w:val="24"/>
          <w:szCs w:val="24"/>
        </w:rPr>
        <w:t xml:space="preserve">. </w:t>
      </w:r>
      <w:r w:rsidRPr="17F38FA1" w:rsidR="19382AA5">
        <w:rPr>
          <w:rFonts w:ascii="Aptos" w:hAnsi="Aptos" w:eastAsia="Aptos" w:cs="Aptos" w:asciiTheme="minorAscii" w:hAnsiTheme="minorAscii" w:eastAsiaTheme="minorAscii" w:cstheme="minorAscii"/>
          <w:b w:val="0"/>
          <w:bCs w:val="0"/>
          <w:sz w:val="24"/>
          <w:szCs w:val="24"/>
        </w:rPr>
        <w:t>Apricity</w:t>
      </w:r>
      <w:r w:rsidRPr="17F38FA1" w:rsidR="19382AA5">
        <w:rPr>
          <w:rFonts w:ascii="Aptos" w:hAnsi="Aptos" w:eastAsia="Aptos" w:cs="Aptos" w:asciiTheme="minorAscii" w:hAnsiTheme="minorAscii" w:eastAsiaTheme="minorAscii" w:cstheme="minorAscii"/>
          <w:b w:val="0"/>
          <w:bCs w:val="0"/>
          <w:sz w:val="24"/>
          <w:szCs w:val="24"/>
        </w:rPr>
        <w:t>’s</w:t>
      </w:r>
      <w:r w:rsidRPr="17F38FA1" w:rsidR="19382AA5">
        <w:rPr>
          <w:rFonts w:ascii="Aptos" w:hAnsi="Aptos" w:eastAsia="Aptos" w:cs="Aptos" w:asciiTheme="minorAscii" w:hAnsiTheme="minorAscii" w:eastAsiaTheme="minorAscii" w:cstheme="minorAscii"/>
          <w:b w:val="0"/>
          <w:bCs w:val="0"/>
          <w:sz w:val="24"/>
          <w:szCs w:val="24"/>
        </w:rPr>
        <w:t xml:space="preserve"> premium pricing model supports investment in regenerative suppliers and skilled </w:t>
      </w:r>
      <w:r w:rsidRPr="17F38FA1" w:rsidR="19382AA5">
        <w:rPr>
          <w:rFonts w:ascii="Aptos" w:hAnsi="Aptos" w:eastAsia="Aptos" w:cs="Aptos" w:asciiTheme="minorAscii" w:hAnsiTheme="minorAscii" w:eastAsiaTheme="minorAscii" w:cstheme="minorAscii"/>
          <w:b w:val="0"/>
          <w:bCs w:val="0"/>
          <w:sz w:val="24"/>
          <w:szCs w:val="24"/>
        </w:rPr>
        <w:t>labour</w:t>
      </w:r>
      <w:r w:rsidRPr="17F38FA1" w:rsidR="19382AA5">
        <w:rPr>
          <w:rFonts w:ascii="Aptos" w:hAnsi="Aptos" w:eastAsia="Aptos" w:cs="Aptos" w:asciiTheme="minorAscii" w:hAnsiTheme="minorAscii" w:eastAsiaTheme="minorAscii" w:cstheme="minorAscii"/>
          <w:b w:val="0"/>
          <w:bCs w:val="0"/>
          <w:sz w:val="24"/>
          <w:szCs w:val="24"/>
        </w:rPr>
        <w:t>, while its sustainability‑driven brand identity enhances competitive advantage. Nonetheless, the reliance on high‑end pricing raises concerns about the scalability and inclusivity of sustainable gastronomy. If sustainable dinin</w:t>
      </w:r>
      <w:r w:rsidRPr="17F38FA1" w:rsidR="19382AA5">
        <w:rPr>
          <w:rFonts w:ascii="Aptos" w:hAnsi="Aptos" w:eastAsia="Aptos" w:cs="Aptos" w:asciiTheme="minorAscii" w:hAnsiTheme="minorAscii" w:eastAsiaTheme="minorAscii" w:cstheme="minorAscii"/>
          <w:b w:val="0"/>
          <w:bCs w:val="0"/>
          <w:sz w:val="24"/>
          <w:szCs w:val="24"/>
        </w:rPr>
        <w:t xml:space="preserve">g </w:t>
      </w:r>
      <w:r w:rsidRPr="17F38FA1" w:rsidR="19382AA5">
        <w:rPr>
          <w:rFonts w:ascii="Aptos" w:hAnsi="Aptos" w:eastAsia="Aptos" w:cs="Aptos" w:asciiTheme="minorAscii" w:hAnsiTheme="minorAscii" w:eastAsiaTheme="minorAscii" w:cstheme="minorAscii"/>
          <w:b w:val="0"/>
          <w:bCs w:val="0"/>
          <w:sz w:val="24"/>
          <w:szCs w:val="24"/>
        </w:rPr>
        <w:t>remai</w:t>
      </w:r>
      <w:r w:rsidRPr="17F38FA1" w:rsidR="19382AA5">
        <w:rPr>
          <w:rFonts w:ascii="Aptos" w:hAnsi="Aptos" w:eastAsia="Aptos" w:cs="Aptos" w:asciiTheme="minorAscii" w:hAnsiTheme="minorAscii" w:eastAsiaTheme="minorAscii" w:cstheme="minorAscii"/>
          <w:b w:val="0"/>
          <w:bCs w:val="0"/>
          <w:sz w:val="24"/>
          <w:szCs w:val="24"/>
        </w:rPr>
        <w:t>ns</w:t>
      </w:r>
      <w:r w:rsidRPr="17F38FA1" w:rsidR="19382AA5">
        <w:rPr>
          <w:rFonts w:ascii="Aptos" w:hAnsi="Aptos" w:eastAsia="Aptos" w:cs="Aptos" w:asciiTheme="minorAscii" w:hAnsiTheme="minorAscii" w:eastAsiaTheme="minorAscii" w:cstheme="minorAscii"/>
          <w:b w:val="0"/>
          <w:bCs w:val="0"/>
          <w:sz w:val="24"/>
          <w:szCs w:val="24"/>
        </w:rPr>
        <w:t xml:space="preserve"> financially inaccessible to most consumers, its potential to influence mainstream food systems may be limited. This tension reflects a broader industry challenge: sustainability often increases operational costs, making it difficult to </w:t>
      </w:r>
      <w:r w:rsidRPr="17F38FA1" w:rsidR="19382AA5">
        <w:rPr>
          <w:rFonts w:ascii="Aptos" w:hAnsi="Aptos" w:eastAsia="Aptos" w:cs="Aptos" w:asciiTheme="minorAscii" w:hAnsiTheme="minorAscii" w:eastAsiaTheme="minorAscii" w:cstheme="minorAscii"/>
          <w:b w:val="0"/>
          <w:bCs w:val="0"/>
          <w:sz w:val="24"/>
          <w:szCs w:val="24"/>
        </w:rPr>
        <w:t>democratise</w:t>
      </w:r>
      <w:r w:rsidRPr="17F38FA1" w:rsidR="19382AA5">
        <w:rPr>
          <w:rFonts w:ascii="Aptos" w:hAnsi="Aptos" w:eastAsia="Aptos" w:cs="Aptos" w:asciiTheme="minorAscii" w:hAnsiTheme="minorAscii" w:eastAsiaTheme="minorAscii" w:cstheme="minorAscii"/>
          <w:b w:val="0"/>
          <w:bCs w:val="0"/>
          <w:sz w:val="24"/>
          <w:szCs w:val="24"/>
        </w:rPr>
        <w:t xml:space="preserve"> sustainable food experiences.</w:t>
      </w:r>
    </w:p>
    <w:p xmlns:wp14="http://schemas.microsoft.com/office/word/2010/wordml" w:rsidP="17F38FA1" wp14:paraId="21929BFC" wp14:textId="7FC05EEF">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19382AA5">
        <w:rPr>
          <w:rFonts w:ascii="Aptos" w:hAnsi="Aptos" w:eastAsia="Aptos" w:cs="Aptos" w:asciiTheme="minorAscii" w:hAnsiTheme="minorAscii" w:eastAsiaTheme="minorAscii" w:cstheme="minorAscii"/>
          <w:b w:val="0"/>
          <w:bCs w:val="0"/>
          <w:sz w:val="24"/>
          <w:szCs w:val="24"/>
        </w:rPr>
        <w:t xml:space="preserve">Overall, </w:t>
      </w:r>
      <w:r w:rsidRPr="17F38FA1" w:rsidR="19382AA5">
        <w:rPr>
          <w:rFonts w:ascii="Aptos" w:hAnsi="Aptos" w:eastAsia="Aptos" w:cs="Aptos" w:asciiTheme="minorAscii" w:hAnsiTheme="minorAscii" w:eastAsiaTheme="minorAscii" w:cstheme="minorAscii"/>
          <w:b w:val="0"/>
          <w:bCs w:val="0"/>
          <w:sz w:val="24"/>
          <w:szCs w:val="24"/>
        </w:rPr>
        <w:t>Apricity</w:t>
      </w:r>
      <w:r w:rsidRPr="17F38FA1" w:rsidR="19382AA5">
        <w:rPr>
          <w:rFonts w:ascii="Aptos" w:hAnsi="Aptos" w:eastAsia="Aptos" w:cs="Aptos" w:asciiTheme="minorAscii" w:hAnsiTheme="minorAscii" w:eastAsiaTheme="minorAscii" w:cstheme="minorAscii"/>
          <w:b w:val="0"/>
          <w:bCs w:val="0"/>
          <w:sz w:val="24"/>
          <w:szCs w:val="24"/>
        </w:rPr>
        <w:t xml:space="preserve"> demonstrates strong alignment with the principles and pillars of sustainable gastronomy, particularly in environmental stewardship and cultural preservation. Its commitment to regenerative sourcing, low‑waste practices, and ethical supplier relationships positions it as a leader within the sustainable dining movement. However, critical gaps </w:t>
      </w:r>
      <w:r w:rsidRPr="17F38FA1" w:rsidR="19382AA5">
        <w:rPr>
          <w:rFonts w:ascii="Aptos" w:hAnsi="Aptos" w:eastAsia="Aptos" w:cs="Aptos" w:asciiTheme="minorAscii" w:hAnsiTheme="minorAscii" w:eastAsiaTheme="minorAscii" w:cstheme="minorAscii"/>
          <w:b w:val="0"/>
          <w:bCs w:val="0"/>
          <w:sz w:val="24"/>
          <w:szCs w:val="24"/>
        </w:rPr>
        <w:t>remain</w:t>
      </w:r>
      <w:r w:rsidRPr="17F38FA1" w:rsidR="19382AA5">
        <w:rPr>
          <w:rFonts w:ascii="Aptos" w:hAnsi="Aptos" w:eastAsia="Aptos" w:cs="Aptos" w:asciiTheme="minorAscii" w:hAnsiTheme="minorAscii" w:eastAsiaTheme="minorAscii" w:cstheme="minorAscii"/>
          <w:b w:val="0"/>
          <w:bCs w:val="0"/>
          <w:sz w:val="24"/>
          <w:szCs w:val="24"/>
        </w:rPr>
        <w:t xml:space="preserve"> in transparency, accessibility, and scalability, echoing wider debates about whether high‑end sustainable restaurants can meaningfully transform food systems. While </w:t>
      </w:r>
      <w:r w:rsidRPr="17F38FA1" w:rsidR="19382AA5">
        <w:rPr>
          <w:rFonts w:ascii="Aptos" w:hAnsi="Aptos" w:eastAsia="Aptos" w:cs="Aptos" w:asciiTheme="minorAscii" w:hAnsiTheme="minorAscii" w:eastAsiaTheme="minorAscii" w:cstheme="minorAscii"/>
          <w:b w:val="0"/>
          <w:bCs w:val="0"/>
          <w:sz w:val="24"/>
          <w:szCs w:val="24"/>
        </w:rPr>
        <w:t>Apricity</w:t>
      </w:r>
      <w:r w:rsidRPr="17F38FA1" w:rsidR="19382AA5">
        <w:rPr>
          <w:rFonts w:ascii="Aptos" w:hAnsi="Aptos" w:eastAsia="Aptos" w:cs="Aptos" w:asciiTheme="minorAscii" w:hAnsiTheme="minorAscii" w:eastAsiaTheme="minorAscii" w:cstheme="minorAscii"/>
          <w:b w:val="0"/>
          <w:bCs w:val="0"/>
          <w:sz w:val="24"/>
          <w:szCs w:val="24"/>
        </w:rPr>
        <w:t xml:space="preserve"> exemplifies best practice within its niche, its model may not yet be fully transferable to the broader hospitality sector.</w:t>
      </w:r>
    </w:p>
    <w:p xmlns:wp14="http://schemas.microsoft.com/office/word/2010/wordml" w:rsidP="17F38FA1" wp14:paraId="79F5D39E" wp14:textId="47056E2D">
      <w:pPr>
        <w:pStyle w:val="Heading1"/>
        <w:rPr>
          <w:b w:val="1"/>
          <w:bCs w:val="1"/>
          <w:noProof w:val="0"/>
          <w:color w:val="auto"/>
          <w:sz w:val="28"/>
          <w:szCs w:val="28"/>
          <w:lang w:val="en-GB"/>
        </w:rPr>
      </w:pPr>
      <w:bookmarkStart w:name="_Toc1029740783" w:id="2012946587"/>
      <w:bookmarkStart w:name="_Toc652769048" w:id="2064904600"/>
      <w:r w:rsidRPr="17F38FA1" w:rsidR="573789DF">
        <w:rPr>
          <w:b w:val="1"/>
          <w:bCs w:val="1"/>
          <w:noProof w:val="0"/>
          <w:color w:val="auto"/>
          <w:sz w:val="28"/>
          <w:szCs w:val="28"/>
          <w:lang w:val="en-GB"/>
        </w:rPr>
        <w:t>Regulations and Legislation Relevant to the Restaurant Sector</w:t>
      </w:r>
      <w:bookmarkEnd w:id="2012946587"/>
      <w:bookmarkEnd w:id="2064904600"/>
    </w:p>
    <w:p xmlns:wp14="http://schemas.microsoft.com/office/word/2010/wordml" w:rsidP="17F38FA1" wp14:paraId="30186F9B" wp14:textId="295847DA">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18D7A3B8">
        <w:rPr>
          <w:rFonts w:ascii="Aptos" w:hAnsi="Aptos" w:eastAsia="Aptos" w:cs="Aptos" w:asciiTheme="minorAscii" w:hAnsiTheme="minorAscii" w:eastAsiaTheme="minorAscii" w:cstheme="minorAscii"/>
          <w:b w:val="0"/>
          <w:bCs w:val="0"/>
          <w:sz w:val="24"/>
          <w:szCs w:val="24"/>
        </w:rPr>
        <w:t xml:space="preserve">Restaurants in the UK </w:t>
      </w:r>
      <w:r w:rsidRPr="17F38FA1" w:rsidR="18D7A3B8">
        <w:rPr>
          <w:rFonts w:ascii="Aptos" w:hAnsi="Aptos" w:eastAsia="Aptos" w:cs="Aptos" w:asciiTheme="minorAscii" w:hAnsiTheme="minorAscii" w:eastAsiaTheme="minorAscii" w:cstheme="minorAscii"/>
          <w:b w:val="0"/>
          <w:bCs w:val="0"/>
          <w:sz w:val="24"/>
          <w:szCs w:val="24"/>
        </w:rPr>
        <w:t>operate</w:t>
      </w:r>
      <w:r w:rsidRPr="17F38FA1" w:rsidR="18D7A3B8">
        <w:rPr>
          <w:rFonts w:ascii="Aptos" w:hAnsi="Aptos" w:eastAsia="Aptos" w:cs="Aptos" w:asciiTheme="minorAscii" w:hAnsiTheme="minorAscii" w:eastAsiaTheme="minorAscii" w:cstheme="minorAscii"/>
          <w:b w:val="0"/>
          <w:bCs w:val="0"/>
          <w:sz w:val="24"/>
          <w:szCs w:val="24"/>
        </w:rPr>
        <w:t xml:space="preserve"> within a comprehensive regulatory framework designed to ensure food safety, protect consumers, safeguard workers, and </w:t>
      </w:r>
      <w:r w:rsidRPr="17F38FA1" w:rsidR="18D7A3B8">
        <w:rPr>
          <w:rFonts w:ascii="Aptos" w:hAnsi="Aptos" w:eastAsia="Aptos" w:cs="Aptos" w:asciiTheme="minorAscii" w:hAnsiTheme="minorAscii" w:eastAsiaTheme="minorAscii" w:cstheme="minorAscii"/>
          <w:b w:val="0"/>
          <w:bCs w:val="0"/>
          <w:sz w:val="24"/>
          <w:szCs w:val="24"/>
        </w:rPr>
        <w:t>minimise</w:t>
      </w:r>
      <w:r w:rsidRPr="17F38FA1" w:rsidR="18D7A3B8">
        <w:rPr>
          <w:rFonts w:ascii="Aptos" w:hAnsi="Aptos" w:eastAsia="Aptos" w:cs="Aptos" w:asciiTheme="minorAscii" w:hAnsiTheme="minorAscii" w:eastAsiaTheme="minorAscii" w:cstheme="minorAscii"/>
          <w:b w:val="0"/>
          <w:bCs w:val="0"/>
          <w:sz w:val="24"/>
          <w:szCs w:val="24"/>
        </w:rPr>
        <w:t xml:space="preserve"> environmental impact. The foundational legislation is the </w:t>
      </w:r>
      <w:r w:rsidRPr="17F38FA1" w:rsidR="18D7A3B8">
        <w:rPr>
          <w:rFonts w:ascii="Aptos" w:hAnsi="Aptos" w:eastAsia="Aptos" w:cs="Aptos" w:asciiTheme="minorAscii" w:hAnsiTheme="minorAscii" w:eastAsiaTheme="minorAscii" w:cstheme="minorAscii"/>
          <w:b w:val="0"/>
          <w:bCs w:val="0"/>
          <w:i w:val="1"/>
          <w:iCs w:val="1"/>
          <w:sz w:val="24"/>
          <w:szCs w:val="24"/>
        </w:rPr>
        <w:t>Food Safety Act 1990</w:t>
      </w:r>
      <w:r w:rsidRPr="17F38FA1" w:rsidR="18D7A3B8">
        <w:rPr>
          <w:rFonts w:ascii="Aptos" w:hAnsi="Aptos" w:eastAsia="Aptos" w:cs="Aptos" w:asciiTheme="minorAscii" w:hAnsiTheme="minorAscii" w:eastAsiaTheme="minorAscii" w:cstheme="minorAscii"/>
          <w:b w:val="0"/>
          <w:bCs w:val="0"/>
          <w:sz w:val="24"/>
          <w:szCs w:val="24"/>
        </w:rPr>
        <w:t xml:space="preserve">, which requires all food served to be safe, accurately described, and fit for consumption (Food Standards Agency, 2023). This is supported by the </w:t>
      </w:r>
      <w:r w:rsidRPr="17F38FA1" w:rsidR="18D7A3B8">
        <w:rPr>
          <w:rFonts w:ascii="Aptos" w:hAnsi="Aptos" w:eastAsia="Aptos" w:cs="Aptos" w:asciiTheme="minorAscii" w:hAnsiTheme="minorAscii" w:eastAsiaTheme="minorAscii" w:cstheme="minorAscii"/>
          <w:b w:val="0"/>
          <w:bCs w:val="0"/>
          <w:i w:val="1"/>
          <w:iCs w:val="1"/>
          <w:sz w:val="24"/>
          <w:szCs w:val="24"/>
        </w:rPr>
        <w:t>Food Hygiene (England) Regulations 2013</w:t>
      </w:r>
      <w:r w:rsidRPr="17F38FA1" w:rsidR="18D7A3B8">
        <w:rPr>
          <w:rFonts w:ascii="Aptos" w:hAnsi="Aptos" w:eastAsia="Aptos" w:cs="Aptos" w:asciiTheme="minorAscii" w:hAnsiTheme="minorAscii" w:eastAsiaTheme="minorAscii" w:cstheme="minorAscii"/>
          <w:b w:val="0"/>
          <w:bCs w:val="0"/>
          <w:sz w:val="24"/>
          <w:szCs w:val="24"/>
        </w:rPr>
        <w:t xml:space="preserve">, which mandate the implementation of Hazard Analysis and Critical Control Point (HACCP) systems, staff training, and strict hygiene controls to prevent </w:t>
      </w:r>
      <w:r w:rsidRPr="17F38FA1" w:rsidR="18D7A3B8">
        <w:rPr>
          <w:rFonts w:ascii="Aptos" w:hAnsi="Aptos" w:eastAsia="Aptos" w:cs="Aptos" w:asciiTheme="minorAscii" w:hAnsiTheme="minorAscii" w:eastAsiaTheme="minorAscii" w:cstheme="minorAscii"/>
          <w:b w:val="0"/>
          <w:bCs w:val="0"/>
          <w:sz w:val="24"/>
          <w:szCs w:val="24"/>
        </w:rPr>
        <w:t xml:space="preserve">contamination. </w:t>
      </w:r>
      <w:r w:rsidRPr="17F38FA1" w:rsidR="18D7A3B8">
        <w:rPr>
          <w:rFonts w:ascii="Aptos" w:hAnsi="Aptos" w:eastAsia="Aptos" w:cs="Aptos" w:asciiTheme="minorAscii" w:hAnsiTheme="minorAscii" w:eastAsiaTheme="minorAscii" w:cstheme="minorAscii"/>
          <w:b w:val="0"/>
          <w:bCs w:val="0"/>
          <w:sz w:val="24"/>
          <w:szCs w:val="24"/>
        </w:rPr>
        <w:t xml:space="preserve">For a sustainability‑focused restaurant such as </w:t>
      </w:r>
      <w:r w:rsidRPr="17F38FA1" w:rsidR="18D7A3B8">
        <w:rPr>
          <w:rFonts w:ascii="Aptos" w:hAnsi="Aptos" w:eastAsia="Aptos" w:cs="Aptos" w:asciiTheme="minorAscii" w:hAnsiTheme="minorAscii" w:eastAsiaTheme="minorAscii" w:cstheme="minorAscii"/>
          <w:b w:val="0"/>
          <w:bCs w:val="0"/>
          <w:sz w:val="24"/>
          <w:szCs w:val="24"/>
        </w:rPr>
        <w:t>A</w:t>
      </w:r>
      <w:r w:rsidRPr="17F38FA1" w:rsidR="18D7A3B8">
        <w:rPr>
          <w:rFonts w:ascii="Aptos" w:hAnsi="Aptos" w:eastAsia="Aptos" w:cs="Aptos" w:asciiTheme="minorAscii" w:hAnsiTheme="minorAscii" w:eastAsiaTheme="minorAscii" w:cstheme="minorAscii"/>
          <w:b w:val="0"/>
          <w:bCs w:val="0"/>
          <w:sz w:val="24"/>
          <w:szCs w:val="24"/>
        </w:rPr>
        <w:t>pricity</w:t>
      </w:r>
      <w:r w:rsidRPr="17F38FA1" w:rsidR="18D7A3B8">
        <w:rPr>
          <w:rFonts w:ascii="Aptos" w:hAnsi="Aptos" w:eastAsia="Aptos" w:cs="Aptos" w:asciiTheme="minorAscii" w:hAnsiTheme="minorAscii" w:eastAsiaTheme="minorAscii" w:cstheme="minorAscii"/>
          <w:b w:val="0"/>
          <w:bCs w:val="0"/>
          <w:sz w:val="24"/>
          <w:szCs w:val="24"/>
        </w:rPr>
        <w:t>,</w:t>
      </w:r>
      <w:r w:rsidRPr="17F38FA1" w:rsidR="18D7A3B8">
        <w:rPr>
          <w:rFonts w:ascii="Aptos" w:hAnsi="Aptos" w:eastAsia="Aptos" w:cs="Aptos" w:asciiTheme="minorAscii" w:hAnsiTheme="minorAscii" w:eastAsiaTheme="minorAscii" w:cstheme="minorAscii"/>
          <w:b w:val="0"/>
          <w:bCs w:val="0"/>
          <w:sz w:val="24"/>
          <w:szCs w:val="24"/>
        </w:rPr>
        <w:t xml:space="preserve"> adherence to these regulations is essential for </w:t>
      </w:r>
      <w:r w:rsidRPr="17F38FA1" w:rsidR="18D7A3B8">
        <w:rPr>
          <w:rFonts w:ascii="Aptos" w:hAnsi="Aptos" w:eastAsia="Aptos" w:cs="Aptos" w:asciiTheme="minorAscii" w:hAnsiTheme="minorAscii" w:eastAsiaTheme="minorAscii" w:cstheme="minorAscii"/>
          <w:b w:val="0"/>
          <w:bCs w:val="0"/>
          <w:sz w:val="24"/>
          <w:szCs w:val="24"/>
        </w:rPr>
        <w:t>m</w:t>
      </w:r>
      <w:r w:rsidRPr="17F38FA1" w:rsidR="18D7A3B8">
        <w:rPr>
          <w:rFonts w:ascii="Aptos" w:hAnsi="Aptos" w:eastAsia="Aptos" w:cs="Aptos" w:asciiTheme="minorAscii" w:hAnsiTheme="minorAscii" w:eastAsiaTheme="minorAscii" w:cstheme="minorAscii"/>
          <w:b w:val="0"/>
          <w:bCs w:val="0"/>
          <w:sz w:val="24"/>
          <w:szCs w:val="24"/>
        </w:rPr>
        <w:t>aintaining</w:t>
      </w:r>
      <w:r w:rsidRPr="17F38FA1" w:rsidR="18D7A3B8">
        <w:rPr>
          <w:rFonts w:ascii="Aptos" w:hAnsi="Aptos" w:eastAsia="Aptos" w:cs="Aptos" w:asciiTheme="minorAscii" w:hAnsiTheme="minorAscii" w:eastAsiaTheme="minorAscii" w:cstheme="minorAscii"/>
          <w:b w:val="0"/>
          <w:bCs w:val="0"/>
          <w:sz w:val="24"/>
          <w:szCs w:val="24"/>
        </w:rPr>
        <w:t xml:space="preserve"> </w:t>
      </w:r>
      <w:r w:rsidRPr="17F38FA1" w:rsidR="18D7A3B8">
        <w:rPr>
          <w:rFonts w:ascii="Aptos" w:hAnsi="Aptos" w:eastAsia="Aptos" w:cs="Aptos" w:asciiTheme="minorAscii" w:hAnsiTheme="minorAscii" w:eastAsiaTheme="minorAscii" w:cstheme="minorAscii"/>
          <w:b w:val="0"/>
          <w:bCs w:val="0"/>
          <w:sz w:val="24"/>
          <w:szCs w:val="24"/>
        </w:rPr>
        <w:t>operational integrity and consumer trust.</w:t>
      </w:r>
    </w:p>
    <w:p xmlns:wp14="http://schemas.microsoft.com/office/word/2010/wordml" w:rsidP="17F38FA1" wp14:paraId="27F7311D" wp14:textId="28F0D9E5">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18D7A3B8">
        <w:rPr>
          <w:rFonts w:ascii="Aptos" w:hAnsi="Aptos" w:eastAsia="Aptos" w:cs="Aptos" w:asciiTheme="minorAscii" w:hAnsiTheme="minorAscii" w:eastAsiaTheme="minorAscii" w:cstheme="minorAscii"/>
          <w:b w:val="0"/>
          <w:bCs w:val="0"/>
          <w:sz w:val="24"/>
          <w:szCs w:val="24"/>
        </w:rPr>
        <w:t xml:space="preserve">Environmental legislation also plays a significant role in shaping sustainable restaurant operations. </w:t>
      </w:r>
      <w:r w:rsidRPr="17F38FA1" w:rsidR="18D7A3B8">
        <w:rPr>
          <w:rFonts w:ascii="Aptos" w:hAnsi="Aptos" w:eastAsia="Aptos" w:cs="Aptos" w:asciiTheme="minorAscii" w:hAnsiTheme="minorAscii" w:eastAsiaTheme="minorAscii" w:cstheme="minorAscii"/>
          <w:b w:val="0"/>
          <w:bCs w:val="0"/>
          <w:i w:val="1"/>
          <w:iCs w:val="1"/>
          <w:sz w:val="24"/>
          <w:szCs w:val="24"/>
        </w:rPr>
        <w:t>The Environmental Protection Act 1990</w:t>
      </w:r>
      <w:r w:rsidRPr="17F38FA1" w:rsidR="18D7A3B8">
        <w:rPr>
          <w:rFonts w:ascii="Aptos" w:hAnsi="Aptos" w:eastAsia="Aptos" w:cs="Aptos" w:asciiTheme="minorAscii" w:hAnsiTheme="minorAscii" w:eastAsiaTheme="minorAscii" w:cstheme="minorAscii"/>
          <w:b w:val="0"/>
          <w:bCs w:val="0"/>
          <w:sz w:val="24"/>
          <w:szCs w:val="24"/>
        </w:rPr>
        <w:t xml:space="preserve"> outlines businesses’ responsibilities for managing waste safely and preventing environmental harm, placing legal obligations on restaurants to dispose of food waste </w:t>
      </w:r>
      <w:r w:rsidRPr="17F38FA1" w:rsidR="711DD6B6">
        <w:rPr>
          <w:rFonts w:ascii="Aptos" w:hAnsi="Aptos" w:eastAsia="Aptos" w:cs="Aptos" w:asciiTheme="minorAscii" w:hAnsiTheme="minorAscii" w:eastAsiaTheme="minorAscii" w:cstheme="minorAscii"/>
          <w:b w:val="0"/>
          <w:bCs w:val="0"/>
          <w:sz w:val="24"/>
          <w:szCs w:val="24"/>
        </w:rPr>
        <w:t>responsibly.</w:t>
      </w:r>
      <w:r w:rsidRPr="17F38FA1" w:rsidR="18D7A3B8">
        <w:rPr>
          <w:rFonts w:ascii="Aptos" w:hAnsi="Aptos" w:eastAsia="Aptos" w:cs="Aptos" w:asciiTheme="minorAscii" w:hAnsiTheme="minorAscii" w:eastAsiaTheme="minorAscii" w:cstheme="minorAscii"/>
          <w:b w:val="0"/>
          <w:bCs w:val="0"/>
          <w:sz w:val="24"/>
          <w:szCs w:val="24"/>
        </w:rPr>
        <w:t xml:space="preserve"> </w:t>
      </w:r>
      <w:r w:rsidRPr="17F38FA1" w:rsidR="18D7A3B8">
        <w:rPr>
          <w:rFonts w:ascii="Aptos" w:hAnsi="Aptos" w:eastAsia="Aptos" w:cs="Aptos" w:asciiTheme="minorAscii" w:hAnsiTheme="minorAscii" w:eastAsiaTheme="minorAscii" w:cstheme="minorAscii"/>
          <w:b w:val="0"/>
          <w:bCs w:val="0"/>
          <w:sz w:val="24"/>
          <w:szCs w:val="24"/>
        </w:rPr>
        <w:t xml:space="preserve">This is reinforced by the </w:t>
      </w:r>
      <w:r w:rsidRPr="17F38FA1" w:rsidR="18D7A3B8">
        <w:rPr>
          <w:rFonts w:ascii="Aptos" w:hAnsi="Aptos" w:eastAsia="Aptos" w:cs="Aptos" w:asciiTheme="minorAscii" w:hAnsiTheme="minorAscii" w:eastAsiaTheme="minorAscii" w:cstheme="minorAscii"/>
          <w:b w:val="0"/>
          <w:bCs w:val="0"/>
          <w:i w:val="1"/>
          <w:iCs w:val="1"/>
          <w:sz w:val="24"/>
          <w:szCs w:val="24"/>
        </w:rPr>
        <w:t>Waste (England and Wales) Regulations 2011</w:t>
      </w:r>
      <w:r w:rsidRPr="17F38FA1" w:rsidR="18D7A3B8">
        <w:rPr>
          <w:rFonts w:ascii="Aptos" w:hAnsi="Aptos" w:eastAsia="Aptos" w:cs="Aptos" w:asciiTheme="minorAscii" w:hAnsiTheme="minorAscii" w:eastAsiaTheme="minorAscii" w:cstheme="minorAscii"/>
          <w:b w:val="0"/>
          <w:bCs w:val="0"/>
          <w:sz w:val="24"/>
          <w:szCs w:val="24"/>
        </w:rPr>
        <w:t>,</w:t>
      </w:r>
      <w:r w:rsidRPr="17F38FA1" w:rsidR="18D7A3B8">
        <w:rPr>
          <w:rFonts w:ascii="Aptos" w:hAnsi="Aptos" w:eastAsia="Aptos" w:cs="Aptos" w:asciiTheme="minorAscii" w:hAnsiTheme="minorAscii" w:eastAsiaTheme="minorAscii" w:cstheme="minorAscii"/>
          <w:b w:val="0"/>
          <w:bCs w:val="0"/>
          <w:sz w:val="24"/>
          <w:szCs w:val="24"/>
        </w:rPr>
        <w:t xml:space="preserve"> which require businesses to apply the waste hierarchy</w:t>
      </w:r>
      <w:r w:rsidRPr="17F38FA1" w:rsidR="3ABFF154">
        <w:rPr>
          <w:rFonts w:ascii="Aptos" w:hAnsi="Aptos" w:eastAsia="Aptos" w:cs="Aptos" w:asciiTheme="minorAscii" w:hAnsiTheme="minorAscii" w:eastAsiaTheme="minorAscii" w:cstheme="minorAscii"/>
          <w:b w:val="0"/>
          <w:bCs w:val="0"/>
          <w:sz w:val="24"/>
          <w:szCs w:val="24"/>
        </w:rPr>
        <w:t xml:space="preserve"> </w:t>
      </w:r>
      <w:r w:rsidRPr="17F38FA1" w:rsidR="18D7A3B8">
        <w:rPr>
          <w:rFonts w:ascii="Aptos" w:hAnsi="Aptos" w:eastAsia="Aptos" w:cs="Aptos" w:asciiTheme="minorAscii" w:hAnsiTheme="minorAscii" w:eastAsiaTheme="minorAscii" w:cstheme="minorAscii"/>
          <w:b w:val="0"/>
          <w:bCs w:val="0"/>
          <w:sz w:val="24"/>
          <w:szCs w:val="24"/>
        </w:rPr>
        <w:t>reduce</w:t>
      </w:r>
      <w:r w:rsidRPr="17F38FA1" w:rsidR="18D7A3B8">
        <w:rPr>
          <w:rFonts w:ascii="Aptos" w:hAnsi="Aptos" w:eastAsia="Aptos" w:cs="Aptos" w:asciiTheme="minorAscii" w:hAnsiTheme="minorAscii" w:eastAsiaTheme="minorAscii" w:cstheme="minorAscii"/>
          <w:b w:val="0"/>
          <w:bCs w:val="0"/>
          <w:sz w:val="24"/>
          <w:szCs w:val="24"/>
        </w:rPr>
        <w:t>, reuse, recycle</w:t>
      </w:r>
      <w:r w:rsidRPr="17F38FA1" w:rsidR="77669897">
        <w:rPr>
          <w:rFonts w:ascii="Aptos" w:hAnsi="Aptos" w:eastAsia="Aptos" w:cs="Aptos" w:asciiTheme="minorAscii" w:hAnsiTheme="minorAscii" w:eastAsiaTheme="minorAscii" w:cstheme="minorAscii"/>
          <w:b w:val="0"/>
          <w:bCs w:val="0"/>
          <w:sz w:val="24"/>
          <w:szCs w:val="24"/>
        </w:rPr>
        <w:t xml:space="preserve"> </w:t>
      </w:r>
      <w:r w:rsidRPr="17F38FA1" w:rsidR="18D7A3B8">
        <w:rPr>
          <w:rFonts w:ascii="Aptos" w:hAnsi="Aptos" w:eastAsia="Aptos" w:cs="Aptos" w:asciiTheme="minorAscii" w:hAnsiTheme="minorAscii" w:eastAsiaTheme="minorAscii" w:cstheme="minorAscii"/>
          <w:b w:val="0"/>
          <w:bCs w:val="0"/>
          <w:sz w:val="24"/>
          <w:szCs w:val="24"/>
        </w:rPr>
        <w:t xml:space="preserve">aligning closely with sustainable gastronomy principles. These regulations directly support </w:t>
      </w:r>
      <w:r w:rsidRPr="17F38FA1" w:rsidR="18D7A3B8">
        <w:rPr>
          <w:rFonts w:ascii="Aptos" w:hAnsi="Aptos" w:eastAsia="Aptos" w:cs="Aptos" w:asciiTheme="minorAscii" w:hAnsiTheme="minorAscii" w:eastAsiaTheme="minorAscii" w:cstheme="minorAscii"/>
          <w:b w:val="0"/>
          <w:bCs w:val="0"/>
          <w:sz w:val="24"/>
          <w:szCs w:val="24"/>
        </w:rPr>
        <w:t>A</w:t>
      </w:r>
      <w:r w:rsidRPr="17F38FA1" w:rsidR="18D7A3B8">
        <w:rPr>
          <w:rFonts w:ascii="Aptos" w:hAnsi="Aptos" w:eastAsia="Aptos" w:cs="Aptos" w:asciiTheme="minorAscii" w:hAnsiTheme="minorAscii" w:eastAsiaTheme="minorAscii" w:cstheme="minorAscii"/>
          <w:b w:val="0"/>
          <w:bCs w:val="0"/>
          <w:sz w:val="24"/>
          <w:szCs w:val="24"/>
        </w:rPr>
        <w:t>pricity’s</w:t>
      </w:r>
      <w:r w:rsidRPr="17F38FA1" w:rsidR="18D7A3B8">
        <w:rPr>
          <w:rFonts w:ascii="Aptos" w:hAnsi="Aptos" w:eastAsia="Aptos" w:cs="Aptos" w:asciiTheme="minorAscii" w:hAnsiTheme="minorAscii" w:eastAsiaTheme="minorAscii" w:cstheme="minorAscii"/>
          <w:b w:val="0"/>
          <w:bCs w:val="0"/>
          <w:sz w:val="24"/>
          <w:szCs w:val="24"/>
        </w:rPr>
        <w:t xml:space="preserve"> </w:t>
      </w:r>
      <w:r w:rsidRPr="17F38FA1" w:rsidR="18D7A3B8">
        <w:rPr>
          <w:rFonts w:ascii="Aptos" w:hAnsi="Aptos" w:eastAsia="Aptos" w:cs="Aptos" w:asciiTheme="minorAscii" w:hAnsiTheme="minorAscii" w:eastAsiaTheme="minorAscii" w:cstheme="minorAscii"/>
          <w:b w:val="0"/>
          <w:bCs w:val="0"/>
          <w:sz w:val="24"/>
          <w:szCs w:val="24"/>
        </w:rPr>
        <w:t>low‑waste ethos and circular resource practices.</w:t>
      </w:r>
    </w:p>
    <w:p xmlns:wp14="http://schemas.microsoft.com/office/word/2010/wordml" w:rsidP="17F38FA1" wp14:paraId="1BCC1E2A" wp14:textId="6AD3234E">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18D7A3B8">
        <w:rPr>
          <w:rFonts w:ascii="Aptos" w:hAnsi="Aptos" w:eastAsia="Aptos" w:cs="Aptos" w:asciiTheme="minorAscii" w:hAnsiTheme="minorAscii" w:eastAsiaTheme="minorAscii" w:cstheme="minorAscii"/>
          <w:b w:val="0"/>
          <w:bCs w:val="0"/>
          <w:sz w:val="24"/>
          <w:szCs w:val="24"/>
        </w:rPr>
        <w:t xml:space="preserve">Climate‑related legislation is increasingly relevant to hospitality businesses. The </w:t>
      </w:r>
      <w:r w:rsidRPr="17F38FA1" w:rsidR="18D7A3B8">
        <w:rPr>
          <w:rFonts w:ascii="Aptos" w:hAnsi="Aptos" w:eastAsia="Aptos" w:cs="Aptos" w:asciiTheme="minorAscii" w:hAnsiTheme="minorAscii" w:eastAsiaTheme="minorAscii" w:cstheme="minorAscii"/>
          <w:b w:val="0"/>
          <w:bCs w:val="0"/>
          <w:i w:val="1"/>
          <w:iCs w:val="1"/>
          <w:sz w:val="24"/>
          <w:szCs w:val="24"/>
        </w:rPr>
        <w:t>Climate Change Act 2008</w:t>
      </w:r>
      <w:r w:rsidRPr="17F38FA1" w:rsidR="18D7A3B8">
        <w:rPr>
          <w:rFonts w:ascii="Aptos" w:hAnsi="Aptos" w:eastAsia="Aptos" w:cs="Aptos" w:asciiTheme="minorAscii" w:hAnsiTheme="minorAscii" w:eastAsiaTheme="minorAscii" w:cstheme="minorAscii"/>
          <w:b w:val="0"/>
          <w:bCs w:val="0"/>
          <w:sz w:val="24"/>
          <w:szCs w:val="24"/>
        </w:rPr>
        <w:t xml:space="preserve"> commits the UK to legally binding emissions reductions, influencing how restaurants manage energy use, procurement, and carbon reporting (UK Government, 2008). While smaller restaurants like </w:t>
      </w:r>
      <w:r w:rsidRPr="17F38FA1" w:rsidR="18D7A3B8">
        <w:rPr>
          <w:rFonts w:ascii="Aptos" w:hAnsi="Aptos" w:eastAsia="Aptos" w:cs="Aptos" w:asciiTheme="minorAscii" w:hAnsiTheme="minorAscii" w:eastAsiaTheme="minorAscii" w:cstheme="minorAscii"/>
          <w:b w:val="0"/>
          <w:bCs w:val="0"/>
          <w:sz w:val="24"/>
          <w:szCs w:val="24"/>
        </w:rPr>
        <w:t>Apricity</w:t>
      </w:r>
      <w:r w:rsidRPr="17F38FA1" w:rsidR="18D7A3B8">
        <w:rPr>
          <w:rFonts w:ascii="Aptos" w:hAnsi="Aptos" w:eastAsia="Aptos" w:cs="Aptos" w:asciiTheme="minorAscii" w:hAnsiTheme="minorAscii" w:eastAsiaTheme="minorAscii" w:cstheme="minorAscii"/>
          <w:b w:val="0"/>
          <w:bCs w:val="0"/>
          <w:sz w:val="24"/>
          <w:szCs w:val="24"/>
        </w:rPr>
        <w:t xml:space="preserve"> </w:t>
      </w:r>
      <w:r w:rsidRPr="17F38FA1" w:rsidR="18D7A3B8">
        <w:rPr>
          <w:rFonts w:ascii="Aptos" w:hAnsi="Aptos" w:eastAsia="Aptos" w:cs="Aptos" w:asciiTheme="minorAscii" w:hAnsiTheme="minorAscii" w:eastAsiaTheme="minorAscii" w:cstheme="minorAscii"/>
          <w:b w:val="0"/>
          <w:bCs w:val="0"/>
          <w:sz w:val="24"/>
          <w:szCs w:val="24"/>
        </w:rPr>
        <w:t>are not required to</w:t>
      </w:r>
      <w:r w:rsidRPr="17F38FA1" w:rsidR="18D7A3B8">
        <w:rPr>
          <w:rFonts w:ascii="Aptos" w:hAnsi="Aptos" w:eastAsia="Aptos" w:cs="Aptos" w:asciiTheme="minorAscii" w:hAnsiTheme="minorAscii" w:eastAsiaTheme="minorAscii" w:cstheme="minorAscii"/>
          <w:b w:val="0"/>
          <w:bCs w:val="0"/>
          <w:sz w:val="24"/>
          <w:szCs w:val="24"/>
        </w:rPr>
        <w:t xml:space="preserve"> </w:t>
      </w:r>
      <w:r w:rsidRPr="17F38FA1" w:rsidR="18D7A3B8">
        <w:rPr>
          <w:rFonts w:ascii="Aptos" w:hAnsi="Aptos" w:eastAsia="Aptos" w:cs="Aptos" w:asciiTheme="minorAscii" w:hAnsiTheme="minorAscii" w:eastAsiaTheme="minorAscii" w:cstheme="minorAscii"/>
          <w:b w:val="0"/>
          <w:bCs w:val="0"/>
          <w:sz w:val="24"/>
          <w:szCs w:val="24"/>
        </w:rPr>
        <w:t>comply with</w:t>
      </w:r>
      <w:r w:rsidRPr="17F38FA1" w:rsidR="18D7A3B8">
        <w:rPr>
          <w:rFonts w:ascii="Aptos" w:hAnsi="Aptos" w:eastAsia="Aptos" w:cs="Aptos" w:asciiTheme="minorAscii" w:hAnsiTheme="minorAscii" w:eastAsiaTheme="minorAscii" w:cstheme="minorAscii"/>
          <w:b w:val="0"/>
          <w:bCs w:val="0"/>
          <w:sz w:val="24"/>
          <w:szCs w:val="24"/>
        </w:rPr>
        <w:t xml:space="preserve"> the </w:t>
      </w:r>
      <w:r w:rsidRPr="17F38FA1" w:rsidR="18D7A3B8">
        <w:rPr>
          <w:rFonts w:ascii="Aptos" w:hAnsi="Aptos" w:eastAsia="Aptos" w:cs="Aptos" w:asciiTheme="minorAscii" w:hAnsiTheme="minorAscii" w:eastAsiaTheme="minorAscii" w:cstheme="minorAscii"/>
          <w:b w:val="0"/>
          <w:bCs w:val="0"/>
          <w:i w:val="1"/>
          <w:iCs w:val="1"/>
          <w:sz w:val="24"/>
          <w:szCs w:val="24"/>
        </w:rPr>
        <w:t>Streamlined Energy and Carbon Reporting (SECR) framework</w:t>
      </w:r>
      <w:r w:rsidRPr="17F38FA1" w:rsidR="18D7A3B8">
        <w:rPr>
          <w:rFonts w:ascii="Aptos" w:hAnsi="Aptos" w:eastAsia="Aptos" w:cs="Aptos" w:asciiTheme="minorAscii" w:hAnsiTheme="minorAscii" w:eastAsiaTheme="minorAscii" w:cstheme="minorAscii"/>
          <w:b w:val="0"/>
          <w:bCs w:val="0"/>
          <w:i w:val="1"/>
          <w:iCs w:val="1"/>
          <w:sz w:val="24"/>
          <w:szCs w:val="24"/>
        </w:rPr>
        <w:t>,</w:t>
      </w:r>
      <w:r w:rsidRPr="17F38FA1" w:rsidR="18D7A3B8">
        <w:rPr>
          <w:rFonts w:ascii="Aptos" w:hAnsi="Aptos" w:eastAsia="Aptos" w:cs="Aptos" w:asciiTheme="minorAscii" w:hAnsiTheme="minorAscii" w:eastAsiaTheme="minorAscii" w:cstheme="minorAscii"/>
          <w:b w:val="0"/>
          <w:bCs w:val="0"/>
          <w:sz w:val="24"/>
          <w:szCs w:val="24"/>
        </w:rPr>
        <w:t xml:space="preserve"> many voluntarily adopt carbon‑tracking practices to </w:t>
      </w:r>
      <w:r w:rsidRPr="17F38FA1" w:rsidR="18D7A3B8">
        <w:rPr>
          <w:rFonts w:ascii="Aptos" w:hAnsi="Aptos" w:eastAsia="Aptos" w:cs="Aptos" w:asciiTheme="minorAscii" w:hAnsiTheme="minorAscii" w:eastAsiaTheme="minorAscii" w:cstheme="minorAscii"/>
          <w:b w:val="0"/>
          <w:bCs w:val="0"/>
          <w:sz w:val="24"/>
          <w:szCs w:val="24"/>
        </w:rPr>
        <w:t>demonstrate</w:t>
      </w:r>
      <w:r w:rsidRPr="17F38FA1" w:rsidR="18D7A3B8">
        <w:rPr>
          <w:rFonts w:ascii="Aptos" w:hAnsi="Aptos" w:eastAsia="Aptos" w:cs="Aptos" w:asciiTheme="minorAscii" w:hAnsiTheme="minorAscii" w:eastAsiaTheme="minorAscii" w:cstheme="minorAscii"/>
          <w:b w:val="0"/>
          <w:bCs w:val="0"/>
          <w:sz w:val="24"/>
          <w:szCs w:val="24"/>
        </w:rPr>
        <w:t xml:space="preserve"> sustainability leadership. Ethical sourcing is shaped by the </w:t>
      </w:r>
      <w:r w:rsidRPr="17F38FA1" w:rsidR="18D7A3B8">
        <w:rPr>
          <w:rFonts w:ascii="Aptos" w:hAnsi="Aptos" w:eastAsia="Aptos" w:cs="Aptos" w:asciiTheme="minorAscii" w:hAnsiTheme="minorAscii" w:eastAsiaTheme="minorAscii" w:cstheme="minorAscii"/>
          <w:b w:val="0"/>
          <w:bCs w:val="0"/>
          <w:i w:val="1"/>
          <w:iCs w:val="1"/>
          <w:sz w:val="24"/>
          <w:szCs w:val="24"/>
        </w:rPr>
        <w:t>Modern Slavery Act 2015</w:t>
      </w:r>
      <w:r w:rsidRPr="17F38FA1" w:rsidR="18D7A3B8">
        <w:rPr>
          <w:rFonts w:ascii="Aptos" w:hAnsi="Aptos" w:eastAsia="Aptos" w:cs="Aptos" w:asciiTheme="minorAscii" w:hAnsiTheme="minorAscii" w:eastAsiaTheme="minorAscii" w:cstheme="minorAscii"/>
          <w:b w:val="0"/>
          <w:bCs w:val="0"/>
          <w:sz w:val="24"/>
          <w:szCs w:val="24"/>
        </w:rPr>
        <w:t xml:space="preserve">, which requires transparency in supply chains and obliges businesses to ensure suppliers uphold fair </w:t>
      </w:r>
      <w:r w:rsidRPr="17F38FA1" w:rsidR="18D7A3B8">
        <w:rPr>
          <w:rFonts w:ascii="Aptos" w:hAnsi="Aptos" w:eastAsia="Aptos" w:cs="Aptos" w:asciiTheme="minorAscii" w:hAnsiTheme="minorAscii" w:eastAsiaTheme="minorAscii" w:cstheme="minorAscii"/>
          <w:b w:val="0"/>
          <w:bCs w:val="0"/>
          <w:sz w:val="24"/>
          <w:szCs w:val="24"/>
        </w:rPr>
        <w:t>labour</w:t>
      </w:r>
      <w:r w:rsidRPr="17F38FA1" w:rsidR="18D7A3B8">
        <w:rPr>
          <w:rFonts w:ascii="Aptos" w:hAnsi="Aptos" w:eastAsia="Aptos" w:cs="Aptos" w:asciiTheme="minorAscii" w:hAnsiTheme="minorAscii" w:eastAsiaTheme="minorAscii" w:cstheme="minorAscii"/>
          <w:b w:val="0"/>
          <w:bCs w:val="0"/>
          <w:sz w:val="24"/>
          <w:szCs w:val="24"/>
        </w:rPr>
        <w:t xml:space="preserve"> </w:t>
      </w:r>
      <w:r w:rsidRPr="17F38FA1" w:rsidR="18D7A3B8">
        <w:rPr>
          <w:rFonts w:ascii="Aptos" w:hAnsi="Aptos" w:eastAsia="Aptos" w:cs="Aptos" w:asciiTheme="minorAscii" w:hAnsiTheme="minorAscii" w:eastAsiaTheme="minorAscii" w:cstheme="minorAscii"/>
          <w:b w:val="0"/>
          <w:bCs w:val="0"/>
          <w:sz w:val="24"/>
          <w:szCs w:val="24"/>
        </w:rPr>
        <w:t xml:space="preserve">standards. </w:t>
      </w:r>
      <w:r w:rsidRPr="17F38FA1" w:rsidR="18D7A3B8">
        <w:rPr>
          <w:rFonts w:ascii="Aptos" w:hAnsi="Aptos" w:eastAsia="Aptos" w:cs="Aptos" w:asciiTheme="minorAscii" w:hAnsiTheme="minorAscii" w:eastAsiaTheme="minorAscii" w:cstheme="minorAscii"/>
          <w:b w:val="0"/>
          <w:bCs w:val="0"/>
          <w:sz w:val="24"/>
          <w:szCs w:val="24"/>
        </w:rPr>
        <w:t xml:space="preserve">This is particularly important for restaurants that </w:t>
      </w:r>
      <w:r w:rsidRPr="17F38FA1" w:rsidR="18D7A3B8">
        <w:rPr>
          <w:rFonts w:ascii="Aptos" w:hAnsi="Aptos" w:eastAsia="Aptos" w:cs="Aptos" w:asciiTheme="minorAscii" w:hAnsiTheme="minorAscii" w:eastAsiaTheme="minorAscii" w:cstheme="minorAscii"/>
          <w:b w:val="0"/>
          <w:bCs w:val="0"/>
          <w:sz w:val="24"/>
          <w:szCs w:val="24"/>
        </w:rPr>
        <w:t>prioritise</w:t>
      </w:r>
      <w:r w:rsidRPr="17F38FA1" w:rsidR="18D7A3B8">
        <w:rPr>
          <w:rFonts w:ascii="Aptos" w:hAnsi="Aptos" w:eastAsia="Aptos" w:cs="Aptos" w:asciiTheme="minorAscii" w:hAnsiTheme="minorAscii" w:eastAsiaTheme="minorAscii" w:cstheme="minorAscii"/>
          <w:b w:val="0"/>
          <w:bCs w:val="0"/>
          <w:sz w:val="24"/>
          <w:szCs w:val="24"/>
        </w:rPr>
        <w:t xml:space="preserve"> local, regenerative, and ethically produced ingredients.</w:t>
      </w:r>
    </w:p>
    <w:p xmlns:wp14="http://schemas.microsoft.com/office/word/2010/wordml" w:rsidP="17F38FA1" wp14:paraId="3CD1FF2E" wp14:textId="06C7F9B2">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18D7A3B8">
        <w:rPr>
          <w:rFonts w:ascii="Aptos" w:hAnsi="Aptos" w:eastAsia="Aptos" w:cs="Aptos" w:asciiTheme="minorAscii" w:hAnsiTheme="minorAscii" w:eastAsiaTheme="minorAscii" w:cstheme="minorAscii"/>
          <w:b w:val="0"/>
          <w:bCs w:val="0"/>
          <w:sz w:val="24"/>
          <w:szCs w:val="24"/>
        </w:rPr>
        <w:t xml:space="preserve">Employment legislation further governs restaurant operations. </w:t>
      </w:r>
      <w:r w:rsidRPr="17F38FA1" w:rsidR="18D7A3B8">
        <w:rPr>
          <w:rFonts w:ascii="Aptos" w:hAnsi="Aptos" w:eastAsia="Aptos" w:cs="Aptos" w:asciiTheme="minorAscii" w:hAnsiTheme="minorAscii" w:eastAsiaTheme="minorAscii" w:cstheme="minorAscii"/>
          <w:b w:val="0"/>
          <w:bCs w:val="0"/>
          <w:i w:val="1"/>
          <w:iCs w:val="1"/>
          <w:sz w:val="24"/>
          <w:szCs w:val="24"/>
        </w:rPr>
        <w:t xml:space="preserve">The </w:t>
      </w:r>
      <w:r w:rsidRPr="17F38FA1" w:rsidR="18D7A3B8">
        <w:rPr>
          <w:rFonts w:ascii="Aptos" w:hAnsi="Aptos" w:eastAsia="Aptos" w:cs="Aptos" w:asciiTheme="minorAscii" w:hAnsiTheme="minorAscii" w:eastAsiaTheme="minorAscii" w:cstheme="minorAscii"/>
          <w:b w:val="0"/>
          <w:bCs w:val="0"/>
          <w:i w:val="1"/>
          <w:iCs w:val="1"/>
          <w:sz w:val="24"/>
          <w:szCs w:val="24"/>
        </w:rPr>
        <w:t>Employment Rights Act 1996</w:t>
      </w:r>
      <w:r w:rsidRPr="17F38FA1" w:rsidR="18D7A3B8">
        <w:rPr>
          <w:rFonts w:ascii="Aptos" w:hAnsi="Aptos" w:eastAsia="Aptos" w:cs="Aptos" w:asciiTheme="minorAscii" w:hAnsiTheme="minorAscii" w:eastAsiaTheme="minorAscii" w:cstheme="minorAscii"/>
          <w:b w:val="0"/>
          <w:bCs w:val="0"/>
          <w:i w:val="1"/>
          <w:iCs w:val="1"/>
          <w:sz w:val="24"/>
          <w:szCs w:val="24"/>
        </w:rPr>
        <w:t xml:space="preserve"> </w:t>
      </w:r>
      <w:r w:rsidRPr="17F38FA1" w:rsidR="18D7A3B8">
        <w:rPr>
          <w:rFonts w:ascii="Aptos" w:hAnsi="Aptos" w:eastAsia="Aptos" w:cs="Aptos" w:asciiTheme="minorAscii" w:hAnsiTheme="minorAscii" w:eastAsiaTheme="minorAscii" w:cstheme="minorAscii"/>
          <w:b w:val="0"/>
          <w:bCs w:val="0"/>
          <w:sz w:val="24"/>
          <w:szCs w:val="24"/>
        </w:rPr>
        <w:t xml:space="preserve">ensures fair treatment of staff, while the </w:t>
      </w:r>
      <w:r w:rsidRPr="17F38FA1" w:rsidR="18D7A3B8">
        <w:rPr>
          <w:rFonts w:ascii="Aptos" w:hAnsi="Aptos" w:eastAsia="Aptos" w:cs="Aptos" w:asciiTheme="minorAscii" w:hAnsiTheme="minorAscii" w:eastAsiaTheme="minorAscii" w:cstheme="minorAscii"/>
          <w:b w:val="0"/>
          <w:bCs w:val="0"/>
          <w:i w:val="1"/>
          <w:iCs w:val="1"/>
          <w:sz w:val="24"/>
          <w:szCs w:val="24"/>
        </w:rPr>
        <w:t>National Minimum Wage Act 1998</w:t>
      </w:r>
      <w:r w:rsidRPr="17F38FA1" w:rsidR="18D7A3B8">
        <w:rPr>
          <w:rFonts w:ascii="Aptos" w:hAnsi="Aptos" w:eastAsia="Aptos" w:cs="Aptos" w:asciiTheme="minorAscii" w:hAnsiTheme="minorAscii" w:eastAsiaTheme="minorAscii" w:cstheme="minorAscii"/>
          <w:b w:val="0"/>
          <w:bCs w:val="0"/>
          <w:sz w:val="24"/>
          <w:szCs w:val="24"/>
        </w:rPr>
        <w:t xml:space="preserve"> mandates legal pay standards</w:t>
      </w:r>
      <w:r w:rsidRPr="17F38FA1" w:rsidR="18D7A3B8">
        <w:rPr>
          <w:rFonts w:ascii="Aptos" w:hAnsi="Aptos" w:eastAsia="Aptos" w:cs="Aptos" w:asciiTheme="minorAscii" w:hAnsiTheme="minorAscii" w:eastAsiaTheme="minorAscii" w:cstheme="minorAscii"/>
          <w:b w:val="0"/>
          <w:bCs w:val="0"/>
          <w:sz w:val="24"/>
          <w:szCs w:val="24"/>
        </w:rPr>
        <w:t xml:space="preserve">. Additionally, the </w:t>
      </w:r>
      <w:r w:rsidRPr="17F38FA1" w:rsidR="18D7A3B8">
        <w:rPr>
          <w:rFonts w:ascii="Aptos" w:hAnsi="Aptos" w:eastAsia="Aptos" w:cs="Aptos" w:asciiTheme="minorAscii" w:hAnsiTheme="minorAscii" w:eastAsiaTheme="minorAscii" w:cstheme="minorAscii"/>
          <w:b w:val="0"/>
          <w:bCs w:val="0"/>
          <w:i w:val="1"/>
          <w:iCs w:val="1"/>
          <w:sz w:val="24"/>
          <w:szCs w:val="24"/>
        </w:rPr>
        <w:t>Health and Safety at Work Act 1974</w:t>
      </w:r>
      <w:r w:rsidRPr="17F38FA1" w:rsidR="18D7A3B8">
        <w:rPr>
          <w:rFonts w:ascii="Aptos" w:hAnsi="Aptos" w:eastAsia="Aptos" w:cs="Aptos" w:asciiTheme="minorAscii" w:hAnsiTheme="minorAscii" w:eastAsiaTheme="minorAscii" w:cstheme="minorAscii"/>
          <w:b w:val="0"/>
          <w:bCs w:val="0"/>
          <w:sz w:val="24"/>
          <w:szCs w:val="24"/>
        </w:rPr>
        <w:t xml:space="preserve"> requires employers to provide safe working environments, </w:t>
      </w:r>
      <w:r w:rsidRPr="17F38FA1" w:rsidR="18D7A3B8">
        <w:rPr>
          <w:rFonts w:ascii="Aptos" w:hAnsi="Aptos" w:eastAsia="Aptos" w:cs="Aptos" w:asciiTheme="minorAscii" w:hAnsiTheme="minorAscii" w:eastAsiaTheme="minorAscii" w:cstheme="minorAscii"/>
          <w:b w:val="0"/>
          <w:bCs w:val="0"/>
          <w:sz w:val="24"/>
          <w:szCs w:val="24"/>
        </w:rPr>
        <w:t>appropriate training</w:t>
      </w:r>
      <w:r w:rsidRPr="17F38FA1" w:rsidR="18D7A3B8">
        <w:rPr>
          <w:rFonts w:ascii="Aptos" w:hAnsi="Aptos" w:eastAsia="Aptos" w:cs="Aptos" w:asciiTheme="minorAscii" w:hAnsiTheme="minorAscii" w:eastAsiaTheme="minorAscii" w:cstheme="minorAscii"/>
          <w:b w:val="0"/>
          <w:bCs w:val="0"/>
          <w:sz w:val="24"/>
          <w:szCs w:val="24"/>
        </w:rPr>
        <w:t xml:space="preserve">, and risk assessments. For </w:t>
      </w:r>
      <w:r w:rsidRPr="17F38FA1" w:rsidR="18D7A3B8">
        <w:rPr>
          <w:rFonts w:ascii="Aptos" w:hAnsi="Aptos" w:eastAsia="Aptos" w:cs="Aptos" w:asciiTheme="minorAscii" w:hAnsiTheme="minorAscii" w:eastAsiaTheme="minorAscii" w:cstheme="minorAscii"/>
          <w:b w:val="0"/>
          <w:bCs w:val="0"/>
          <w:sz w:val="24"/>
          <w:szCs w:val="24"/>
        </w:rPr>
        <w:t>Apricity</w:t>
      </w:r>
      <w:r w:rsidRPr="17F38FA1" w:rsidR="18D7A3B8">
        <w:rPr>
          <w:rFonts w:ascii="Aptos" w:hAnsi="Aptos" w:eastAsia="Aptos" w:cs="Aptos" w:asciiTheme="minorAscii" w:hAnsiTheme="minorAscii" w:eastAsiaTheme="minorAscii" w:cstheme="minorAscii"/>
          <w:b w:val="0"/>
          <w:bCs w:val="0"/>
          <w:sz w:val="24"/>
          <w:szCs w:val="24"/>
        </w:rPr>
        <w:t>, compliance with these laws s</w:t>
      </w:r>
      <w:r w:rsidRPr="17F38FA1" w:rsidR="18D7A3B8">
        <w:rPr>
          <w:rFonts w:ascii="Aptos" w:hAnsi="Aptos" w:eastAsia="Aptos" w:cs="Aptos" w:asciiTheme="minorAscii" w:hAnsiTheme="minorAscii" w:eastAsiaTheme="minorAscii" w:cstheme="minorAscii"/>
          <w:b w:val="0"/>
          <w:bCs w:val="0"/>
          <w:sz w:val="24"/>
          <w:szCs w:val="24"/>
        </w:rPr>
        <w:t xml:space="preserve">upports </w:t>
      </w:r>
      <w:r w:rsidRPr="17F38FA1" w:rsidR="18D7A3B8">
        <w:rPr>
          <w:rFonts w:ascii="Aptos" w:hAnsi="Aptos" w:eastAsia="Aptos" w:cs="Aptos" w:asciiTheme="minorAscii" w:hAnsiTheme="minorAscii" w:eastAsiaTheme="minorAscii" w:cstheme="minorAscii"/>
          <w:b w:val="0"/>
          <w:bCs w:val="0"/>
          <w:sz w:val="24"/>
          <w:szCs w:val="24"/>
        </w:rPr>
        <w:t>its commitment to social sustainability and ethical employment practices.</w:t>
      </w:r>
    </w:p>
    <w:p xmlns:wp14="http://schemas.microsoft.com/office/word/2010/wordml" w:rsidP="17F38FA1" wp14:paraId="66588359" wp14:textId="0B6EA26D">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r w:rsidRPr="17F38FA1" w:rsidR="18D7A3B8">
        <w:rPr>
          <w:rFonts w:ascii="Aptos" w:hAnsi="Aptos" w:eastAsia="Aptos" w:cs="Aptos" w:asciiTheme="minorAscii" w:hAnsiTheme="minorAscii" w:eastAsiaTheme="minorAscii" w:cstheme="minorAscii"/>
          <w:b w:val="0"/>
          <w:bCs w:val="0"/>
          <w:sz w:val="24"/>
          <w:szCs w:val="24"/>
        </w:rPr>
        <w:t xml:space="preserve">Collectively, these regulations form a robust legal framework that governs food safety, environmental responsibility, ethical sourcing, and staff welfare. For a sustainability‑driven restaurant such as </w:t>
      </w:r>
      <w:r w:rsidRPr="17F38FA1" w:rsidR="18D7A3B8">
        <w:rPr>
          <w:rFonts w:ascii="Aptos" w:hAnsi="Aptos" w:eastAsia="Aptos" w:cs="Aptos" w:asciiTheme="minorAscii" w:hAnsiTheme="minorAscii" w:eastAsiaTheme="minorAscii" w:cstheme="minorAscii"/>
          <w:b w:val="0"/>
          <w:bCs w:val="0"/>
          <w:sz w:val="24"/>
          <w:szCs w:val="24"/>
        </w:rPr>
        <w:t>Apricity</w:t>
      </w:r>
      <w:r w:rsidRPr="17F38FA1" w:rsidR="18D7A3B8">
        <w:rPr>
          <w:rFonts w:ascii="Aptos" w:hAnsi="Aptos" w:eastAsia="Aptos" w:cs="Aptos" w:asciiTheme="minorAscii" w:hAnsiTheme="minorAscii" w:eastAsiaTheme="minorAscii" w:cstheme="minorAscii"/>
          <w:b w:val="0"/>
          <w:bCs w:val="0"/>
          <w:sz w:val="24"/>
          <w:szCs w:val="24"/>
        </w:rPr>
        <w:t xml:space="preserve">, compliance is not only a legal obligation but also a strategic opportunity to reinforce its sustainability credentials and </w:t>
      </w:r>
      <w:r w:rsidRPr="17F38FA1" w:rsidR="18D7A3B8">
        <w:rPr>
          <w:rFonts w:ascii="Aptos" w:hAnsi="Aptos" w:eastAsia="Aptos" w:cs="Aptos" w:asciiTheme="minorAscii" w:hAnsiTheme="minorAscii" w:eastAsiaTheme="minorAscii" w:cstheme="minorAscii"/>
          <w:b w:val="0"/>
          <w:bCs w:val="0"/>
          <w:sz w:val="24"/>
          <w:szCs w:val="24"/>
        </w:rPr>
        <w:t>demonstrate</w:t>
      </w:r>
      <w:r w:rsidRPr="17F38FA1" w:rsidR="18D7A3B8">
        <w:rPr>
          <w:rFonts w:ascii="Aptos" w:hAnsi="Aptos" w:eastAsia="Aptos" w:cs="Aptos" w:asciiTheme="minorAscii" w:hAnsiTheme="minorAscii" w:eastAsiaTheme="minorAscii" w:cstheme="minorAscii"/>
          <w:b w:val="0"/>
          <w:bCs w:val="0"/>
          <w:sz w:val="24"/>
          <w:szCs w:val="24"/>
        </w:rPr>
        <w:t xml:space="preserve"> leadership within the sector.</w:t>
      </w:r>
    </w:p>
    <w:p xmlns:wp14="http://schemas.microsoft.com/office/word/2010/wordml" w:rsidP="17F38FA1" wp14:paraId="354FAED7" wp14:textId="1A83ACBA">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p>
    <w:p xmlns:wp14="http://schemas.microsoft.com/office/word/2010/wordml" w:rsidP="17F38FA1" wp14:paraId="1DC07AB2" wp14:textId="7E8DA18E">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p>
    <w:p xmlns:wp14="http://schemas.microsoft.com/office/word/2010/wordml" w:rsidP="17F38FA1" wp14:paraId="623529E5" wp14:textId="6978C6AF">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p>
    <w:p xmlns:wp14="http://schemas.microsoft.com/office/word/2010/wordml" w:rsidP="17F38FA1" wp14:paraId="484F0351" wp14:textId="15830FCE">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p>
    <w:p xmlns:wp14="http://schemas.microsoft.com/office/word/2010/wordml" w:rsidP="17F38FA1" wp14:paraId="0742C151" wp14:textId="0246259B">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p>
    <w:p xmlns:wp14="http://schemas.microsoft.com/office/word/2010/wordml" w:rsidP="17F38FA1" wp14:paraId="57F69A85" wp14:textId="499FBD46">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p>
    <w:p xmlns:wp14="http://schemas.microsoft.com/office/word/2010/wordml" w:rsidP="17F38FA1" wp14:paraId="75808094" wp14:textId="41EE3D2B">
      <w:pPr>
        <w:pStyle w:val="Heading1"/>
        <w:rPr>
          <w:rFonts w:ascii="Aptos" w:hAnsi="Aptos" w:eastAsia="Aptos" w:cs="Aptos"/>
          <w:b w:val="1"/>
          <w:bCs w:val="1"/>
          <w:noProof w:val="0"/>
          <w:color w:val="auto"/>
          <w:sz w:val="20"/>
          <w:szCs w:val="20"/>
          <w:lang w:val="en-GB"/>
        </w:rPr>
      </w:pPr>
      <w:bookmarkStart w:name="_Toc165395810" w:id="1958546882"/>
      <w:bookmarkStart w:name="_Toc1243997692" w:id="1534054823"/>
      <w:r w:rsidRPr="17F38FA1" w:rsidR="653B1D95">
        <w:rPr>
          <w:b w:val="1"/>
          <w:bCs w:val="1"/>
          <w:noProof w:val="0"/>
          <w:color w:val="auto"/>
          <w:sz w:val="32"/>
          <w:szCs w:val="32"/>
          <w:lang w:val="en-GB"/>
        </w:rPr>
        <w:t xml:space="preserve">Examining the Circular Economy and Its Relevance to </w:t>
      </w:r>
      <w:r w:rsidRPr="17F38FA1" w:rsidR="653B1D95">
        <w:rPr>
          <w:b w:val="1"/>
          <w:bCs w:val="1"/>
          <w:noProof w:val="0"/>
          <w:color w:val="auto"/>
          <w:sz w:val="32"/>
          <w:szCs w:val="32"/>
          <w:lang w:val="en-GB"/>
        </w:rPr>
        <w:t>Apricity</w:t>
      </w:r>
      <w:bookmarkEnd w:id="1958546882"/>
      <w:bookmarkEnd w:id="1534054823"/>
    </w:p>
    <w:p xmlns:wp14="http://schemas.microsoft.com/office/word/2010/wordml" w:rsidP="17F38FA1" wp14:paraId="69E5CAB4" wp14:textId="4BF47C39">
      <w:pPr>
        <w:spacing w:before="240" w:beforeAutospacing="off" w:after="240" w:afterAutospacing="off" w:line="360" w:lineRule="auto"/>
        <w:ind/>
        <w:jc w:val="both"/>
        <w:rPr>
          <w:rFonts w:ascii="Aptos" w:hAnsi="Aptos" w:eastAsia="Aptos" w:cs="Aptos" w:asciiTheme="minorAscii" w:hAnsiTheme="minorAscii" w:eastAsiaTheme="minorAscii" w:cstheme="minorAscii"/>
          <w:b w:val="0"/>
          <w:bCs w:val="0"/>
          <w:sz w:val="24"/>
          <w:szCs w:val="24"/>
        </w:rPr>
      </w:pPr>
    </w:p>
    <w:p xmlns:wp14="http://schemas.microsoft.com/office/word/2010/wordml" w:rsidP="17F38FA1" wp14:paraId="71CBA428" wp14:textId="2E38F895">
      <w:pPr>
        <w:spacing w:before="240" w:beforeAutospacing="off" w:after="240" w:afterAutospacing="off" w:line="360" w:lineRule="auto"/>
        <w:ind/>
        <w:jc w:val="both"/>
        <w:rPr>
          <w:rFonts w:ascii="Aptos" w:hAnsi="Aptos" w:eastAsia="Aptos" w:cs="Aptos" w:asciiTheme="minorAscii" w:hAnsiTheme="minorAscii" w:eastAsiaTheme="minorAscii" w:cstheme="minorAscii"/>
          <w:noProof w:val="0"/>
          <w:sz w:val="24"/>
          <w:szCs w:val="24"/>
          <w:lang w:val="en-GB"/>
        </w:rPr>
      </w:pPr>
      <w:r w:rsidRPr="17F38FA1" w:rsidR="4F487C5B">
        <w:rPr>
          <w:rFonts w:ascii="Aptos" w:hAnsi="Aptos" w:eastAsia="Aptos" w:cs="Aptos" w:asciiTheme="minorAscii" w:hAnsiTheme="minorAscii" w:eastAsiaTheme="minorAscii" w:cstheme="minorAscii"/>
          <w:noProof w:val="0"/>
          <w:sz w:val="24"/>
          <w:szCs w:val="24"/>
          <w:lang w:val="en-GB"/>
        </w:rPr>
        <w:t xml:space="preserve">The circular economy is an economic model designed to minimise waste, regenerate natural systems, and keep resources in continuous use through closed‑loop cycles of production and consumption. Unlike the traditional linear model of </w:t>
      </w:r>
      <w:r w:rsidRPr="17F38FA1" w:rsidR="4F487C5B">
        <w:rPr>
          <w:rFonts w:ascii="Aptos" w:hAnsi="Aptos" w:eastAsia="Aptos" w:cs="Aptos" w:asciiTheme="minorAscii" w:hAnsiTheme="minorAscii" w:eastAsiaTheme="minorAscii" w:cstheme="minorAscii"/>
          <w:i w:val="1"/>
          <w:iCs w:val="1"/>
          <w:noProof w:val="0"/>
          <w:sz w:val="24"/>
          <w:szCs w:val="24"/>
          <w:lang w:val="en-GB"/>
        </w:rPr>
        <w:t>take–make–dispose</w:t>
      </w:r>
      <w:r w:rsidRPr="17F38FA1" w:rsidR="4F487C5B">
        <w:rPr>
          <w:rFonts w:ascii="Aptos" w:hAnsi="Aptos" w:eastAsia="Aptos" w:cs="Aptos" w:asciiTheme="minorAscii" w:hAnsiTheme="minorAscii" w:eastAsiaTheme="minorAscii" w:cstheme="minorAscii"/>
          <w:noProof w:val="0"/>
          <w:sz w:val="24"/>
          <w:szCs w:val="24"/>
          <w:lang w:val="en-GB"/>
        </w:rPr>
        <w:t>, the circular economy emphasises designing out waste, extending product life, and regenerating ecosystems (</w:t>
      </w:r>
      <w:r w:rsidRPr="17F38FA1" w:rsidR="4F487C5B">
        <w:rPr>
          <w:rFonts w:ascii="Aptos" w:hAnsi="Aptos" w:eastAsia="Aptos" w:cs="Aptos" w:asciiTheme="minorAscii" w:hAnsiTheme="minorAscii" w:eastAsiaTheme="minorAscii" w:cstheme="minorAscii"/>
          <w:noProof w:val="0"/>
          <w:sz w:val="24"/>
          <w:szCs w:val="24"/>
          <w:lang w:val="en-GB"/>
        </w:rPr>
        <w:t>Geissdoerfer</w:t>
      </w:r>
      <w:r w:rsidRPr="17F38FA1" w:rsidR="4F487C5B">
        <w:rPr>
          <w:rFonts w:ascii="Aptos" w:hAnsi="Aptos" w:eastAsia="Aptos" w:cs="Aptos" w:asciiTheme="minorAscii" w:hAnsiTheme="minorAscii" w:eastAsiaTheme="minorAscii" w:cstheme="minorAscii"/>
          <w:noProof w:val="0"/>
          <w:sz w:val="24"/>
          <w:szCs w:val="24"/>
          <w:lang w:val="en-GB"/>
        </w:rPr>
        <w:t xml:space="preserve"> et al., 2017). Within the food sector, this approach involves practices such as valorising food by‑products, sourcing from regenerative agriculture, reducing energy consumption, and creating systems where materials circulate rather than being discarded (Murray et al., 2017). The circular economy is increasingly recognised as essential for transforming hospitality operations, as restaurants are significant contributors to food waste, carbon emissions, and resource depletion.</w:t>
      </w:r>
    </w:p>
    <w:p xmlns:wp14="http://schemas.microsoft.com/office/word/2010/wordml" w:rsidP="17F38FA1" wp14:paraId="228C85B9" wp14:textId="52DE1422">
      <w:pPr>
        <w:spacing w:before="240" w:beforeAutospacing="off" w:after="240" w:afterAutospacing="off" w:line="360" w:lineRule="auto"/>
        <w:ind/>
        <w:jc w:val="both"/>
        <w:rPr>
          <w:rFonts w:ascii="Aptos" w:hAnsi="Aptos" w:eastAsia="Aptos" w:cs="Aptos" w:asciiTheme="minorAscii" w:hAnsiTheme="minorAscii" w:eastAsiaTheme="minorAscii" w:cstheme="minorAscii"/>
          <w:noProof w:val="0"/>
          <w:sz w:val="24"/>
          <w:szCs w:val="24"/>
          <w:lang w:val="en-GB"/>
        </w:rPr>
      </w:pPr>
      <w:r w:rsidRPr="17F38FA1" w:rsidR="4F487C5B">
        <w:rPr>
          <w:rFonts w:ascii="Aptos" w:hAnsi="Aptos" w:eastAsia="Aptos" w:cs="Aptos" w:asciiTheme="minorAscii" w:hAnsiTheme="minorAscii" w:eastAsiaTheme="minorAscii" w:cstheme="minorAscii"/>
          <w:noProof w:val="0"/>
          <w:sz w:val="24"/>
          <w:szCs w:val="24"/>
          <w:lang w:val="en-GB"/>
        </w:rPr>
        <w:t>Apricity’s</w:t>
      </w:r>
      <w:r w:rsidRPr="17F38FA1" w:rsidR="4F487C5B">
        <w:rPr>
          <w:rFonts w:ascii="Aptos" w:hAnsi="Aptos" w:eastAsia="Aptos" w:cs="Aptos" w:asciiTheme="minorAscii" w:hAnsiTheme="minorAscii" w:eastAsiaTheme="minorAscii" w:cstheme="minorAscii"/>
          <w:noProof w:val="0"/>
          <w:sz w:val="24"/>
          <w:szCs w:val="24"/>
          <w:lang w:val="en-GB"/>
        </w:rPr>
        <w:t xml:space="preserve"> operational philosophy aligns closely with circular economy principles, particularly through its commitment to low‑waste and regenerative food systems. The restaurant’s root‑to‑stem and nose‑to‑tail cooking methods exemplify circular resource use by ensuring that ingredients are utilised fully rather than discarded. This approach reflects the circular principle of designing out waste at the menu‑development stage, where dishes are intentionally crafted to incorporate trimmings, offcuts, and by‑products. </w:t>
      </w:r>
      <w:r w:rsidRPr="17F38FA1" w:rsidR="4F487C5B">
        <w:rPr>
          <w:rFonts w:ascii="Aptos" w:hAnsi="Aptos" w:eastAsia="Aptos" w:cs="Aptos" w:asciiTheme="minorAscii" w:hAnsiTheme="minorAscii" w:eastAsiaTheme="minorAscii" w:cstheme="minorAscii"/>
          <w:noProof w:val="0"/>
          <w:sz w:val="24"/>
          <w:szCs w:val="24"/>
          <w:lang w:val="en-GB"/>
        </w:rPr>
        <w:t>Apricity</w:t>
      </w:r>
      <w:r w:rsidRPr="17F38FA1" w:rsidR="4F487C5B">
        <w:rPr>
          <w:rFonts w:ascii="Aptos" w:hAnsi="Aptos" w:eastAsia="Aptos" w:cs="Aptos" w:asciiTheme="minorAscii" w:hAnsiTheme="minorAscii" w:eastAsiaTheme="minorAscii" w:cstheme="minorAscii"/>
          <w:noProof w:val="0"/>
          <w:sz w:val="24"/>
          <w:szCs w:val="24"/>
          <w:lang w:val="en-GB"/>
        </w:rPr>
        <w:t xml:space="preserve"> also sources from regenerative farms and small‑scale producers who prioritise soil health, biodiversity, and closed nutrient cycles, </w:t>
      </w:r>
      <w:r w:rsidRPr="17F38FA1" w:rsidR="4F487C5B">
        <w:rPr>
          <w:rFonts w:ascii="Aptos" w:hAnsi="Aptos" w:eastAsia="Aptos" w:cs="Aptos" w:asciiTheme="minorAscii" w:hAnsiTheme="minorAscii" w:eastAsiaTheme="minorAscii" w:cstheme="minorAscii"/>
          <w:noProof w:val="0"/>
          <w:sz w:val="24"/>
          <w:szCs w:val="24"/>
          <w:lang w:val="en-GB"/>
        </w:rPr>
        <w:t>demonstrating</w:t>
      </w:r>
      <w:r w:rsidRPr="17F38FA1" w:rsidR="4F487C5B">
        <w:rPr>
          <w:rFonts w:ascii="Aptos" w:hAnsi="Aptos" w:eastAsia="Aptos" w:cs="Aptos" w:asciiTheme="minorAscii" w:hAnsiTheme="minorAscii" w:eastAsiaTheme="minorAscii" w:cstheme="minorAscii"/>
          <w:noProof w:val="0"/>
          <w:sz w:val="24"/>
          <w:szCs w:val="24"/>
          <w:lang w:val="en-GB"/>
        </w:rPr>
        <w:t xml:space="preserve"> alignment with the circular economy’s emphasis on restoring natural systems (Raworth, 2017). By choosing suppliers who </w:t>
      </w:r>
      <w:r w:rsidRPr="17F38FA1" w:rsidR="4F487C5B">
        <w:rPr>
          <w:rFonts w:ascii="Aptos" w:hAnsi="Aptos" w:eastAsia="Aptos" w:cs="Aptos" w:asciiTheme="minorAscii" w:hAnsiTheme="minorAscii" w:eastAsiaTheme="minorAscii" w:cstheme="minorAscii"/>
          <w:noProof w:val="0"/>
          <w:sz w:val="24"/>
          <w:szCs w:val="24"/>
          <w:lang w:val="en-GB"/>
        </w:rPr>
        <w:t>operate</w:t>
      </w:r>
      <w:r w:rsidRPr="17F38FA1" w:rsidR="4F487C5B">
        <w:rPr>
          <w:rFonts w:ascii="Aptos" w:hAnsi="Aptos" w:eastAsia="Aptos" w:cs="Aptos" w:asciiTheme="minorAscii" w:hAnsiTheme="minorAscii" w:eastAsiaTheme="minorAscii" w:cstheme="minorAscii"/>
          <w:noProof w:val="0"/>
          <w:sz w:val="24"/>
          <w:szCs w:val="24"/>
          <w:lang w:val="en-GB"/>
        </w:rPr>
        <w:t xml:space="preserve"> within regenerative frameworks, the restaurant extends circularity beyond its own kitchen and into its wider supply chain.</w:t>
      </w:r>
    </w:p>
    <w:p xmlns:wp14="http://schemas.microsoft.com/office/word/2010/wordml" w:rsidP="17F38FA1" wp14:paraId="75318B21" wp14:textId="12B02D2A">
      <w:pPr>
        <w:spacing w:before="240" w:beforeAutospacing="off" w:after="240" w:afterAutospacing="off" w:line="360" w:lineRule="auto"/>
        <w:ind/>
        <w:jc w:val="both"/>
        <w:rPr>
          <w:rFonts w:ascii="Aptos" w:hAnsi="Aptos" w:eastAsia="Aptos" w:cs="Aptos" w:asciiTheme="minorAscii" w:hAnsiTheme="minorAscii" w:eastAsiaTheme="minorAscii" w:cstheme="minorAscii"/>
          <w:noProof w:val="0"/>
          <w:sz w:val="24"/>
          <w:szCs w:val="24"/>
          <w:lang w:val="en-GB"/>
        </w:rPr>
      </w:pPr>
      <w:r w:rsidRPr="17F38FA1" w:rsidR="4F487C5B">
        <w:rPr>
          <w:rFonts w:ascii="Aptos" w:hAnsi="Aptos" w:eastAsia="Aptos" w:cs="Aptos" w:asciiTheme="minorAscii" w:hAnsiTheme="minorAscii" w:eastAsiaTheme="minorAscii" w:cstheme="minorAscii"/>
          <w:noProof w:val="0"/>
          <w:sz w:val="24"/>
          <w:szCs w:val="24"/>
          <w:lang w:val="en-GB"/>
        </w:rPr>
        <w:t xml:space="preserve">Energy and material efficiency further reinforce </w:t>
      </w:r>
      <w:r w:rsidRPr="17F38FA1" w:rsidR="4F487C5B">
        <w:rPr>
          <w:rFonts w:ascii="Aptos" w:hAnsi="Aptos" w:eastAsia="Aptos" w:cs="Aptos" w:asciiTheme="minorAscii" w:hAnsiTheme="minorAscii" w:eastAsiaTheme="minorAscii" w:cstheme="minorAscii"/>
          <w:noProof w:val="0"/>
          <w:sz w:val="24"/>
          <w:szCs w:val="24"/>
          <w:lang w:val="en-GB"/>
        </w:rPr>
        <w:t>Apricity’s</w:t>
      </w:r>
      <w:r w:rsidRPr="17F38FA1" w:rsidR="4F487C5B">
        <w:rPr>
          <w:rFonts w:ascii="Aptos" w:hAnsi="Aptos" w:eastAsia="Aptos" w:cs="Aptos" w:asciiTheme="minorAscii" w:hAnsiTheme="minorAscii" w:eastAsiaTheme="minorAscii" w:cstheme="minorAscii"/>
          <w:noProof w:val="0"/>
          <w:sz w:val="24"/>
          <w:szCs w:val="24"/>
          <w:lang w:val="en-GB"/>
        </w:rPr>
        <w:t xml:space="preserve"> circularity. The restaurant reduces reliance on single‑use materials, opts for reusable or compostable alternatives, and works with partners who repurpose food waste into compost or animal feed. These practices reflect the circular economy’s focus on </w:t>
      </w:r>
      <w:r w:rsidRPr="17F38FA1" w:rsidR="4F487C5B">
        <w:rPr>
          <w:rFonts w:ascii="Aptos" w:hAnsi="Aptos" w:eastAsia="Aptos" w:cs="Aptos" w:asciiTheme="minorAscii" w:hAnsiTheme="minorAscii" w:eastAsiaTheme="minorAscii" w:cstheme="minorAscii"/>
          <w:noProof w:val="0"/>
          <w:sz w:val="24"/>
          <w:szCs w:val="24"/>
          <w:lang w:val="en-GB"/>
        </w:rPr>
        <w:t>maintaining</w:t>
      </w:r>
      <w:r w:rsidRPr="17F38FA1" w:rsidR="4F487C5B">
        <w:rPr>
          <w:rFonts w:ascii="Aptos" w:hAnsi="Aptos" w:eastAsia="Aptos" w:cs="Aptos" w:asciiTheme="minorAscii" w:hAnsiTheme="minorAscii" w:eastAsiaTheme="minorAscii" w:cstheme="minorAscii"/>
          <w:noProof w:val="0"/>
          <w:sz w:val="24"/>
          <w:szCs w:val="24"/>
          <w:lang w:val="en-GB"/>
        </w:rPr>
        <w:t xml:space="preserve"> materials at their highest value for as long as possible (Kirchherr et al., 2018). However, while </w:t>
      </w:r>
      <w:r w:rsidRPr="17F38FA1" w:rsidR="4F487C5B">
        <w:rPr>
          <w:rFonts w:ascii="Aptos" w:hAnsi="Aptos" w:eastAsia="Aptos" w:cs="Aptos" w:asciiTheme="minorAscii" w:hAnsiTheme="minorAscii" w:eastAsiaTheme="minorAscii" w:cstheme="minorAscii"/>
          <w:noProof w:val="0"/>
          <w:sz w:val="24"/>
          <w:szCs w:val="24"/>
          <w:lang w:val="en-GB"/>
        </w:rPr>
        <w:t>Apricity</w:t>
      </w:r>
      <w:r w:rsidRPr="17F38FA1" w:rsidR="4F487C5B">
        <w:rPr>
          <w:rFonts w:ascii="Aptos" w:hAnsi="Aptos" w:eastAsia="Aptos" w:cs="Aptos" w:asciiTheme="minorAscii" w:hAnsiTheme="minorAscii" w:eastAsiaTheme="minorAscii" w:cstheme="minorAscii"/>
          <w:noProof w:val="0"/>
          <w:sz w:val="24"/>
          <w:szCs w:val="24"/>
          <w:lang w:val="en-GB"/>
        </w:rPr>
        <w:t xml:space="preserve"> demonstrates strong alignment with circular principles, its high‑end positioning raises questions about scalability. Circular economy theory stresses systemic transformation across entire sectors, yet the resource‑intensive nature of fine dining may limit the transferability of </w:t>
      </w:r>
      <w:r w:rsidRPr="17F38FA1" w:rsidR="4F487C5B">
        <w:rPr>
          <w:rFonts w:ascii="Aptos" w:hAnsi="Aptos" w:eastAsia="Aptos" w:cs="Aptos" w:asciiTheme="minorAscii" w:hAnsiTheme="minorAscii" w:eastAsiaTheme="minorAscii" w:cstheme="minorAscii"/>
          <w:noProof w:val="0"/>
          <w:sz w:val="24"/>
          <w:szCs w:val="24"/>
          <w:lang w:val="en-GB"/>
        </w:rPr>
        <w:t>Apricity’s</w:t>
      </w:r>
      <w:r w:rsidRPr="17F38FA1" w:rsidR="4F487C5B">
        <w:rPr>
          <w:rFonts w:ascii="Aptos" w:hAnsi="Aptos" w:eastAsia="Aptos" w:cs="Aptos" w:asciiTheme="minorAscii" w:hAnsiTheme="minorAscii" w:eastAsiaTheme="minorAscii" w:cstheme="minorAscii"/>
          <w:noProof w:val="0"/>
          <w:sz w:val="24"/>
          <w:szCs w:val="24"/>
          <w:lang w:val="en-GB"/>
        </w:rPr>
        <w:t xml:space="preserve"> model to mainstream restaurants. Additionally, although the restaurant’s practices are circular in intent, the absence of publicly available data on waste volumes, energy use, or resource efficiency limits the ability to fully assess its circular performance.</w:t>
      </w:r>
    </w:p>
    <w:p xmlns:wp14="http://schemas.microsoft.com/office/word/2010/wordml" w:rsidP="17F38FA1" wp14:paraId="6C5FD1C6" wp14:textId="27027E4B">
      <w:pPr>
        <w:spacing w:before="240" w:beforeAutospacing="off" w:after="240" w:afterAutospacing="off" w:line="360" w:lineRule="auto"/>
        <w:ind/>
        <w:jc w:val="both"/>
        <w:rPr>
          <w:rFonts w:ascii="Aptos" w:hAnsi="Aptos" w:eastAsia="Aptos" w:cs="Aptos" w:asciiTheme="minorAscii" w:hAnsiTheme="minorAscii" w:eastAsiaTheme="minorAscii" w:cstheme="minorAscii"/>
          <w:noProof w:val="0"/>
          <w:sz w:val="24"/>
          <w:szCs w:val="24"/>
          <w:lang w:val="en-GB"/>
        </w:rPr>
      </w:pPr>
      <w:r w:rsidRPr="17F38FA1" w:rsidR="4F487C5B">
        <w:rPr>
          <w:rFonts w:ascii="Aptos" w:hAnsi="Aptos" w:eastAsia="Aptos" w:cs="Aptos" w:asciiTheme="minorAscii" w:hAnsiTheme="minorAscii" w:eastAsiaTheme="minorAscii" w:cstheme="minorAscii"/>
          <w:noProof w:val="0"/>
          <w:sz w:val="24"/>
          <w:szCs w:val="24"/>
          <w:lang w:val="en-GB"/>
        </w:rPr>
        <w:t xml:space="preserve">Overall, the circular economy provides a valuable framework for understanding </w:t>
      </w:r>
      <w:r w:rsidRPr="17F38FA1" w:rsidR="4F487C5B">
        <w:rPr>
          <w:rFonts w:ascii="Aptos" w:hAnsi="Aptos" w:eastAsia="Aptos" w:cs="Aptos" w:asciiTheme="minorAscii" w:hAnsiTheme="minorAscii" w:eastAsiaTheme="minorAscii" w:cstheme="minorAscii"/>
          <w:noProof w:val="0"/>
          <w:sz w:val="24"/>
          <w:szCs w:val="24"/>
          <w:lang w:val="en-GB"/>
        </w:rPr>
        <w:t>Apricity’s</w:t>
      </w:r>
      <w:r w:rsidRPr="17F38FA1" w:rsidR="4F487C5B">
        <w:rPr>
          <w:rFonts w:ascii="Aptos" w:hAnsi="Aptos" w:eastAsia="Aptos" w:cs="Aptos" w:asciiTheme="minorAscii" w:hAnsiTheme="minorAscii" w:eastAsiaTheme="minorAscii" w:cstheme="minorAscii"/>
          <w:noProof w:val="0"/>
          <w:sz w:val="24"/>
          <w:szCs w:val="24"/>
          <w:lang w:val="en-GB"/>
        </w:rPr>
        <w:t xml:space="preserve"> sustainability strategy. The restaurant’s regenerative sourcing, low‑waste culinary techniques, and material‑efficient operations </w:t>
      </w:r>
      <w:r w:rsidRPr="17F38FA1" w:rsidR="4F487C5B">
        <w:rPr>
          <w:rFonts w:ascii="Aptos" w:hAnsi="Aptos" w:eastAsia="Aptos" w:cs="Aptos" w:asciiTheme="minorAscii" w:hAnsiTheme="minorAscii" w:eastAsiaTheme="minorAscii" w:cstheme="minorAscii"/>
          <w:noProof w:val="0"/>
          <w:sz w:val="24"/>
          <w:szCs w:val="24"/>
          <w:lang w:val="en-GB"/>
        </w:rPr>
        <w:t>demonstrate</w:t>
      </w:r>
      <w:r w:rsidRPr="17F38FA1" w:rsidR="4F487C5B">
        <w:rPr>
          <w:rFonts w:ascii="Aptos" w:hAnsi="Aptos" w:eastAsia="Aptos" w:cs="Aptos" w:asciiTheme="minorAscii" w:hAnsiTheme="minorAscii" w:eastAsiaTheme="minorAscii" w:cstheme="minorAscii"/>
          <w:noProof w:val="0"/>
          <w:sz w:val="24"/>
          <w:szCs w:val="24"/>
          <w:lang w:val="en-GB"/>
        </w:rPr>
        <w:t xml:space="preserve"> meaningful engagement with circular principles. Yet, critical gaps </w:t>
      </w:r>
      <w:r w:rsidRPr="17F38FA1" w:rsidR="4F487C5B">
        <w:rPr>
          <w:rFonts w:ascii="Aptos" w:hAnsi="Aptos" w:eastAsia="Aptos" w:cs="Aptos" w:asciiTheme="minorAscii" w:hAnsiTheme="minorAscii" w:eastAsiaTheme="minorAscii" w:cstheme="minorAscii"/>
          <w:noProof w:val="0"/>
          <w:sz w:val="24"/>
          <w:szCs w:val="24"/>
          <w:lang w:val="en-GB"/>
        </w:rPr>
        <w:t>remain</w:t>
      </w:r>
      <w:r w:rsidRPr="17F38FA1" w:rsidR="4F487C5B">
        <w:rPr>
          <w:rFonts w:ascii="Aptos" w:hAnsi="Aptos" w:eastAsia="Aptos" w:cs="Aptos" w:asciiTheme="minorAscii" w:hAnsiTheme="minorAscii" w:eastAsiaTheme="minorAscii" w:cstheme="minorAscii"/>
          <w:noProof w:val="0"/>
          <w:sz w:val="24"/>
          <w:szCs w:val="24"/>
          <w:lang w:val="en-GB"/>
        </w:rPr>
        <w:t xml:space="preserve"> in transparency and scalability, reflecting broader challenges in embedding circularity across the hospitality sector. While </w:t>
      </w:r>
      <w:r w:rsidRPr="17F38FA1" w:rsidR="4F487C5B">
        <w:rPr>
          <w:rFonts w:ascii="Aptos" w:hAnsi="Aptos" w:eastAsia="Aptos" w:cs="Aptos" w:asciiTheme="minorAscii" w:hAnsiTheme="minorAscii" w:eastAsiaTheme="minorAscii" w:cstheme="minorAscii"/>
          <w:noProof w:val="0"/>
          <w:sz w:val="24"/>
          <w:szCs w:val="24"/>
          <w:lang w:val="en-GB"/>
        </w:rPr>
        <w:t>Apricity</w:t>
      </w:r>
      <w:r w:rsidRPr="17F38FA1" w:rsidR="4F487C5B">
        <w:rPr>
          <w:rFonts w:ascii="Aptos" w:hAnsi="Aptos" w:eastAsia="Aptos" w:cs="Aptos" w:asciiTheme="minorAscii" w:hAnsiTheme="minorAscii" w:eastAsiaTheme="minorAscii" w:cstheme="minorAscii"/>
          <w:noProof w:val="0"/>
          <w:sz w:val="24"/>
          <w:szCs w:val="24"/>
          <w:lang w:val="en-GB"/>
        </w:rPr>
        <w:t xml:space="preserve"> exemplifies best practice within its niche, achieving a fully circular restaurant model requires sector‑wide collaboration, measurable reporting, and broader accessibility.</w:t>
      </w:r>
    </w:p>
    <w:p xmlns:wp14="http://schemas.microsoft.com/office/word/2010/wordml" w:rsidP="17F38FA1" wp14:paraId="35D84FEA" wp14:textId="02753683">
      <w:pPr>
        <w:pStyle w:val="Heading1"/>
        <w:rPr>
          <w:b w:val="1"/>
          <w:bCs w:val="1"/>
          <w:color w:val="auto"/>
          <w:sz w:val="32"/>
          <w:szCs w:val="32"/>
        </w:rPr>
      </w:pPr>
    </w:p>
    <w:p xmlns:wp14="http://schemas.microsoft.com/office/word/2010/wordml" w:rsidP="17F38FA1" wp14:paraId="2727E409" wp14:textId="7AAFB8D7">
      <w:pPr>
        <w:pStyle w:val="Heading1"/>
        <w:keepNext w:val="0"/>
        <w:keepLines w:val="0"/>
        <w:rPr>
          <w:rFonts w:ascii="Arial" w:hAnsi="Arial" w:eastAsia="Arial" w:cs="Arial"/>
          <w:b w:val="1"/>
          <w:bCs w:val="1"/>
          <w:noProof w:val="0"/>
          <w:color w:val="auto"/>
          <w:sz w:val="32"/>
          <w:szCs w:val="32"/>
          <w:lang w:val="en-GB"/>
        </w:rPr>
      </w:pPr>
      <w:bookmarkStart w:name="_Toc1243081361" w:id="902920114"/>
      <w:r w:rsidRPr="17F38FA1" w:rsidR="49FCAD03">
        <w:rPr>
          <w:b w:val="1"/>
          <w:bCs w:val="1"/>
          <w:noProof w:val="0"/>
          <w:color w:val="auto"/>
          <w:sz w:val="32"/>
          <w:szCs w:val="32"/>
          <w:lang w:val="en-GB"/>
        </w:rPr>
        <w:t>Conclusion</w:t>
      </w:r>
      <w:bookmarkEnd w:id="902920114"/>
    </w:p>
    <w:p xmlns:wp14="http://schemas.microsoft.com/office/word/2010/wordml" w:rsidP="17F38FA1" wp14:paraId="2688E8C8" wp14:textId="7A266D61">
      <w:pPr>
        <w:keepNext w:val="0"/>
        <w:keepLines w:val="0"/>
        <w:spacing w:before="240" w:beforeAutospacing="off" w:after="240" w:afterAutospacing="off" w:line="360" w:lineRule="auto"/>
        <w:ind/>
        <w:jc w:val="both"/>
        <w:rPr>
          <w:rFonts w:ascii="Arial" w:hAnsi="Arial" w:eastAsia="Arial" w:cs="Arial"/>
          <w:noProof w:val="0"/>
          <w:sz w:val="24"/>
          <w:szCs w:val="24"/>
          <w:lang w:val="en-GB"/>
        </w:rPr>
      </w:pPr>
      <w:r w:rsidRPr="17F38FA1" w:rsidR="49FCAD03">
        <w:rPr>
          <w:rFonts w:ascii="Arial" w:hAnsi="Arial" w:eastAsia="Arial" w:cs="Arial"/>
          <w:noProof w:val="0"/>
          <w:sz w:val="24"/>
          <w:szCs w:val="24"/>
          <w:lang w:val="en-GB"/>
        </w:rPr>
        <w:t>Apricity’s</w:t>
      </w:r>
      <w:r w:rsidRPr="17F38FA1" w:rsidR="49FCAD03">
        <w:rPr>
          <w:rFonts w:ascii="Arial" w:hAnsi="Arial" w:eastAsia="Arial" w:cs="Arial"/>
          <w:noProof w:val="0"/>
          <w:sz w:val="24"/>
          <w:szCs w:val="24"/>
          <w:lang w:val="en-GB"/>
        </w:rPr>
        <w:t xml:space="preserve"> approach to sustainability </w:t>
      </w:r>
      <w:r w:rsidRPr="17F38FA1" w:rsidR="49FCAD03">
        <w:rPr>
          <w:rFonts w:ascii="Arial" w:hAnsi="Arial" w:eastAsia="Arial" w:cs="Arial"/>
          <w:noProof w:val="0"/>
          <w:sz w:val="24"/>
          <w:szCs w:val="24"/>
          <w:lang w:val="en-GB"/>
        </w:rPr>
        <w:t>demonstrates</w:t>
      </w:r>
      <w:r w:rsidRPr="17F38FA1" w:rsidR="49FCAD03">
        <w:rPr>
          <w:rFonts w:ascii="Arial" w:hAnsi="Arial" w:eastAsia="Arial" w:cs="Arial"/>
          <w:noProof w:val="0"/>
          <w:sz w:val="24"/>
          <w:szCs w:val="24"/>
          <w:lang w:val="en-GB"/>
        </w:rPr>
        <w:t xml:space="preserve"> how a restaurant can move beyond surface‑level initiatives and embed responsible practice into every aspect of its operation. By integrating the core principles of sustainable gastronomy—environmental care, cultural preservation, social responsibility, and economic resilience—the restaurant positions itself as a leader within the hospitality sector. Its commitment to regenerative sourcing, low‑waste culinary methods, and ethical supplier relationships reflects a genuine effort to reduce environmental impact while celebrating local food culture.</w:t>
      </w:r>
    </w:p>
    <w:p xmlns:wp14="http://schemas.microsoft.com/office/word/2010/wordml" w:rsidP="17F38FA1" wp14:paraId="1954BB48" wp14:textId="4CA12DC8">
      <w:pPr>
        <w:keepNext w:val="0"/>
        <w:keepLines w:val="0"/>
        <w:spacing w:before="240" w:beforeAutospacing="off" w:after="240" w:afterAutospacing="off" w:line="360" w:lineRule="auto"/>
        <w:ind/>
        <w:jc w:val="both"/>
        <w:rPr>
          <w:rFonts w:ascii="Arial" w:hAnsi="Arial" w:eastAsia="Arial" w:cs="Arial"/>
          <w:noProof w:val="0"/>
          <w:sz w:val="24"/>
          <w:szCs w:val="24"/>
          <w:lang w:val="en-GB"/>
        </w:rPr>
      </w:pPr>
      <w:r w:rsidRPr="17F38FA1" w:rsidR="49FCAD03">
        <w:rPr>
          <w:rFonts w:ascii="Arial" w:hAnsi="Arial" w:eastAsia="Arial" w:cs="Arial"/>
          <w:noProof w:val="0"/>
          <w:sz w:val="24"/>
          <w:szCs w:val="24"/>
          <w:lang w:val="en-GB"/>
        </w:rPr>
        <w:t xml:space="preserve">At the same time, the analysis highlights areas where further progress would strengthen </w:t>
      </w:r>
      <w:r w:rsidRPr="17F38FA1" w:rsidR="49FCAD03">
        <w:rPr>
          <w:rFonts w:ascii="Arial" w:hAnsi="Arial" w:eastAsia="Arial" w:cs="Arial"/>
          <w:noProof w:val="0"/>
          <w:sz w:val="24"/>
          <w:szCs w:val="24"/>
          <w:lang w:val="en-GB"/>
        </w:rPr>
        <w:t>Apricity’s</w:t>
      </w:r>
      <w:r w:rsidRPr="17F38FA1" w:rsidR="49FCAD03">
        <w:rPr>
          <w:rFonts w:ascii="Arial" w:hAnsi="Arial" w:eastAsia="Arial" w:cs="Arial"/>
          <w:noProof w:val="0"/>
          <w:sz w:val="24"/>
          <w:szCs w:val="24"/>
          <w:lang w:val="en-GB"/>
        </w:rPr>
        <w:t xml:space="preserve"> sustainability profile. Greater transparency around measurable outcomes, broader community engagement, and more accessible models of sustainable dining would enhance its influence and support wider sector transformation. The restaurant’s alignment with circular economy principles shows clear potential for long‑term resilience, yet the scalability of such practices </w:t>
      </w:r>
      <w:r w:rsidRPr="17F38FA1" w:rsidR="49FCAD03">
        <w:rPr>
          <w:rFonts w:ascii="Arial" w:hAnsi="Arial" w:eastAsia="Arial" w:cs="Arial"/>
          <w:noProof w:val="0"/>
          <w:sz w:val="24"/>
          <w:szCs w:val="24"/>
          <w:lang w:val="en-GB"/>
        </w:rPr>
        <w:t>remains</w:t>
      </w:r>
      <w:r w:rsidRPr="17F38FA1" w:rsidR="49FCAD03">
        <w:rPr>
          <w:rFonts w:ascii="Arial" w:hAnsi="Arial" w:eastAsia="Arial" w:cs="Arial"/>
          <w:noProof w:val="0"/>
          <w:sz w:val="24"/>
          <w:szCs w:val="24"/>
          <w:lang w:val="en-GB"/>
        </w:rPr>
        <w:t xml:space="preserve"> a challenge for the </w:t>
      </w:r>
      <w:r w:rsidRPr="17F38FA1" w:rsidR="49FCAD03">
        <w:rPr>
          <w:rFonts w:ascii="Arial" w:hAnsi="Arial" w:eastAsia="Arial" w:cs="Arial"/>
          <w:noProof w:val="0"/>
          <w:sz w:val="24"/>
          <w:szCs w:val="24"/>
          <w:lang w:val="en-GB"/>
        </w:rPr>
        <w:t>industry as a whole</w:t>
      </w:r>
      <w:r w:rsidRPr="17F38FA1" w:rsidR="49FCAD03">
        <w:rPr>
          <w:rFonts w:ascii="Arial" w:hAnsi="Arial" w:eastAsia="Arial" w:cs="Arial"/>
          <w:noProof w:val="0"/>
          <w:sz w:val="24"/>
          <w:szCs w:val="24"/>
          <w:lang w:val="en-GB"/>
        </w:rPr>
        <w:t>.</w:t>
      </w:r>
    </w:p>
    <w:p xmlns:wp14="http://schemas.microsoft.com/office/word/2010/wordml" w:rsidP="17F38FA1" wp14:paraId="3D263A4C" wp14:textId="3CFEE697">
      <w:pPr>
        <w:keepNext w:val="0"/>
        <w:keepLines w:val="0"/>
        <w:spacing w:before="240" w:beforeAutospacing="off" w:after="240" w:afterAutospacing="off" w:line="360" w:lineRule="auto"/>
        <w:ind/>
        <w:jc w:val="both"/>
        <w:rPr>
          <w:rFonts w:ascii="Arial" w:hAnsi="Arial" w:eastAsia="Arial" w:cs="Arial"/>
          <w:noProof w:val="0"/>
          <w:sz w:val="24"/>
          <w:szCs w:val="24"/>
          <w:lang w:val="en-GB"/>
        </w:rPr>
      </w:pPr>
      <w:r w:rsidRPr="17F38FA1" w:rsidR="49FCAD03">
        <w:rPr>
          <w:rFonts w:ascii="Arial" w:hAnsi="Arial" w:eastAsia="Arial" w:cs="Arial"/>
          <w:noProof w:val="0"/>
          <w:sz w:val="24"/>
          <w:szCs w:val="24"/>
          <w:lang w:val="en-GB"/>
        </w:rPr>
        <w:t xml:space="preserve">Overall, </w:t>
      </w:r>
      <w:r w:rsidRPr="17F38FA1" w:rsidR="49FCAD03">
        <w:rPr>
          <w:rFonts w:ascii="Arial" w:hAnsi="Arial" w:eastAsia="Arial" w:cs="Arial"/>
          <w:noProof w:val="0"/>
          <w:sz w:val="24"/>
          <w:szCs w:val="24"/>
          <w:lang w:val="en-GB"/>
        </w:rPr>
        <w:t>Apricity</w:t>
      </w:r>
      <w:r w:rsidRPr="17F38FA1" w:rsidR="49FCAD03">
        <w:rPr>
          <w:rFonts w:ascii="Arial" w:hAnsi="Arial" w:eastAsia="Arial" w:cs="Arial"/>
          <w:noProof w:val="0"/>
          <w:sz w:val="24"/>
          <w:szCs w:val="24"/>
          <w:lang w:val="en-GB"/>
        </w:rPr>
        <w:t xml:space="preserve"> illustrates what is possible when sustainability becomes a strategic priority rather than an add‑on. Its practices offer a compelling example of responsible gastronomy, while also revealing the ongoing work required to create a more sustainable and </w:t>
      </w:r>
      <w:r w:rsidRPr="17F38FA1" w:rsidR="49FCAD03">
        <w:rPr>
          <w:rFonts w:ascii="Arial" w:hAnsi="Arial" w:eastAsia="Arial" w:cs="Arial"/>
          <w:noProof w:val="0"/>
          <w:sz w:val="24"/>
          <w:szCs w:val="24"/>
          <w:lang w:val="en-GB"/>
        </w:rPr>
        <w:t>equitable</w:t>
      </w:r>
      <w:r w:rsidRPr="17F38FA1" w:rsidR="49FCAD03">
        <w:rPr>
          <w:rFonts w:ascii="Arial" w:hAnsi="Arial" w:eastAsia="Arial" w:cs="Arial"/>
          <w:noProof w:val="0"/>
          <w:sz w:val="24"/>
          <w:szCs w:val="24"/>
          <w:lang w:val="en-GB"/>
        </w:rPr>
        <w:t xml:space="preserve"> food system.</w:t>
      </w:r>
    </w:p>
    <w:p xmlns:wp14="http://schemas.microsoft.com/office/word/2010/wordml" w:rsidP="115BEA57" wp14:paraId="30BC4D6C" wp14:textId="0E1D2613">
      <w:pPr>
        <w:spacing w:before="0" w:beforeAutospacing="off" w:after="0" w:afterAutospacing="off" w:line="360" w:lineRule="auto"/>
        <w:ind w:left="480" w:right="565"/>
        <w:jc w:val="both"/>
        <w:rPr>
          <w:rFonts w:ascii="Arial" w:hAnsi="Arial" w:eastAsia="Arial" w:cs="Arial"/>
          <w:noProof w:val="0"/>
          <w:sz w:val="24"/>
          <w:szCs w:val="24"/>
          <w:lang w:val="en-US"/>
        </w:rPr>
      </w:pPr>
    </w:p>
    <w:p xmlns:wp14="http://schemas.microsoft.com/office/word/2010/wordml" w:rsidP="17F38FA1" wp14:paraId="2C078E63" wp14:textId="11236C35">
      <w:pPr>
        <w:spacing w:line="360" w:lineRule="auto"/>
      </w:pPr>
    </w:p>
    <w:p w:rsidR="115BEA57" w:rsidP="17F38FA1" w:rsidRDefault="115BEA57" w14:paraId="1FA53233" w14:textId="08EAC4A5">
      <w:pPr>
        <w:spacing w:line="360" w:lineRule="auto"/>
      </w:pPr>
    </w:p>
    <w:p w:rsidR="115BEA57" w:rsidP="17F38FA1" w:rsidRDefault="115BEA57" w14:paraId="3432FA55" w14:textId="23351BC0">
      <w:pPr>
        <w:spacing w:line="360" w:lineRule="auto"/>
      </w:pPr>
    </w:p>
    <w:p w:rsidR="115BEA57" w:rsidP="17F38FA1" w:rsidRDefault="115BEA57" w14:paraId="62079A5C" w14:textId="2379B4FF">
      <w:pPr>
        <w:spacing w:line="360" w:lineRule="auto"/>
      </w:pPr>
    </w:p>
    <w:p w:rsidR="115BEA57" w:rsidP="17F38FA1" w:rsidRDefault="115BEA57" w14:paraId="4C04DEE9" w14:textId="042B2339">
      <w:pPr>
        <w:spacing w:line="360" w:lineRule="auto"/>
      </w:pPr>
    </w:p>
    <w:p w:rsidR="115BEA57" w:rsidRDefault="115BEA57" w14:paraId="60A18DF7" w14:textId="3800EB27"/>
    <w:p w:rsidR="115BEA57" w:rsidP="17F38FA1" w:rsidRDefault="115BEA57" w14:paraId="1C90407E" w14:textId="4907D4C3">
      <w:pPr>
        <w:pStyle w:val="Normal"/>
      </w:pPr>
    </w:p>
    <w:p w:rsidR="115BEA57" w:rsidP="17F38FA1" w:rsidRDefault="115BEA57" w14:paraId="13AC9E88" w14:textId="72BE27D0">
      <w:pPr>
        <w:pStyle w:val="Normal"/>
      </w:pPr>
    </w:p>
    <w:p w:rsidR="115BEA57" w:rsidP="17F38FA1" w:rsidRDefault="115BEA57" w14:paraId="08741AB9" w14:textId="6D5078DC">
      <w:pPr>
        <w:pStyle w:val="Normal"/>
      </w:pPr>
    </w:p>
    <w:p w:rsidR="115BEA57" w:rsidP="17F38FA1" w:rsidRDefault="115BEA57" w14:paraId="4CA102B2" w14:textId="1A6ED81C">
      <w:pPr>
        <w:pStyle w:val="Normal"/>
      </w:pPr>
    </w:p>
    <w:p w:rsidR="115BEA57" w:rsidP="17F38FA1" w:rsidRDefault="115BEA57" w14:paraId="46581989" w14:textId="6FF540BC">
      <w:pPr>
        <w:pStyle w:val="Normal"/>
      </w:pPr>
    </w:p>
    <w:p w:rsidR="115BEA57" w:rsidRDefault="115BEA57" w14:paraId="6BBB9D44" w14:textId="31CA88EB"/>
    <w:p w:rsidR="115BEA57" w:rsidP="17F38FA1" w:rsidRDefault="115BEA57" w14:paraId="7EE75F99" w14:textId="52DEF9F7">
      <w:pPr>
        <w:pStyle w:val="Heading1"/>
        <w:rPr>
          <w:b w:val="1"/>
          <w:bCs w:val="1"/>
          <w:noProof w:val="0"/>
          <w:color w:val="auto"/>
          <w:lang w:val="en-GB"/>
        </w:rPr>
      </w:pPr>
      <w:bookmarkStart w:name="_Toc762892180" w:id="1522060534"/>
      <w:r w:rsidRPr="17F38FA1" w:rsidR="1C02411D">
        <w:rPr>
          <w:b w:val="1"/>
          <w:bCs w:val="1"/>
          <w:noProof w:val="0"/>
          <w:color w:val="auto"/>
          <w:lang w:val="en-GB"/>
        </w:rPr>
        <w:t>References</w:t>
      </w:r>
      <w:bookmarkEnd w:id="1522060534"/>
    </w:p>
    <w:p w:rsidR="115BEA57" w:rsidRDefault="115BEA57" w14:paraId="5B78F678" w14:textId="0E0F9275"/>
    <w:p w:rsidR="115BEA57" w:rsidP="17F38FA1" w:rsidRDefault="115BEA57" w14:paraId="249C19DE" w14:textId="65A06B85">
      <w:pPr>
        <w:spacing w:before="240" w:beforeAutospacing="off" w:after="240" w:afterAutospacing="off"/>
      </w:pPr>
      <w:r w:rsidRPr="17F38FA1" w:rsidR="343ABB30">
        <w:rPr>
          <w:rFonts w:ascii="Aptos" w:hAnsi="Aptos" w:eastAsia="Aptos" w:cs="Aptos"/>
          <w:sz w:val="24"/>
          <w:szCs w:val="24"/>
        </w:rPr>
        <w:t>Apricity</w:t>
      </w:r>
      <w:r w:rsidRPr="17F38FA1" w:rsidR="343ABB30">
        <w:rPr>
          <w:rFonts w:ascii="Aptos" w:hAnsi="Aptos" w:eastAsia="Aptos" w:cs="Aptos"/>
          <w:sz w:val="24"/>
          <w:szCs w:val="24"/>
        </w:rPr>
        <w:t xml:space="preserve"> (2024) </w:t>
      </w:r>
      <w:r w:rsidRPr="17F38FA1" w:rsidR="343ABB30">
        <w:rPr>
          <w:rFonts w:ascii="Aptos" w:hAnsi="Aptos" w:eastAsia="Aptos" w:cs="Aptos"/>
          <w:i w:val="1"/>
          <w:iCs w:val="1"/>
          <w:sz w:val="24"/>
          <w:szCs w:val="24"/>
        </w:rPr>
        <w:t>Apricity</w:t>
      </w:r>
      <w:r w:rsidRPr="17F38FA1" w:rsidR="343ABB30">
        <w:rPr>
          <w:rFonts w:ascii="Aptos" w:hAnsi="Aptos" w:eastAsia="Aptos" w:cs="Aptos"/>
          <w:i w:val="1"/>
          <w:iCs w:val="1"/>
          <w:sz w:val="24"/>
          <w:szCs w:val="24"/>
        </w:rPr>
        <w:t xml:space="preserve"> Restaurant</w:t>
      </w:r>
      <w:r w:rsidRPr="17F38FA1" w:rsidR="343ABB30">
        <w:rPr>
          <w:rFonts w:ascii="Aptos" w:hAnsi="Aptos" w:eastAsia="Aptos" w:cs="Aptos"/>
          <w:sz w:val="24"/>
          <w:szCs w:val="24"/>
        </w:rPr>
        <w:t xml:space="preserve">. Available at: </w:t>
      </w:r>
      <w:hyperlink r:id="R2c56852499ad4148">
        <w:r w:rsidRPr="17F38FA1" w:rsidR="343ABB30">
          <w:rPr>
            <w:rStyle w:val="Hyperlink"/>
            <w:rFonts w:ascii="Aptos" w:hAnsi="Aptos" w:eastAsia="Aptos" w:cs="Aptos"/>
            <w:sz w:val="24"/>
            <w:szCs w:val="24"/>
          </w:rPr>
          <w:t>https://www.apricityrestaurant.com</w:t>
        </w:r>
      </w:hyperlink>
      <w:r w:rsidRPr="17F38FA1" w:rsidR="343ABB30">
        <w:rPr>
          <w:rFonts w:ascii="Aptos" w:hAnsi="Aptos" w:eastAsia="Aptos" w:cs="Aptos"/>
          <w:sz w:val="24"/>
          <w:szCs w:val="24"/>
        </w:rPr>
        <w:t xml:space="preserve"> (Accessed: 26 January 2026).</w:t>
      </w:r>
    </w:p>
    <w:p w:rsidR="115BEA57" w:rsidP="17F38FA1" w:rsidRDefault="115BEA57" w14:paraId="5544264F" w14:textId="787DE247">
      <w:pPr>
        <w:spacing w:before="240" w:beforeAutospacing="off" w:after="240" w:afterAutospacing="off"/>
      </w:pPr>
      <w:r w:rsidRPr="17F38FA1" w:rsidR="343ABB30">
        <w:rPr>
          <w:rFonts w:ascii="Aptos" w:hAnsi="Aptos" w:eastAsia="Aptos" w:cs="Aptos"/>
          <w:sz w:val="24"/>
          <w:szCs w:val="24"/>
        </w:rPr>
        <w:t xml:space="preserve">Ellen MacArthur Foundation (2019) </w:t>
      </w:r>
      <w:r w:rsidRPr="17F38FA1" w:rsidR="343ABB30">
        <w:rPr>
          <w:rFonts w:ascii="Aptos" w:hAnsi="Aptos" w:eastAsia="Aptos" w:cs="Aptos"/>
          <w:i w:val="1"/>
          <w:iCs w:val="1"/>
          <w:sz w:val="24"/>
          <w:szCs w:val="24"/>
        </w:rPr>
        <w:t>Completing the Picture: How the Circular Economy Tackles Climate Change</w:t>
      </w:r>
      <w:r w:rsidRPr="17F38FA1" w:rsidR="343ABB30">
        <w:rPr>
          <w:rFonts w:ascii="Aptos" w:hAnsi="Aptos" w:eastAsia="Aptos" w:cs="Aptos"/>
          <w:sz w:val="24"/>
          <w:szCs w:val="24"/>
        </w:rPr>
        <w:t>. Ellen MacArthur Foundation.</w:t>
      </w:r>
    </w:p>
    <w:p w:rsidR="115BEA57" w:rsidP="17F38FA1" w:rsidRDefault="115BEA57" w14:paraId="2DBBAFF0" w14:textId="75077EA3">
      <w:pPr>
        <w:spacing w:before="240" w:beforeAutospacing="off" w:after="240" w:afterAutospacing="off"/>
      </w:pPr>
      <w:r w:rsidRPr="17F38FA1" w:rsidR="343ABB30">
        <w:rPr>
          <w:rFonts w:ascii="Aptos" w:hAnsi="Aptos" w:eastAsia="Aptos" w:cs="Aptos"/>
          <w:sz w:val="24"/>
          <w:szCs w:val="24"/>
        </w:rPr>
        <w:t>Elkington, J. (1997)</w:t>
      </w:r>
      <w:r w:rsidRPr="17F38FA1" w:rsidR="343ABB30">
        <w:rPr>
          <w:rFonts w:ascii="Aptos" w:hAnsi="Aptos" w:eastAsia="Aptos" w:cs="Aptos"/>
          <w:sz w:val="24"/>
          <w:szCs w:val="24"/>
        </w:rPr>
        <w:t xml:space="preserve"> </w:t>
      </w:r>
      <w:r w:rsidRPr="17F38FA1" w:rsidR="343ABB30">
        <w:rPr>
          <w:rFonts w:ascii="Aptos" w:hAnsi="Aptos" w:eastAsia="Aptos" w:cs="Aptos"/>
          <w:i w:val="1"/>
          <w:iCs w:val="1"/>
          <w:sz w:val="24"/>
          <w:szCs w:val="24"/>
        </w:rPr>
        <w:t>Cannibals</w:t>
      </w:r>
      <w:r w:rsidRPr="17F38FA1" w:rsidR="343ABB30">
        <w:rPr>
          <w:rFonts w:ascii="Aptos" w:hAnsi="Aptos" w:eastAsia="Aptos" w:cs="Aptos"/>
          <w:i w:val="1"/>
          <w:iCs w:val="1"/>
          <w:sz w:val="24"/>
          <w:szCs w:val="24"/>
        </w:rPr>
        <w:t xml:space="preserve"> with Forks: The Triple Bottom Line of 21st Century Business</w:t>
      </w:r>
      <w:r w:rsidRPr="17F38FA1" w:rsidR="343ABB30">
        <w:rPr>
          <w:rFonts w:ascii="Aptos" w:hAnsi="Aptos" w:eastAsia="Aptos" w:cs="Aptos"/>
          <w:sz w:val="24"/>
          <w:szCs w:val="24"/>
        </w:rPr>
        <w:t>. Oxford: Capstone.</w:t>
      </w:r>
    </w:p>
    <w:p w:rsidR="115BEA57" w:rsidP="17F38FA1" w:rsidRDefault="115BEA57" w14:paraId="6B8B4056" w14:textId="6A573015">
      <w:pPr>
        <w:pStyle w:val="Normal"/>
        <w:spacing w:before="240" w:beforeAutospacing="off" w:after="240" w:afterAutospacing="off"/>
        <w:rPr>
          <w:rFonts w:ascii="Aptos" w:hAnsi="Aptos" w:eastAsia="Aptos" w:cs="Aptos"/>
          <w:noProof w:val="0"/>
          <w:sz w:val="24"/>
          <w:szCs w:val="24"/>
          <w:lang w:val="en-GB"/>
        </w:rPr>
      </w:pPr>
      <w:r w:rsidRPr="17F38FA1" w:rsidR="4A0A7A9F">
        <w:rPr>
          <w:rFonts w:ascii="Aptos" w:hAnsi="Aptos" w:eastAsia="Aptos" w:cs="Aptos"/>
          <w:sz w:val="24"/>
          <w:szCs w:val="24"/>
        </w:rPr>
        <w:t>Food and Agriculture Organization of the United Nations</w:t>
      </w:r>
      <w:r w:rsidRPr="17F38FA1" w:rsidR="343ABB30">
        <w:rPr>
          <w:rFonts w:ascii="Aptos" w:hAnsi="Aptos" w:eastAsia="Aptos" w:cs="Aptos"/>
          <w:sz w:val="24"/>
          <w:szCs w:val="24"/>
        </w:rPr>
        <w:t xml:space="preserve"> (2021) </w:t>
      </w:r>
      <w:r w:rsidRPr="17F38FA1" w:rsidR="343ABB30">
        <w:rPr>
          <w:rFonts w:ascii="Aptos" w:hAnsi="Aptos" w:eastAsia="Aptos" w:cs="Aptos"/>
          <w:i w:val="1"/>
          <w:iCs w:val="1"/>
          <w:sz w:val="24"/>
          <w:szCs w:val="24"/>
        </w:rPr>
        <w:t>Sustainable Gastronomy</w:t>
      </w:r>
      <w:r w:rsidRPr="17F38FA1" w:rsidR="343ABB30">
        <w:rPr>
          <w:rFonts w:ascii="Aptos" w:hAnsi="Aptos" w:eastAsia="Aptos" w:cs="Aptos"/>
          <w:sz w:val="24"/>
          <w:szCs w:val="24"/>
        </w:rPr>
        <w:t xml:space="preserve">. </w:t>
      </w:r>
      <w:r w:rsidRPr="17F38FA1" w:rsidR="5F5A9CC0">
        <w:rPr>
          <w:rFonts w:ascii="Aptos" w:hAnsi="Aptos" w:eastAsia="Aptos" w:cs="Aptos"/>
          <w:sz w:val="24"/>
          <w:szCs w:val="24"/>
        </w:rPr>
        <w:t xml:space="preserve">Available at: </w:t>
      </w:r>
      <w:hyperlink r:id="R8015a8cc9fe04962">
        <w:r w:rsidRPr="17F38FA1" w:rsidR="7BD71A6B">
          <w:rPr>
            <w:rStyle w:val="Hyperlink"/>
            <w:rFonts w:ascii="Aptos" w:hAnsi="Aptos" w:eastAsia="Aptos" w:cs="Aptos"/>
            <w:noProof w:val="0"/>
            <w:sz w:val="24"/>
            <w:szCs w:val="24"/>
            <w:lang w:val="en-GB"/>
          </w:rPr>
          <w:t>Sustainable Gastronomy Day | FAO | Food and Agriculture Organization of the United Nations</w:t>
        </w:r>
      </w:hyperlink>
    </w:p>
    <w:p w:rsidR="115BEA57" w:rsidP="17F38FA1" w:rsidRDefault="115BEA57" w14:paraId="2AA975FC" w14:textId="6F56ADA2">
      <w:pPr>
        <w:spacing w:before="240" w:beforeAutospacing="off" w:after="240" w:afterAutospacing="off"/>
      </w:pPr>
      <w:r w:rsidRPr="17F38FA1" w:rsidR="343ABB30">
        <w:rPr>
          <w:rFonts w:ascii="Aptos" w:hAnsi="Aptos" w:eastAsia="Aptos" w:cs="Aptos"/>
          <w:sz w:val="24"/>
          <w:szCs w:val="24"/>
        </w:rPr>
        <w:t>Meadows, D. (2008)</w:t>
      </w:r>
      <w:r w:rsidRPr="17F38FA1" w:rsidR="343ABB30">
        <w:rPr>
          <w:rFonts w:ascii="Aptos" w:hAnsi="Aptos" w:eastAsia="Aptos" w:cs="Aptos"/>
          <w:sz w:val="24"/>
          <w:szCs w:val="24"/>
        </w:rPr>
        <w:t xml:space="preserve"> </w:t>
      </w:r>
      <w:r w:rsidRPr="17F38FA1" w:rsidR="343ABB30">
        <w:rPr>
          <w:rFonts w:ascii="Aptos" w:hAnsi="Aptos" w:eastAsia="Aptos" w:cs="Aptos"/>
          <w:i w:val="1"/>
          <w:iCs w:val="1"/>
          <w:sz w:val="24"/>
          <w:szCs w:val="24"/>
        </w:rPr>
        <w:t>Thinking</w:t>
      </w:r>
      <w:r w:rsidRPr="17F38FA1" w:rsidR="343ABB30">
        <w:rPr>
          <w:rFonts w:ascii="Aptos" w:hAnsi="Aptos" w:eastAsia="Aptos" w:cs="Aptos"/>
          <w:i w:val="1"/>
          <w:iCs w:val="1"/>
          <w:sz w:val="24"/>
          <w:szCs w:val="24"/>
        </w:rPr>
        <w:t xml:space="preserve"> in Systems: A Primer</w:t>
      </w:r>
      <w:r w:rsidRPr="17F38FA1" w:rsidR="343ABB30">
        <w:rPr>
          <w:rFonts w:ascii="Aptos" w:hAnsi="Aptos" w:eastAsia="Aptos" w:cs="Aptos"/>
          <w:sz w:val="24"/>
          <w:szCs w:val="24"/>
        </w:rPr>
        <w:t>. Chelsea Green Publishing.</w:t>
      </w:r>
    </w:p>
    <w:p w:rsidR="115BEA57" w:rsidP="17F38FA1" w:rsidRDefault="115BEA57" w14:paraId="78644C06" w14:textId="57C536E9">
      <w:pPr>
        <w:spacing w:before="240" w:beforeAutospacing="off" w:after="240" w:afterAutospacing="off"/>
      </w:pPr>
      <w:r w:rsidRPr="17F38FA1" w:rsidR="343ABB30">
        <w:rPr>
          <w:rFonts w:ascii="Aptos" w:hAnsi="Aptos" w:eastAsia="Aptos" w:cs="Aptos"/>
          <w:sz w:val="24"/>
          <w:szCs w:val="24"/>
        </w:rPr>
        <w:t xml:space="preserve">UNWTO (2022) </w:t>
      </w:r>
      <w:r w:rsidRPr="17F38FA1" w:rsidR="343ABB30">
        <w:rPr>
          <w:rFonts w:ascii="Aptos" w:hAnsi="Aptos" w:eastAsia="Aptos" w:cs="Aptos"/>
          <w:i w:val="1"/>
          <w:iCs w:val="1"/>
          <w:sz w:val="24"/>
          <w:szCs w:val="24"/>
        </w:rPr>
        <w:t>Tourism and Sustainability Report</w:t>
      </w:r>
      <w:r w:rsidRPr="17F38FA1" w:rsidR="343ABB30">
        <w:rPr>
          <w:rFonts w:ascii="Aptos" w:hAnsi="Aptos" w:eastAsia="Aptos" w:cs="Aptos"/>
          <w:sz w:val="24"/>
          <w:szCs w:val="24"/>
        </w:rPr>
        <w:t>. United Nations World Tourism Organization.</w:t>
      </w:r>
    </w:p>
    <w:p w:rsidR="115BEA57" w:rsidP="17F38FA1" w:rsidRDefault="115BEA57" w14:paraId="4D941CD0" w14:textId="7E33A7AA">
      <w:pPr>
        <w:pStyle w:val="Normal"/>
        <w:spacing w:before="240" w:beforeAutospacing="off" w:after="240" w:afterAutospacing="off"/>
      </w:pPr>
      <w:r w:rsidRPr="17F38FA1" w:rsidR="71B950ED">
        <w:rPr>
          <w:rFonts w:ascii="Aptos" w:hAnsi="Aptos" w:eastAsia="Aptos" w:cs="Aptos"/>
          <w:sz w:val="24"/>
          <w:szCs w:val="24"/>
        </w:rPr>
        <w:t>Baldwin, C. (2015)</w:t>
      </w:r>
      <w:r w:rsidRPr="17F38FA1" w:rsidR="71B950ED">
        <w:rPr>
          <w:rFonts w:ascii="Aptos" w:hAnsi="Aptos" w:eastAsia="Aptos" w:cs="Aptos"/>
          <w:sz w:val="24"/>
          <w:szCs w:val="24"/>
        </w:rPr>
        <w:t xml:space="preserve"> </w:t>
      </w:r>
      <w:r w:rsidRPr="17F38FA1" w:rsidR="71B950ED">
        <w:rPr>
          <w:rFonts w:ascii="Aptos" w:hAnsi="Aptos" w:eastAsia="Aptos" w:cs="Aptos"/>
          <w:i w:val="1"/>
          <w:iCs w:val="1"/>
          <w:sz w:val="24"/>
          <w:szCs w:val="24"/>
        </w:rPr>
        <w:t>The</w:t>
      </w:r>
      <w:r w:rsidRPr="17F38FA1" w:rsidR="71B950ED">
        <w:rPr>
          <w:rFonts w:ascii="Aptos" w:hAnsi="Aptos" w:eastAsia="Aptos" w:cs="Aptos"/>
          <w:i w:val="1"/>
          <w:iCs w:val="1"/>
          <w:sz w:val="24"/>
          <w:szCs w:val="24"/>
        </w:rPr>
        <w:t xml:space="preserve"> Food Sharing Revolution: Sustainability Through Transparency</w:t>
      </w:r>
      <w:r w:rsidRPr="17F38FA1" w:rsidR="71B950ED">
        <w:rPr>
          <w:rFonts w:ascii="Aptos" w:hAnsi="Aptos" w:eastAsia="Aptos" w:cs="Aptos"/>
          <w:sz w:val="24"/>
          <w:szCs w:val="24"/>
        </w:rPr>
        <w:t>.</w:t>
      </w:r>
    </w:p>
    <w:p w:rsidR="115BEA57" w:rsidP="17F38FA1" w:rsidRDefault="115BEA57" w14:paraId="7561BF06" w14:textId="765D1714">
      <w:pPr>
        <w:pStyle w:val="Normal"/>
        <w:spacing w:before="240" w:beforeAutospacing="off" w:after="240" w:afterAutospacing="off"/>
        <w:rPr>
          <w:rFonts w:ascii="Aptos" w:hAnsi="Aptos" w:eastAsia="Aptos" w:cs="Aptos"/>
          <w:sz w:val="24"/>
          <w:szCs w:val="24"/>
        </w:rPr>
      </w:pPr>
    </w:p>
    <w:p w:rsidR="115BEA57" w:rsidP="17F38FA1" w:rsidRDefault="115BEA57" w14:paraId="463A72C0" w14:textId="7C349B82">
      <w:pPr>
        <w:pStyle w:val="Normal"/>
        <w:spacing w:before="240" w:beforeAutospacing="off" w:after="240" w:afterAutospacing="off"/>
      </w:pPr>
      <w:r w:rsidRPr="17F38FA1" w:rsidR="395116FF">
        <w:rPr>
          <w:rFonts w:ascii="Aptos" w:hAnsi="Aptos" w:eastAsia="Aptos" w:cs="Aptos"/>
          <w:sz w:val="24"/>
          <w:szCs w:val="24"/>
        </w:rPr>
        <w:t>Baldwin, C. (2015)</w:t>
      </w:r>
      <w:r w:rsidRPr="17F38FA1" w:rsidR="395116FF">
        <w:rPr>
          <w:rFonts w:ascii="Aptos" w:hAnsi="Aptos" w:eastAsia="Aptos" w:cs="Aptos"/>
          <w:sz w:val="24"/>
          <w:szCs w:val="24"/>
        </w:rPr>
        <w:t xml:space="preserve"> </w:t>
      </w:r>
      <w:r w:rsidRPr="17F38FA1" w:rsidR="395116FF">
        <w:rPr>
          <w:rFonts w:ascii="Aptos" w:hAnsi="Aptos" w:eastAsia="Aptos" w:cs="Aptos"/>
          <w:i w:val="1"/>
          <w:iCs w:val="1"/>
          <w:sz w:val="24"/>
          <w:szCs w:val="24"/>
        </w:rPr>
        <w:t>The</w:t>
      </w:r>
      <w:r w:rsidRPr="17F38FA1" w:rsidR="395116FF">
        <w:rPr>
          <w:rFonts w:ascii="Aptos" w:hAnsi="Aptos" w:eastAsia="Aptos" w:cs="Aptos"/>
          <w:i w:val="1"/>
          <w:iCs w:val="1"/>
          <w:sz w:val="24"/>
          <w:szCs w:val="24"/>
        </w:rPr>
        <w:t xml:space="preserve"> Food Sharing Revolution: Sustainability Through Transparency</w:t>
      </w:r>
      <w:r w:rsidRPr="17F38FA1" w:rsidR="395116FF">
        <w:rPr>
          <w:rFonts w:ascii="Aptos" w:hAnsi="Aptos" w:eastAsia="Aptos" w:cs="Aptos"/>
          <w:sz w:val="24"/>
          <w:szCs w:val="24"/>
        </w:rPr>
        <w:t xml:space="preserve">. London: Earthscan. </w:t>
      </w:r>
    </w:p>
    <w:p w:rsidR="115BEA57" w:rsidP="17F38FA1" w:rsidRDefault="115BEA57" w14:paraId="2F8F7527" w14:textId="7C63AD7C">
      <w:pPr>
        <w:pStyle w:val="Normal"/>
        <w:spacing w:before="240" w:beforeAutospacing="off" w:after="240" w:afterAutospacing="off"/>
      </w:pPr>
      <w:r w:rsidRPr="17F38FA1" w:rsidR="395116FF">
        <w:rPr>
          <w:rFonts w:ascii="Aptos" w:hAnsi="Aptos" w:eastAsia="Aptos" w:cs="Aptos"/>
          <w:sz w:val="24"/>
          <w:szCs w:val="24"/>
        </w:rPr>
        <w:t xml:space="preserve">Bansal, P. and </w:t>
      </w:r>
      <w:r w:rsidRPr="17F38FA1" w:rsidR="395116FF">
        <w:rPr>
          <w:rFonts w:ascii="Aptos" w:hAnsi="Aptos" w:eastAsia="Aptos" w:cs="Aptos"/>
          <w:sz w:val="24"/>
          <w:szCs w:val="24"/>
        </w:rPr>
        <w:t>DesJardine</w:t>
      </w:r>
      <w:r w:rsidRPr="17F38FA1" w:rsidR="395116FF">
        <w:rPr>
          <w:rFonts w:ascii="Aptos" w:hAnsi="Aptos" w:eastAsia="Aptos" w:cs="Aptos"/>
          <w:sz w:val="24"/>
          <w:szCs w:val="24"/>
        </w:rPr>
        <w:t xml:space="preserve">, M. (2014) ‘Business sustainability: It is about time’, </w:t>
      </w:r>
      <w:r w:rsidRPr="17F38FA1" w:rsidR="395116FF">
        <w:rPr>
          <w:rFonts w:ascii="Aptos" w:hAnsi="Aptos" w:eastAsia="Aptos" w:cs="Aptos"/>
          <w:i w:val="1"/>
          <w:iCs w:val="1"/>
          <w:sz w:val="24"/>
          <w:szCs w:val="24"/>
        </w:rPr>
        <w:t>Strategic Organization</w:t>
      </w:r>
      <w:r w:rsidRPr="17F38FA1" w:rsidR="395116FF">
        <w:rPr>
          <w:rFonts w:ascii="Aptos" w:hAnsi="Aptos" w:eastAsia="Aptos" w:cs="Aptos"/>
          <w:sz w:val="24"/>
          <w:szCs w:val="24"/>
        </w:rPr>
        <w:t>, 12(1), pp. 70–78</w:t>
      </w:r>
    </w:p>
    <w:p w:rsidR="115BEA57" w:rsidP="17F38FA1" w:rsidRDefault="115BEA57" w14:paraId="0490A582" w14:textId="6740E45A">
      <w:pPr>
        <w:pStyle w:val="Normal"/>
        <w:spacing w:before="240" w:beforeAutospacing="off" w:after="240" w:afterAutospacing="off"/>
      </w:pPr>
      <w:r w:rsidRPr="17F38FA1" w:rsidR="395116FF">
        <w:rPr>
          <w:rFonts w:ascii="Aptos" w:hAnsi="Aptos" w:eastAsia="Aptos" w:cs="Aptos"/>
          <w:sz w:val="24"/>
          <w:szCs w:val="24"/>
        </w:rPr>
        <w:t xml:space="preserve">. Font, X., English, R. and </w:t>
      </w:r>
      <w:r w:rsidRPr="17F38FA1" w:rsidR="395116FF">
        <w:rPr>
          <w:rFonts w:ascii="Aptos" w:hAnsi="Aptos" w:eastAsia="Aptos" w:cs="Aptos"/>
          <w:sz w:val="24"/>
          <w:szCs w:val="24"/>
        </w:rPr>
        <w:t>Gkritzali</w:t>
      </w:r>
      <w:r w:rsidRPr="17F38FA1" w:rsidR="395116FF">
        <w:rPr>
          <w:rFonts w:ascii="Aptos" w:hAnsi="Aptos" w:eastAsia="Aptos" w:cs="Aptos"/>
          <w:sz w:val="24"/>
          <w:szCs w:val="24"/>
        </w:rPr>
        <w:t xml:space="preserve">, A. (2021) ‘Sustainable restaurant practices: A systematic review’, </w:t>
      </w:r>
      <w:r w:rsidRPr="17F38FA1" w:rsidR="395116FF">
        <w:rPr>
          <w:rFonts w:ascii="Aptos" w:hAnsi="Aptos" w:eastAsia="Aptos" w:cs="Aptos"/>
          <w:i w:val="1"/>
          <w:iCs w:val="1"/>
          <w:sz w:val="24"/>
          <w:szCs w:val="24"/>
        </w:rPr>
        <w:t>Journal of Sustainable Tourism</w:t>
      </w:r>
      <w:r w:rsidRPr="17F38FA1" w:rsidR="395116FF">
        <w:rPr>
          <w:rFonts w:ascii="Aptos" w:hAnsi="Aptos" w:eastAsia="Aptos" w:cs="Aptos"/>
          <w:sz w:val="24"/>
          <w:szCs w:val="24"/>
        </w:rPr>
        <w:t>, 29(6), pp. 889–910</w:t>
      </w:r>
    </w:p>
    <w:p w:rsidR="115BEA57" w:rsidP="17F38FA1" w:rsidRDefault="115BEA57" w14:paraId="769D91A1" w14:textId="1CCCE186">
      <w:pPr>
        <w:pStyle w:val="Normal"/>
        <w:spacing w:before="240" w:beforeAutospacing="off" w:after="240" w:afterAutospacing="off"/>
      </w:pPr>
      <w:r w:rsidRPr="17F38FA1" w:rsidR="54F036BE">
        <w:rPr>
          <w:rFonts w:ascii="Aptos" w:hAnsi="Aptos" w:eastAsia="Aptos" w:cs="Aptos"/>
          <w:sz w:val="24"/>
          <w:szCs w:val="24"/>
        </w:rPr>
        <w:t>Gössling</w:t>
      </w:r>
      <w:r w:rsidRPr="17F38FA1" w:rsidR="54F036BE">
        <w:rPr>
          <w:rFonts w:ascii="Aptos" w:hAnsi="Aptos" w:eastAsia="Aptos" w:cs="Aptos"/>
          <w:sz w:val="24"/>
          <w:szCs w:val="24"/>
        </w:rPr>
        <w:t xml:space="preserve">, S., Garrod, B., </w:t>
      </w:r>
      <w:r w:rsidRPr="17F38FA1" w:rsidR="54F036BE">
        <w:rPr>
          <w:rFonts w:ascii="Aptos" w:hAnsi="Aptos" w:eastAsia="Aptos" w:cs="Aptos"/>
          <w:sz w:val="24"/>
          <w:szCs w:val="24"/>
        </w:rPr>
        <w:t>Aall</w:t>
      </w:r>
      <w:r w:rsidRPr="17F38FA1" w:rsidR="54F036BE">
        <w:rPr>
          <w:rFonts w:ascii="Aptos" w:hAnsi="Aptos" w:eastAsia="Aptos" w:cs="Aptos"/>
          <w:sz w:val="24"/>
          <w:szCs w:val="24"/>
        </w:rPr>
        <w:t xml:space="preserve">, C., Hille, J. and Peeters, P. (2011) ‘Food management in tourism: Reducing tourism’s carbon “foodprint”’, </w:t>
      </w:r>
      <w:r w:rsidRPr="17F38FA1" w:rsidR="54F036BE">
        <w:rPr>
          <w:rFonts w:ascii="Aptos" w:hAnsi="Aptos" w:eastAsia="Aptos" w:cs="Aptos"/>
          <w:i w:val="1"/>
          <w:iCs w:val="1"/>
          <w:sz w:val="24"/>
          <w:szCs w:val="24"/>
        </w:rPr>
        <w:t>Tourism Management</w:t>
      </w:r>
      <w:r w:rsidRPr="17F38FA1" w:rsidR="54F036BE">
        <w:rPr>
          <w:rFonts w:ascii="Aptos" w:hAnsi="Aptos" w:eastAsia="Aptos" w:cs="Aptos"/>
          <w:sz w:val="24"/>
          <w:szCs w:val="24"/>
        </w:rPr>
        <w:t>, 32(3), pp. 534–543.</w:t>
      </w:r>
    </w:p>
    <w:p w:rsidR="115BEA57" w:rsidP="17F38FA1" w:rsidRDefault="115BEA57" w14:paraId="085F5F9A" w14:textId="51C03E80">
      <w:pPr>
        <w:pStyle w:val="Normal"/>
        <w:spacing w:before="240" w:beforeAutospacing="off" w:after="240" w:afterAutospacing="off"/>
      </w:pPr>
      <w:r w:rsidRPr="17F38FA1" w:rsidR="54F036BE">
        <w:rPr>
          <w:rFonts w:ascii="Aptos" w:hAnsi="Aptos" w:eastAsia="Aptos" w:cs="Aptos"/>
          <w:sz w:val="24"/>
          <w:szCs w:val="24"/>
        </w:rPr>
        <w:t xml:space="preserve">Jones, P., Hillier, D. and Comfort, D. (2016) ‘Sustainability in the hospitality industry’, </w:t>
      </w:r>
      <w:r w:rsidRPr="17F38FA1" w:rsidR="54F036BE">
        <w:rPr>
          <w:rFonts w:ascii="Aptos" w:hAnsi="Aptos" w:eastAsia="Aptos" w:cs="Aptos"/>
          <w:i w:val="1"/>
          <w:iCs w:val="1"/>
          <w:sz w:val="24"/>
          <w:szCs w:val="24"/>
        </w:rPr>
        <w:t>International Journal of Contemporary Hospitality Management</w:t>
      </w:r>
      <w:r w:rsidRPr="17F38FA1" w:rsidR="54F036BE">
        <w:rPr>
          <w:rFonts w:ascii="Aptos" w:hAnsi="Aptos" w:eastAsia="Aptos" w:cs="Aptos"/>
          <w:sz w:val="24"/>
          <w:szCs w:val="24"/>
        </w:rPr>
        <w:t>, 28(1), pp. 36–67.</w:t>
      </w:r>
    </w:p>
    <w:p w:rsidR="115BEA57" w:rsidP="17F38FA1" w:rsidRDefault="115BEA57" w14:paraId="001EA3D0" w14:textId="617F8731">
      <w:pPr>
        <w:pStyle w:val="Normal"/>
        <w:spacing w:before="240" w:beforeAutospacing="off" w:after="240" w:afterAutospacing="off"/>
      </w:pPr>
      <w:r w:rsidRPr="17F38FA1" w:rsidR="2FDFC56A">
        <w:rPr>
          <w:rFonts w:ascii="Aptos" w:hAnsi="Aptos" w:eastAsia="Aptos" w:cs="Aptos"/>
          <w:sz w:val="24"/>
          <w:szCs w:val="24"/>
        </w:rPr>
        <w:t xml:space="preserve">Scarpato, R. (2002) ‘Sustainable gastronomy as a tourist product’, in Hjalager, A. and Richards, G. (eds.) </w:t>
      </w:r>
      <w:r w:rsidRPr="17F38FA1" w:rsidR="2FDFC56A">
        <w:rPr>
          <w:rFonts w:ascii="Aptos" w:hAnsi="Aptos" w:eastAsia="Aptos" w:cs="Aptos"/>
          <w:i w:val="1"/>
          <w:iCs w:val="1"/>
          <w:sz w:val="24"/>
          <w:szCs w:val="24"/>
        </w:rPr>
        <w:t>Tourism and Gastronomy</w:t>
      </w:r>
      <w:r w:rsidRPr="17F38FA1" w:rsidR="2FDFC56A">
        <w:rPr>
          <w:rFonts w:ascii="Aptos" w:hAnsi="Aptos" w:eastAsia="Aptos" w:cs="Aptos"/>
          <w:sz w:val="24"/>
          <w:szCs w:val="24"/>
        </w:rPr>
        <w:t>. London: Routledge, pp. 132–152.</w:t>
      </w:r>
    </w:p>
    <w:p w:rsidR="115BEA57" w:rsidP="17F38FA1" w:rsidRDefault="115BEA57" w14:paraId="2E41E06B" w14:textId="38DAABFE">
      <w:pPr>
        <w:pStyle w:val="Normal"/>
        <w:spacing w:before="240" w:beforeAutospacing="off" w:after="240" w:afterAutospacing="off"/>
      </w:pPr>
      <w:r w:rsidRPr="17F38FA1" w:rsidR="2FDFC56A">
        <w:rPr>
          <w:rFonts w:ascii="Aptos" w:hAnsi="Aptos" w:eastAsia="Aptos" w:cs="Aptos"/>
          <w:sz w:val="24"/>
          <w:szCs w:val="24"/>
        </w:rPr>
        <w:t xml:space="preserve">Sims, R. (2009) ‘Food, place and authenticity: Local food and the sustainable tourism experience’, </w:t>
      </w:r>
      <w:r w:rsidRPr="17F38FA1" w:rsidR="2FDFC56A">
        <w:rPr>
          <w:rFonts w:ascii="Aptos" w:hAnsi="Aptos" w:eastAsia="Aptos" w:cs="Aptos"/>
          <w:i w:val="1"/>
          <w:iCs w:val="1"/>
          <w:sz w:val="24"/>
          <w:szCs w:val="24"/>
        </w:rPr>
        <w:t>Journal of Sustainable Tourism</w:t>
      </w:r>
      <w:r w:rsidRPr="17F38FA1" w:rsidR="2FDFC56A">
        <w:rPr>
          <w:rFonts w:ascii="Aptos" w:hAnsi="Aptos" w:eastAsia="Aptos" w:cs="Aptos"/>
          <w:sz w:val="24"/>
          <w:szCs w:val="24"/>
        </w:rPr>
        <w:t>, 17(3), pp. 321–336.</w:t>
      </w:r>
    </w:p>
    <w:p w:rsidR="115BEA57" w:rsidP="17F38FA1" w:rsidRDefault="115BEA57" w14:paraId="7950051D" w14:textId="06064D52">
      <w:pPr>
        <w:pStyle w:val="Normal"/>
        <w:spacing w:before="240" w:beforeAutospacing="off" w:after="240" w:afterAutospacing="off"/>
      </w:pPr>
      <w:r w:rsidRPr="17F38FA1" w:rsidR="2FDFC56A">
        <w:rPr>
          <w:rFonts w:ascii="Aptos" w:hAnsi="Aptos" w:eastAsia="Aptos" w:cs="Aptos"/>
          <w:sz w:val="24"/>
          <w:szCs w:val="24"/>
        </w:rPr>
        <w:t xml:space="preserve">Sloan, P., Legrand, </w:t>
      </w:r>
      <w:r w:rsidRPr="17F38FA1" w:rsidR="2FDFC56A">
        <w:rPr>
          <w:rFonts w:ascii="Aptos" w:hAnsi="Aptos" w:eastAsia="Aptos" w:cs="Aptos"/>
          <w:sz w:val="24"/>
          <w:szCs w:val="24"/>
        </w:rPr>
        <w:t>W.</w:t>
      </w:r>
      <w:r w:rsidRPr="17F38FA1" w:rsidR="2FDFC56A">
        <w:rPr>
          <w:rFonts w:ascii="Aptos" w:hAnsi="Aptos" w:eastAsia="Aptos" w:cs="Aptos"/>
          <w:sz w:val="24"/>
          <w:szCs w:val="24"/>
        </w:rPr>
        <w:t xml:space="preserve"> and Chen, J. (2013)</w:t>
      </w:r>
      <w:r w:rsidRPr="17F38FA1" w:rsidR="2FDFC56A">
        <w:rPr>
          <w:rFonts w:ascii="Aptos" w:hAnsi="Aptos" w:eastAsia="Aptos" w:cs="Aptos"/>
          <w:sz w:val="24"/>
          <w:szCs w:val="24"/>
        </w:rPr>
        <w:t xml:space="preserve"> </w:t>
      </w:r>
      <w:r w:rsidRPr="17F38FA1" w:rsidR="2FDFC56A">
        <w:rPr>
          <w:rFonts w:ascii="Aptos" w:hAnsi="Aptos" w:eastAsia="Aptos" w:cs="Aptos"/>
          <w:i w:val="1"/>
          <w:iCs w:val="1"/>
          <w:sz w:val="24"/>
          <w:szCs w:val="24"/>
        </w:rPr>
        <w:t>Sustainability</w:t>
      </w:r>
      <w:r w:rsidRPr="17F38FA1" w:rsidR="2FDFC56A">
        <w:rPr>
          <w:rFonts w:ascii="Aptos" w:hAnsi="Aptos" w:eastAsia="Aptos" w:cs="Aptos"/>
          <w:i w:val="1"/>
          <w:iCs w:val="1"/>
          <w:sz w:val="24"/>
          <w:szCs w:val="24"/>
        </w:rPr>
        <w:t xml:space="preserve"> in the Hospitality Industry: Principles of Sustainable Operations</w:t>
      </w:r>
      <w:r w:rsidRPr="17F38FA1" w:rsidR="2FDFC56A">
        <w:rPr>
          <w:rFonts w:ascii="Aptos" w:hAnsi="Aptos" w:eastAsia="Aptos" w:cs="Aptos"/>
          <w:sz w:val="24"/>
          <w:szCs w:val="24"/>
        </w:rPr>
        <w:t xml:space="preserve">. 2nd </w:t>
      </w:r>
      <w:r w:rsidRPr="17F38FA1" w:rsidR="2FDFC56A">
        <w:rPr>
          <w:rFonts w:ascii="Aptos" w:hAnsi="Aptos" w:eastAsia="Aptos" w:cs="Aptos"/>
          <w:sz w:val="24"/>
          <w:szCs w:val="24"/>
        </w:rPr>
        <w:t>edn</w:t>
      </w:r>
      <w:r w:rsidRPr="17F38FA1" w:rsidR="2FDFC56A">
        <w:rPr>
          <w:rFonts w:ascii="Aptos" w:hAnsi="Aptos" w:eastAsia="Aptos" w:cs="Aptos"/>
          <w:sz w:val="24"/>
          <w:szCs w:val="24"/>
        </w:rPr>
        <w:t>. Oxford: Routledge.</w:t>
      </w:r>
    </w:p>
    <w:p w:rsidR="115BEA57" w:rsidP="17F38FA1" w:rsidRDefault="115BEA57" w14:paraId="46AEFB4D" w14:textId="7C1CB589">
      <w:pPr>
        <w:spacing w:before="0" w:beforeAutospacing="off" w:after="240" w:afterAutospacing="off" w:line="360" w:lineRule="auto"/>
        <w:rPr>
          <w:rFonts w:ascii="Arial" w:hAnsi="Arial" w:eastAsia="Arial" w:cs="Arial"/>
          <w:noProof w:val="0"/>
          <w:sz w:val="24"/>
          <w:szCs w:val="24"/>
          <w:lang w:val="en-GB"/>
        </w:rPr>
      </w:pPr>
      <w:r w:rsidRPr="17F38FA1" w:rsidR="308A38F3">
        <w:rPr>
          <w:rFonts w:ascii="Arial" w:hAnsi="Arial" w:eastAsia="Arial" w:cs="Arial"/>
          <w:noProof w:val="0"/>
          <w:sz w:val="24"/>
          <w:szCs w:val="24"/>
          <w:lang w:val="en-GB"/>
        </w:rPr>
        <w:t xml:space="preserve">GOV.UK (1974). </w:t>
      </w:r>
      <w:r w:rsidRPr="17F38FA1" w:rsidR="308A38F3">
        <w:rPr>
          <w:rFonts w:ascii="Arial" w:hAnsi="Arial" w:eastAsia="Arial" w:cs="Arial"/>
          <w:i w:val="1"/>
          <w:iCs w:val="1"/>
          <w:noProof w:val="0"/>
          <w:sz w:val="24"/>
          <w:szCs w:val="24"/>
          <w:lang w:val="en-GB"/>
        </w:rPr>
        <w:t>Health and Safety at Work etc. Act 1974</w:t>
      </w:r>
      <w:r w:rsidRPr="17F38FA1" w:rsidR="308A38F3">
        <w:rPr>
          <w:rFonts w:ascii="Arial" w:hAnsi="Arial" w:eastAsia="Arial" w:cs="Arial"/>
          <w:noProof w:val="0"/>
          <w:sz w:val="24"/>
          <w:szCs w:val="24"/>
          <w:lang w:val="en-GB"/>
        </w:rPr>
        <w:t xml:space="preserve">. [online] legislation.gov.uk. Available at: </w:t>
      </w:r>
      <w:hyperlink r:id="R283bb7e904db4c1b">
        <w:r w:rsidRPr="17F38FA1" w:rsidR="308A38F3">
          <w:rPr>
            <w:rStyle w:val="Hyperlink"/>
            <w:rFonts w:ascii="Arial" w:hAnsi="Arial" w:eastAsia="Arial" w:cs="Arial"/>
            <w:noProof w:val="0"/>
            <w:sz w:val="24"/>
            <w:szCs w:val="24"/>
            <w:lang w:val="en-GB"/>
          </w:rPr>
          <w:t>https://www.legislation.gov.uk/ukpga/1974/37/contents</w:t>
        </w:r>
      </w:hyperlink>
      <w:r w:rsidRPr="17F38FA1" w:rsidR="308A38F3">
        <w:rPr>
          <w:rFonts w:ascii="Arial" w:hAnsi="Arial" w:eastAsia="Arial" w:cs="Arial"/>
          <w:noProof w:val="0"/>
          <w:sz w:val="24"/>
          <w:szCs w:val="24"/>
          <w:lang w:val="en-GB"/>
        </w:rPr>
        <w:t>.</w:t>
      </w:r>
    </w:p>
    <w:p w:rsidR="115BEA57" w:rsidP="17F38FA1" w:rsidRDefault="115BEA57" w14:paraId="0BD64BC4" w14:textId="20F662B1">
      <w:pPr>
        <w:spacing w:before="0" w:beforeAutospacing="off" w:after="240" w:afterAutospacing="off" w:line="360" w:lineRule="auto"/>
        <w:rPr>
          <w:rFonts w:ascii="Arial" w:hAnsi="Arial" w:eastAsia="Arial" w:cs="Arial"/>
          <w:noProof w:val="0"/>
          <w:sz w:val="24"/>
          <w:szCs w:val="24"/>
          <w:lang w:val="en-GB"/>
        </w:rPr>
      </w:pPr>
      <w:r w:rsidRPr="17F38FA1" w:rsidR="308A38F3">
        <w:rPr>
          <w:rFonts w:ascii="Arial" w:hAnsi="Arial" w:eastAsia="Arial" w:cs="Arial"/>
          <w:noProof w:val="0"/>
          <w:sz w:val="24"/>
          <w:szCs w:val="24"/>
          <w:lang w:val="en-GB"/>
        </w:rPr>
        <w:t xml:space="preserve">GOV.UK (2015). </w:t>
      </w:r>
      <w:r w:rsidRPr="17F38FA1" w:rsidR="308A38F3">
        <w:rPr>
          <w:rFonts w:ascii="Arial" w:hAnsi="Arial" w:eastAsia="Arial" w:cs="Arial"/>
          <w:i w:val="1"/>
          <w:iCs w:val="1"/>
          <w:noProof w:val="0"/>
          <w:sz w:val="24"/>
          <w:szCs w:val="24"/>
          <w:lang w:val="en-GB"/>
        </w:rPr>
        <w:t>Modern Slavery Act 2015</w:t>
      </w:r>
      <w:r w:rsidRPr="17F38FA1" w:rsidR="308A38F3">
        <w:rPr>
          <w:rFonts w:ascii="Arial" w:hAnsi="Arial" w:eastAsia="Arial" w:cs="Arial"/>
          <w:noProof w:val="0"/>
          <w:sz w:val="24"/>
          <w:szCs w:val="24"/>
          <w:lang w:val="en-GB"/>
        </w:rPr>
        <w:t xml:space="preserve">. [online] </w:t>
      </w:r>
      <w:hyperlink r:id="R167b4fdd4f1f4e4d">
        <w:r w:rsidRPr="17F38FA1" w:rsidR="308A38F3">
          <w:rPr>
            <w:rStyle w:val="Hyperlink"/>
            <w:rFonts w:ascii="Arial" w:hAnsi="Arial" w:eastAsia="Arial" w:cs="Arial"/>
            <w:noProof w:val="0"/>
            <w:sz w:val="24"/>
            <w:szCs w:val="24"/>
            <w:lang w:val="en-GB"/>
          </w:rPr>
          <w:t>www.legislation.gov.uk</w:t>
        </w:r>
      </w:hyperlink>
      <w:r w:rsidRPr="17F38FA1" w:rsidR="308A38F3">
        <w:rPr>
          <w:rFonts w:ascii="Arial" w:hAnsi="Arial" w:eastAsia="Arial" w:cs="Arial"/>
          <w:noProof w:val="0"/>
          <w:sz w:val="24"/>
          <w:szCs w:val="24"/>
          <w:lang w:val="en-GB"/>
        </w:rPr>
        <w:t xml:space="preserve">. Available at: </w:t>
      </w:r>
      <w:hyperlink r:id="R91b19d46b9cc4062">
        <w:r w:rsidRPr="17F38FA1" w:rsidR="308A38F3">
          <w:rPr>
            <w:rStyle w:val="Hyperlink"/>
            <w:rFonts w:ascii="Arial" w:hAnsi="Arial" w:eastAsia="Arial" w:cs="Arial"/>
            <w:noProof w:val="0"/>
            <w:sz w:val="24"/>
            <w:szCs w:val="24"/>
            <w:lang w:val="en-GB"/>
          </w:rPr>
          <w:t>https://www.legislation.gov.uk/ukpga/2015/30/contents</w:t>
        </w:r>
      </w:hyperlink>
      <w:r w:rsidRPr="17F38FA1" w:rsidR="308A38F3">
        <w:rPr>
          <w:rFonts w:ascii="Arial" w:hAnsi="Arial" w:eastAsia="Arial" w:cs="Arial"/>
          <w:noProof w:val="0"/>
          <w:sz w:val="24"/>
          <w:szCs w:val="24"/>
          <w:lang w:val="en-GB"/>
        </w:rPr>
        <w:t>.</w:t>
      </w:r>
    </w:p>
    <w:p w:rsidR="115BEA57" w:rsidP="17F38FA1" w:rsidRDefault="115BEA57" w14:paraId="47AD6F7E" w14:textId="2524AD75">
      <w:pPr>
        <w:spacing w:before="0" w:beforeAutospacing="off" w:after="240" w:afterAutospacing="off" w:line="360" w:lineRule="auto"/>
        <w:rPr>
          <w:rFonts w:ascii="Arial" w:hAnsi="Arial" w:eastAsia="Arial" w:cs="Arial"/>
          <w:noProof w:val="0"/>
          <w:sz w:val="24"/>
          <w:szCs w:val="24"/>
          <w:lang w:val="en-GB"/>
        </w:rPr>
      </w:pPr>
      <w:r w:rsidRPr="17F38FA1" w:rsidR="308A38F3">
        <w:rPr>
          <w:rFonts w:ascii="Arial" w:hAnsi="Arial" w:eastAsia="Arial" w:cs="Arial"/>
          <w:noProof w:val="0"/>
          <w:sz w:val="24"/>
          <w:szCs w:val="24"/>
          <w:lang w:val="en-GB"/>
        </w:rPr>
        <w:t xml:space="preserve">GOV.UK (2025a). </w:t>
      </w:r>
      <w:r w:rsidRPr="17F38FA1" w:rsidR="308A38F3">
        <w:rPr>
          <w:rFonts w:ascii="Arial" w:hAnsi="Arial" w:eastAsia="Arial" w:cs="Arial"/>
          <w:i w:val="1"/>
          <w:iCs w:val="1"/>
          <w:noProof w:val="0"/>
          <w:sz w:val="24"/>
          <w:szCs w:val="24"/>
          <w:lang w:val="en-GB"/>
        </w:rPr>
        <w:t>Food Safety Act 1990</w:t>
      </w:r>
      <w:r w:rsidRPr="17F38FA1" w:rsidR="308A38F3">
        <w:rPr>
          <w:rFonts w:ascii="Arial" w:hAnsi="Arial" w:eastAsia="Arial" w:cs="Arial"/>
          <w:noProof w:val="0"/>
          <w:sz w:val="24"/>
          <w:szCs w:val="24"/>
          <w:lang w:val="en-GB"/>
        </w:rPr>
        <w:t xml:space="preserve">. [online] Legislation.gov.uk. Available at: </w:t>
      </w:r>
      <w:hyperlink r:id="Reb7fea647b21442e">
        <w:r w:rsidRPr="17F38FA1" w:rsidR="308A38F3">
          <w:rPr>
            <w:rStyle w:val="Hyperlink"/>
            <w:rFonts w:ascii="Arial" w:hAnsi="Arial" w:eastAsia="Arial" w:cs="Arial"/>
            <w:noProof w:val="0"/>
            <w:sz w:val="24"/>
            <w:szCs w:val="24"/>
            <w:lang w:val="en-GB"/>
          </w:rPr>
          <w:t>https://www.legislation.gov.uk/ukpga/1990/16/contents</w:t>
        </w:r>
      </w:hyperlink>
      <w:r w:rsidRPr="17F38FA1" w:rsidR="308A38F3">
        <w:rPr>
          <w:rFonts w:ascii="Arial" w:hAnsi="Arial" w:eastAsia="Arial" w:cs="Arial"/>
          <w:noProof w:val="0"/>
          <w:sz w:val="24"/>
          <w:szCs w:val="24"/>
          <w:lang w:val="en-GB"/>
        </w:rPr>
        <w:t>.</w:t>
      </w:r>
    </w:p>
    <w:p w:rsidR="115BEA57" w:rsidP="17F38FA1" w:rsidRDefault="115BEA57" w14:paraId="2EDDA7E9" w14:textId="2BCC5572">
      <w:pPr>
        <w:spacing w:before="0" w:beforeAutospacing="off" w:after="240" w:afterAutospacing="off" w:line="360" w:lineRule="auto"/>
        <w:rPr>
          <w:rFonts w:ascii="Arial" w:hAnsi="Arial" w:eastAsia="Arial" w:cs="Arial"/>
          <w:noProof w:val="0"/>
          <w:sz w:val="24"/>
          <w:szCs w:val="24"/>
          <w:lang w:val="en-GB"/>
        </w:rPr>
      </w:pPr>
      <w:r w:rsidRPr="17F38FA1" w:rsidR="308A38F3">
        <w:rPr>
          <w:rFonts w:ascii="Arial" w:hAnsi="Arial" w:eastAsia="Arial" w:cs="Arial"/>
          <w:noProof w:val="0"/>
          <w:sz w:val="24"/>
          <w:szCs w:val="24"/>
          <w:lang w:val="en-GB"/>
        </w:rPr>
        <w:t xml:space="preserve">GOV.UK (2025b). </w:t>
      </w:r>
      <w:r w:rsidRPr="17F38FA1" w:rsidR="308A38F3">
        <w:rPr>
          <w:rFonts w:ascii="Arial" w:hAnsi="Arial" w:eastAsia="Arial" w:cs="Arial"/>
          <w:i w:val="1"/>
          <w:iCs w:val="1"/>
          <w:noProof w:val="0"/>
          <w:sz w:val="24"/>
          <w:szCs w:val="24"/>
          <w:lang w:val="en-GB"/>
        </w:rPr>
        <w:t>National Minimum Wage Act 1998</w:t>
      </w:r>
      <w:r w:rsidRPr="17F38FA1" w:rsidR="308A38F3">
        <w:rPr>
          <w:rFonts w:ascii="Arial" w:hAnsi="Arial" w:eastAsia="Arial" w:cs="Arial"/>
          <w:noProof w:val="0"/>
          <w:sz w:val="24"/>
          <w:szCs w:val="24"/>
          <w:lang w:val="en-GB"/>
        </w:rPr>
        <w:t xml:space="preserve">. [online] Legislation.gov.uk. Available at: </w:t>
      </w:r>
      <w:hyperlink r:id="Rc484e6eb173645c1">
        <w:r w:rsidRPr="17F38FA1" w:rsidR="308A38F3">
          <w:rPr>
            <w:rStyle w:val="Hyperlink"/>
            <w:rFonts w:ascii="Arial" w:hAnsi="Arial" w:eastAsia="Arial" w:cs="Arial"/>
            <w:noProof w:val="0"/>
            <w:sz w:val="24"/>
            <w:szCs w:val="24"/>
            <w:lang w:val="en-GB"/>
          </w:rPr>
          <w:t>https://www.legislation.gov.uk/ukpga/1998/39/contents</w:t>
        </w:r>
      </w:hyperlink>
      <w:r w:rsidRPr="17F38FA1" w:rsidR="308A38F3">
        <w:rPr>
          <w:rFonts w:ascii="Arial" w:hAnsi="Arial" w:eastAsia="Arial" w:cs="Arial"/>
          <w:noProof w:val="0"/>
          <w:sz w:val="24"/>
          <w:szCs w:val="24"/>
          <w:lang w:val="en-GB"/>
        </w:rPr>
        <w:t>.</w:t>
      </w:r>
    </w:p>
    <w:p w:rsidR="115BEA57" w:rsidP="17F38FA1" w:rsidRDefault="115BEA57" w14:paraId="5EDC4C05" w14:textId="1D5D9009">
      <w:pPr>
        <w:spacing w:before="0" w:beforeAutospacing="off" w:after="240" w:afterAutospacing="off" w:line="360" w:lineRule="auto"/>
        <w:rPr>
          <w:rFonts w:ascii="Arial" w:hAnsi="Arial" w:eastAsia="Arial" w:cs="Arial"/>
          <w:noProof w:val="0"/>
          <w:sz w:val="24"/>
          <w:szCs w:val="24"/>
          <w:lang w:val="en-GB"/>
        </w:rPr>
      </w:pPr>
      <w:r w:rsidRPr="17F38FA1" w:rsidR="308A38F3">
        <w:rPr>
          <w:rFonts w:ascii="Arial" w:hAnsi="Arial" w:eastAsia="Arial" w:cs="Arial"/>
          <w:noProof w:val="0"/>
          <w:sz w:val="24"/>
          <w:szCs w:val="24"/>
          <w:lang w:val="en-GB"/>
        </w:rPr>
        <w:t xml:space="preserve">Gov.uk (2022). </w:t>
      </w:r>
      <w:r w:rsidRPr="17F38FA1" w:rsidR="308A38F3">
        <w:rPr>
          <w:rFonts w:ascii="Arial" w:hAnsi="Arial" w:eastAsia="Arial" w:cs="Arial"/>
          <w:i w:val="1"/>
          <w:iCs w:val="1"/>
          <w:noProof w:val="0"/>
          <w:sz w:val="24"/>
          <w:szCs w:val="24"/>
          <w:lang w:val="en-GB"/>
        </w:rPr>
        <w:t>The Waste (England and Wales) Regulations 2011</w:t>
      </w:r>
      <w:r w:rsidRPr="17F38FA1" w:rsidR="308A38F3">
        <w:rPr>
          <w:rFonts w:ascii="Arial" w:hAnsi="Arial" w:eastAsia="Arial" w:cs="Arial"/>
          <w:noProof w:val="0"/>
          <w:sz w:val="24"/>
          <w:szCs w:val="24"/>
          <w:lang w:val="en-GB"/>
        </w:rPr>
        <w:t xml:space="preserve">. [online] Legislation.gov.uk. Available at: </w:t>
      </w:r>
      <w:hyperlink r:id="R9b09e7d734b74014">
        <w:r w:rsidRPr="17F38FA1" w:rsidR="308A38F3">
          <w:rPr>
            <w:rStyle w:val="Hyperlink"/>
            <w:rFonts w:ascii="Arial" w:hAnsi="Arial" w:eastAsia="Arial" w:cs="Arial"/>
            <w:noProof w:val="0"/>
            <w:sz w:val="24"/>
            <w:szCs w:val="24"/>
            <w:lang w:val="en-GB"/>
          </w:rPr>
          <w:t>https://www.legislation.gov.uk/uksi/2011/988/contents</w:t>
        </w:r>
      </w:hyperlink>
      <w:r w:rsidRPr="17F38FA1" w:rsidR="308A38F3">
        <w:rPr>
          <w:rFonts w:ascii="Arial" w:hAnsi="Arial" w:eastAsia="Arial" w:cs="Arial"/>
          <w:noProof w:val="0"/>
          <w:sz w:val="24"/>
          <w:szCs w:val="24"/>
          <w:lang w:val="en-GB"/>
        </w:rPr>
        <w:t>.</w:t>
      </w:r>
    </w:p>
    <w:p w:rsidR="115BEA57" w:rsidP="17F38FA1" w:rsidRDefault="115BEA57" w14:paraId="5607C121" w14:textId="5F2AFBF6">
      <w:pPr>
        <w:spacing w:before="0" w:beforeAutospacing="off" w:after="240" w:afterAutospacing="off" w:line="360" w:lineRule="auto"/>
        <w:rPr>
          <w:rFonts w:ascii="Arial" w:hAnsi="Arial" w:eastAsia="Arial" w:cs="Arial"/>
          <w:noProof w:val="0"/>
          <w:sz w:val="24"/>
          <w:szCs w:val="24"/>
          <w:lang w:val="en-GB"/>
        </w:rPr>
      </w:pPr>
      <w:r w:rsidRPr="17F38FA1" w:rsidR="308A38F3">
        <w:rPr>
          <w:rFonts w:ascii="Arial" w:hAnsi="Arial" w:eastAsia="Arial" w:cs="Arial"/>
          <w:noProof w:val="0"/>
          <w:sz w:val="24"/>
          <w:szCs w:val="24"/>
          <w:lang w:val="en-GB"/>
        </w:rPr>
        <w:t xml:space="preserve">Legislation.gov. (2013). </w:t>
      </w:r>
      <w:r w:rsidRPr="17F38FA1" w:rsidR="308A38F3">
        <w:rPr>
          <w:rFonts w:ascii="Arial" w:hAnsi="Arial" w:eastAsia="Arial" w:cs="Arial"/>
          <w:i w:val="1"/>
          <w:iCs w:val="1"/>
          <w:noProof w:val="0"/>
          <w:sz w:val="24"/>
          <w:szCs w:val="24"/>
          <w:lang w:val="en-GB"/>
        </w:rPr>
        <w:t>The Food Safety and Hygiene (England) Regulations 2013</w:t>
      </w:r>
      <w:r w:rsidRPr="17F38FA1" w:rsidR="308A38F3">
        <w:rPr>
          <w:rFonts w:ascii="Arial" w:hAnsi="Arial" w:eastAsia="Arial" w:cs="Arial"/>
          <w:noProof w:val="0"/>
          <w:sz w:val="24"/>
          <w:szCs w:val="24"/>
          <w:lang w:val="en-GB"/>
        </w:rPr>
        <w:t xml:space="preserve">. [online] Available at: </w:t>
      </w:r>
      <w:hyperlink r:id="R18f307b8acb34f0f">
        <w:r w:rsidRPr="17F38FA1" w:rsidR="308A38F3">
          <w:rPr>
            <w:rStyle w:val="Hyperlink"/>
            <w:rFonts w:ascii="Arial" w:hAnsi="Arial" w:eastAsia="Arial" w:cs="Arial"/>
            <w:noProof w:val="0"/>
            <w:sz w:val="24"/>
            <w:szCs w:val="24"/>
            <w:lang w:val="en-GB"/>
          </w:rPr>
          <w:t>https://www.legislation.gov.uk/uksi/2013/2996/contents</w:t>
        </w:r>
      </w:hyperlink>
      <w:r w:rsidRPr="17F38FA1" w:rsidR="308A38F3">
        <w:rPr>
          <w:rFonts w:ascii="Arial" w:hAnsi="Arial" w:eastAsia="Arial" w:cs="Arial"/>
          <w:noProof w:val="0"/>
          <w:sz w:val="24"/>
          <w:szCs w:val="24"/>
          <w:lang w:val="en-GB"/>
        </w:rPr>
        <w:t>.</w:t>
      </w:r>
    </w:p>
    <w:p w:rsidR="115BEA57" w:rsidP="17F38FA1" w:rsidRDefault="115BEA57" w14:paraId="2922C2A2" w14:textId="22DD2100">
      <w:pPr>
        <w:spacing w:before="0" w:beforeAutospacing="off" w:after="240" w:afterAutospacing="off" w:line="360" w:lineRule="auto"/>
        <w:rPr>
          <w:rFonts w:ascii="Arial" w:hAnsi="Arial" w:eastAsia="Arial" w:cs="Arial"/>
          <w:noProof w:val="0"/>
          <w:sz w:val="24"/>
          <w:szCs w:val="24"/>
          <w:lang w:val="en-GB"/>
        </w:rPr>
      </w:pPr>
      <w:r w:rsidRPr="17F38FA1" w:rsidR="308A38F3">
        <w:rPr>
          <w:rFonts w:ascii="Arial" w:hAnsi="Arial" w:eastAsia="Arial" w:cs="Arial"/>
          <w:noProof w:val="0"/>
          <w:sz w:val="24"/>
          <w:szCs w:val="24"/>
          <w:lang w:val="en-GB"/>
        </w:rPr>
        <w:t xml:space="preserve">Legislation.gov. (2025a). </w:t>
      </w:r>
      <w:r w:rsidRPr="17F38FA1" w:rsidR="308A38F3">
        <w:rPr>
          <w:rFonts w:ascii="Arial" w:hAnsi="Arial" w:eastAsia="Arial" w:cs="Arial"/>
          <w:i w:val="1"/>
          <w:iCs w:val="1"/>
          <w:noProof w:val="0"/>
          <w:sz w:val="24"/>
          <w:szCs w:val="24"/>
          <w:lang w:val="en-GB"/>
        </w:rPr>
        <w:t>Employment Rights Act 1996</w:t>
      </w:r>
      <w:r w:rsidRPr="17F38FA1" w:rsidR="308A38F3">
        <w:rPr>
          <w:rFonts w:ascii="Arial" w:hAnsi="Arial" w:eastAsia="Arial" w:cs="Arial"/>
          <w:noProof w:val="0"/>
          <w:sz w:val="24"/>
          <w:szCs w:val="24"/>
          <w:lang w:val="en-GB"/>
        </w:rPr>
        <w:t xml:space="preserve">. [online] Available at: </w:t>
      </w:r>
      <w:hyperlink r:id="R3f1da61ce7e647d3">
        <w:r w:rsidRPr="17F38FA1" w:rsidR="308A38F3">
          <w:rPr>
            <w:rStyle w:val="Hyperlink"/>
            <w:rFonts w:ascii="Arial" w:hAnsi="Arial" w:eastAsia="Arial" w:cs="Arial"/>
            <w:noProof w:val="0"/>
            <w:sz w:val="24"/>
            <w:szCs w:val="24"/>
            <w:lang w:val="en-GB"/>
          </w:rPr>
          <w:t>https://www.legislation.gov.uk/ukpga/1996/18/contents</w:t>
        </w:r>
      </w:hyperlink>
      <w:r w:rsidRPr="17F38FA1" w:rsidR="308A38F3">
        <w:rPr>
          <w:rFonts w:ascii="Arial" w:hAnsi="Arial" w:eastAsia="Arial" w:cs="Arial"/>
          <w:noProof w:val="0"/>
          <w:sz w:val="24"/>
          <w:szCs w:val="24"/>
          <w:lang w:val="en-GB"/>
        </w:rPr>
        <w:t>.</w:t>
      </w:r>
    </w:p>
    <w:p w:rsidR="115BEA57" w:rsidP="17F38FA1" w:rsidRDefault="115BEA57" w14:paraId="4D3BB5BF" w14:textId="18D62B8D">
      <w:pPr>
        <w:spacing w:before="0" w:beforeAutospacing="off" w:after="240" w:afterAutospacing="off" w:line="360" w:lineRule="auto"/>
        <w:rPr>
          <w:rFonts w:ascii="Arial" w:hAnsi="Arial" w:eastAsia="Arial" w:cs="Arial"/>
          <w:noProof w:val="0"/>
          <w:sz w:val="24"/>
          <w:szCs w:val="24"/>
          <w:lang w:val="en-GB"/>
        </w:rPr>
      </w:pPr>
      <w:r w:rsidRPr="17F38FA1" w:rsidR="308A38F3">
        <w:rPr>
          <w:rFonts w:ascii="Arial" w:hAnsi="Arial" w:eastAsia="Arial" w:cs="Arial"/>
          <w:noProof w:val="0"/>
          <w:sz w:val="24"/>
          <w:szCs w:val="24"/>
          <w:lang w:val="en-GB"/>
        </w:rPr>
        <w:t xml:space="preserve">Legislation.gov. (2025b). </w:t>
      </w:r>
      <w:r w:rsidRPr="17F38FA1" w:rsidR="308A38F3">
        <w:rPr>
          <w:rFonts w:ascii="Arial" w:hAnsi="Arial" w:eastAsia="Arial" w:cs="Arial"/>
          <w:i w:val="1"/>
          <w:iCs w:val="1"/>
          <w:noProof w:val="0"/>
          <w:sz w:val="24"/>
          <w:szCs w:val="24"/>
          <w:lang w:val="en-GB"/>
        </w:rPr>
        <w:t>Environmental Protection Act 1990</w:t>
      </w:r>
      <w:r w:rsidRPr="17F38FA1" w:rsidR="308A38F3">
        <w:rPr>
          <w:rFonts w:ascii="Arial" w:hAnsi="Arial" w:eastAsia="Arial" w:cs="Arial"/>
          <w:noProof w:val="0"/>
          <w:sz w:val="24"/>
          <w:szCs w:val="24"/>
          <w:lang w:val="en-GB"/>
        </w:rPr>
        <w:t xml:space="preserve">. [online] Available at: </w:t>
      </w:r>
      <w:hyperlink r:id="R280a8a8f5b0143cf">
        <w:r w:rsidRPr="17F38FA1" w:rsidR="308A38F3">
          <w:rPr>
            <w:rStyle w:val="Hyperlink"/>
            <w:rFonts w:ascii="Arial" w:hAnsi="Arial" w:eastAsia="Arial" w:cs="Arial"/>
            <w:noProof w:val="0"/>
            <w:sz w:val="24"/>
            <w:szCs w:val="24"/>
            <w:lang w:val="en-GB"/>
          </w:rPr>
          <w:t>https://www.legislation.gov.uk/ukpga/1990/43/contents</w:t>
        </w:r>
      </w:hyperlink>
      <w:r w:rsidRPr="17F38FA1" w:rsidR="308A38F3">
        <w:rPr>
          <w:rFonts w:ascii="Arial" w:hAnsi="Arial" w:eastAsia="Arial" w:cs="Arial"/>
          <w:noProof w:val="0"/>
          <w:sz w:val="24"/>
          <w:szCs w:val="24"/>
          <w:lang w:val="en-GB"/>
        </w:rPr>
        <w:t>.</w:t>
      </w:r>
    </w:p>
    <w:p w:rsidR="115BEA57" w:rsidP="17F38FA1" w:rsidRDefault="115BEA57" w14:paraId="03809804" w14:textId="1EBAE6C0">
      <w:pPr>
        <w:spacing w:before="0" w:beforeAutospacing="off" w:after="240" w:afterAutospacing="off" w:line="360" w:lineRule="auto"/>
        <w:rPr>
          <w:rFonts w:ascii="Arial" w:hAnsi="Arial" w:eastAsia="Arial" w:cs="Arial"/>
          <w:noProof w:val="0"/>
          <w:sz w:val="24"/>
          <w:szCs w:val="24"/>
          <w:lang w:val="en-GB"/>
        </w:rPr>
      </w:pPr>
      <w:r w:rsidRPr="17F38FA1" w:rsidR="308A38F3">
        <w:rPr>
          <w:rFonts w:ascii="Arial" w:hAnsi="Arial" w:eastAsia="Arial" w:cs="Arial"/>
          <w:noProof w:val="0"/>
          <w:sz w:val="24"/>
          <w:szCs w:val="24"/>
          <w:lang w:val="en-GB"/>
        </w:rPr>
        <w:t xml:space="preserve">UK Government (2008). </w:t>
      </w:r>
      <w:r w:rsidRPr="17F38FA1" w:rsidR="308A38F3">
        <w:rPr>
          <w:rFonts w:ascii="Arial" w:hAnsi="Arial" w:eastAsia="Arial" w:cs="Arial"/>
          <w:i w:val="1"/>
          <w:iCs w:val="1"/>
          <w:noProof w:val="0"/>
          <w:sz w:val="24"/>
          <w:szCs w:val="24"/>
          <w:lang w:val="en-GB"/>
        </w:rPr>
        <w:t>Climate Change Act 2008</w:t>
      </w:r>
      <w:r w:rsidRPr="17F38FA1" w:rsidR="308A38F3">
        <w:rPr>
          <w:rFonts w:ascii="Arial" w:hAnsi="Arial" w:eastAsia="Arial" w:cs="Arial"/>
          <w:noProof w:val="0"/>
          <w:sz w:val="24"/>
          <w:szCs w:val="24"/>
          <w:lang w:val="en-GB"/>
        </w:rPr>
        <w:t xml:space="preserve">. [online] Legislation.gov.uk. Available at: </w:t>
      </w:r>
      <w:hyperlink r:id="R1f89bcf83a0f4627">
        <w:r w:rsidRPr="17F38FA1" w:rsidR="308A38F3">
          <w:rPr>
            <w:rStyle w:val="Hyperlink"/>
            <w:rFonts w:ascii="Arial" w:hAnsi="Arial" w:eastAsia="Arial" w:cs="Arial"/>
            <w:noProof w:val="0"/>
            <w:sz w:val="24"/>
            <w:szCs w:val="24"/>
            <w:lang w:val="en-GB"/>
          </w:rPr>
          <w:t>https://www.legislation.gov.uk/ukpga/2008/27/contents</w:t>
        </w:r>
      </w:hyperlink>
      <w:r w:rsidRPr="17F38FA1" w:rsidR="308A38F3">
        <w:rPr>
          <w:rFonts w:ascii="Arial" w:hAnsi="Arial" w:eastAsia="Arial" w:cs="Arial"/>
          <w:noProof w:val="0"/>
          <w:sz w:val="24"/>
          <w:szCs w:val="24"/>
          <w:lang w:val="en-GB"/>
        </w:rPr>
        <w:t>.</w:t>
      </w:r>
    </w:p>
    <w:p w:rsidR="115BEA57" w:rsidP="17F38FA1" w:rsidRDefault="115BEA57" w14:paraId="41EBF55B" w14:textId="639B08FB">
      <w:pPr>
        <w:pStyle w:val="Normal"/>
        <w:spacing w:before="240" w:beforeAutospacing="off" w:after="240" w:afterAutospacing="off"/>
      </w:pPr>
      <w:r w:rsidRPr="17F38FA1" w:rsidR="308A38F3">
        <w:rPr>
          <w:rFonts w:ascii="Aptos" w:hAnsi="Aptos" w:eastAsia="Aptos" w:cs="Aptos"/>
          <w:noProof w:val="0"/>
          <w:sz w:val="24"/>
          <w:szCs w:val="24"/>
          <w:lang w:val="en-GB"/>
        </w:rPr>
        <w:t>Geissdoerfer</w:t>
      </w:r>
      <w:r w:rsidRPr="17F38FA1" w:rsidR="308A38F3">
        <w:rPr>
          <w:rFonts w:ascii="Aptos" w:hAnsi="Aptos" w:eastAsia="Aptos" w:cs="Aptos"/>
          <w:noProof w:val="0"/>
          <w:sz w:val="24"/>
          <w:szCs w:val="24"/>
          <w:lang w:val="en-GB"/>
        </w:rPr>
        <w:t xml:space="preserve">, M., </w:t>
      </w:r>
      <w:r w:rsidRPr="17F38FA1" w:rsidR="308A38F3">
        <w:rPr>
          <w:rFonts w:ascii="Aptos" w:hAnsi="Aptos" w:eastAsia="Aptos" w:cs="Aptos"/>
          <w:noProof w:val="0"/>
          <w:sz w:val="24"/>
          <w:szCs w:val="24"/>
          <w:lang w:val="en-GB"/>
        </w:rPr>
        <w:t>Savaget</w:t>
      </w:r>
      <w:r w:rsidRPr="17F38FA1" w:rsidR="308A38F3">
        <w:rPr>
          <w:rFonts w:ascii="Aptos" w:hAnsi="Aptos" w:eastAsia="Aptos" w:cs="Aptos"/>
          <w:noProof w:val="0"/>
          <w:sz w:val="24"/>
          <w:szCs w:val="24"/>
          <w:lang w:val="en-GB"/>
        </w:rPr>
        <w:t xml:space="preserve">, P., </w:t>
      </w:r>
      <w:r w:rsidRPr="17F38FA1" w:rsidR="308A38F3">
        <w:rPr>
          <w:rFonts w:ascii="Aptos" w:hAnsi="Aptos" w:eastAsia="Aptos" w:cs="Aptos"/>
          <w:noProof w:val="0"/>
          <w:sz w:val="24"/>
          <w:szCs w:val="24"/>
          <w:lang w:val="en-GB"/>
        </w:rPr>
        <w:t>Bocken</w:t>
      </w:r>
      <w:r w:rsidRPr="17F38FA1" w:rsidR="308A38F3">
        <w:rPr>
          <w:rFonts w:ascii="Aptos" w:hAnsi="Aptos" w:eastAsia="Aptos" w:cs="Aptos"/>
          <w:noProof w:val="0"/>
          <w:sz w:val="24"/>
          <w:szCs w:val="24"/>
          <w:lang w:val="en-GB"/>
        </w:rPr>
        <w:t xml:space="preserve">, N. and </w:t>
      </w:r>
      <w:r w:rsidRPr="17F38FA1" w:rsidR="308A38F3">
        <w:rPr>
          <w:rFonts w:ascii="Aptos" w:hAnsi="Aptos" w:eastAsia="Aptos" w:cs="Aptos"/>
          <w:noProof w:val="0"/>
          <w:sz w:val="24"/>
          <w:szCs w:val="24"/>
          <w:lang w:val="en-GB"/>
        </w:rPr>
        <w:t>Hultink</w:t>
      </w:r>
      <w:r w:rsidRPr="17F38FA1" w:rsidR="308A38F3">
        <w:rPr>
          <w:rFonts w:ascii="Aptos" w:hAnsi="Aptos" w:eastAsia="Aptos" w:cs="Aptos"/>
          <w:noProof w:val="0"/>
          <w:sz w:val="24"/>
          <w:szCs w:val="24"/>
          <w:lang w:val="en-GB"/>
        </w:rPr>
        <w:t xml:space="preserve">, E. (2017) ‘The Circular Economy – A new sustainability paradigm’, </w:t>
      </w:r>
      <w:r w:rsidRPr="17F38FA1" w:rsidR="308A38F3">
        <w:rPr>
          <w:rFonts w:ascii="Aptos" w:hAnsi="Aptos" w:eastAsia="Aptos" w:cs="Aptos"/>
          <w:i w:val="1"/>
          <w:iCs w:val="1"/>
          <w:noProof w:val="0"/>
          <w:sz w:val="24"/>
          <w:szCs w:val="24"/>
          <w:lang w:val="en-GB"/>
        </w:rPr>
        <w:t>Journal of Cleaner Production</w:t>
      </w:r>
      <w:r w:rsidRPr="17F38FA1" w:rsidR="308A38F3">
        <w:rPr>
          <w:rFonts w:ascii="Aptos" w:hAnsi="Aptos" w:eastAsia="Aptos" w:cs="Aptos"/>
          <w:noProof w:val="0"/>
          <w:sz w:val="24"/>
          <w:szCs w:val="24"/>
          <w:lang w:val="en-GB"/>
        </w:rPr>
        <w:t>, 143, pp. 757–768.</w:t>
      </w:r>
    </w:p>
    <w:p w:rsidR="115BEA57" w:rsidP="17F38FA1" w:rsidRDefault="115BEA57" w14:paraId="673249E9" w14:textId="21407146">
      <w:pPr>
        <w:pStyle w:val="Normal"/>
        <w:spacing w:before="240" w:beforeAutospacing="off" w:after="240" w:afterAutospacing="off"/>
      </w:pPr>
      <w:r w:rsidRPr="17F38FA1" w:rsidR="308A38F3">
        <w:rPr>
          <w:rFonts w:ascii="Aptos" w:hAnsi="Aptos" w:eastAsia="Aptos" w:cs="Aptos"/>
          <w:noProof w:val="0"/>
          <w:sz w:val="24"/>
          <w:szCs w:val="24"/>
          <w:lang w:val="en-GB"/>
        </w:rPr>
        <w:t xml:space="preserve">Kirchherr, J., </w:t>
      </w:r>
      <w:r w:rsidRPr="17F38FA1" w:rsidR="308A38F3">
        <w:rPr>
          <w:rFonts w:ascii="Aptos" w:hAnsi="Aptos" w:eastAsia="Aptos" w:cs="Aptos"/>
          <w:noProof w:val="0"/>
          <w:sz w:val="24"/>
          <w:szCs w:val="24"/>
          <w:lang w:val="en-GB"/>
        </w:rPr>
        <w:t>Reike</w:t>
      </w:r>
      <w:r w:rsidRPr="17F38FA1" w:rsidR="308A38F3">
        <w:rPr>
          <w:rFonts w:ascii="Aptos" w:hAnsi="Aptos" w:eastAsia="Aptos" w:cs="Aptos"/>
          <w:noProof w:val="0"/>
          <w:sz w:val="24"/>
          <w:szCs w:val="24"/>
          <w:lang w:val="en-GB"/>
        </w:rPr>
        <w:t xml:space="preserve">, D. and Hekkert, M. (2018) ‘Conceptualising the circular economy: An analysis of 114 definitions’, </w:t>
      </w:r>
      <w:r w:rsidRPr="17F38FA1" w:rsidR="308A38F3">
        <w:rPr>
          <w:rFonts w:ascii="Aptos" w:hAnsi="Aptos" w:eastAsia="Aptos" w:cs="Aptos"/>
          <w:i w:val="1"/>
          <w:iCs w:val="1"/>
          <w:noProof w:val="0"/>
          <w:sz w:val="24"/>
          <w:szCs w:val="24"/>
          <w:lang w:val="en-GB"/>
        </w:rPr>
        <w:t>Resources,</w:t>
      </w:r>
    </w:p>
    <w:p w:rsidR="115BEA57" w:rsidP="17F38FA1" w:rsidRDefault="115BEA57" w14:paraId="7BFAF475" w14:textId="319931F5">
      <w:pPr>
        <w:pStyle w:val="Normal"/>
        <w:spacing w:before="240" w:beforeAutospacing="off" w:after="240" w:afterAutospacing="off"/>
      </w:pPr>
      <w:r w:rsidRPr="17F38FA1" w:rsidR="308A38F3">
        <w:rPr>
          <w:rFonts w:ascii="Aptos" w:hAnsi="Aptos" w:eastAsia="Aptos" w:cs="Aptos"/>
          <w:noProof w:val="0"/>
          <w:sz w:val="24"/>
          <w:szCs w:val="24"/>
          <w:lang w:val="en-GB"/>
        </w:rPr>
        <w:t xml:space="preserve">Murray, A., Skene, </w:t>
      </w:r>
      <w:r w:rsidRPr="17F38FA1" w:rsidR="308A38F3">
        <w:rPr>
          <w:rFonts w:ascii="Aptos" w:hAnsi="Aptos" w:eastAsia="Aptos" w:cs="Aptos"/>
          <w:noProof w:val="0"/>
          <w:sz w:val="24"/>
          <w:szCs w:val="24"/>
          <w:lang w:val="en-GB"/>
        </w:rPr>
        <w:t>K.</w:t>
      </w:r>
      <w:r w:rsidRPr="17F38FA1" w:rsidR="308A38F3">
        <w:rPr>
          <w:rFonts w:ascii="Aptos" w:hAnsi="Aptos" w:eastAsia="Aptos" w:cs="Aptos"/>
          <w:noProof w:val="0"/>
          <w:sz w:val="24"/>
          <w:szCs w:val="24"/>
          <w:lang w:val="en-GB"/>
        </w:rPr>
        <w:t xml:space="preserve"> and Haynes, K. (2017) ‘The Circular Economy: An interdisciplinary exploration of the concept and application in a global context’, </w:t>
      </w:r>
      <w:r w:rsidRPr="17F38FA1" w:rsidR="308A38F3">
        <w:rPr>
          <w:rFonts w:ascii="Aptos" w:hAnsi="Aptos" w:eastAsia="Aptos" w:cs="Aptos"/>
          <w:i w:val="1"/>
          <w:iCs w:val="1"/>
          <w:noProof w:val="0"/>
          <w:sz w:val="24"/>
          <w:szCs w:val="24"/>
          <w:lang w:val="en-GB"/>
        </w:rPr>
        <w:t>Journal of Business Ethics</w:t>
      </w:r>
      <w:r w:rsidRPr="17F38FA1" w:rsidR="308A38F3">
        <w:rPr>
          <w:rFonts w:ascii="Aptos" w:hAnsi="Aptos" w:eastAsia="Aptos" w:cs="Aptos"/>
          <w:noProof w:val="0"/>
          <w:sz w:val="24"/>
          <w:szCs w:val="24"/>
          <w:lang w:val="en-GB"/>
        </w:rPr>
        <w:t>, 140(3), pp. 369–380</w:t>
      </w:r>
    </w:p>
    <w:p w:rsidR="115BEA57" w:rsidP="17F38FA1" w:rsidRDefault="115BEA57" w14:paraId="3723D086" w14:textId="3A427A30">
      <w:pPr>
        <w:pStyle w:val="Normal"/>
        <w:spacing w:before="240" w:beforeAutospacing="off" w:after="240" w:afterAutospacing="off"/>
      </w:pPr>
      <w:r w:rsidRPr="17F38FA1" w:rsidR="308A38F3">
        <w:rPr>
          <w:rFonts w:ascii="Aptos" w:hAnsi="Aptos" w:eastAsia="Aptos" w:cs="Aptos"/>
          <w:noProof w:val="0"/>
          <w:sz w:val="24"/>
          <w:szCs w:val="24"/>
          <w:lang w:val="en-GB"/>
        </w:rPr>
        <w:t xml:space="preserve">Raworth, K. (2017) </w:t>
      </w:r>
      <w:r w:rsidRPr="17F38FA1" w:rsidR="308A38F3">
        <w:rPr>
          <w:rFonts w:ascii="Aptos" w:hAnsi="Aptos" w:eastAsia="Aptos" w:cs="Aptos"/>
          <w:i w:val="1"/>
          <w:iCs w:val="1"/>
          <w:noProof w:val="0"/>
          <w:sz w:val="24"/>
          <w:szCs w:val="24"/>
          <w:lang w:val="en-GB"/>
        </w:rPr>
        <w:t>Doughnut Economics: Seven Ways to Think Like a 21st‑Century Economist</w:t>
      </w:r>
      <w:r w:rsidRPr="17F38FA1" w:rsidR="308A38F3">
        <w:rPr>
          <w:rFonts w:ascii="Aptos" w:hAnsi="Aptos" w:eastAsia="Aptos" w:cs="Aptos"/>
          <w:noProof w:val="0"/>
          <w:sz w:val="24"/>
          <w:szCs w:val="24"/>
          <w:lang w:val="en-GB"/>
        </w:rPr>
        <w:t>. London: Random House Business.</w:t>
      </w:r>
    </w:p>
    <w:p w:rsidR="115BEA57" w:rsidP="17F38FA1" w:rsidRDefault="115BEA57" w14:paraId="6C6727D9" w14:textId="138DEF5E">
      <w:pPr>
        <w:pStyle w:val="Normal"/>
        <w:spacing w:before="240" w:beforeAutospacing="off" w:after="240" w:afterAutospacing="off"/>
        <w:rPr>
          <w:rFonts w:ascii="Aptos" w:hAnsi="Aptos" w:eastAsia="Aptos" w:cs="Aptos"/>
          <w:i w:val="1"/>
          <w:iCs w:val="1"/>
          <w:noProof w:val="0"/>
          <w:sz w:val="24"/>
          <w:szCs w:val="24"/>
          <w:lang w:val="en-GB"/>
        </w:rPr>
      </w:pPr>
    </w:p>
    <w:p w:rsidR="115BEA57" w:rsidP="17F38FA1" w:rsidRDefault="115BEA57" w14:paraId="5F8B48E5" w14:textId="4DAF3700">
      <w:pPr>
        <w:pStyle w:val="Normal"/>
        <w:spacing w:before="240" w:beforeAutospacing="off" w:after="240" w:afterAutospacing="off"/>
        <w:rPr>
          <w:rFonts w:ascii="Aptos" w:hAnsi="Aptos" w:eastAsia="Aptos" w:cs="Aptos"/>
          <w:noProof w:val="0"/>
          <w:sz w:val="24"/>
          <w:szCs w:val="24"/>
          <w:lang w:val="en-GB"/>
        </w:rPr>
      </w:pPr>
    </w:p>
    <w:p w:rsidR="115BEA57" w:rsidRDefault="115BEA57" w14:paraId="67969C82" w14:textId="571E376F"/>
    <w:p w:rsidR="115BEA57" w:rsidP="17F38FA1" w:rsidRDefault="115BEA57" w14:paraId="35DC0C4E" w14:textId="1093BE6A">
      <w:pPr>
        <w:pStyle w:val="Normal"/>
      </w:pPr>
      <w:r w:rsidRPr="17F38FA1" w:rsidR="677CDD04">
        <w:rPr>
          <w:rFonts w:ascii="Aptos" w:hAnsi="Aptos" w:eastAsia="Aptos" w:cs="Aptos"/>
          <w:noProof w:val="0"/>
          <w:sz w:val="24"/>
          <w:szCs w:val="24"/>
          <w:lang w:val="en-GB"/>
        </w:rPr>
        <w:t xml:space="preserve"> </w:t>
      </w:r>
    </w:p>
    <w:p w:rsidR="115BEA57" w:rsidP="17F38FA1" w:rsidRDefault="115BEA57" w14:paraId="25263E03" w14:textId="6880AD90">
      <w:pPr>
        <w:pStyle w:val="Normal"/>
        <w:rPr>
          <w:rFonts w:ascii="Aptos" w:hAnsi="Aptos" w:eastAsia="Aptos" w:cs="Aptos"/>
          <w:noProof w:val="0"/>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G+z44WpgrTp0l" int2:id="rEItgTjj">
      <int2:state int2:type="spell" int2:value="Rejected"/>
    </int2:textHash>
    <int2:textHash int2:hashCode="5S0aERujsEWnk+" int2:id="WdUlK5Zz">
      <int2:state int2:type="spell" int2:value="Rejected"/>
    </int2:textHash>
    <int2:textHash int2:hashCode="QRzTRe2PnPjF0T" int2:id="Oi5bbCAE">
      <int2:state int2:type="spell" int2:value="Rejected"/>
    </int2:textHash>
    <int2:textHash int2:hashCode="8+wXkcCV+G/AIk" int2:id="Cf1JGQCk">
      <int2:state int2:type="spell" int2:value="Rejected"/>
    </int2:textHash>
    <int2:textHash int2:hashCode="DfFG05gpKgeKun" int2:id="BUkqyQT1">
      <int2:state int2:type="spell" int2:value="Rejected"/>
    </int2:textHash>
    <int2:textHash int2:hashCode="2eg5qO2eXbFINg" int2:id="c7ATCJS5">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E4AA85"/>
    <w:rsid w:val="0025AE06"/>
    <w:rsid w:val="00A1C3BC"/>
    <w:rsid w:val="017C9250"/>
    <w:rsid w:val="0207BC58"/>
    <w:rsid w:val="026977A9"/>
    <w:rsid w:val="05630FF3"/>
    <w:rsid w:val="0652ACC6"/>
    <w:rsid w:val="07EA6216"/>
    <w:rsid w:val="083094C1"/>
    <w:rsid w:val="0B4CE8C7"/>
    <w:rsid w:val="115BEA57"/>
    <w:rsid w:val="11BB708A"/>
    <w:rsid w:val="1379CF21"/>
    <w:rsid w:val="148D96D9"/>
    <w:rsid w:val="15987D9C"/>
    <w:rsid w:val="1599810B"/>
    <w:rsid w:val="178643D3"/>
    <w:rsid w:val="17D0D58D"/>
    <w:rsid w:val="17F38FA1"/>
    <w:rsid w:val="189996DB"/>
    <w:rsid w:val="18D7A3B8"/>
    <w:rsid w:val="19382AA5"/>
    <w:rsid w:val="19AB1A59"/>
    <w:rsid w:val="19E5F8DB"/>
    <w:rsid w:val="1A15B5DA"/>
    <w:rsid w:val="1BA49EE9"/>
    <w:rsid w:val="1C02411D"/>
    <w:rsid w:val="1E743E8E"/>
    <w:rsid w:val="1F1A4AA9"/>
    <w:rsid w:val="1F1A4AA9"/>
    <w:rsid w:val="1F1EAA26"/>
    <w:rsid w:val="203A4FBE"/>
    <w:rsid w:val="2129C180"/>
    <w:rsid w:val="225A96DA"/>
    <w:rsid w:val="22DD2D79"/>
    <w:rsid w:val="2332B985"/>
    <w:rsid w:val="24118A2A"/>
    <w:rsid w:val="266D9F91"/>
    <w:rsid w:val="2758AC6E"/>
    <w:rsid w:val="28A18D56"/>
    <w:rsid w:val="28FCEBDF"/>
    <w:rsid w:val="2A5343BC"/>
    <w:rsid w:val="2B137579"/>
    <w:rsid w:val="2B569576"/>
    <w:rsid w:val="2B84E68E"/>
    <w:rsid w:val="2CB4DF48"/>
    <w:rsid w:val="2FDFC56A"/>
    <w:rsid w:val="306ACD95"/>
    <w:rsid w:val="306ACD95"/>
    <w:rsid w:val="308A38F3"/>
    <w:rsid w:val="30C70225"/>
    <w:rsid w:val="30D4B00C"/>
    <w:rsid w:val="343ABB30"/>
    <w:rsid w:val="3445F20B"/>
    <w:rsid w:val="35974F46"/>
    <w:rsid w:val="35D3F51B"/>
    <w:rsid w:val="36CD445C"/>
    <w:rsid w:val="38CA74FF"/>
    <w:rsid w:val="38CA74FF"/>
    <w:rsid w:val="395116FF"/>
    <w:rsid w:val="3988C96F"/>
    <w:rsid w:val="3A3E380E"/>
    <w:rsid w:val="3A71FF91"/>
    <w:rsid w:val="3ABFF154"/>
    <w:rsid w:val="3B06E085"/>
    <w:rsid w:val="3C5BE9B4"/>
    <w:rsid w:val="406D80B9"/>
    <w:rsid w:val="418A6E7D"/>
    <w:rsid w:val="41ACCF36"/>
    <w:rsid w:val="465000D7"/>
    <w:rsid w:val="4753C8FB"/>
    <w:rsid w:val="480779A3"/>
    <w:rsid w:val="490A9135"/>
    <w:rsid w:val="498D2E54"/>
    <w:rsid w:val="49FCAD03"/>
    <w:rsid w:val="4A0A7A9F"/>
    <w:rsid w:val="4B0C2DAA"/>
    <w:rsid w:val="4D78A22E"/>
    <w:rsid w:val="4DE0B9CF"/>
    <w:rsid w:val="4F487C5B"/>
    <w:rsid w:val="5031C332"/>
    <w:rsid w:val="51B1F110"/>
    <w:rsid w:val="51B1F110"/>
    <w:rsid w:val="52EE1A3F"/>
    <w:rsid w:val="52EE1A3F"/>
    <w:rsid w:val="54859B0A"/>
    <w:rsid w:val="54CD52E3"/>
    <w:rsid w:val="54F036BE"/>
    <w:rsid w:val="5680016D"/>
    <w:rsid w:val="573789DF"/>
    <w:rsid w:val="576F8677"/>
    <w:rsid w:val="5881A226"/>
    <w:rsid w:val="5931D19F"/>
    <w:rsid w:val="5ACC85BC"/>
    <w:rsid w:val="5C6FF921"/>
    <w:rsid w:val="5D07919E"/>
    <w:rsid w:val="5E353060"/>
    <w:rsid w:val="5F5A9CC0"/>
    <w:rsid w:val="5FD0ADDF"/>
    <w:rsid w:val="603155FE"/>
    <w:rsid w:val="605B8E88"/>
    <w:rsid w:val="607010E2"/>
    <w:rsid w:val="61DBFF47"/>
    <w:rsid w:val="622E9904"/>
    <w:rsid w:val="622E9904"/>
    <w:rsid w:val="64CF2ED6"/>
    <w:rsid w:val="653B1D95"/>
    <w:rsid w:val="65DD34CE"/>
    <w:rsid w:val="65DD34CE"/>
    <w:rsid w:val="677CDD04"/>
    <w:rsid w:val="687682E3"/>
    <w:rsid w:val="6882D31A"/>
    <w:rsid w:val="6C2C961C"/>
    <w:rsid w:val="6CE4AA85"/>
    <w:rsid w:val="6D7D71B6"/>
    <w:rsid w:val="7051E259"/>
    <w:rsid w:val="711CA21B"/>
    <w:rsid w:val="711DD6B6"/>
    <w:rsid w:val="71B950ED"/>
    <w:rsid w:val="72B290C6"/>
    <w:rsid w:val="736F986C"/>
    <w:rsid w:val="747A4A47"/>
    <w:rsid w:val="747A4A47"/>
    <w:rsid w:val="75553B43"/>
    <w:rsid w:val="76471605"/>
    <w:rsid w:val="77154CC8"/>
    <w:rsid w:val="77669897"/>
    <w:rsid w:val="781F4FF9"/>
    <w:rsid w:val="78C02F4C"/>
    <w:rsid w:val="7BD71A6B"/>
    <w:rsid w:val="7C37348B"/>
    <w:rsid w:val="7F8AA08C"/>
    <w:rsid w:val="7FA9B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4AA85"/>
  <w15:chartTrackingRefBased/>
  <w15:docId w15:val="{610FEDBF-EA87-4332-8C75-E4DFFA2C28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7F38FA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15BEA57"/>
    <w:rPr>
      <w:color w:val="467886"/>
      <w:u w:val="single"/>
    </w:rPr>
  </w:style>
  <w:style w:type="paragraph" w:styleId="Heading2">
    <w:uiPriority w:val="9"/>
    <w:name w:val="heading 2"/>
    <w:basedOn w:val="Normal"/>
    <w:next w:val="Normal"/>
    <w:unhideWhenUsed/>
    <w:qFormat/>
    <w:rsid w:val="17F38FA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7F38FA1"/>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17F38FA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17F38FA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pricityrestaurant.com" TargetMode="External" Id="R2c56852499ad4148" /><Relationship Type="http://schemas.openxmlformats.org/officeDocument/2006/relationships/hyperlink" Target="https://www.fao.org/sustainable-gastronomy-day/en" TargetMode="External" Id="R8015a8cc9fe04962" /><Relationship Type="http://schemas.openxmlformats.org/officeDocument/2006/relationships/hyperlink" Target="https://www.legislation.gov.uk/ukpga/1974/37/contents" TargetMode="External" Id="R283bb7e904db4c1b" /><Relationship Type="http://schemas.openxmlformats.org/officeDocument/2006/relationships/hyperlink" Target="https://www.legislation.gov.uk" TargetMode="External" Id="R167b4fdd4f1f4e4d" /><Relationship Type="http://schemas.openxmlformats.org/officeDocument/2006/relationships/hyperlink" Target="https://www.legislation.gov.uk/ukpga/2015/30/contents" TargetMode="External" Id="R91b19d46b9cc4062" /><Relationship Type="http://schemas.openxmlformats.org/officeDocument/2006/relationships/hyperlink" Target="https://www.legislation.gov.uk/ukpga/1990/16/contents" TargetMode="External" Id="Reb7fea647b21442e" /><Relationship Type="http://schemas.openxmlformats.org/officeDocument/2006/relationships/hyperlink" Target="https://www.legislation.gov.uk/ukpga/1998/39/contents" TargetMode="External" Id="Rc484e6eb173645c1" /><Relationship Type="http://schemas.openxmlformats.org/officeDocument/2006/relationships/hyperlink" Target="https://www.legislation.gov.uk/uksi/2011/988/contents" TargetMode="External" Id="R9b09e7d734b74014" /><Relationship Type="http://schemas.openxmlformats.org/officeDocument/2006/relationships/hyperlink" Target="https://www.legislation.gov.uk/uksi/2013/2996/contents" TargetMode="External" Id="R18f307b8acb34f0f" /><Relationship Type="http://schemas.openxmlformats.org/officeDocument/2006/relationships/hyperlink" Target="https://www.legislation.gov.uk/ukpga/1996/18/contents" TargetMode="External" Id="R3f1da61ce7e647d3" /><Relationship Type="http://schemas.openxmlformats.org/officeDocument/2006/relationships/hyperlink" Target="https://www.legislation.gov.uk/ukpga/1990/43/contents" TargetMode="External" Id="R280a8a8f5b0143cf" /><Relationship Type="http://schemas.openxmlformats.org/officeDocument/2006/relationships/hyperlink" Target="https://www.legislation.gov.uk/ukpga/2008/27/contents" TargetMode="External" Id="R1f89bcf83a0f4627" /><Relationship Type="http://schemas.microsoft.com/office/2020/10/relationships/intelligence" Target="intelligence2.xml" Id="Ra64dccf740744a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2026-01-12T16:02:54.9122736Z</dcterms:created>
  <dcterms:modified xsi:type="dcterms:W3CDTF">2026-01-26T19:41:48.6571028Z</dcterms:modified>
  <dc:creator>Ellie Morgan (2416694)</dc:creator>
  <lastModifiedBy>Ellie Morgan (2416694)</lastModifiedBy>
</coreProperties>
</file>