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A387871" w14:textId="5CD273EC" w:rsidR="0017540F" w:rsidRDefault="00143DD6">
      <w:r>
        <w:rPr>
          <w:noProof/>
        </w:rPr>
        <w:drawing>
          <wp:anchor distT="0" distB="0" distL="114300" distR="114300" simplePos="0" relativeHeight="251658240" behindDoc="0" locked="0" layoutInCell="1" allowOverlap="1" wp14:anchorId="581B4E7C" wp14:editId="68C82A51">
            <wp:simplePos x="0" y="0"/>
            <wp:positionH relativeFrom="margin">
              <wp:posOffset>-660400</wp:posOffset>
            </wp:positionH>
            <wp:positionV relativeFrom="paragraph">
              <wp:posOffset>0</wp:posOffset>
            </wp:positionV>
            <wp:extent cx="2698750" cy="1193800"/>
            <wp:effectExtent l="0" t="0" r="6350" b="0"/>
            <wp:wrapSquare wrapText="bothSides"/>
            <wp:docPr id="291337278" name="Picture 1" descr="Discover University of Wales Trinity Saint Davi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Discover University of Wales Trinity Saint David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98750" cy="11938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742D7FFF" w14:textId="77777777" w:rsidR="00143DD6" w:rsidRPr="00143DD6" w:rsidRDefault="00143DD6" w:rsidP="00143DD6"/>
    <w:p w14:paraId="23929E19" w14:textId="77777777" w:rsidR="00143DD6" w:rsidRPr="00143DD6" w:rsidRDefault="00143DD6" w:rsidP="00143DD6"/>
    <w:p w14:paraId="712D47B6" w14:textId="77777777" w:rsidR="00143DD6" w:rsidRPr="00143DD6" w:rsidRDefault="00143DD6" w:rsidP="00143DD6"/>
    <w:p w14:paraId="33FB10D6" w14:textId="77777777" w:rsidR="00143DD6" w:rsidRDefault="00143DD6" w:rsidP="00143DD6">
      <w:pPr>
        <w:tabs>
          <w:tab w:val="left" w:pos="6540"/>
        </w:tabs>
        <w:spacing w:after="220" w:line="360" w:lineRule="auto"/>
      </w:pPr>
    </w:p>
    <w:p w14:paraId="5AA83915" w14:textId="32F31F0D" w:rsidR="00143DD6" w:rsidRPr="00143DD6" w:rsidRDefault="00143DD6" w:rsidP="00143DD6">
      <w:pPr>
        <w:tabs>
          <w:tab w:val="left" w:pos="6540"/>
        </w:tabs>
        <w:spacing w:after="220" w:line="360" w:lineRule="auto"/>
        <w:rPr>
          <w:rFonts w:ascii="Arial" w:eastAsia="Century Schoolbook" w:hAnsi="Arial" w:cs="Arial"/>
          <w:kern w:val="0"/>
          <w:sz w:val="28"/>
          <w:szCs w:val="28"/>
          <w:lang w:val="nl-NL"/>
          <w14:ligatures w14:val="none"/>
        </w:rPr>
      </w:pPr>
      <w:r w:rsidRPr="00143DD6">
        <w:rPr>
          <w:rFonts w:ascii="Arial" w:eastAsia="Century Schoolbook" w:hAnsi="Arial" w:cs="Arial"/>
          <w:b/>
          <w:bCs/>
          <w:kern w:val="0"/>
          <w:sz w:val="28"/>
          <w:szCs w:val="28"/>
          <w:lang w:val="nl-NL"/>
          <w14:ligatures w14:val="none"/>
        </w:rPr>
        <w:t>Student name</w:t>
      </w:r>
      <w:r w:rsidRPr="00143DD6">
        <w:rPr>
          <w:rFonts w:ascii="Arial" w:eastAsia="Century Schoolbook" w:hAnsi="Arial" w:cs="Arial"/>
          <w:kern w:val="0"/>
          <w:sz w:val="28"/>
          <w:szCs w:val="28"/>
          <w:lang w:val="nl-NL"/>
          <w14:ligatures w14:val="none"/>
        </w:rPr>
        <w:t>: Aminata Sinayoko</w:t>
      </w:r>
    </w:p>
    <w:p w14:paraId="02A2B898" w14:textId="77777777" w:rsidR="00143DD6" w:rsidRPr="00143DD6" w:rsidRDefault="00143DD6" w:rsidP="00143DD6">
      <w:pPr>
        <w:tabs>
          <w:tab w:val="left" w:pos="6540"/>
        </w:tabs>
        <w:spacing w:after="220" w:line="360" w:lineRule="auto"/>
        <w:rPr>
          <w:rFonts w:ascii="Arial" w:eastAsia="Century Schoolbook" w:hAnsi="Arial" w:cs="Arial"/>
          <w:kern w:val="0"/>
          <w:sz w:val="28"/>
          <w:szCs w:val="28"/>
          <w:lang w:val="nl-NL"/>
          <w14:ligatures w14:val="none"/>
        </w:rPr>
      </w:pPr>
      <w:r w:rsidRPr="00143DD6">
        <w:rPr>
          <w:rFonts w:ascii="Arial" w:eastAsia="Century Schoolbook" w:hAnsi="Arial" w:cs="Arial"/>
          <w:b/>
          <w:bCs/>
          <w:kern w:val="0"/>
          <w:sz w:val="28"/>
          <w:szCs w:val="28"/>
          <w:lang w:val="nl-NL"/>
          <w14:ligatures w14:val="none"/>
        </w:rPr>
        <w:t>Student ID</w:t>
      </w:r>
      <w:r w:rsidRPr="00143DD6">
        <w:rPr>
          <w:rFonts w:ascii="Arial" w:eastAsia="Century Schoolbook" w:hAnsi="Arial" w:cs="Arial"/>
          <w:kern w:val="0"/>
          <w:sz w:val="28"/>
          <w:szCs w:val="28"/>
          <w:lang w:val="nl-NL"/>
          <w14:ligatures w14:val="none"/>
        </w:rPr>
        <w:t>:     2310293</w:t>
      </w:r>
    </w:p>
    <w:p w14:paraId="37904A27" w14:textId="77777777" w:rsidR="00143DD6" w:rsidRPr="00143DD6" w:rsidRDefault="00143DD6" w:rsidP="00143DD6">
      <w:pPr>
        <w:tabs>
          <w:tab w:val="left" w:pos="6540"/>
        </w:tabs>
        <w:spacing w:after="220" w:line="360" w:lineRule="auto"/>
        <w:rPr>
          <w:rFonts w:ascii="Arial" w:eastAsia="Century Schoolbook" w:hAnsi="Arial" w:cs="Arial"/>
          <w:kern w:val="0"/>
          <w:sz w:val="28"/>
          <w:szCs w:val="28"/>
          <w:lang w:val="nl-NL"/>
          <w14:ligatures w14:val="none"/>
        </w:rPr>
      </w:pPr>
      <w:r w:rsidRPr="00143DD6">
        <w:rPr>
          <w:rFonts w:ascii="Arial" w:eastAsia="Century Schoolbook" w:hAnsi="Arial" w:cs="Arial"/>
          <w:b/>
          <w:bCs/>
          <w:kern w:val="0"/>
          <w:sz w:val="28"/>
          <w:szCs w:val="28"/>
          <w:lang w:val="nl-NL"/>
          <w14:ligatures w14:val="none"/>
        </w:rPr>
        <w:t>Module name</w:t>
      </w:r>
      <w:r w:rsidRPr="00143DD6">
        <w:rPr>
          <w:rFonts w:ascii="Arial" w:eastAsia="Century Schoolbook" w:hAnsi="Arial" w:cs="Arial"/>
          <w:kern w:val="0"/>
          <w:sz w:val="28"/>
          <w:szCs w:val="28"/>
          <w:lang w:val="nl-NL"/>
          <w14:ligatures w14:val="none"/>
        </w:rPr>
        <w:t>:  Empowering the Older Person</w:t>
      </w:r>
    </w:p>
    <w:p w14:paraId="35799715" w14:textId="77777777" w:rsidR="00143DD6" w:rsidRPr="00143DD6" w:rsidRDefault="00143DD6" w:rsidP="00143DD6">
      <w:pPr>
        <w:tabs>
          <w:tab w:val="left" w:pos="6540"/>
        </w:tabs>
        <w:spacing w:after="220" w:line="360" w:lineRule="auto"/>
        <w:rPr>
          <w:rFonts w:ascii="Arial" w:eastAsia="Century Schoolbook" w:hAnsi="Arial" w:cs="Arial"/>
          <w:kern w:val="0"/>
          <w:sz w:val="28"/>
          <w:szCs w:val="28"/>
          <w:lang w:val="en-US"/>
          <w14:ligatures w14:val="none"/>
        </w:rPr>
      </w:pPr>
      <w:r w:rsidRPr="00143DD6">
        <w:rPr>
          <w:rFonts w:ascii="Arial" w:eastAsia="Century Schoolbook" w:hAnsi="Arial" w:cs="Arial"/>
          <w:b/>
          <w:bCs/>
          <w:kern w:val="0"/>
          <w:sz w:val="28"/>
          <w:szCs w:val="28"/>
          <w:lang w:val="en-US"/>
          <w14:ligatures w14:val="none"/>
        </w:rPr>
        <w:t>Module code</w:t>
      </w:r>
      <w:r w:rsidRPr="00143DD6">
        <w:rPr>
          <w:rFonts w:ascii="Arial" w:eastAsia="Century Schoolbook" w:hAnsi="Arial" w:cs="Arial"/>
          <w:kern w:val="0"/>
          <w:sz w:val="28"/>
          <w:szCs w:val="28"/>
          <w:lang w:val="en-US"/>
          <w14:ligatures w14:val="none"/>
        </w:rPr>
        <w:t>:   BMHP6027</w:t>
      </w:r>
    </w:p>
    <w:p w14:paraId="6B4C508C" w14:textId="77777777" w:rsidR="00143DD6" w:rsidRDefault="00143DD6" w:rsidP="00143DD6">
      <w:pPr>
        <w:tabs>
          <w:tab w:val="left" w:pos="6540"/>
        </w:tabs>
        <w:spacing w:after="220" w:line="360" w:lineRule="auto"/>
        <w:rPr>
          <w:rFonts w:ascii="Arial" w:eastAsia="Century Schoolbook" w:hAnsi="Arial" w:cs="Arial"/>
          <w:kern w:val="0"/>
          <w:sz w:val="28"/>
          <w:szCs w:val="28"/>
          <w:lang w:val="en-US"/>
          <w14:ligatures w14:val="none"/>
        </w:rPr>
      </w:pPr>
      <w:r w:rsidRPr="00143DD6">
        <w:rPr>
          <w:rFonts w:ascii="Arial" w:eastAsia="Century Schoolbook" w:hAnsi="Arial" w:cs="Arial"/>
          <w:b/>
          <w:bCs/>
          <w:kern w:val="0"/>
          <w:sz w:val="28"/>
          <w:szCs w:val="28"/>
          <w:lang w:val="en-US"/>
          <w14:ligatures w14:val="none"/>
        </w:rPr>
        <w:t>Lecturer’s name</w:t>
      </w:r>
      <w:r w:rsidRPr="00143DD6">
        <w:rPr>
          <w:rFonts w:ascii="Arial" w:eastAsia="Century Schoolbook" w:hAnsi="Arial" w:cs="Arial"/>
          <w:kern w:val="0"/>
          <w:sz w:val="28"/>
          <w:szCs w:val="28"/>
          <w:lang w:val="en-US"/>
          <w14:ligatures w14:val="none"/>
        </w:rPr>
        <w:t>: Laila Surani</w:t>
      </w:r>
    </w:p>
    <w:p w14:paraId="5693A9AD" w14:textId="42EB7123" w:rsidR="00143DD6" w:rsidRPr="000D11CF" w:rsidRDefault="00143DD6" w:rsidP="00143DD6">
      <w:pPr>
        <w:tabs>
          <w:tab w:val="left" w:pos="6540"/>
        </w:tabs>
        <w:spacing w:after="220" w:line="360" w:lineRule="auto"/>
        <w:rPr>
          <w:rFonts w:ascii="Arial" w:eastAsia="Century Schoolbook" w:hAnsi="Arial" w:cs="Arial"/>
          <w:b/>
          <w:bCs/>
          <w:kern w:val="0"/>
          <w:sz w:val="28"/>
          <w:szCs w:val="28"/>
          <w:lang w:val="en-US"/>
          <w14:ligatures w14:val="none"/>
        </w:rPr>
      </w:pPr>
      <w:r w:rsidRPr="000D11CF">
        <w:rPr>
          <w:rFonts w:ascii="Arial" w:eastAsia="Century Schoolbook" w:hAnsi="Arial" w:cs="Arial"/>
          <w:b/>
          <w:bCs/>
          <w:kern w:val="0"/>
          <w:sz w:val="28"/>
          <w:szCs w:val="28"/>
          <w:lang w:val="en-US"/>
          <w14:ligatures w14:val="none"/>
        </w:rPr>
        <w:t xml:space="preserve">Assignment </w:t>
      </w:r>
      <w:r w:rsidR="000D11CF" w:rsidRPr="000D11CF">
        <w:rPr>
          <w:rFonts w:ascii="Arial" w:eastAsia="Century Schoolbook" w:hAnsi="Arial" w:cs="Arial"/>
          <w:b/>
          <w:bCs/>
          <w:kern w:val="0"/>
          <w:sz w:val="28"/>
          <w:szCs w:val="28"/>
          <w:lang w:val="en-US"/>
          <w14:ligatures w14:val="none"/>
        </w:rPr>
        <w:t>Title</w:t>
      </w:r>
      <w:r w:rsidR="000D11CF">
        <w:rPr>
          <w:rFonts w:ascii="Arial" w:eastAsia="Century Schoolbook" w:hAnsi="Arial" w:cs="Arial"/>
          <w:b/>
          <w:bCs/>
          <w:kern w:val="0"/>
          <w:sz w:val="28"/>
          <w:szCs w:val="28"/>
          <w:lang w:val="en-US"/>
          <w14:ligatures w14:val="none"/>
        </w:rPr>
        <w:t xml:space="preserve">: </w:t>
      </w:r>
      <w:r w:rsidR="000D11CF" w:rsidRPr="000D11CF">
        <w:rPr>
          <w:rFonts w:ascii="Arial" w:eastAsia="Century Schoolbook" w:hAnsi="Arial" w:cs="Arial"/>
          <w:kern w:val="0"/>
          <w:sz w:val="28"/>
          <w:szCs w:val="28"/>
          <w:lang w:val="en-US"/>
          <w14:ligatures w14:val="none"/>
        </w:rPr>
        <w:t>component 2 Debate/Discussion</w:t>
      </w:r>
    </w:p>
    <w:p w14:paraId="38C6AA42" w14:textId="6B6CDC75" w:rsidR="00143DD6" w:rsidRPr="00143DD6" w:rsidRDefault="00143DD6" w:rsidP="00143DD6">
      <w:pPr>
        <w:tabs>
          <w:tab w:val="left" w:pos="6540"/>
        </w:tabs>
        <w:spacing w:after="220" w:line="360" w:lineRule="auto"/>
        <w:rPr>
          <w:rFonts w:ascii="Arial" w:eastAsia="Century Schoolbook" w:hAnsi="Arial" w:cs="Arial"/>
          <w:kern w:val="0"/>
          <w:sz w:val="28"/>
          <w:szCs w:val="28"/>
          <w:lang w:val="en-US"/>
          <w14:ligatures w14:val="none"/>
        </w:rPr>
      </w:pPr>
      <w:r w:rsidRPr="00143DD6">
        <w:rPr>
          <w:rFonts w:ascii="Arial" w:eastAsia="Century Schoolbook" w:hAnsi="Arial" w:cs="Arial"/>
          <w:b/>
          <w:bCs/>
          <w:kern w:val="0"/>
          <w:sz w:val="28"/>
          <w:szCs w:val="28"/>
          <w:lang w:val="en-US"/>
          <w14:ligatures w14:val="none"/>
        </w:rPr>
        <w:t>Submission:</w:t>
      </w:r>
      <w:r>
        <w:rPr>
          <w:rFonts w:ascii="Arial" w:eastAsia="Century Schoolbook" w:hAnsi="Arial" w:cs="Arial"/>
          <w:kern w:val="0"/>
          <w:sz w:val="28"/>
          <w:szCs w:val="28"/>
          <w:lang w:val="en-US"/>
          <w14:ligatures w14:val="none"/>
        </w:rPr>
        <w:t xml:space="preserve"> 10</w:t>
      </w:r>
      <w:r w:rsidRPr="00143DD6">
        <w:rPr>
          <w:rFonts w:ascii="Arial" w:eastAsia="Century Schoolbook" w:hAnsi="Arial" w:cs="Arial"/>
          <w:kern w:val="0"/>
          <w:sz w:val="28"/>
          <w:szCs w:val="28"/>
          <w:vertAlign w:val="superscript"/>
          <w:lang w:val="en-US"/>
          <w14:ligatures w14:val="none"/>
        </w:rPr>
        <w:t>th</w:t>
      </w:r>
      <w:r w:rsidRPr="00143DD6">
        <w:rPr>
          <w:rFonts w:ascii="Arial" w:eastAsia="Century Schoolbook" w:hAnsi="Arial" w:cs="Arial"/>
          <w:kern w:val="0"/>
          <w:sz w:val="28"/>
          <w:szCs w:val="28"/>
          <w:lang w:val="en-US"/>
          <w14:ligatures w14:val="none"/>
        </w:rPr>
        <w:t xml:space="preserve"> </w:t>
      </w:r>
      <w:r>
        <w:rPr>
          <w:rFonts w:ascii="Arial" w:eastAsia="Century Schoolbook" w:hAnsi="Arial" w:cs="Arial"/>
          <w:kern w:val="0"/>
          <w:sz w:val="28"/>
          <w:szCs w:val="28"/>
          <w:lang w:val="en-US"/>
          <w14:ligatures w14:val="none"/>
        </w:rPr>
        <w:t xml:space="preserve">April </w:t>
      </w:r>
      <w:r w:rsidRPr="00143DD6">
        <w:rPr>
          <w:rFonts w:ascii="Arial" w:eastAsia="Century Schoolbook" w:hAnsi="Arial" w:cs="Arial"/>
          <w:kern w:val="0"/>
          <w:sz w:val="28"/>
          <w:szCs w:val="28"/>
          <w:lang w:val="en-US"/>
          <w14:ligatures w14:val="none"/>
        </w:rPr>
        <w:t>2026</w:t>
      </w:r>
    </w:p>
    <w:p w14:paraId="387E8463" w14:textId="77777777" w:rsidR="00143DD6" w:rsidRPr="00143DD6" w:rsidRDefault="00143DD6" w:rsidP="00143DD6">
      <w:pPr>
        <w:spacing w:after="220" w:line="240" w:lineRule="auto"/>
        <w:rPr>
          <w:rFonts w:ascii="Century Schoolbook" w:eastAsia="Century Schoolbook" w:hAnsi="Century Schoolbook" w:cs="Times New Roman"/>
          <w:kern w:val="0"/>
          <w:sz w:val="22"/>
          <w:szCs w:val="22"/>
          <w:lang w:val="en-US"/>
          <w14:ligatures w14:val="none"/>
        </w:rPr>
      </w:pPr>
    </w:p>
    <w:p w14:paraId="6A7D77E1" w14:textId="6A6CDEDC" w:rsidR="00143DD6" w:rsidRDefault="00143DD6" w:rsidP="00143DD6">
      <w:pPr>
        <w:tabs>
          <w:tab w:val="left" w:pos="920"/>
        </w:tabs>
      </w:pPr>
      <w:r>
        <w:tab/>
      </w:r>
    </w:p>
    <w:p w14:paraId="208F660E" w14:textId="77777777" w:rsidR="003C2679" w:rsidRDefault="003C2679" w:rsidP="00143DD6">
      <w:pPr>
        <w:tabs>
          <w:tab w:val="left" w:pos="920"/>
        </w:tabs>
      </w:pPr>
    </w:p>
    <w:p w14:paraId="2F052611" w14:textId="77777777" w:rsidR="003C2679" w:rsidRDefault="003C2679" w:rsidP="00143DD6">
      <w:pPr>
        <w:tabs>
          <w:tab w:val="left" w:pos="920"/>
        </w:tabs>
      </w:pPr>
    </w:p>
    <w:p w14:paraId="4824EEAE" w14:textId="77777777" w:rsidR="003C2679" w:rsidRDefault="003C2679" w:rsidP="00143DD6">
      <w:pPr>
        <w:tabs>
          <w:tab w:val="left" w:pos="920"/>
        </w:tabs>
      </w:pPr>
    </w:p>
    <w:p w14:paraId="1DC1E7F2" w14:textId="29D80262" w:rsidR="003C2679" w:rsidRPr="008D5555" w:rsidRDefault="00910524" w:rsidP="00362C51">
      <w:pPr>
        <w:tabs>
          <w:tab w:val="left" w:pos="920"/>
        </w:tabs>
        <w:jc w:val="center"/>
        <w:rPr>
          <w:rFonts w:ascii="Arial" w:hAnsi="Arial" w:cs="Arial"/>
          <w:b/>
          <w:bCs/>
          <w:sz w:val="28"/>
          <w:szCs w:val="28"/>
        </w:rPr>
      </w:pPr>
      <w:r w:rsidRPr="008D5555">
        <w:rPr>
          <w:rFonts w:ascii="Arial" w:hAnsi="Arial" w:cs="Arial"/>
          <w:b/>
          <w:bCs/>
          <w:sz w:val="28"/>
          <w:szCs w:val="28"/>
        </w:rPr>
        <w:t>D</w:t>
      </w:r>
      <w:r w:rsidR="006D58CC" w:rsidRPr="008D5555">
        <w:rPr>
          <w:rFonts w:ascii="Arial" w:hAnsi="Arial" w:cs="Arial"/>
          <w:b/>
          <w:bCs/>
          <w:sz w:val="28"/>
          <w:szCs w:val="28"/>
        </w:rPr>
        <w:t xml:space="preserve">igital health </w:t>
      </w:r>
      <w:r w:rsidR="00DD6CC2" w:rsidRPr="008D5555">
        <w:rPr>
          <w:rFonts w:ascii="Arial" w:hAnsi="Arial" w:cs="Arial"/>
          <w:b/>
          <w:bCs/>
          <w:sz w:val="28"/>
          <w:szCs w:val="28"/>
        </w:rPr>
        <w:t xml:space="preserve">tools through apps and devices are a </w:t>
      </w:r>
      <w:r w:rsidR="004556E3" w:rsidRPr="008D5555">
        <w:rPr>
          <w:rFonts w:ascii="Arial" w:hAnsi="Arial" w:cs="Arial"/>
          <w:b/>
          <w:bCs/>
          <w:sz w:val="28"/>
          <w:szCs w:val="28"/>
        </w:rPr>
        <w:t>source of empowerment for older adults</w:t>
      </w:r>
    </w:p>
    <w:p w14:paraId="6FF80F92" w14:textId="77777777" w:rsidR="00545D1E" w:rsidRDefault="00545D1E" w:rsidP="00143DD6">
      <w:pPr>
        <w:tabs>
          <w:tab w:val="left" w:pos="920"/>
        </w:tabs>
      </w:pPr>
    </w:p>
    <w:p w14:paraId="5F30009A" w14:textId="77777777" w:rsidR="00545D1E" w:rsidRDefault="00545D1E" w:rsidP="00143DD6">
      <w:pPr>
        <w:tabs>
          <w:tab w:val="left" w:pos="920"/>
        </w:tabs>
      </w:pPr>
    </w:p>
    <w:p w14:paraId="793B6802" w14:textId="77777777" w:rsidR="00545D1E" w:rsidRDefault="00545D1E" w:rsidP="00143DD6">
      <w:pPr>
        <w:tabs>
          <w:tab w:val="left" w:pos="920"/>
        </w:tabs>
      </w:pPr>
    </w:p>
    <w:p w14:paraId="0960FB51" w14:textId="77777777" w:rsidR="00545D1E" w:rsidRDefault="00545D1E" w:rsidP="00143DD6">
      <w:pPr>
        <w:tabs>
          <w:tab w:val="left" w:pos="920"/>
        </w:tabs>
      </w:pPr>
    </w:p>
    <w:p w14:paraId="3AD24829" w14:textId="77777777" w:rsidR="00A04AC0" w:rsidRDefault="00A04AC0" w:rsidP="00143DD6">
      <w:pPr>
        <w:tabs>
          <w:tab w:val="left" w:pos="920"/>
        </w:tabs>
        <w:rPr>
          <w:rFonts w:ascii="Arial" w:hAnsi="Arial" w:cs="Arial"/>
          <w:b/>
          <w:bCs/>
          <w:color w:val="C00000"/>
          <w:sz w:val="22"/>
          <w:szCs w:val="22"/>
        </w:rPr>
      </w:pPr>
    </w:p>
    <w:p w14:paraId="2D9D7179" w14:textId="77777777" w:rsidR="0028627A" w:rsidRDefault="0028627A" w:rsidP="00143DD6">
      <w:pPr>
        <w:tabs>
          <w:tab w:val="left" w:pos="920"/>
        </w:tabs>
        <w:rPr>
          <w:rFonts w:ascii="Arial" w:hAnsi="Arial" w:cs="Arial"/>
          <w:b/>
          <w:bCs/>
          <w:sz w:val="28"/>
          <w:szCs w:val="28"/>
        </w:rPr>
      </w:pPr>
    </w:p>
    <w:p w14:paraId="3F8D804E" w14:textId="77D125A0" w:rsidR="00922F0D" w:rsidRDefault="0097327E" w:rsidP="00143DD6">
      <w:pPr>
        <w:tabs>
          <w:tab w:val="left" w:pos="920"/>
        </w:tabs>
        <w:rPr>
          <w:rFonts w:ascii="Arial" w:hAnsi="Arial" w:cs="Arial"/>
          <w:b/>
          <w:bCs/>
          <w:sz w:val="28"/>
          <w:szCs w:val="28"/>
        </w:rPr>
      </w:pPr>
      <w:r w:rsidRPr="0097327E">
        <w:rPr>
          <w:rFonts w:ascii="Arial" w:hAnsi="Arial" w:cs="Arial"/>
          <w:b/>
          <w:bCs/>
          <w:sz w:val="28"/>
          <w:szCs w:val="28"/>
        </w:rPr>
        <w:lastRenderedPageBreak/>
        <w:t>Reference</w:t>
      </w:r>
      <w:r w:rsidR="00D56E18">
        <w:rPr>
          <w:rFonts w:ascii="Arial" w:hAnsi="Arial" w:cs="Arial"/>
          <w:b/>
          <w:bCs/>
          <w:sz w:val="28"/>
          <w:szCs w:val="28"/>
        </w:rPr>
        <w:t xml:space="preserve"> </w:t>
      </w:r>
    </w:p>
    <w:p w14:paraId="04431528" w14:textId="210BD8C0" w:rsidR="00CB6AB1" w:rsidRPr="00971A10" w:rsidRDefault="00CB6AB1" w:rsidP="00CB6AB1">
      <w:pPr>
        <w:pStyle w:val="NormalWeb"/>
        <w:spacing w:before="0" w:beforeAutospacing="0" w:after="0" w:afterAutospacing="0" w:line="360" w:lineRule="atLeast"/>
        <w:rPr>
          <w:rFonts w:ascii="Arial" w:hAnsi="Arial" w:cs="Arial"/>
          <w:color w:val="000000"/>
          <w:sz w:val="22"/>
          <w:szCs w:val="22"/>
        </w:rPr>
      </w:pPr>
      <w:r w:rsidRPr="00971A10">
        <w:rPr>
          <w:rFonts w:ascii="Arial" w:hAnsi="Arial" w:cs="Arial"/>
          <w:color w:val="000000"/>
          <w:sz w:val="22"/>
          <w:szCs w:val="22"/>
        </w:rPr>
        <w:t>Åberg, C., Gillsjö, C., Hallgren, J. and Berglund, M. (2024) Experiences of a digital health innovation for older adults living with long-term health problems: the SelfSTRENGTH application. </w:t>
      </w:r>
      <w:r w:rsidRPr="00971A10">
        <w:rPr>
          <w:rFonts w:ascii="Arial" w:hAnsi="Arial" w:cs="Arial"/>
          <w:i/>
          <w:iCs/>
          <w:color w:val="000000"/>
          <w:sz w:val="22"/>
          <w:szCs w:val="22"/>
        </w:rPr>
        <w:t>Educational Gerontology</w:t>
      </w:r>
      <w:r w:rsidRPr="00971A10">
        <w:rPr>
          <w:rFonts w:ascii="Arial" w:hAnsi="Arial" w:cs="Arial"/>
          <w:color w:val="000000"/>
          <w:sz w:val="22"/>
          <w:szCs w:val="22"/>
        </w:rPr>
        <w:t xml:space="preserve">, pp.1–16. doi:https://doi.org/10.1080/03601277.2024.2431953(Accessed: 4 April 2026). </w:t>
      </w:r>
    </w:p>
    <w:p w14:paraId="4205BEAC" w14:textId="77777777" w:rsidR="00CB6AB1" w:rsidRPr="00971A10" w:rsidRDefault="00CB6AB1" w:rsidP="003D0EAA">
      <w:pPr>
        <w:spacing w:after="0" w:line="240" w:lineRule="auto"/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</w:p>
    <w:p w14:paraId="40097540" w14:textId="1C8F56E8" w:rsidR="003D0EAA" w:rsidRPr="00971A10" w:rsidRDefault="003D0EAA" w:rsidP="003D0EAA">
      <w:pPr>
        <w:spacing w:after="0" w:line="240" w:lineRule="auto"/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  <w:r w:rsidRPr="00971A10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Akgül Gök, F. et al. (2023) ‘The Effect of Empowerment Interventions Applied to Geriatric Patients Receiving Physical Therapy on Their Depression and Self-Efficacy Levels,’</w:t>
      </w:r>
      <w:r w:rsidR="001363FE" w:rsidRPr="00971A10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</w:t>
      </w:r>
      <w:r w:rsidRPr="00971A10">
        <w:rPr>
          <w:rFonts w:ascii="Arial" w:eastAsia="Times New Roman" w:hAnsi="Arial" w:cs="Arial"/>
          <w:i/>
          <w:iCs/>
          <w:kern w:val="0"/>
          <w:sz w:val="22"/>
          <w:szCs w:val="22"/>
          <w:lang w:eastAsia="en-GB"/>
          <w14:ligatures w14:val="none"/>
        </w:rPr>
        <w:t>Social work in public health</w:t>
      </w:r>
      <w:r w:rsidRPr="00971A10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, 38(3), pp. 209–220. Available at: </w:t>
      </w:r>
      <w:hyperlink r:id="rId6" w:history="1">
        <w:r w:rsidRPr="00971A10">
          <w:rPr>
            <w:rStyle w:val="Hyperlink"/>
            <w:rFonts w:ascii="Arial" w:eastAsia="Times New Roman" w:hAnsi="Arial" w:cs="Arial"/>
            <w:kern w:val="0"/>
            <w:sz w:val="22"/>
            <w:szCs w:val="22"/>
            <w:lang w:eastAsia="en-GB"/>
            <w14:ligatures w14:val="none"/>
          </w:rPr>
          <w:t>https://doi.org/10.1080/19371918.2022.2118924</w:t>
        </w:r>
      </w:hyperlink>
      <w:r w:rsidRPr="00971A10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</w:t>
      </w:r>
      <w:r w:rsidR="001363FE" w:rsidRPr="00971A10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(</w:t>
      </w:r>
      <w:r w:rsidR="002A4F91" w:rsidRPr="00971A10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Accessed: 25 March 2026).</w:t>
      </w:r>
    </w:p>
    <w:p w14:paraId="7E73C6FA" w14:textId="77777777" w:rsidR="00E71D91" w:rsidRPr="00971A10" w:rsidRDefault="00E71D91" w:rsidP="00E71D91">
      <w:pPr>
        <w:spacing w:after="0" w:line="240" w:lineRule="auto"/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</w:p>
    <w:p w14:paraId="12E6D6A0" w14:textId="1BFB95A1" w:rsidR="00E71D91" w:rsidRPr="00E71D91" w:rsidRDefault="00E71D91" w:rsidP="00E71D91">
      <w:pPr>
        <w:spacing w:after="0" w:line="240" w:lineRule="auto"/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  <w:r w:rsidRPr="00E71D91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Chang, S.-H. et al</w:t>
      </w:r>
      <w:r w:rsidRPr="00E71D91">
        <w:rPr>
          <w:rFonts w:ascii="Arial" w:eastAsia="Times New Roman" w:hAnsi="Arial" w:cs="Arial"/>
          <w:i/>
          <w:iCs/>
          <w:kern w:val="0"/>
          <w:sz w:val="22"/>
          <w:szCs w:val="22"/>
          <w:lang w:eastAsia="en-GB"/>
          <w14:ligatures w14:val="none"/>
        </w:rPr>
        <w:t>.</w:t>
      </w:r>
      <w:r w:rsidRPr="00E71D91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(2025) </w:t>
      </w:r>
      <w:r w:rsidRPr="00971A10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‘</w:t>
      </w:r>
      <w:r w:rsidRPr="00E71D91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Health Motivation as a Predictor of mHealth Engagement Across BMI: Cross-Sectional Survey,</w:t>
      </w:r>
      <w:r w:rsidRPr="00971A10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’</w:t>
      </w:r>
      <w:r w:rsidRPr="00E71D91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</w:t>
      </w:r>
      <w:r w:rsidRPr="00E71D91">
        <w:rPr>
          <w:rFonts w:ascii="Arial" w:eastAsia="Times New Roman" w:hAnsi="Arial" w:cs="Arial"/>
          <w:i/>
          <w:iCs/>
          <w:kern w:val="0"/>
          <w:sz w:val="22"/>
          <w:szCs w:val="22"/>
          <w:lang w:eastAsia="en-GB"/>
          <w14:ligatures w14:val="none"/>
        </w:rPr>
        <w:t>JMIR mHealth and uHealth</w:t>
      </w:r>
      <w:r w:rsidRPr="00E71D91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, 13, p. e71625. Available at: </w:t>
      </w:r>
      <w:hyperlink r:id="rId7" w:history="1">
        <w:r w:rsidRPr="00E71D91">
          <w:rPr>
            <w:rStyle w:val="Hyperlink"/>
            <w:rFonts w:ascii="Arial" w:eastAsia="Times New Roman" w:hAnsi="Arial" w:cs="Arial"/>
            <w:kern w:val="0"/>
            <w:sz w:val="22"/>
            <w:szCs w:val="22"/>
            <w:lang w:eastAsia="en-GB"/>
            <w14:ligatures w14:val="none"/>
          </w:rPr>
          <w:t>https://doi.org/10.2196/71625</w:t>
        </w:r>
      </w:hyperlink>
      <w:r w:rsidRPr="00971A10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(Accessed: 1 April 2026).</w:t>
      </w:r>
    </w:p>
    <w:p w14:paraId="59BD1E03" w14:textId="77777777" w:rsidR="00B833EB" w:rsidRPr="00971A10" w:rsidRDefault="00B833EB" w:rsidP="00B833EB">
      <w:pPr>
        <w:spacing w:after="0" w:line="240" w:lineRule="auto"/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</w:p>
    <w:p w14:paraId="526E6C33" w14:textId="72BCEE5B" w:rsidR="00B833EB" w:rsidRPr="00B833EB" w:rsidRDefault="00B833EB" w:rsidP="00B833EB">
      <w:pPr>
        <w:spacing w:after="0" w:line="240" w:lineRule="auto"/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  <w:r w:rsidRPr="00B833EB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Fernandes, G. et al</w:t>
      </w:r>
      <w:r w:rsidRPr="00B833EB">
        <w:rPr>
          <w:rFonts w:ascii="Arial" w:eastAsia="Times New Roman" w:hAnsi="Arial" w:cs="Arial"/>
          <w:i/>
          <w:iCs/>
          <w:kern w:val="0"/>
          <w:sz w:val="22"/>
          <w:szCs w:val="22"/>
          <w:lang w:eastAsia="en-GB"/>
          <w14:ligatures w14:val="none"/>
        </w:rPr>
        <w:t>.</w:t>
      </w:r>
      <w:r w:rsidRPr="00B833EB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(2025) </w:t>
      </w:r>
      <w:r w:rsidRPr="00971A10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‘</w:t>
      </w:r>
      <w:r w:rsidRPr="00B833EB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Impact of telehealth on health outcomes and quality of life in the older adults population: a systematic review,</w:t>
      </w:r>
      <w:r w:rsidRPr="00971A10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’</w:t>
      </w:r>
      <w:r w:rsidRPr="00B833EB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</w:t>
      </w:r>
      <w:r w:rsidRPr="00B833EB">
        <w:rPr>
          <w:rFonts w:ascii="Arial" w:eastAsia="Times New Roman" w:hAnsi="Arial" w:cs="Arial"/>
          <w:i/>
          <w:iCs/>
          <w:kern w:val="0"/>
          <w:sz w:val="22"/>
          <w:szCs w:val="22"/>
          <w:lang w:eastAsia="en-GB"/>
          <w14:ligatures w14:val="none"/>
        </w:rPr>
        <w:t>Frontiers in digital health</w:t>
      </w:r>
      <w:r w:rsidRPr="00B833EB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, 7, p. 1708960. Available at: </w:t>
      </w:r>
      <w:hyperlink r:id="rId8" w:history="1">
        <w:r w:rsidRPr="00B833EB">
          <w:rPr>
            <w:rStyle w:val="Hyperlink"/>
            <w:rFonts w:ascii="Arial" w:eastAsia="Times New Roman" w:hAnsi="Arial" w:cs="Arial"/>
            <w:kern w:val="0"/>
            <w:sz w:val="22"/>
            <w:szCs w:val="22"/>
            <w:lang w:eastAsia="en-GB"/>
            <w14:ligatures w14:val="none"/>
          </w:rPr>
          <w:t>https://doi.org/10.3389/fdgth.2025.1708960</w:t>
        </w:r>
      </w:hyperlink>
      <w:r w:rsidRPr="00971A10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(Accessed: 4 April 2026).</w:t>
      </w:r>
    </w:p>
    <w:p w14:paraId="37DC7FD4" w14:textId="77777777" w:rsidR="0071733E" w:rsidRPr="00971A10" w:rsidRDefault="0071733E" w:rsidP="0087360A">
      <w:pPr>
        <w:tabs>
          <w:tab w:val="left" w:pos="1760"/>
        </w:tabs>
        <w:rPr>
          <w:rFonts w:ascii="Arial" w:hAnsi="Arial" w:cs="Arial"/>
          <w:sz w:val="22"/>
          <w:szCs w:val="22"/>
        </w:rPr>
      </w:pPr>
    </w:p>
    <w:p w14:paraId="26FE2392" w14:textId="43D0AF29" w:rsidR="0087360A" w:rsidRPr="00971A10" w:rsidRDefault="00F84825" w:rsidP="0087360A">
      <w:pPr>
        <w:tabs>
          <w:tab w:val="left" w:pos="1760"/>
        </w:tabs>
        <w:rPr>
          <w:rFonts w:ascii="Arial" w:hAnsi="Arial" w:cs="Arial"/>
          <w:sz w:val="22"/>
          <w:szCs w:val="22"/>
        </w:rPr>
      </w:pPr>
      <w:r w:rsidRPr="00971A10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Guasti, L. et al. (2022) ‘Digital health in older adults for the prevention and management of cardiovascular diseases and frailty. A clinical consensus statement from the ESC Council for Cardiology Practice/Taskforce on Geriatric Cardiology, the ESC Digital Health Committee and the ESC Working Group on e</w:t>
      </w:r>
      <w:r w:rsidRPr="00971A10">
        <w:rPr>
          <w:rFonts w:ascii="Cambria Math" w:eastAsia="Times New Roman" w:hAnsi="Cambria Math" w:cs="Cambria Math"/>
          <w:kern w:val="0"/>
          <w:sz w:val="22"/>
          <w:szCs w:val="22"/>
          <w:lang w:eastAsia="en-GB"/>
          <w14:ligatures w14:val="none"/>
        </w:rPr>
        <w:t>‐</w:t>
      </w:r>
      <w:r w:rsidRPr="00971A10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Cardiology,’</w:t>
      </w:r>
      <w:r w:rsidRPr="00971A10">
        <w:rPr>
          <w:rFonts w:ascii="Arial" w:eastAsia="Times New Roman" w:hAnsi="Arial" w:cs="Arial"/>
          <w:i/>
          <w:iCs/>
          <w:kern w:val="0"/>
          <w:sz w:val="22"/>
          <w:szCs w:val="22"/>
          <w:lang w:eastAsia="en-GB"/>
          <w14:ligatures w14:val="none"/>
        </w:rPr>
        <w:t>ESC Heart Failure</w:t>
      </w:r>
      <w:r w:rsidRPr="00971A10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, 9(5), pp. 2808–2822. Available at: </w:t>
      </w:r>
      <w:hyperlink r:id="rId9" w:history="1">
        <w:r w:rsidRPr="00971A10">
          <w:rPr>
            <w:rStyle w:val="Hyperlink"/>
            <w:rFonts w:ascii="Arial" w:eastAsia="Times New Roman" w:hAnsi="Arial" w:cs="Arial"/>
            <w:kern w:val="0"/>
            <w:sz w:val="22"/>
            <w:szCs w:val="22"/>
            <w:lang w:eastAsia="en-GB"/>
            <w14:ligatures w14:val="none"/>
          </w:rPr>
          <w:t>https://doi.org/10.1002/ehf2.14022</w:t>
        </w:r>
      </w:hyperlink>
      <w:r w:rsidRPr="00971A10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</w:t>
      </w:r>
      <w:r w:rsidR="001560A8" w:rsidRPr="00971A10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(Accessed: 26 March 2026).</w:t>
      </w:r>
      <w:r w:rsidR="0087360A" w:rsidRPr="00971A10">
        <w:rPr>
          <w:rFonts w:ascii="Arial" w:hAnsi="Arial" w:cs="Arial"/>
          <w:sz w:val="22"/>
          <w:szCs w:val="22"/>
        </w:rPr>
        <w:tab/>
      </w:r>
    </w:p>
    <w:p w14:paraId="092F4EC4" w14:textId="66C63F05" w:rsidR="003F6FC3" w:rsidRPr="00971A10" w:rsidRDefault="003F6FC3" w:rsidP="003F6FC3">
      <w:pPr>
        <w:spacing w:after="0" w:line="240" w:lineRule="auto"/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  <w:r w:rsidRPr="00971A10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Honeyford, K. et al. (2025) ‘Digital innovation in healthcare: quantifying the impact of digital sepsis screening tools on patient outcomes a multi-site natural experiment,’ </w:t>
      </w:r>
      <w:r w:rsidRPr="00971A10">
        <w:rPr>
          <w:rFonts w:ascii="Arial" w:eastAsia="Times New Roman" w:hAnsi="Arial" w:cs="Arial"/>
          <w:i/>
          <w:iCs/>
          <w:kern w:val="0"/>
          <w:sz w:val="22"/>
          <w:szCs w:val="22"/>
          <w:lang w:eastAsia="en-GB"/>
          <w14:ligatures w14:val="none"/>
        </w:rPr>
        <w:t>BMJ health &amp; care informatics</w:t>
      </w:r>
      <w:r w:rsidRPr="00971A10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, 32(1), p. e101141. Available at: </w:t>
      </w:r>
      <w:hyperlink r:id="rId10" w:history="1">
        <w:r w:rsidRPr="00971A10">
          <w:rPr>
            <w:rStyle w:val="Hyperlink"/>
            <w:rFonts w:ascii="Arial" w:eastAsia="Times New Roman" w:hAnsi="Arial" w:cs="Arial"/>
            <w:kern w:val="0"/>
            <w:sz w:val="22"/>
            <w:szCs w:val="22"/>
            <w:lang w:eastAsia="en-GB"/>
            <w14:ligatures w14:val="none"/>
          </w:rPr>
          <w:t>https://doi.org/10.1136/bmjhci-2024-101141</w:t>
        </w:r>
      </w:hyperlink>
      <w:r w:rsidRPr="00971A10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</w:t>
      </w:r>
      <w:r w:rsidR="00C40EE5" w:rsidRPr="00971A10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(Accessed: 25 M</w:t>
      </w:r>
      <w:r w:rsidR="00AF4141" w:rsidRPr="00971A10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arch 2026).</w:t>
      </w:r>
    </w:p>
    <w:p w14:paraId="425F9769" w14:textId="77777777" w:rsidR="007F4035" w:rsidRPr="00971A10" w:rsidRDefault="007F4035" w:rsidP="007F4035">
      <w:pPr>
        <w:spacing w:after="0" w:line="240" w:lineRule="auto"/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</w:p>
    <w:p w14:paraId="4426C987" w14:textId="20EFF780" w:rsidR="007F4035" w:rsidRPr="007F4035" w:rsidRDefault="007F4035" w:rsidP="007F4035">
      <w:pPr>
        <w:spacing w:after="0" w:line="240" w:lineRule="auto"/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  <w:r w:rsidRPr="007F4035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Ienca, M. et al</w:t>
      </w:r>
      <w:r w:rsidRPr="007F4035">
        <w:rPr>
          <w:rFonts w:ascii="Arial" w:eastAsia="Times New Roman" w:hAnsi="Arial" w:cs="Arial"/>
          <w:i/>
          <w:iCs/>
          <w:kern w:val="0"/>
          <w:sz w:val="22"/>
          <w:szCs w:val="22"/>
          <w:lang w:eastAsia="en-GB"/>
          <w14:ligatures w14:val="none"/>
        </w:rPr>
        <w:t>.</w:t>
      </w:r>
      <w:r w:rsidRPr="007F4035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(2021) </w:t>
      </w:r>
      <w:r w:rsidRPr="00971A10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‘</w:t>
      </w:r>
      <w:r w:rsidRPr="007F4035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Digital health interventions for healthy ageing: a qualitative user evaluation and ethical assessment,</w:t>
      </w:r>
      <w:r w:rsidRPr="00971A10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’</w:t>
      </w:r>
      <w:r w:rsidRPr="007F4035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</w:t>
      </w:r>
      <w:r w:rsidRPr="007F4035">
        <w:rPr>
          <w:rFonts w:ascii="Arial" w:eastAsia="Times New Roman" w:hAnsi="Arial" w:cs="Arial"/>
          <w:i/>
          <w:iCs/>
          <w:kern w:val="0"/>
          <w:sz w:val="22"/>
          <w:szCs w:val="22"/>
          <w:lang w:eastAsia="en-GB"/>
          <w14:ligatures w14:val="none"/>
        </w:rPr>
        <w:t>BMC geriatrics</w:t>
      </w:r>
      <w:r w:rsidRPr="007F4035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, 21(1). Available at: </w:t>
      </w:r>
      <w:hyperlink r:id="rId11" w:history="1">
        <w:r w:rsidRPr="007F4035">
          <w:rPr>
            <w:rStyle w:val="Hyperlink"/>
            <w:rFonts w:ascii="Arial" w:eastAsia="Times New Roman" w:hAnsi="Arial" w:cs="Arial"/>
            <w:kern w:val="0"/>
            <w:sz w:val="22"/>
            <w:szCs w:val="22"/>
            <w:lang w:eastAsia="en-GB"/>
            <w14:ligatures w14:val="none"/>
          </w:rPr>
          <w:t>https://doi.org/10.1186/s12877-021-02338-z</w:t>
        </w:r>
      </w:hyperlink>
      <w:r w:rsidRPr="00971A10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(Accessed: 3 April 2026).</w:t>
      </w:r>
    </w:p>
    <w:p w14:paraId="63590894" w14:textId="77777777" w:rsidR="0071733E" w:rsidRPr="00971A10" w:rsidRDefault="0071733E" w:rsidP="00F46151">
      <w:pPr>
        <w:pStyle w:val="NormalWeb"/>
        <w:spacing w:before="0" w:beforeAutospacing="0" w:after="0" w:afterAutospacing="0" w:line="360" w:lineRule="atLeast"/>
        <w:rPr>
          <w:rFonts w:ascii="Arial" w:hAnsi="Arial" w:cs="Arial"/>
          <w:color w:val="222222"/>
          <w:sz w:val="22"/>
          <w:szCs w:val="22"/>
          <w:shd w:val="clear" w:color="auto" w:fill="FFFFFF"/>
        </w:rPr>
      </w:pPr>
    </w:p>
    <w:p w14:paraId="738BB724" w14:textId="7707C69D" w:rsidR="00F46151" w:rsidRPr="00971A10" w:rsidRDefault="00F46151" w:rsidP="00F46151">
      <w:pPr>
        <w:pStyle w:val="NormalWeb"/>
        <w:spacing w:before="0" w:beforeAutospacing="0" w:after="0" w:afterAutospacing="0" w:line="360" w:lineRule="atLeast"/>
        <w:rPr>
          <w:rFonts w:ascii="Arial" w:hAnsi="Arial" w:cs="Arial"/>
          <w:color w:val="000000"/>
          <w:sz w:val="22"/>
          <w:szCs w:val="22"/>
        </w:rPr>
      </w:pPr>
      <w:r w:rsidRPr="00971A10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Kam, P.K. </w:t>
      </w:r>
      <w:r w:rsidR="0071733E" w:rsidRPr="00971A10">
        <w:rPr>
          <w:rFonts w:ascii="Arial" w:hAnsi="Arial" w:cs="Arial"/>
          <w:color w:val="222222"/>
          <w:sz w:val="22"/>
          <w:szCs w:val="22"/>
          <w:shd w:val="clear" w:color="auto" w:fill="FFFFFF"/>
        </w:rPr>
        <w:t>(</w:t>
      </w:r>
      <w:r w:rsidRPr="00971A10">
        <w:rPr>
          <w:rFonts w:ascii="Arial" w:hAnsi="Arial" w:cs="Arial"/>
          <w:color w:val="222222"/>
          <w:sz w:val="22"/>
          <w:szCs w:val="22"/>
          <w:shd w:val="clear" w:color="auto" w:fill="FFFFFF"/>
        </w:rPr>
        <w:t>2023</w:t>
      </w:r>
      <w:r w:rsidR="0071733E" w:rsidRPr="00971A10">
        <w:rPr>
          <w:rFonts w:ascii="Arial" w:hAnsi="Arial" w:cs="Arial"/>
          <w:color w:val="222222"/>
          <w:sz w:val="22"/>
          <w:szCs w:val="22"/>
          <w:shd w:val="clear" w:color="auto" w:fill="FFFFFF"/>
        </w:rPr>
        <w:t>)</w:t>
      </w:r>
      <w:r w:rsidRPr="00971A10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 Empowerment in old age: A ladder of user participation in social services for older people. </w:t>
      </w:r>
      <w:r w:rsidRPr="00971A10">
        <w:rPr>
          <w:rFonts w:ascii="Arial" w:hAnsi="Arial" w:cs="Arial"/>
          <w:i/>
          <w:iCs/>
          <w:color w:val="222222"/>
          <w:sz w:val="22"/>
          <w:szCs w:val="22"/>
          <w:shd w:val="clear" w:color="auto" w:fill="FFFFFF"/>
        </w:rPr>
        <w:t>Journal of Social Work</w:t>
      </w:r>
      <w:r w:rsidRPr="00971A10">
        <w:rPr>
          <w:rFonts w:ascii="Arial" w:hAnsi="Arial" w:cs="Arial"/>
          <w:color w:val="222222"/>
          <w:sz w:val="22"/>
          <w:szCs w:val="22"/>
          <w:shd w:val="clear" w:color="auto" w:fill="FFFFFF"/>
        </w:rPr>
        <w:t>, </w:t>
      </w:r>
      <w:r w:rsidRPr="00971A10">
        <w:rPr>
          <w:rFonts w:ascii="Arial" w:hAnsi="Arial" w:cs="Arial"/>
          <w:i/>
          <w:iCs/>
          <w:color w:val="222222"/>
          <w:sz w:val="22"/>
          <w:szCs w:val="22"/>
          <w:shd w:val="clear" w:color="auto" w:fill="FFFFFF"/>
        </w:rPr>
        <w:t>23</w:t>
      </w:r>
      <w:r w:rsidRPr="00971A10">
        <w:rPr>
          <w:rFonts w:ascii="Arial" w:hAnsi="Arial" w:cs="Arial"/>
          <w:color w:val="222222"/>
          <w:sz w:val="22"/>
          <w:szCs w:val="22"/>
          <w:shd w:val="clear" w:color="auto" w:fill="FFFFFF"/>
        </w:rPr>
        <w:t>(4), pp.677-691 (Accessed: 30 March 2026).</w:t>
      </w:r>
    </w:p>
    <w:p w14:paraId="29BF1F33" w14:textId="77777777" w:rsidR="00A56670" w:rsidRPr="00971A10" w:rsidRDefault="00A56670" w:rsidP="00A56670">
      <w:pPr>
        <w:spacing w:after="0" w:line="240" w:lineRule="auto"/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</w:p>
    <w:p w14:paraId="60F27737" w14:textId="65747A5A" w:rsidR="00A56670" w:rsidRPr="00A56670" w:rsidRDefault="00A56670" w:rsidP="00A56670">
      <w:pPr>
        <w:spacing w:after="0" w:line="240" w:lineRule="auto"/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  <w:r w:rsidRPr="00A56670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Kondylakis, H. et al</w:t>
      </w:r>
      <w:r w:rsidRPr="00A56670">
        <w:rPr>
          <w:rFonts w:ascii="Arial" w:eastAsia="Times New Roman" w:hAnsi="Arial" w:cs="Arial"/>
          <w:i/>
          <w:iCs/>
          <w:kern w:val="0"/>
          <w:sz w:val="22"/>
          <w:szCs w:val="22"/>
          <w:lang w:eastAsia="en-GB"/>
          <w14:ligatures w14:val="none"/>
        </w:rPr>
        <w:t>.</w:t>
      </w:r>
      <w:r w:rsidRPr="00A56670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(2025) </w:t>
      </w:r>
      <w:r w:rsidRPr="00971A10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‘</w:t>
      </w:r>
      <w:r w:rsidRPr="00A56670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Stress Reduction in Perioperative Care: Feasibility Randomized Controlled Trial,</w:t>
      </w:r>
      <w:r w:rsidRPr="00971A10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’ </w:t>
      </w:r>
      <w:r w:rsidRPr="00A56670">
        <w:rPr>
          <w:rFonts w:ascii="Arial" w:eastAsia="Times New Roman" w:hAnsi="Arial" w:cs="Arial"/>
          <w:i/>
          <w:iCs/>
          <w:kern w:val="0"/>
          <w:sz w:val="22"/>
          <w:szCs w:val="22"/>
          <w:lang w:eastAsia="en-GB"/>
          <w14:ligatures w14:val="none"/>
        </w:rPr>
        <w:t>Journal of medical Internet research</w:t>
      </w:r>
      <w:r w:rsidRPr="00A56670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, 27(5), p. e54049. Available at: </w:t>
      </w:r>
      <w:hyperlink r:id="rId12" w:history="1">
        <w:r w:rsidRPr="00A56670">
          <w:rPr>
            <w:rStyle w:val="Hyperlink"/>
            <w:rFonts w:ascii="Arial" w:eastAsia="Times New Roman" w:hAnsi="Arial" w:cs="Arial"/>
            <w:kern w:val="0"/>
            <w:sz w:val="22"/>
            <w:szCs w:val="22"/>
            <w:lang w:eastAsia="en-GB"/>
            <w14:ligatures w14:val="none"/>
          </w:rPr>
          <w:t>https://doi.org/10.2196/54049</w:t>
        </w:r>
      </w:hyperlink>
      <w:r w:rsidRPr="00971A10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(Accessed: 1 April 2026).</w:t>
      </w:r>
    </w:p>
    <w:p w14:paraId="6F002CD5" w14:textId="77777777" w:rsidR="00F46151" w:rsidRPr="00971A10" w:rsidRDefault="00F46151" w:rsidP="003F6FC3">
      <w:pPr>
        <w:tabs>
          <w:tab w:val="left" w:pos="1760"/>
        </w:tabs>
        <w:rPr>
          <w:rFonts w:ascii="Arial" w:hAnsi="Arial" w:cs="Arial"/>
          <w:sz w:val="22"/>
          <w:szCs w:val="22"/>
        </w:rPr>
      </w:pPr>
    </w:p>
    <w:p w14:paraId="71DD5A24" w14:textId="77522E0B" w:rsidR="00584D5D" w:rsidRPr="00971A10" w:rsidRDefault="00584D5D" w:rsidP="00584D5D">
      <w:pPr>
        <w:spacing w:after="0" w:line="240" w:lineRule="auto"/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  <w:r w:rsidRPr="00971A10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Lai, C. et al</w:t>
      </w:r>
      <w:r w:rsidRPr="00971A10">
        <w:rPr>
          <w:rFonts w:ascii="Arial" w:eastAsia="Times New Roman" w:hAnsi="Arial" w:cs="Arial"/>
          <w:i/>
          <w:iCs/>
          <w:kern w:val="0"/>
          <w:sz w:val="22"/>
          <w:szCs w:val="22"/>
          <w:lang w:eastAsia="en-GB"/>
          <w14:ligatures w14:val="none"/>
        </w:rPr>
        <w:t>.</w:t>
      </w:r>
      <w:r w:rsidRPr="00971A10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(2021) ‘Income-Generating Processes of Free Web-Based Digital Health Tools to Engage Patients: Qualitative Analysis,’ </w:t>
      </w:r>
      <w:r w:rsidRPr="00971A10">
        <w:rPr>
          <w:rFonts w:ascii="Arial" w:eastAsia="Times New Roman" w:hAnsi="Arial" w:cs="Arial"/>
          <w:i/>
          <w:iCs/>
          <w:kern w:val="0"/>
          <w:sz w:val="22"/>
          <w:szCs w:val="22"/>
          <w:lang w:eastAsia="en-GB"/>
          <w14:ligatures w14:val="none"/>
        </w:rPr>
        <w:t>Journal of medical Internet research</w:t>
      </w:r>
      <w:r w:rsidRPr="00971A10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, 23(2), p. e23654. Available at: </w:t>
      </w:r>
      <w:hyperlink r:id="rId13" w:history="1">
        <w:r w:rsidR="000A5CF1" w:rsidRPr="00971A10">
          <w:rPr>
            <w:rStyle w:val="Hyperlink"/>
            <w:rFonts w:ascii="Arial" w:eastAsia="Times New Roman" w:hAnsi="Arial" w:cs="Arial"/>
            <w:kern w:val="0"/>
            <w:sz w:val="22"/>
            <w:szCs w:val="22"/>
            <w:lang w:eastAsia="en-GB"/>
            <w14:ligatures w14:val="none"/>
          </w:rPr>
          <w:t>https://doi.org/10.2196/23654</w:t>
        </w:r>
      </w:hyperlink>
      <w:r w:rsidR="000A5CF1" w:rsidRPr="00971A10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(Accessed</w:t>
      </w:r>
      <w:r w:rsidR="00D0492B" w:rsidRPr="00971A10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:24 March 2026). </w:t>
      </w:r>
    </w:p>
    <w:p w14:paraId="7B038599" w14:textId="77777777" w:rsidR="00891343" w:rsidRPr="00971A10" w:rsidRDefault="00891343" w:rsidP="00891343">
      <w:pPr>
        <w:spacing w:after="0" w:line="240" w:lineRule="auto"/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</w:p>
    <w:p w14:paraId="028F6E79" w14:textId="77777777" w:rsidR="00C67E0F" w:rsidRPr="00971A10" w:rsidRDefault="00C67E0F" w:rsidP="00891343">
      <w:pPr>
        <w:spacing w:after="0" w:line="240" w:lineRule="auto"/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</w:p>
    <w:p w14:paraId="2D033C62" w14:textId="77777777" w:rsidR="0071733E" w:rsidRPr="00971A10" w:rsidRDefault="00891343" w:rsidP="0071733E">
      <w:pPr>
        <w:spacing w:after="0" w:line="240" w:lineRule="auto"/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  <w:r w:rsidRPr="00891343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Mahmood, A. et al</w:t>
      </w:r>
      <w:r w:rsidRPr="00891343">
        <w:rPr>
          <w:rFonts w:ascii="Arial" w:eastAsia="Times New Roman" w:hAnsi="Arial" w:cs="Arial"/>
          <w:i/>
          <w:iCs/>
          <w:kern w:val="0"/>
          <w:sz w:val="22"/>
          <w:szCs w:val="22"/>
          <w:lang w:eastAsia="en-GB"/>
          <w14:ligatures w14:val="none"/>
        </w:rPr>
        <w:t>.</w:t>
      </w:r>
      <w:r w:rsidRPr="00891343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(2019) </w:t>
      </w:r>
      <w:r w:rsidRPr="00971A10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‘</w:t>
      </w:r>
      <w:r w:rsidRPr="00891343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Use of mobile health applications for health-promoting behavior among individuals with chronic medical conditions,</w:t>
      </w:r>
      <w:r w:rsidRPr="00971A10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’</w:t>
      </w:r>
      <w:r w:rsidRPr="00891343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</w:t>
      </w:r>
      <w:r w:rsidRPr="00891343">
        <w:rPr>
          <w:rFonts w:ascii="Arial" w:eastAsia="Times New Roman" w:hAnsi="Arial" w:cs="Arial"/>
          <w:i/>
          <w:iCs/>
          <w:kern w:val="0"/>
          <w:sz w:val="22"/>
          <w:szCs w:val="22"/>
          <w:lang w:eastAsia="en-GB"/>
          <w14:ligatures w14:val="none"/>
        </w:rPr>
        <w:t>Digital health</w:t>
      </w:r>
      <w:r w:rsidRPr="00891343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, 5, p. 2055207619882181. Available at: </w:t>
      </w:r>
      <w:hyperlink r:id="rId14" w:history="1">
        <w:r w:rsidRPr="00891343">
          <w:rPr>
            <w:rStyle w:val="Hyperlink"/>
            <w:rFonts w:ascii="Arial" w:eastAsia="Times New Roman" w:hAnsi="Arial" w:cs="Arial"/>
            <w:kern w:val="0"/>
            <w:sz w:val="22"/>
            <w:szCs w:val="22"/>
            <w:lang w:eastAsia="en-GB"/>
            <w14:ligatures w14:val="none"/>
          </w:rPr>
          <w:t>https://doi.org/10.1177/2055207619882181</w:t>
        </w:r>
      </w:hyperlink>
      <w:r w:rsidRPr="00971A10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(Accessed: 4 April 2026).</w:t>
      </w:r>
    </w:p>
    <w:p w14:paraId="16281B41" w14:textId="1B29C8A6" w:rsidR="003479CA" w:rsidRPr="003479CA" w:rsidRDefault="003479CA" w:rsidP="0071733E">
      <w:pPr>
        <w:spacing w:after="0" w:line="240" w:lineRule="auto"/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  <w:r w:rsidRPr="003479CA">
        <w:rPr>
          <w:rFonts w:ascii="Arial" w:eastAsia="Times New Roman" w:hAnsi="Arial" w:cs="Arial"/>
          <w:color w:val="000000"/>
          <w:kern w:val="0"/>
          <w:sz w:val="22"/>
          <w:szCs w:val="22"/>
          <w:lang w:eastAsia="en-GB"/>
          <w14:ligatures w14:val="none"/>
        </w:rPr>
        <w:lastRenderedPageBreak/>
        <w:t xml:space="preserve">National Institute on Aging (2022) </w:t>
      </w:r>
      <w:r w:rsidRPr="003479CA">
        <w:rPr>
          <w:rFonts w:ascii="Arial" w:eastAsia="Times New Roman" w:hAnsi="Arial" w:cs="Arial"/>
          <w:i/>
          <w:iCs/>
          <w:color w:val="000000"/>
          <w:kern w:val="0"/>
          <w:sz w:val="22"/>
          <w:szCs w:val="22"/>
          <w:lang w:eastAsia="en-GB"/>
          <w14:ligatures w14:val="none"/>
        </w:rPr>
        <w:t>Falls and fractures in older adults: Causes and prevention</w:t>
      </w:r>
      <w:r w:rsidRPr="003479CA">
        <w:rPr>
          <w:rFonts w:ascii="Arial" w:eastAsia="Times New Roman" w:hAnsi="Arial" w:cs="Arial"/>
          <w:color w:val="000000"/>
          <w:kern w:val="0"/>
          <w:sz w:val="22"/>
          <w:szCs w:val="22"/>
          <w:lang w:eastAsia="en-GB"/>
          <w14:ligatures w14:val="none"/>
        </w:rPr>
        <w:t xml:space="preserve">. Available at: </w:t>
      </w:r>
      <w:hyperlink r:id="rId15" w:history="1">
        <w:r w:rsidRPr="003479CA">
          <w:rPr>
            <w:rFonts w:ascii="Arial" w:eastAsia="Times New Roman" w:hAnsi="Arial" w:cs="Arial"/>
            <w:color w:val="467886"/>
            <w:kern w:val="0"/>
            <w:sz w:val="22"/>
            <w:szCs w:val="22"/>
            <w:u w:val="single"/>
            <w:lang w:eastAsia="en-GB"/>
            <w14:ligatures w14:val="none"/>
          </w:rPr>
          <w:t>https://www.nia.nih.gov/health/falls-and-falls-prevention/falls-and-fractures-older-adults-causes-and-prevention</w:t>
        </w:r>
      </w:hyperlink>
      <w:r w:rsidRPr="003479CA">
        <w:rPr>
          <w:rFonts w:ascii="Arial" w:eastAsia="Times New Roman" w:hAnsi="Arial" w:cs="Arial"/>
          <w:color w:val="000000"/>
          <w:kern w:val="0"/>
          <w:sz w:val="22"/>
          <w:szCs w:val="22"/>
          <w:lang w:eastAsia="en-GB"/>
          <w14:ligatures w14:val="none"/>
        </w:rPr>
        <w:t xml:space="preserve"> (Accessed: </w:t>
      </w:r>
      <w:r w:rsidR="003917CE" w:rsidRPr="00971A10">
        <w:rPr>
          <w:rFonts w:ascii="Arial" w:eastAsia="Times New Roman" w:hAnsi="Arial" w:cs="Arial"/>
          <w:color w:val="000000"/>
          <w:kern w:val="0"/>
          <w:sz w:val="22"/>
          <w:szCs w:val="22"/>
          <w:lang w:eastAsia="en-GB"/>
          <w14:ligatures w14:val="none"/>
        </w:rPr>
        <w:t>31 March</w:t>
      </w:r>
      <w:r w:rsidRPr="003479CA">
        <w:rPr>
          <w:rFonts w:ascii="Arial" w:eastAsia="Times New Roman" w:hAnsi="Arial" w:cs="Arial"/>
          <w:color w:val="000000"/>
          <w:kern w:val="0"/>
          <w:sz w:val="22"/>
          <w:szCs w:val="22"/>
          <w:lang w:eastAsia="en-GB"/>
          <w14:ligatures w14:val="none"/>
        </w:rPr>
        <w:t xml:space="preserve"> 2026).</w:t>
      </w:r>
    </w:p>
    <w:p w14:paraId="2D68123D" w14:textId="77777777" w:rsidR="00891343" w:rsidRPr="00971A10" w:rsidRDefault="00891343" w:rsidP="00F41A61">
      <w:pPr>
        <w:pStyle w:val="NormalWeb"/>
        <w:spacing w:before="0" w:beforeAutospacing="0" w:after="0" w:afterAutospacing="0" w:line="360" w:lineRule="atLeast"/>
        <w:rPr>
          <w:rFonts w:ascii="Arial" w:hAnsi="Arial" w:cs="Arial"/>
          <w:color w:val="000000"/>
          <w:sz w:val="22"/>
          <w:szCs w:val="22"/>
        </w:rPr>
      </w:pPr>
    </w:p>
    <w:p w14:paraId="24FD07F0" w14:textId="071435FE" w:rsidR="0087360A" w:rsidRPr="00971A10" w:rsidRDefault="0087360A" w:rsidP="00F41A61">
      <w:pPr>
        <w:pStyle w:val="NormalWeb"/>
        <w:spacing w:before="0" w:beforeAutospacing="0" w:after="0" w:afterAutospacing="0" w:line="360" w:lineRule="atLeast"/>
        <w:rPr>
          <w:rFonts w:ascii="Arial" w:hAnsi="Arial" w:cs="Arial"/>
          <w:color w:val="000000"/>
          <w:sz w:val="22"/>
          <w:szCs w:val="22"/>
        </w:rPr>
      </w:pPr>
      <w:r w:rsidRPr="00971A10">
        <w:rPr>
          <w:rFonts w:ascii="Arial" w:hAnsi="Arial" w:cs="Arial"/>
          <w:color w:val="000000"/>
          <w:sz w:val="22"/>
          <w:szCs w:val="22"/>
        </w:rPr>
        <w:t>NHS England (2024) </w:t>
      </w:r>
      <w:r w:rsidRPr="00971A10">
        <w:rPr>
          <w:rFonts w:ascii="Arial" w:hAnsi="Arial" w:cs="Arial"/>
          <w:i/>
          <w:iCs/>
          <w:color w:val="000000"/>
          <w:sz w:val="22"/>
          <w:szCs w:val="22"/>
        </w:rPr>
        <w:t>Evolving to meet a changing world</w:t>
      </w:r>
      <w:r w:rsidRPr="00971A10">
        <w:rPr>
          <w:rFonts w:ascii="Arial" w:hAnsi="Arial" w:cs="Arial"/>
          <w:color w:val="000000"/>
          <w:sz w:val="22"/>
          <w:szCs w:val="22"/>
        </w:rPr>
        <w:t xml:space="preserve">.  Available at: </w:t>
      </w:r>
      <w:hyperlink r:id="rId16" w:history="1">
        <w:r w:rsidR="006B3989" w:rsidRPr="00971A10">
          <w:rPr>
            <w:rStyle w:val="Hyperlink"/>
            <w:rFonts w:ascii="Arial" w:hAnsi="Arial" w:cs="Arial"/>
            <w:sz w:val="22"/>
            <w:szCs w:val="22"/>
          </w:rPr>
          <w:t xml:space="preserve">https://www.england.nhs.uk/future-of-human-resources-and-organisational-development/the-future-of-nhs-human-resources-and-organisational-development-report/evolving-to-meet-a-changing-world/ </w:t>
        </w:r>
        <w:r w:rsidR="006B3989" w:rsidRPr="00971A10">
          <w:rPr>
            <w:rStyle w:val="Hyperlink"/>
            <w:rFonts w:ascii="Arial" w:hAnsi="Arial" w:cs="Arial"/>
            <w:color w:val="000000" w:themeColor="text1"/>
            <w:sz w:val="22"/>
            <w:szCs w:val="22"/>
            <w:u w:val="none"/>
          </w:rPr>
          <w:t>(Accessed</w:t>
        </w:r>
      </w:hyperlink>
      <w:r w:rsidR="00682080" w:rsidRPr="00971A10">
        <w:rPr>
          <w:rFonts w:ascii="Arial" w:hAnsi="Arial" w:cs="Arial"/>
          <w:color w:val="000000"/>
          <w:sz w:val="22"/>
          <w:szCs w:val="22"/>
        </w:rPr>
        <w:t>:</w:t>
      </w:r>
      <w:r w:rsidR="00C64579" w:rsidRPr="00971A10">
        <w:rPr>
          <w:rFonts w:ascii="Arial" w:hAnsi="Arial" w:cs="Arial"/>
          <w:color w:val="000000"/>
          <w:sz w:val="22"/>
          <w:szCs w:val="22"/>
        </w:rPr>
        <w:t>26 March 2026</w:t>
      </w:r>
      <w:r w:rsidR="000A5CF1" w:rsidRPr="00971A10">
        <w:rPr>
          <w:rFonts w:ascii="Arial" w:hAnsi="Arial" w:cs="Arial"/>
          <w:color w:val="000000"/>
          <w:sz w:val="22"/>
          <w:szCs w:val="22"/>
        </w:rPr>
        <w:t>).</w:t>
      </w:r>
    </w:p>
    <w:p w14:paraId="6CB0825C" w14:textId="77777777" w:rsidR="00AE6E31" w:rsidRPr="00971A10" w:rsidRDefault="00AE6E31" w:rsidP="00F41A61">
      <w:pPr>
        <w:pStyle w:val="NormalWeb"/>
        <w:spacing w:before="0" w:beforeAutospacing="0" w:after="0" w:afterAutospacing="0" w:line="360" w:lineRule="atLeast"/>
        <w:rPr>
          <w:rFonts w:ascii="Arial" w:hAnsi="Arial" w:cs="Arial"/>
          <w:color w:val="000000"/>
          <w:sz w:val="22"/>
          <w:szCs w:val="22"/>
        </w:rPr>
      </w:pPr>
    </w:p>
    <w:p w14:paraId="5BA66347" w14:textId="3E82876F" w:rsidR="00AE6E31" w:rsidRPr="00971A10" w:rsidRDefault="00AE6E31" w:rsidP="00AE6E31">
      <w:pPr>
        <w:spacing w:after="0" w:line="240" w:lineRule="auto"/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  <w:r w:rsidRPr="00971A10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Ramalho, A. et al</w:t>
      </w:r>
      <w:r w:rsidRPr="00971A10">
        <w:rPr>
          <w:rFonts w:ascii="Arial" w:eastAsia="Times New Roman" w:hAnsi="Arial" w:cs="Arial"/>
          <w:i/>
          <w:iCs/>
          <w:kern w:val="0"/>
          <w:sz w:val="22"/>
          <w:szCs w:val="22"/>
          <w:lang w:eastAsia="en-GB"/>
          <w14:ligatures w14:val="none"/>
        </w:rPr>
        <w:t>.</w:t>
      </w:r>
      <w:r w:rsidRPr="00971A10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(2024) </w:t>
      </w:r>
      <w:r w:rsidR="00A669B1" w:rsidRPr="00971A10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‘</w:t>
      </w:r>
      <w:r w:rsidRPr="00971A10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Age Unplugged: A Brief Narrative Review on the Intersection of Digital Tools, Sedentary and Physical Activity Behaviors in Community-Dwelling Older Adults,</w:t>
      </w:r>
      <w:r w:rsidR="00A669B1" w:rsidRPr="00971A10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’</w:t>
      </w:r>
      <w:r w:rsidRPr="00971A10">
        <w:rPr>
          <w:rFonts w:ascii="Arial" w:eastAsia="Times New Roman" w:hAnsi="Arial" w:cs="Arial"/>
          <w:i/>
          <w:iCs/>
          <w:kern w:val="0"/>
          <w:sz w:val="22"/>
          <w:szCs w:val="22"/>
          <w:lang w:eastAsia="en-GB"/>
          <w14:ligatures w14:val="none"/>
        </w:rPr>
        <w:t>Healthcare (Basel)</w:t>
      </w:r>
      <w:r w:rsidRPr="00971A10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, 12(9), p. 935. Available at: </w:t>
      </w:r>
      <w:hyperlink r:id="rId17" w:history="1">
        <w:r w:rsidR="00345E7C" w:rsidRPr="00971A10">
          <w:rPr>
            <w:rStyle w:val="Hyperlink"/>
            <w:rFonts w:ascii="Arial" w:eastAsia="Times New Roman" w:hAnsi="Arial" w:cs="Arial"/>
            <w:kern w:val="0"/>
            <w:sz w:val="22"/>
            <w:szCs w:val="22"/>
            <w:lang w:eastAsia="en-GB"/>
            <w14:ligatures w14:val="none"/>
          </w:rPr>
          <w:t>https://doi.org/10.3390/healthcare12090935</w:t>
        </w:r>
      </w:hyperlink>
      <w:r w:rsidR="00345E7C" w:rsidRPr="00971A10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(Accessed:31 March 2026).</w:t>
      </w:r>
    </w:p>
    <w:p w14:paraId="018E8752" w14:textId="77777777" w:rsidR="00A56670" w:rsidRPr="00971A10" w:rsidRDefault="00A56670" w:rsidP="00A56670">
      <w:pPr>
        <w:spacing w:after="0" w:line="240" w:lineRule="auto"/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</w:p>
    <w:p w14:paraId="4736B522" w14:textId="2E915E89" w:rsidR="00A56670" w:rsidRPr="00A56670" w:rsidRDefault="00A56670" w:rsidP="00A56670">
      <w:pPr>
        <w:spacing w:after="0" w:line="240" w:lineRule="auto"/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  <w:r w:rsidRPr="00A56670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Silva, A.B. et al</w:t>
      </w:r>
      <w:r w:rsidRPr="00A56670">
        <w:rPr>
          <w:rFonts w:ascii="Arial" w:eastAsia="Times New Roman" w:hAnsi="Arial" w:cs="Arial"/>
          <w:i/>
          <w:iCs/>
          <w:kern w:val="0"/>
          <w:sz w:val="22"/>
          <w:szCs w:val="22"/>
          <w:lang w:eastAsia="en-GB"/>
          <w14:ligatures w14:val="none"/>
        </w:rPr>
        <w:t>.</w:t>
      </w:r>
      <w:r w:rsidRPr="00A56670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(2024) </w:t>
      </w:r>
      <w:r w:rsidRPr="00971A10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‘</w:t>
      </w:r>
      <w:r w:rsidRPr="00A56670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Exploring the role of health applications in promoting health among older adults: a scoping review protocol,</w:t>
      </w:r>
      <w:r w:rsidRPr="00971A10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’</w:t>
      </w:r>
      <w:r w:rsidRPr="00A56670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</w:t>
      </w:r>
      <w:r w:rsidRPr="00A56670">
        <w:rPr>
          <w:rFonts w:ascii="Arial" w:eastAsia="Times New Roman" w:hAnsi="Arial" w:cs="Arial"/>
          <w:i/>
          <w:iCs/>
          <w:kern w:val="0"/>
          <w:sz w:val="22"/>
          <w:szCs w:val="22"/>
          <w:lang w:eastAsia="en-GB"/>
          <w14:ligatures w14:val="none"/>
        </w:rPr>
        <w:t>BMJ open</w:t>
      </w:r>
      <w:r w:rsidRPr="00A56670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, 14(11), p. e085995. Available at: </w:t>
      </w:r>
      <w:hyperlink r:id="rId18" w:history="1">
        <w:r w:rsidRPr="00A56670">
          <w:rPr>
            <w:rStyle w:val="Hyperlink"/>
            <w:rFonts w:ascii="Arial" w:eastAsia="Times New Roman" w:hAnsi="Arial" w:cs="Arial"/>
            <w:kern w:val="0"/>
            <w:sz w:val="22"/>
            <w:szCs w:val="22"/>
            <w:lang w:eastAsia="en-GB"/>
            <w14:ligatures w14:val="none"/>
          </w:rPr>
          <w:t>https://doi.org/10.1136/bmjopen-2024-085995</w:t>
        </w:r>
      </w:hyperlink>
      <w:r w:rsidRPr="00971A10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(Accessed: 2 April 2026).</w:t>
      </w:r>
    </w:p>
    <w:p w14:paraId="0B50D6A6" w14:textId="77777777" w:rsidR="00A56670" w:rsidRPr="00971A10" w:rsidRDefault="00A56670" w:rsidP="00F41A61">
      <w:pPr>
        <w:pStyle w:val="NormalWeb"/>
        <w:spacing w:before="0" w:beforeAutospacing="0" w:after="0" w:afterAutospacing="0" w:line="360" w:lineRule="atLeast"/>
        <w:rPr>
          <w:rFonts w:ascii="Arial" w:hAnsi="Arial" w:cs="Arial"/>
          <w:color w:val="000000"/>
          <w:sz w:val="22"/>
          <w:szCs w:val="22"/>
        </w:rPr>
      </w:pPr>
    </w:p>
    <w:p w14:paraId="755929D0" w14:textId="4E7ADD52" w:rsidR="00B2570D" w:rsidRPr="00971A10" w:rsidRDefault="00B2570D" w:rsidP="00B2570D">
      <w:pPr>
        <w:spacing w:after="0" w:line="240" w:lineRule="auto"/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  <w:r w:rsidRPr="00971A10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Tieu, L. et al</w:t>
      </w:r>
      <w:r w:rsidRPr="00971A10">
        <w:rPr>
          <w:rFonts w:ascii="Arial" w:eastAsia="Times New Roman" w:hAnsi="Arial" w:cs="Arial"/>
          <w:i/>
          <w:iCs/>
          <w:kern w:val="0"/>
          <w:sz w:val="22"/>
          <w:szCs w:val="22"/>
          <w:lang w:eastAsia="en-GB"/>
          <w14:ligatures w14:val="none"/>
        </w:rPr>
        <w:t>.</w:t>
      </w:r>
      <w:r w:rsidRPr="00971A10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(2025) </w:t>
      </w:r>
      <w:r w:rsidR="005D72A1" w:rsidRPr="00971A10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‘</w:t>
      </w:r>
      <w:r w:rsidRPr="00971A10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A self-report measure of digital skills needed to use digital health tools among older adults—the Skills Measurement and Readiness Training for Digital Health (SMART Digital Health) Scale,</w:t>
      </w:r>
      <w:r w:rsidR="005D72A1" w:rsidRPr="00971A10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’</w:t>
      </w:r>
      <w:r w:rsidRPr="00971A10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</w:t>
      </w:r>
      <w:r w:rsidRPr="00971A10">
        <w:rPr>
          <w:rFonts w:ascii="Arial" w:eastAsia="Times New Roman" w:hAnsi="Arial" w:cs="Arial"/>
          <w:i/>
          <w:iCs/>
          <w:kern w:val="0"/>
          <w:sz w:val="22"/>
          <w:szCs w:val="22"/>
          <w:lang w:eastAsia="en-GB"/>
          <w14:ligatures w14:val="none"/>
        </w:rPr>
        <w:t>Journal of the American Medical Informatics Association : JAMIA</w:t>
      </w:r>
      <w:r w:rsidRPr="00971A10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, 32(11), pp. 1674–1684. Available at: </w:t>
      </w:r>
      <w:hyperlink r:id="rId19" w:history="1">
        <w:r w:rsidR="00732BD5" w:rsidRPr="00971A10">
          <w:rPr>
            <w:rStyle w:val="Hyperlink"/>
            <w:rFonts w:ascii="Arial" w:eastAsia="Times New Roman" w:hAnsi="Arial" w:cs="Arial"/>
            <w:kern w:val="0"/>
            <w:sz w:val="22"/>
            <w:szCs w:val="22"/>
            <w:lang w:eastAsia="en-GB"/>
            <w14:ligatures w14:val="none"/>
          </w:rPr>
          <w:t xml:space="preserve">https://doi.org/10.1093/jamia/ocaf151  </w:t>
        </w:r>
        <w:r w:rsidR="00732BD5" w:rsidRPr="00971A10">
          <w:rPr>
            <w:rStyle w:val="Hyperlink"/>
            <w:rFonts w:ascii="Arial" w:eastAsia="Times New Roman" w:hAnsi="Arial" w:cs="Arial"/>
            <w:color w:val="000000" w:themeColor="text1"/>
            <w:kern w:val="0"/>
            <w:sz w:val="22"/>
            <w:szCs w:val="22"/>
            <w:u w:val="none"/>
            <w:lang w:eastAsia="en-GB"/>
            <w14:ligatures w14:val="none"/>
          </w:rPr>
          <w:t>(Accessed</w:t>
        </w:r>
      </w:hyperlink>
      <w:r w:rsidR="00315ACF" w:rsidRPr="00971A10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: </w:t>
      </w:r>
      <w:r w:rsidR="000C0EDF" w:rsidRPr="00971A10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24 March 2026).</w:t>
      </w:r>
    </w:p>
    <w:p w14:paraId="00963CD1" w14:textId="77777777" w:rsidR="00C67E0F" w:rsidRPr="00971A10" w:rsidRDefault="00C67E0F" w:rsidP="00B2570D">
      <w:pPr>
        <w:spacing w:after="0" w:line="240" w:lineRule="auto"/>
        <w:rPr>
          <w:rFonts w:ascii="Arial" w:hAnsi="Arial" w:cs="Arial"/>
          <w:color w:val="222222"/>
          <w:sz w:val="22"/>
          <w:szCs w:val="22"/>
          <w:shd w:val="clear" w:color="auto" w:fill="FFFFFF"/>
        </w:rPr>
      </w:pPr>
    </w:p>
    <w:p w14:paraId="23529975" w14:textId="4785BBB2" w:rsidR="005D72A1" w:rsidRPr="00971A10" w:rsidRDefault="00C67E0F" w:rsidP="00B2570D">
      <w:pPr>
        <w:spacing w:after="0" w:line="240" w:lineRule="auto"/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  <w:r w:rsidRPr="00971A10">
        <w:rPr>
          <w:rFonts w:ascii="Arial" w:hAnsi="Arial" w:cs="Arial"/>
          <w:color w:val="222222"/>
          <w:sz w:val="22"/>
          <w:szCs w:val="22"/>
          <w:shd w:val="clear" w:color="auto" w:fill="FFFFFF"/>
        </w:rPr>
        <w:t>Tribakti, I. (2025) Exploring Elderly Patients’ Experiences with Digital Health Apps in Chronic Disease Care. </w:t>
      </w:r>
      <w:r w:rsidRPr="00971A10">
        <w:rPr>
          <w:rFonts w:ascii="Arial" w:hAnsi="Arial" w:cs="Arial"/>
          <w:i/>
          <w:iCs/>
          <w:color w:val="222222"/>
          <w:sz w:val="22"/>
          <w:szCs w:val="22"/>
          <w:shd w:val="clear" w:color="auto" w:fill="FFFFFF"/>
        </w:rPr>
        <w:t>Journal of Digital Health Innovation and Medical Technology</w:t>
      </w:r>
      <w:r w:rsidRPr="00971A10">
        <w:rPr>
          <w:rFonts w:ascii="Arial" w:hAnsi="Arial" w:cs="Arial"/>
          <w:color w:val="222222"/>
          <w:sz w:val="22"/>
          <w:szCs w:val="22"/>
          <w:shd w:val="clear" w:color="auto" w:fill="FFFFFF"/>
        </w:rPr>
        <w:t>, </w:t>
      </w:r>
      <w:r w:rsidRPr="00971A10">
        <w:rPr>
          <w:rFonts w:ascii="Arial" w:hAnsi="Arial" w:cs="Arial"/>
          <w:i/>
          <w:iCs/>
          <w:color w:val="222222"/>
          <w:sz w:val="22"/>
          <w:szCs w:val="22"/>
          <w:shd w:val="clear" w:color="auto" w:fill="FFFFFF"/>
        </w:rPr>
        <w:t>1</w:t>
      </w:r>
      <w:r w:rsidRPr="00971A10">
        <w:rPr>
          <w:rFonts w:ascii="Arial" w:hAnsi="Arial" w:cs="Arial"/>
          <w:color w:val="222222"/>
          <w:sz w:val="22"/>
          <w:szCs w:val="22"/>
          <w:shd w:val="clear" w:color="auto" w:fill="FFFFFF"/>
        </w:rPr>
        <w:t>(7), pp.264-271 (Accessed: 30 April 2026).</w:t>
      </w:r>
    </w:p>
    <w:p w14:paraId="0D61082A" w14:textId="77777777" w:rsidR="00C67E0F" w:rsidRPr="00971A10" w:rsidRDefault="00C67E0F" w:rsidP="00E572DD">
      <w:pPr>
        <w:spacing w:after="0" w:line="240" w:lineRule="auto"/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</w:p>
    <w:p w14:paraId="3BAFD755" w14:textId="29F093C0" w:rsidR="00E572DD" w:rsidRPr="00971A10" w:rsidRDefault="00E572DD" w:rsidP="00E572DD">
      <w:pPr>
        <w:spacing w:after="0" w:line="240" w:lineRule="auto"/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  <w:r w:rsidRPr="00971A10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Tsubouchi, Y. et al. (2021) </w:t>
      </w:r>
      <w:r w:rsidR="005D72A1" w:rsidRPr="00971A10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‘</w:t>
      </w:r>
      <w:r w:rsidRPr="00971A10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A conceptual analysis of older adults’ empowerment in contemporary japanese culture,</w:t>
      </w:r>
      <w:r w:rsidR="005D72A1" w:rsidRPr="00971A10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’</w:t>
      </w:r>
      <w:r w:rsidRPr="00971A10">
        <w:rPr>
          <w:rFonts w:ascii="Arial" w:eastAsia="Times New Roman" w:hAnsi="Arial" w:cs="Arial"/>
          <w:i/>
          <w:iCs/>
          <w:kern w:val="0"/>
          <w:sz w:val="22"/>
          <w:szCs w:val="22"/>
          <w:lang w:eastAsia="en-GB"/>
          <w14:ligatures w14:val="none"/>
        </w:rPr>
        <w:t>BMC geriatrics</w:t>
      </w:r>
      <w:r w:rsidRPr="00971A10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, 21(1). Available at: </w:t>
      </w:r>
      <w:hyperlink r:id="rId20" w:history="1">
        <w:r w:rsidR="000C0EDF" w:rsidRPr="00971A10">
          <w:rPr>
            <w:rStyle w:val="Hyperlink"/>
            <w:rFonts w:ascii="Arial" w:eastAsia="Times New Roman" w:hAnsi="Arial" w:cs="Arial"/>
            <w:kern w:val="0"/>
            <w:sz w:val="22"/>
            <w:szCs w:val="22"/>
            <w:lang w:eastAsia="en-GB"/>
            <w14:ligatures w14:val="none"/>
          </w:rPr>
          <w:t>https://doi.org/10.1186/s12877-021-02631-x</w:t>
        </w:r>
      </w:hyperlink>
      <w:r w:rsidR="000C0EDF" w:rsidRPr="00971A10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 (Accessed: 26 March</w:t>
      </w:r>
      <w:r w:rsidR="00345E7C" w:rsidRPr="00971A10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2026</w:t>
      </w:r>
      <w:r w:rsidR="000C0EDF" w:rsidRPr="00971A10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).</w:t>
      </w:r>
    </w:p>
    <w:p w14:paraId="6761BF4C" w14:textId="77777777" w:rsidR="007F4035" w:rsidRPr="00971A10" w:rsidRDefault="007F4035" w:rsidP="007F4035">
      <w:pPr>
        <w:spacing w:after="0" w:line="240" w:lineRule="auto"/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</w:p>
    <w:p w14:paraId="029AF889" w14:textId="44506C62" w:rsidR="007F4035" w:rsidRPr="007F4035" w:rsidRDefault="007F4035" w:rsidP="007F4035">
      <w:pPr>
        <w:spacing w:after="0" w:line="240" w:lineRule="auto"/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  <w:r w:rsidRPr="007F4035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Wildenbos, G.A. et al. (2019) </w:t>
      </w:r>
      <w:r w:rsidRPr="00971A10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‘</w:t>
      </w:r>
      <w:r w:rsidRPr="007F4035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Mobile health for older adult patients: Using an aging barriers framework to classify usability problems,</w:t>
      </w:r>
      <w:r w:rsidRPr="00971A10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’</w:t>
      </w:r>
      <w:r w:rsidRPr="007F4035">
        <w:rPr>
          <w:rFonts w:ascii="Arial" w:eastAsia="Times New Roman" w:hAnsi="Arial" w:cs="Arial"/>
          <w:i/>
          <w:iCs/>
          <w:kern w:val="0"/>
          <w:sz w:val="22"/>
          <w:szCs w:val="22"/>
          <w:lang w:eastAsia="en-GB"/>
          <w14:ligatures w14:val="none"/>
        </w:rPr>
        <w:t>International journal of medical informatics (Shannon, Ireland)</w:t>
      </w:r>
      <w:r w:rsidRPr="007F4035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, 124, pp. 68–77. Available at: </w:t>
      </w:r>
      <w:hyperlink r:id="rId21" w:history="1">
        <w:r w:rsidRPr="007F4035">
          <w:rPr>
            <w:rStyle w:val="Hyperlink"/>
            <w:rFonts w:ascii="Arial" w:eastAsia="Times New Roman" w:hAnsi="Arial" w:cs="Arial"/>
            <w:kern w:val="0"/>
            <w:sz w:val="22"/>
            <w:szCs w:val="22"/>
            <w:lang w:eastAsia="en-GB"/>
            <w14:ligatures w14:val="none"/>
          </w:rPr>
          <w:t>https://doi.org/10.1016/j.ijmedinf.2019.01.006</w:t>
        </w:r>
      </w:hyperlink>
      <w:r w:rsidRPr="00971A10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(Accessed: 31 March 2026).</w:t>
      </w:r>
    </w:p>
    <w:p w14:paraId="77FA886A" w14:textId="77777777" w:rsidR="00CB6AB1" w:rsidRPr="00971A10" w:rsidRDefault="00CB6AB1" w:rsidP="00CB6AB1">
      <w:pPr>
        <w:pStyle w:val="NormalWeb"/>
        <w:spacing w:before="0" w:beforeAutospacing="0" w:after="0" w:afterAutospacing="0" w:line="360" w:lineRule="atLeast"/>
        <w:rPr>
          <w:rFonts w:ascii="Arial" w:hAnsi="Arial" w:cs="Arial"/>
          <w:color w:val="000000"/>
          <w:sz w:val="22"/>
          <w:szCs w:val="22"/>
        </w:rPr>
      </w:pPr>
    </w:p>
    <w:p w14:paraId="2724F684" w14:textId="682C8029" w:rsidR="00B2570D" w:rsidRPr="00971A10" w:rsidRDefault="00CB6AB1" w:rsidP="0071733E">
      <w:pPr>
        <w:pStyle w:val="NormalWeb"/>
        <w:spacing w:before="0" w:beforeAutospacing="0" w:after="0" w:afterAutospacing="0" w:line="360" w:lineRule="atLeast"/>
        <w:rPr>
          <w:rFonts w:ascii="Arial" w:hAnsi="Arial" w:cs="Arial"/>
          <w:color w:val="000000"/>
          <w:sz w:val="22"/>
          <w:szCs w:val="22"/>
        </w:rPr>
      </w:pPr>
      <w:r w:rsidRPr="00971A10">
        <w:rPr>
          <w:rFonts w:ascii="Arial" w:hAnsi="Arial" w:cs="Arial"/>
          <w:color w:val="000000"/>
          <w:sz w:val="22"/>
          <w:szCs w:val="22"/>
        </w:rPr>
        <w:t>Xu, H., Xie, B. and Chang, C. (2023) Empowering the care of older adults through the use of technology. </w:t>
      </w:r>
      <w:r w:rsidRPr="00971A10">
        <w:rPr>
          <w:rFonts w:ascii="Arial" w:hAnsi="Arial" w:cs="Arial"/>
          <w:i/>
          <w:iCs/>
          <w:color w:val="000000"/>
          <w:sz w:val="22"/>
          <w:szCs w:val="22"/>
        </w:rPr>
        <w:t>Work, Aging and Retirement</w:t>
      </w:r>
      <w:r w:rsidRPr="00971A10">
        <w:rPr>
          <w:rFonts w:ascii="Arial" w:hAnsi="Arial" w:cs="Arial"/>
          <w:color w:val="000000"/>
          <w:sz w:val="22"/>
          <w:szCs w:val="22"/>
        </w:rPr>
        <w:t>, 10(1). doi:https://doi.org/10.1093/workar/waad030 (Accessed:</w:t>
      </w:r>
      <w:r w:rsidR="00C67E0F" w:rsidRPr="00971A10">
        <w:rPr>
          <w:rFonts w:ascii="Arial" w:hAnsi="Arial" w:cs="Arial"/>
          <w:color w:val="000000"/>
          <w:sz w:val="22"/>
          <w:szCs w:val="22"/>
        </w:rPr>
        <w:t xml:space="preserve"> 30 March 2026).</w:t>
      </w:r>
      <w:r w:rsidRPr="00971A10">
        <w:rPr>
          <w:rFonts w:ascii="Arial" w:hAnsi="Arial" w:cs="Arial"/>
          <w:color w:val="000000"/>
          <w:sz w:val="22"/>
          <w:szCs w:val="22"/>
        </w:rPr>
        <w:t xml:space="preserve"> </w:t>
      </w:r>
    </w:p>
    <w:p w14:paraId="60F1D2A1" w14:textId="77777777" w:rsidR="007B45A8" w:rsidRPr="00971A10" w:rsidRDefault="007B45A8" w:rsidP="007B45A8">
      <w:pPr>
        <w:spacing w:after="0" w:line="240" w:lineRule="auto"/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</w:p>
    <w:p w14:paraId="5B4358FF" w14:textId="31AC3C19" w:rsidR="007B45A8" w:rsidRPr="007B45A8" w:rsidRDefault="007B45A8" w:rsidP="007B45A8">
      <w:pPr>
        <w:spacing w:after="0" w:line="240" w:lineRule="auto"/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  <w:r w:rsidRPr="007B45A8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Yazdi-Feyzabadi, V. et al. (2025) </w:t>
      </w:r>
      <w:r w:rsidRPr="00971A10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‘</w:t>
      </w:r>
      <w:r w:rsidRPr="007B45A8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Breaking barriers: challenges faced by the older adults in accessing primary healthcare in a developing country,</w:t>
      </w:r>
      <w:r w:rsidRPr="00971A10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’</w:t>
      </w:r>
      <w:r w:rsidRPr="007B45A8">
        <w:rPr>
          <w:rFonts w:ascii="Arial" w:eastAsia="Times New Roman" w:hAnsi="Arial" w:cs="Arial"/>
          <w:i/>
          <w:iCs/>
          <w:kern w:val="0"/>
          <w:sz w:val="22"/>
          <w:szCs w:val="22"/>
          <w:lang w:eastAsia="en-GB"/>
          <w14:ligatures w14:val="none"/>
        </w:rPr>
        <w:t>BMC geriatrics</w:t>
      </w:r>
      <w:r w:rsidRPr="007B45A8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, 25(1). Available at: </w:t>
      </w:r>
      <w:hyperlink r:id="rId22" w:history="1">
        <w:r w:rsidRPr="007B45A8">
          <w:rPr>
            <w:rStyle w:val="Hyperlink"/>
            <w:rFonts w:ascii="Arial" w:eastAsia="Times New Roman" w:hAnsi="Arial" w:cs="Arial"/>
            <w:kern w:val="0"/>
            <w:sz w:val="22"/>
            <w:szCs w:val="22"/>
            <w:lang w:eastAsia="en-GB"/>
            <w14:ligatures w14:val="none"/>
          </w:rPr>
          <w:t>https://doi.org/10.1186/s12877-025-06712-z</w:t>
        </w:r>
      </w:hyperlink>
      <w:r w:rsidRPr="00971A10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( Accessed: 5 April 2026).</w:t>
      </w:r>
    </w:p>
    <w:p w14:paraId="493D9436" w14:textId="77777777" w:rsidR="007B45A8" w:rsidRPr="00971A10" w:rsidRDefault="007B45A8" w:rsidP="00A56670">
      <w:pPr>
        <w:spacing w:after="0" w:line="240" w:lineRule="auto"/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</w:p>
    <w:p w14:paraId="7F97B159" w14:textId="0614062D" w:rsidR="00A56670" w:rsidRPr="00A56670" w:rsidRDefault="00A56670" w:rsidP="00A56670">
      <w:pPr>
        <w:spacing w:after="0" w:line="240" w:lineRule="auto"/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  <w:r w:rsidRPr="00A56670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Yoon, J. et al. (2025) </w:t>
      </w:r>
      <w:r w:rsidRPr="00971A10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‘</w:t>
      </w:r>
      <w:r w:rsidRPr="00A56670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Digital Health Literacy in the General Population: National Cross-Sectional Survey Study,</w:t>
      </w:r>
      <w:r w:rsidRPr="00971A10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’</w:t>
      </w:r>
      <w:r w:rsidRPr="00A56670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</w:t>
      </w:r>
      <w:r w:rsidRPr="00A56670">
        <w:rPr>
          <w:rFonts w:ascii="Arial" w:eastAsia="Times New Roman" w:hAnsi="Arial" w:cs="Arial"/>
          <w:i/>
          <w:iCs/>
          <w:kern w:val="0"/>
          <w:sz w:val="22"/>
          <w:szCs w:val="22"/>
          <w:lang w:eastAsia="en-GB"/>
          <w14:ligatures w14:val="none"/>
        </w:rPr>
        <w:t>Journal of medical Internet research</w:t>
      </w:r>
      <w:r w:rsidRPr="00A56670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, 27(277–9), pp. e67780–e67780. Available at: </w:t>
      </w:r>
      <w:hyperlink r:id="rId23" w:history="1">
        <w:r w:rsidRPr="00A56670">
          <w:rPr>
            <w:rStyle w:val="Hyperlink"/>
            <w:rFonts w:ascii="Arial" w:eastAsia="Times New Roman" w:hAnsi="Arial" w:cs="Arial"/>
            <w:kern w:val="0"/>
            <w:sz w:val="22"/>
            <w:szCs w:val="22"/>
            <w:lang w:eastAsia="en-GB"/>
            <w14:ligatures w14:val="none"/>
          </w:rPr>
          <w:t>https://doi.org/10.2196/67780</w:t>
        </w:r>
      </w:hyperlink>
      <w:r w:rsidRPr="00971A10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(Accessed: 3 April 2026).</w:t>
      </w:r>
    </w:p>
    <w:p w14:paraId="659EBF00" w14:textId="77777777" w:rsidR="00A56670" w:rsidRPr="00971A10" w:rsidRDefault="00A56670" w:rsidP="0087360A">
      <w:pPr>
        <w:tabs>
          <w:tab w:val="left" w:pos="1760"/>
        </w:tabs>
        <w:rPr>
          <w:rFonts w:ascii="Arial" w:hAnsi="Arial" w:cs="Arial"/>
          <w:sz w:val="22"/>
          <w:szCs w:val="22"/>
        </w:rPr>
      </w:pPr>
    </w:p>
    <w:sectPr w:rsidR="00A56670" w:rsidRPr="00971A1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entury Schoolbook">
    <w:panose1 w:val="02040604050505020304"/>
    <w:charset w:val="00"/>
    <w:family w:val="roman"/>
    <w:pitch w:val="variable"/>
    <w:sig w:usb0="00000287" w:usb1="00000000" w:usb2="00000000" w:usb3="00000000" w:csb0="0000009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4AA43582"/>
    <w:multiLevelType w:val="multilevel"/>
    <w:tmpl w:val="12FE1BA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53861120"/>
    <w:multiLevelType w:val="multilevel"/>
    <w:tmpl w:val="3432B87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78E70427"/>
    <w:multiLevelType w:val="multilevel"/>
    <w:tmpl w:val="D1D430A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781877151">
    <w:abstractNumId w:val="0"/>
  </w:num>
  <w:num w:numId="2" w16cid:durableId="1353610213">
    <w:abstractNumId w:val="1"/>
  </w:num>
  <w:num w:numId="3" w16cid:durableId="170610217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43DD6"/>
    <w:rsid w:val="000211E8"/>
    <w:rsid w:val="000500D9"/>
    <w:rsid w:val="00066403"/>
    <w:rsid w:val="000A5CF1"/>
    <w:rsid w:val="000B1B9C"/>
    <w:rsid w:val="000C0EDF"/>
    <w:rsid w:val="000D11CF"/>
    <w:rsid w:val="00133001"/>
    <w:rsid w:val="00136310"/>
    <w:rsid w:val="001363FE"/>
    <w:rsid w:val="00143DD6"/>
    <w:rsid w:val="001560A8"/>
    <w:rsid w:val="0017336D"/>
    <w:rsid w:val="0017540F"/>
    <w:rsid w:val="001B34B6"/>
    <w:rsid w:val="0028627A"/>
    <w:rsid w:val="002957E2"/>
    <w:rsid w:val="002A4F91"/>
    <w:rsid w:val="002F3505"/>
    <w:rsid w:val="0030376A"/>
    <w:rsid w:val="003143A9"/>
    <w:rsid w:val="00315ACF"/>
    <w:rsid w:val="00345E7C"/>
    <w:rsid w:val="003479CA"/>
    <w:rsid w:val="00354209"/>
    <w:rsid w:val="00362C51"/>
    <w:rsid w:val="003917CE"/>
    <w:rsid w:val="00393838"/>
    <w:rsid w:val="003C2679"/>
    <w:rsid w:val="003D0EAA"/>
    <w:rsid w:val="003F6FC3"/>
    <w:rsid w:val="00414B2E"/>
    <w:rsid w:val="00445BA8"/>
    <w:rsid w:val="004556E3"/>
    <w:rsid w:val="0047455E"/>
    <w:rsid w:val="00484FF3"/>
    <w:rsid w:val="00517EDB"/>
    <w:rsid w:val="00545D1E"/>
    <w:rsid w:val="00563203"/>
    <w:rsid w:val="00566828"/>
    <w:rsid w:val="00584D5D"/>
    <w:rsid w:val="00590319"/>
    <w:rsid w:val="005A48CA"/>
    <w:rsid w:val="005C69A0"/>
    <w:rsid w:val="005D72A1"/>
    <w:rsid w:val="00610CF0"/>
    <w:rsid w:val="0064589D"/>
    <w:rsid w:val="006807A4"/>
    <w:rsid w:val="00682080"/>
    <w:rsid w:val="006B3989"/>
    <w:rsid w:val="006D58CC"/>
    <w:rsid w:val="0070789F"/>
    <w:rsid w:val="0071733E"/>
    <w:rsid w:val="00732BD5"/>
    <w:rsid w:val="0074089F"/>
    <w:rsid w:val="00742434"/>
    <w:rsid w:val="007630B0"/>
    <w:rsid w:val="00796BB9"/>
    <w:rsid w:val="007B3AAA"/>
    <w:rsid w:val="007B45A8"/>
    <w:rsid w:val="007D4810"/>
    <w:rsid w:val="007E1045"/>
    <w:rsid w:val="007F4035"/>
    <w:rsid w:val="00814DDC"/>
    <w:rsid w:val="0081694F"/>
    <w:rsid w:val="0082447D"/>
    <w:rsid w:val="00830DE2"/>
    <w:rsid w:val="00834906"/>
    <w:rsid w:val="00846C19"/>
    <w:rsid w:val="00867285"/>
    <w:rsid w:val="0087360A"/>
    <w:rsid w:val="00891343"/>
    <w:rsid w:val="008D5555"/>
    <w:rsid w:val="00910524"/>
    <w:rsid w:val="00922F0D"/>
    <w:rsid w:val="00926603"/>
    <w:rsid w:val="0096032F"/>
    <w:rsid w:val="0096153E"/>
    <w:rsid w:val="00971A10"/>
    <w:rsid w:val="009729FF"/>
    <w:rsid w:val="0097327E"/>
    <w:rsid w:val="0097574A"/>
    <w:rsid w:val="009E599A"/>
    <w:rsid w:val="009E6D23"/>
    <w:rsid w:val="00A016B5"/>
    <w:rsid w:val="00A04AC0"/>
    <w:rsid w:val="00A31C17"/>
    <w:rsid w:val="00A50F47"/>
    <w:rsid w:val="00A56670"/>
    <w:rsid w:val="00A62613"/>
    <w:rsid w:val="00A669B1"/>
    <w:rsid w:val="00AA5EBD"/>
    <w:rsid w:val="00AE6E31"/>
    <w:rsid w:val="00AF4141"/>
    <w:rsid w:val="00AF4E96"/>
    <w:rsid w:val="00B101FC"/>
    <w:rsid w:val="00B2570D"/>
    <w:rsid w:val="00B73A9D"/>
    <w:rsid w:val="00B833EB"/>
    <w:rsid w:val="00B86284"/>
    <w:rsid w:val="00BA64D5"/>
    <w:rsid w:val="00BB5544"/>
    <w:rsid w:val="00C34120"/>
    <w:rsid w:val="00C40EE5"/>
    <w:rsid w:val="00C64579"/>
    <w:rsid w:val="00C67E0F"/>
    <w:rsid w:val="00C833E4"/>
    <w:rsid w:val="00C87FE2"/>
    <w:rsid w:val="00C928B1"/>
    <w:rsid w:val="00CB6AB1"/>
    <w:rsid w:val="00D0492B"/>
    <w:rsid w:val="00D17609"/>
    <w:rsid w:val="00D55C99"/>
    <w:rsid w:val="00D56E18"/>
    <w:rsid w:val="00D65514"/>
    <w:rsid w:val="00D74E3E"/>
    <w:rsid w:val="00DC53B1"/>
    <w:rsid w:val="00DD6CC2"/>
    <w:rsid w:val="00DF7676"/>
    <w:rsid w:val="00E26DFE"/>
    <w:rsid w:val="00E5007F"/>
    <w:rsid w:val="00E572DD"/>
    <w:rsid w:val="00E71D91"/>
    <w:rsid w:val="00F07D20"/>
    <w:rsid w:val="00F3186E"/>
    <w:rsid w:val="00F32B59"/>
    <w:rsid w:val="00F41A61"/>
    <w:rsid w:val="00F46151"/>
    <w:rsid w:val="00F84825"/>
    <w:rsid w:val="00F91F0B"/>
    <w:rsid w:val="00FC56DE"/>
    <w:rsid w:val="00FD167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451AEF7"/>
  <w15:chartTrackingRefBased/>
  <w15:docId w15:val="{F7C86691-C72E-462E-B139-1A33CBB3BC7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43DD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143DD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43DD6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43DD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43DD6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43DD6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43DD6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43DD6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43DD6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43DD6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143DD6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143DD6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43DD6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43DD6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43DD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43DD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43DD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43DD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143DD6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143DD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143DD6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143DD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143DD6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143DD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143DD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143DD6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43DD6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43DD6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143DD6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BA64D5"/>
    <w:rPr>
      <w:color w:val="0000FF"/>
      <w:u w:val="single"/>
    </w:rPr>
  </w:style>
  <w:style w:type="paragraph" w:styleId="NormalWeb">
    <w:name w:val="Normal (Web)"/>
    <w:basedOn w:val="Normal"/>
    <w:uiPriority w:val="99"/>
    <w:unhideWhenUsed/>
    <w:rsid w:val="0087360A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character" w:customStyle="1" w:styleId="whitespace-normal">
    <w:name w:val="whitespace-normal"/>
    <w:basedOn w:val="DefaultParagraphFont"/>
    <w:rsid w:val="00445BA8"/>
  </w:style>
  <w:style w:type="character" w:styleId="UnresolvedMention">
    <w:name w:val="Unresolved Mention"/>
    <w:basedOn w:val="DefaultParagraphFont"/>
    <w:uiPriority w:val="99"/>
    <w:semiHidden/>
    <w:unhideWhenUsed/>
    <w:rsid w:val="005D72A1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doi.org/10.3389/fdgth.2025.1708960" TargetMode="External"/><Relationship Id="rId13" Type="http://schemas.openxmlformats.org/officeDocument/2006/relationships/hyperlink" Target="https://doi.org/10.2196/23654" TargetMode="External"/><Relationship Id="rId18" Type="http://schemas.openxmlformats.org/officeDocument/2006/relationships/hyperlink" Target="https://doi.org/10.1136/bmjopen-2024-085995" TargetMode="External"/><Relationship Id="rId3" Type="http://schemas.openxmlformats.org/officeDocument/2006/relationships/settings" Target="settings.xml"/><Relationship Id="rId21" Type="http://schemas.openxmlformats.org/officeDocument/2006/relationships/hyperlink" Target="https://doi.org/10.1016/j.ijmedinf.2019.01.006" TargetMode="External"/><Relationship Id="rId7" Type="http://schemas.openxmlformats.org/officeDocument/2006/relationships/hyperlink" Target="https://doi.org/10.2196/71625" TargetMode="External"/><Relationship Id="rId12" Type="http://schemas.openxmlformats.org/officeDocument/2006/relationships/hyperlink" Target="https://doi.org/10.2196/54049" TargetMode="External"/><Relationship Id="rId17" Type="http://schemas.openxmlformats.org/officeDocument/2006/relationships/hyperlink" Target="https://doi.org/10.3390/healthcare12090935" TargetMode="External"/><Relationship Id="rId25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hyperlink" Target="https://www.england.nhs.uk/future-of-human-resources-and-organisational-development/the-future-of-nhs-human-resources-and-organisational-development-report/evolving-to-meet-a-changing-world/%20(Accessed" TargetMode="External"/><Relationship Id="rId20" Type="http://schemas.openxmlformats.org/officeDocument/2006/relationships/hyperlink" Target="https://doi.org/10.1186/s12877-021-02631-x" TargetMode="External"/><Relationship Id="rId1" Type="http://schemas.openxmlformats.org/officeDocument/2006/relationships/numbering" Target="numbering.xml"/><Relationship Id="rId6" Type="http://schemas.openxmlformats.org/officeDocument/2006/relationships/hyperlink" Target="https://doi.org/10.1080/19371918.2022.2118924" TargetMode="External"/><Relationship Id="rId11" Type="http://schemas.openxmlformats.org/officeDocument/2006/relationships/hyperlink" Target="https://doi.org/10.1186/s12877-021-02338-z" TargetMode="External"/><Relationship Id="rId24" Type="http://schemas.openxmlformats.org/officeDocument/2006/relationships/fontTable" Target="fontTable.xml"/><Relationship Id="rId5" Type="http://schemas.openxmlformats.org/officeDocument/2006/relationships/image" Target="media/image1.png"/><Relationship Id="rId15" Type="http://schemas.openxmlformats.org/officeDocument/2006/relationships/hyperlink" Target="https://www.nia.nih.gov/health/falls-and-falls-prevention/falls-and-fractures-older-adults-causes-and-prevention" TargetMode="External"/><Relationship Id="rId23" Type="http://schemas.openxmlformats.org/officeDocument/2006/relationships/hyperlink" Target="https://doi.org/10.2196/67780" TargetMode="External"/><Relationship Id="rId10" Type="http://schemas.openxmlformats.org/officeDocument/2006/relationships/hyperlink" Target="https://doi.org/10.1136/bmjhci-2024-101141" TargetMode="External"/><Relationship Id="rId19" Type="http://schemas.openxmlformats.org/officeDocument/2006/relationships/hyperlink" Target="https://doi.org/10.1093/jamia/ocaf151%20%20(Accessed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doi.org/10.1002/ehf2.14022" TargetMode="External"/><Relationship Id="rId14" Type="http://schemas.openxmlformats.org/officeDocument/2006/relationships/hyperlink" Target="https://doi.org/10.1177/2055207619882181" TargetMode="External"/><Relationship Id="rId22" Type="http://schemas.openxmlformats.org/officeDocument/2006/relationships/hyperlink" Target="https://doi.org/10.1186/s12877-025-06712-z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413</TotalTime>
  <Pages>3</Pages>
  <Words>966</Words>
  <Characters>6591</Characters>
  <Application>Microsoft Office Word</Application>
  <DocSecurity>0</DocSecurity>
  <Lines>146</Lines>
  <Paragraphs>43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7514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Aminata Sinayoko (2310293)</dc:creator>
  <cp:keywords/>
  <dc:description/>
  <cp:lastModifiedBy>Aminata Sinayoko (2310293)</cp:lastModifiedBy>
  <cp:revision>113</cp:revision>
  <dcterms:created xsi:type="dcterms:W3CDTF">2026-03-26T11:23:00Z</dcterms:created>
  <dcterms:modified xsi:type="dcterms:W3CDTF">2026-04-07T20:16:00Z</dcterms:modified>
</cp:coreProperties>
</file>