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C7188" w:rsidRPr="001739F6" w:rsidRDefault="004C7188" w:rsidP="001739F6">
      <w:pPr>
        <w:spacing w:after="160" w:line="259" w:lineRule="auto"/>
        <w:ind w:firstLine="0"/>
      </w:pPr>
    </w:p>
    <w:p w:rsidR="006F7C86" w:rsidRPr="00DF7684" w:rsidRDefault="006F7C86" w:rsidP="006F7C86">
      <w:pPr>
        <w:pStyle w:val="Heading1"/>
        <w:rPr>
          <w:u w:val="single"/>
        </w:rPr>
      </w:pPr>
      <w:r w:rsidRPr="00DF7684">
        <w:rPr>
          <w:rFonts w:asciiTheme="minorHAnsi" w:hAnsiTheme="minorHAnsi"/>
          <w:b w:val="0"/>
          <w:i w:val="0"/>
          <w:szCs w:val="24"/>
          <w:u w:val="single"/>
        </w:rPr>
        <w:t>Essay 3000 words</w:t>
      </w:r>
    </w:p>
    <w:p w:rsidR="00B46680" w:rsidRPr="00DF7684" w:rsidRDefault="00B46680" w:rsidP="00B46680">
      <w:pPr>
        <w:ind w:firstLine="0"/>
        <w:rPr>
          <w:rFonts w:asciiTheme="minorHAnsi" w:eastAsiaTheme="minorEastAsia" w:hAnsiTheme="minorHAnsi"/>
          <w:sz w:val="22"/>
          <w:u w:val="single"/>
          <w:lang w:eastAsia="en-GB"/>
        </w:rPr>
      </w:pPr>
    </w:p>
    <w:p w:rsidR="00B46680" w:rsidRPr="00DF7684" w:rsidRDefault="00B46680" w:rsidP="00B46680">
      <w:pPr>
        <w:ind w:firstLine="0"/>
        <w:rPr>
          <w:rFonts w:asciiTheme="minorHAnsi" w:eastAsiaTheme="minorEastAsia" w:hAnsiTheme="minorHAnsi"/>
          <w:sz w:val="22"/>
          <w:u w:val="single"/>
          <w:lang w:eastAsia="en-GB"/>
        </w:rPr>
      </w:pPr>
      <w:r w:rsidRPr="00DF7684">
        <w:rPr>
          <w:rFonts w:asciiTheme="minorHAnsi" w:eastAsiaTheme="minorEastAsia" w:hAnsiTheme="minorHAnsi"/>
          <w:sz w:val="22"/>
          <w:u w:val="single"/>
          <w:lang w:eastAsia="en-GB"/>
        </w:rPr>
        <w:t xml:space="preserve">Critically analyse the strategies for promoting inclusivity in the Foundation Phase.  </w:t>
      </w:r>
    </w:p>
    <w:p w:rsidR="006F7C86" w:rsidRPr="006F7C86" w:rsidRDefault="006F7C86" w:rsidP="00B46680">
      <w:pPr>
        <w:ind w:firstLine="0"/>
      </w:pPr>
    </w:p>
    <w:p w:rsidR="000024DF" w:rsidRPr="00734ABE" w:rsidRDefault="000715DA" w:rsidP="001739F6">
      <w:pPr>
        <w:ind w:firstLine="0"/>
        <w:rPr>
          <w:rFonts w:asciiTheme="minorHAnsi" w:hAnsiTheme="minorHAnsi"/>
          <w:szCs w:val="24"/>
        </w:rPr>
      </w:pPr>
      <w:r w:rsidRPr="00734ABE">
        <w:rPr>
          <w:rFonts w:asciiTheme="minorHAnsi" w:hAnsiTheme="minorHAnsi"/>
          <w:szCs w:val="24"/>
        </w:rPr>
        <w:t xml:space="preserve">The curriculum is often a major focus of education. What program should we offer students? Educators and teachers are concerned about what decisions should be made regarding the content and methods of teaching. Parents </w:t>
      </w:r>
      <w:r w:rsidR="00B10837" w:rsidRPr="00734ABE">
        <w:rPr>
          <w:rFonts w:asciiTheme="minorHAnsi" w:hAnsiTheme="minorHAnsi"/>
          <w:szCs w:val="24"/>
        </w:rPr>
        <w:t xml:space="preserve">and carers </w:t>
      </w:r>
      <w:r w:rsidRPr="00734ABE">
        <w:rPr>
          <w:rFonts w:asciiTheme="minorHAnsi" w:hAnsiTheme="minorHAnsi"/>
          <w:szCs w:val="24"/>
        </w:rPr>
        <w:t>want to know what their children are learning. Students are also concerned about the type of material they will have in class. Curriculum seems to be commonly understood as teaching by teachers and, in other words, what students learn. In fact, the curriculum is closely related to how students learn</w:t>
      </w:r>
      <w:r w:rsidR="00F86952" w:rsidRPr="00734ABE">
        <w:rPr>
          <w:rFonts w:asciiTheme="minorHAnsi" w:hAnsiTheme="minorHAnsi"/>
          <w:szCs w:val="24"/>
        </w:rPr>
        <w:t xml:space="preserve"> and what their </w:t>
      </w:r>
      <w:r w:rsidRPr="00734ABE">
        <w:rPr>
          <w:rFonts w:asciiTheme="minorHAnsi" w:hAnsiTheme="minorHAnsi"/>
          <w:szCs w:val="24"/>
        </w:rPr>
        <w:t>results. Th</w:t>
      </w:r>
      <w:r w:rsidR="00A27304" w:rsidRPr="00734ABE">
        <w:rPr>
          <w:rFonts w:asciiTheme="minorHAnsi" w:hAnsiTheme="minorHAnsi"/>
          <w:szCs w:val="24"/>
        </w:rPr>
        <w:t>e</w:t>
      </w:r>
      <w:r w:rsidRPr="00734ABE">
        <w:rPr>
          <w:rFonts w:asciiTheme="minorHAnsi" w:hAnsiTheme="minorHAnsi"/>
          <w:szCs w:val="24"/>
        </w:rPr>
        <w:t xml:space="preserve"> curriculum as a general term encompasses many subjects such as curriculum, exam calendar, administrative calendar, and hidden calendar. This article provides relevant literature related to the term curriculum to help clarify the entity to interact within a school context</w:t>
      </w:r>
      <w:r w:rsidR="00BE41F8" w:rsidRPr="00734ABE">
        <w:rPr>
          <w:rFonts w:asciiTheme="minorHAnsi" w:hAnsiTheme="minorHAnsi"/>
          <w:szCs w:val="24"/>
        </w:rPr>
        <w:t>.</w:t>
      </w:r>
    </w:p>
    <w:p w:rsidR="00BE41F8" w:rsidRPr="00734ABE" w:rsidRDefault="00BE41F8" w:rsidP="000715DA">
      <w:pPr>
        <w:rPr>
          <w:rFonts w:asciiTheme="minorHAnsi" w:hAnsiTheme="minorHAnsi"/>
          <w:szCs w:val="24"/>
        </w:rPr>
      </w:pPr>
    </w:p>
    <w:p w:rsidR="00BE41F8" w:rsidRPr="00734ABE" w:rsidRDefault="000715DA" w:rsidP="001B3CC0">
      <w:pPr>
        <w:ind w:firstLine="0"/>
        <w:rPr>
          <w:rFonts w:asciiTheme="minorHAnsi" w:hAnsiTheme="minorHAnsi"/>
          <w:szCs w:val="24"/>
        </w:rPr>
      </w:pPr>
      <w:r w:rsidRPr="00734ABE">
        <w:rPr>
          <w:rFonts w:asciiTheme="minorHAnsi" w:hAnsiTheme="minorHAnsi"/>
          <w:szCs w:val="24"/>
        </w:rPr>
        <w:t xml:space="preserve">What does the term "curriculum" mean? The answer to the question is not final. There are a number of definitions associated with the term curriculum. It can be argued that it is therefore necessary to </w:t>
      </w:r>
      <w:r w:rsidR="00E31079" w:rsidRPr="00734ABE">
        <w:rPr>
          <w:rFonts w:asciiTheme="minorHAnsi" w:hAnsiTheme="minorHAnsi"/>
          <w:szCs w:val="24"/>
        </w:rPr>
        <w:t>understand</w:t>
      </w:r>
      <w:r w:rsidRPr="00734ABE">
        <w:rPr>
          <w:rFonts w:asciiTheme="minorHAnsi" w:hAnsiTheme="minorHAnsi"/>
          <w:szCs w:val="24"/>
        </w:rPr>
        <w:t xml:space="preserve"> the concept of the term curriculum before </w:t>
      </w:r>
      <w:r w:rsidR="00E31079" w:rsidRPr="00734ABE">
        <w:rPr>
          <w:rFonts w:asciiTheme="minorHAnsi" w:hAnsiTheme="minorHAnsi"/>
          <w:szCs w:val="24"/>
        </w:rPr>
        <w:t>taking</w:t>
      </w:r>
      <w:r w:rsidRPr="00734ABE">
        <w:rPr>
          <w:rFonts w:asciiTheme="minorHAnsi" w:hAnsiTheme="minorHAnsi"/>
          <w:szCs w:val="24"/>
        </w:rPr>
        <w:t xml:space="preserve"> any program-related activities such as planning, implementing, evaluating and researching the curriculum. </w:t>
      </w:r>
      <w:r w:rsidR="004C7188" w:rsidRPr="00734ABE">
        <w:rPr>
          <w:rFonts w:asciiTheme="minorHAnsi" w:hAnsiTheme="minorHAnsi"/>
          <w:szCs w:val="24"/>
        </w:rPr>
        <w:t>Research</w:t>
      </w:r>
      <w:r w:rsidRPr="00734ABE">
        <w:rPr>
          <w:rFonts w:asciiTheme="minorHAnsi" w:hAnsiTheme="minorHAnsi"/>
          <w:szCs w:val="24"/>
        </w:rPr>
        <w:t xml:space="preserve"> by administrators, teachers, researchers and evaluators. With this in mind, this </w:t>
      </w:r>
      <w:r w:rsidR="00F81F79" w:rsidRPr="00734ABE">
        <w:rPr>
          <w:rFonts w:asciiTheme="minorHAnsi" w:hAnsiTheme="minorHAnsi"/>
          <w:szCs w:val="24"/>
        </w:rPr>
        <w:t>essay</w:t>
      </w:r>
      <w:r w:rsidRPr="00734ABE">
        <w:rPr>
          <w:rFonts w:asciiTheme="minorHAnsi" w:hAnsiTheme="minorHAnsi"/>
          <w:szCs w:val="24"/>
        </w:rPr>
        <w:t xml:space="preserve"> </w:t>
      </w:r>
      <w:r w:rsidR="001C3239" w:rsidRPr="00734ABE">
        <w:rPr>
          <w:rFonts w:asciiTheme="minorHAnsi" w:hAnsiTheme="minorHAnsi"/>
          <w:szCs w:val="24"/>
        </w:rPr>
        <w:t xml:space="preserve">looks at </w:t>
      </w:r>
      <w:r w:rsidRPr="00734ABE">
        <w:rPr>
          <w:rFonts w:asciiTheme="minorHAnsi" w:hAnsiTheme="minorHAnsi"/>
          <w:szCs w:val="24"/>
        </w:rPr>
        <w:t>some of the concep</w:t>
      </w:r>
      <w:r w:rsidR="00BA61B1" w:rsidRPr="00734ABE">
        <w:rPr>
          <w:rFonts w:asciiTheme="minorHAnsi" w:hAnsiTheme="minorHAnsi"/>
          <w:szCs w:val="24"/>
        </w:rPr>
        <w:t>ts of the term</w:t>
      </w:r>
      <w:r w:rsidR="00F548D8" w:rsidRPr="00734ABE">
        <w:rPr>
          <w:rFonts w:asciiTheme="minorHAnsi" w:hAnsiTheme="minorHAnsi"/>
          <w:szCs w:val="24"/>
        </w:rPr>
        <w:t xml:space="preserve"> curricul</w:t>
      </w:r>
      <w:r w:rsidR="00AF175E" w:rsidRPr="00734ABE">
        <w:rPr>
          <w:rFonts w:asciiTheme="minorHAnsi" w:hAnsiTheme="minorHAnsi"/>
          <w:szCs w:val="24"/>
        </w:rPr>
        <w:t>um</w:t>
      </w:r>
      <w:r w:rsidR="00BA61B1" w:rsidRPr="00734ABE">
        <w:rPr>
          <w:rFonts w:asciiTheme="minorHAnsi" w:hAnsiTheme="minorHAnsi"/>
          <w:szCs w:val="24"/>
        </w:rPr>
        <w:t xml:space="preserve">. </w:t>
      </w:r>
      <w:r w:rsidRPr="00734ABE">
        <w:rPr>
          <w:rFonts w:asciiTheme="minorHAnsi" w:hAnsiTheme="minorHAnsi"/>
          <w:szCs w:val="24"/>
        </w:rPr>
        <w:t xml:space="preserve">Barrow and Milburn (1990) and Beauchamp (1977) </w:t>
      </w:r>
      <w:r w:rsidR="00117DD4" w:rsidRPr="00734ABE">
        <w:rPr>
          <w:rFonts w:asciiTheme="minorHAnsi" w:hAnsiTheme="minorHAnsi"/>
          <w:szCs w:val="24"/>
        </w:rPr>
        <w:t>look at</w:t>
      </w:r>
      <w:r w:rsidRPr="00734ABE">
        <w:rPr>
          <w:rFonts w:asciiTheme="minorHAnsi" w:hAnsiTheme="minorHAnsi"/>
          <w:szCs w:val="24"/>
        </w:rPr>
        <w:t xml:space="preserve"> how the term curriculum is used in some cases in a very limited context and in others in a very wide context. To some extent, the author of this article takes Beauchamp's position on the concept to explore the term curriculum in order from narrow to broad</w:t>
      </w:r>
      <w:r w:rsidR="00295A59"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{"citationItems":[{"id":"ITEM-1","itemData":{"abstract":"The foundation programme curriculum 2016 (the curriculum) sets out the framework for educational progression that will support the first two years of professional development, following graduation from medical school. This edition of the curriculum updates the curriculum published in 2012 and includes minor revisions from the 2014 and 2015 editions.","author":[{"dropping-particle":"","family":"UKFP","given":"UK Foundation Programme Office","non-dropping-particle":"","parse-names":false,"suffix":""}],"container-title":"The Foundation Programme Curriculum 2016","id":"ITEM-1","issued":{"date-parts":[["2016"]]},"title":"The Foundation Programme Curriculum 2016","type":"article-journal"},"uris":["http://www.mendeley.com/documents/?uuid=718c9f15-0685-4735-b2bf-6cee409b3eff","http://www.mendeley.com/documents/?uuid=8f661139-aca2-4691-9eeb-7ba6b1e0b01e"]}],"mendeley":{"formattedCitation":"(UKFP, 2016)","plainTextFormattedCitation":"(UKFP, 2016)","previouslyFormattedCitation":"(UKFP, 2016)"},"properties":{"noteIndex":0},"schema":"https://github.com/citation-style-language/schema/raw/master/csl-citation.json"}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(UKFP, 2016)</w:t>
      </w:r>
      <w:r w:rsidR="00E50E02" w:rsidRPr="00734ABE">
        <w:rPr>
          <w:rFonts w:asciiTheme="minorHAnsi" w:hAnsiTheme="minorHAnsi"/>
          <w:szCs w:val="24"/>
        </w:rPr>
        <w:fldChar w:fldCharType="end"/>
      </w:r>
      <w:r w:rsidRPr="00734ABE">
        <w:rPr>
          <w:rFonts w:asciiTheme="minorHAnsi" w:hAnsiTheme="minorHAnsi"/>
          <w:szCs w:val="24"/>
        </w:rPr>
        <w:t>. Definitions have been provided by various researchers in order to better understand the structure of the curriculum</w:t>
      </w:r>
      <w:r w:rsidR="00BE41F8" w:rsidRPr="00734ABE">
        <w:rPr>
          <w:rFonts w:asciiTheme="minorHAnsi" w:hAnsiTheme="minorHAnsi"/>
          <w:szCs w:val="24"/>
        </w:rPr>
        <w:t xml:space="preserve">. </w:t>
      </w:r>
    </w:p>
    <w:p w:rsidR="00BE41F8" w:rsidRPr="00734ABE" w:rsidRDefault="00BE41F8" w:rsidP="000715DA">
      <w:pPr>
        <w:rPr>
          <w:rFonts w:asciiTheme="minorHAnsi" w:hAnsiTheme="minorHAnsi"/>
          <w:szCs w:val="24"/>
        </w:rPr>
      </w:pPr>
    </w:p>
    <w:p w:rsidR="006D4982" w:rsidRPr="00734ABE" w:rsidRDefault="000715DA" w:rsidP="0004087D">
      <w:pPr>
        <w:ind w:firstLine="0"/>
        <w:rPr>
          <w:rFonts w:asciiTheme="minorHAnsi" w:hAnsiTheme="minorHAnsi"/>
          <w:szCs w:val="24"/>
        </w:rPr>
      </w:pPr>
      <w:r w:rsidRPr="00734ABE">
        <w:rPr>
          <w:rFonts w:asciiTheme="minorHAnsi" w:hAnsiTheme="minorHAnsi"/>
          <w:szCs w:val="24"/>
        </w:rPr>
        <w:t xml:space="preserve">The curriculum can be seen as a way to achieve specific educational goals and objectives. In this sense, the program can be seen as a checklist with desired outcomes. During curriculum development, objectives are usually clear and specific in terms of </w:t>
      </w:r>
      <w:r w:rsidR="00BA61B1" w:rsidRPr="00734ABE">
        <w:rPr>
          <w:rFonts w:asciiTheme="minorHAnsi" w:hAnsiTheme="minorHAnsi"/>
          <w:szCs w:val="24"/>
        </w:rPr>
        <w:t>behaviour</w:t>
      </w:r>
      <w:r w:rsidRPr="00734ABE">
        <w:rPr>
          <w:rFonts w:asciiTheme="minorHAnsi" w:hAnsiTheme="minorHAnsi"/>
          <w:szCs w:val="24"/>
        </w:rPr>
        <w:t xml:space="preserve"> and </w:t>
      </w:r>
      <w:r w:rsidR="00F373B6" w:rsidRPr="00734ABE">
        <w:rPr>
          <w:rFonts w:asciiTheme="minorHAnsi" w:hAnsiTheme="minorHAnsi"/>
          <w:szCs w:val="24"/>
        </w:rPr>
        <w:t>observation</w:t>
      </w:r>
      <w:r w:rsidRPr="00734ABE">
        <w:rPr>
          <w:rFonts w:asciiTheme="minorHAnsi" w:hAnsiTheme="minorHAnsi"/>
          <w:szCs w:val="24"/>
        </w:rPr>
        <w:t xml:space="preserve">. The aim is to </w:t>
      </w:r>
      <w:r w:rsidR="00FE6192" w:rsidRPr="00734ABE">
        <w:rPr>
          <w:rFonts w:asciiTheme="minorHAnsi" w:hAnsiTheme="minorHAnsi"/>
          <w:szCs w:val="24"/>
        </w:rPr>
        <w:t>characterise</w:t>
      </w:r>
      <w:r w:rsidRPr="00734ABE">
        <w:rPr>
          <w:rFonts w:asciiTheme="minorHAnsi" w:hAnsiTheme="minorHAnsi"/>
          <w:szCs w:val="24"/>
        </w:rPr>
        <w:t xml:space="preserve"> an objective programming model. In this sense, the focus is on products or goals and on teachers or administration. </w:t>
      </w:r>
      <w:r w:rsidR="0004087D" w:rsidRPr="00734ABE">
        <w:rPr>
          <w:rFonts w:asciiTheme="minorHAnsi" w:hAnsiTheme="minorHAnsi"/>
          <w:szCs w:val="24"/>
        </w:rPr>
        <w:t>P</w:t>
      </w:r>
      <w:r w:rsidRPr="00734ABE">
        <w:rPr>
          <w:rFonts w:asciiTheme="minorHAnsi" w:hAnsiTheme="minorHAnsi"/>
          <w:szCs w:val="24"/>
        </w:rPr>
        <w:t>oliticians design</w:t>
      </w:r>
      <w:r w:rsidR="0004087D" w:rsidRPr="00734ABE">
        <w:rPr>
          <w:rFonts w:asciiTheme="minorHAnsi" w:hAnsiTheme="minorHAnsi"/>
          <w:szCs w:val="24"/>
        </w:rPr>
        <w:t>ed</w:t>
      </w:r>
      <w:r w:rsidRPr="00734ABE">
        <w:rPr>
          <w:rFonts w:asciiTheme="minorHAnsi" w:hAnsiTheme="minorHAnsi"/>
          <w:szCs w:val="24"/>
        </w:rPr>
        <w:t xml:space="preserve"> the curriculum without consulting the teachers, and few teachers believe that they are the subject they are forced to teach</w:t>
      </w:r>
      <w:r w:rsidR="00BE41F8" w:rsidRPr="00734ABE">
        <w:rPr>
          <w:rFonts w:asciiTheme="minorHAnsi" w:hAnsiTheme="minorHAnsi"/>
          <w:szCs w:val="24"/>
        </w:rPr>
        <w:t xml:space="preserve">. </w:t>
      </w:r>
      <w:r w:rsidR="00320381" w:rsidRPr="00734ABE">
        <w:rPr>
          <w:rFonts w:asciiTheme="minorHAnsi" w:hAnsiTheme="minorHAnsi"/>
          <w:szCs w:val="24"/>
        </w:rPr>
        <w:t>The curriculum can be understood as the process of choosing programs or subjects (Beauchamp, 1977</w:t>
      </w:r>
      <w:r w:rsidR="00AD6C12" w:rsidRPr="00734ABE">
        <w:rPr>
          <w:rFonts w:asciiTheme="minorHAnsi" w:hAnsiTheme="minorHAnsi"/>
          <w:szCs w:val="24"/>
        </w:rPr>
        <w:t>,</w:t>
      </w:r>
      <w:r w:rsidR="00320381" w:rsidRPr="00734ABE">
        <w:rPr>
          <w:rFonts w:asciiTheme="minorHAnsi" w:hAnsiTheme="minorHAnsi"/>
          <w:szCs w:val="24"/>
        </w:rPr>
        <w:t xml:space="preserve"> Wood and Davis, 1978). In this sense, the curriculum describes the content and objectives of formal education, but puts educational resources at the front. Although this use of a program is similar to the definition mentioned above programs as a set of goals</w:t>
      </w:r>
      <w:r w:rsidR="00B21475" w:rsidRPr="00734ABE">
        <w:rPr>
          <w:rFonts w:asciiTheme="minorHAnsi" w:hAnsiTheme="minorHAnsi"/>
          <w:szCs w:val="24"/>
        </w:rPr>
        <w:t>,</w:t>
      </w:r>
      <w:r w:rsidR="00320381" w:rsidRPr="00734ABE">
        <w:rPr>
          <w:rFonts w:asciiTheme="minorHAnsi" w:hAnsiTheme="minorHAnsi"/>
          <w:szCs w:val="24"/>
        </w:rPr>
        <w:t xml:space="preserve"> in terms of calculating goals, there is actually a different approach. The first definition </w:t>
      </w:r>
      <w:r w:rsidR="00B21475" w:rsidRPr="00734ABE">
        <w:rPr>
          <w:rFonts w:asciiTheme="minorHAnsi" w:hAnsiTheme="minorHAnsi"/>
          <w:szCs w:val="24"/>
        </w:rPr>
        <w:t>emphasises</w:t>
      </w:r>
      <w:r w:rsidR="00320381" w:rsidRPr="00734ABE">
        <w:rPr>
          <w:rFonts w:asciiTheme="minorHAnsi" w:hAnsiTheme="minorHAnsi"/>
          <w:szCs w:val="24"/>
        </w:rPr>
        <w:t xml:space="preserve"> the specification of learning objectives, while the definition here focuses more on course content than learning objectives. Prices vary in size and scope. This definition can be illustrated with the terminology of Wood and Davis (1978) in their monograph on the design and evaluation of higher education programs at the University of California, Berkeley. They understand </w:t>
      </w:r>
      <w:r w:rsidR="00032A47" w:rsidRPr="00734ABE">
        <w:rPr>
          <w:rFonts w:asciiTheme="minorHAnsi" w:hAnsiTheme="minorHAnsi"/>
          <w:szCs w:val="24"/>
        </w:rPr>
        <w:t xml:space="preserve">that </w:t>
      </w:r>
      <w:r w:rsidR="00320381" w:rsidRPr="00734ABE">
        <w:rPr>
          <w:rFonts w:asciiTheme="minorHAnsi" w:hAnsiTheme="minorHAnsi"/>
          <w:szCs w:val="24"/>
        </w:rPr>
        <w:t xml:space="preserve">the curriculum </w:t>
      </w:r>
      <w:r w:rsidR="00402051" w:rsidRPr="00734ABE">
        <w:rPr>
          <w:rFonts w:asciiTheme="minorHAnsi" w:hAnsiTheme="minorHAnsi"/>
          <w:szCs w:val="24"/>
        </w:rPr>
        <w:t>h</w:t>
      </w:r>
      <w:r w:rsidR="00320381" w:rsidRPr="00734ABE">
        <w:rPr>
          <w:rFonts w:asciiTheme="minorHAnsi" w:hAnsiTheme="minorHAnsi"/>
          <w:szCs w:val="24"/>
        </w:rPr>
        <w:t>as “a set of courses consisting of a curriculum offered by an institution or followed by a student”</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{"citationItems":[{"id":"ITEM-1","itemData":{"DOI":"10.3109/0142159X.2010.507711","ISSN":"0142159X","PMID":"20874013","abstract":"Background: Integration of curriculum is meant to make the teaching/learning activities meaningful; however, the interpretation of 'integration' varies in different institutions and among individuals. Many medical schools find it hard to change their existing curriculum or develop a new integrated curriculum mainly because of lack of will, infrastructure and understanding the process of change. Aim: Drawn from experience, these 12 tips relating to staff development, establishing working groups, organizing the teaching/learning materials under themes and developing some innovative teaching/learning and assessment strategies, are the techniques that a teaching institution can use to change the existing curriculum to an integrated one or develop a new curriculum. Conclusion: Knowing about the different levels of integration and steps for developing an integrated curriculum can make it easier to integrate an existing curriculum or develop a new one. © 2011 Informa UK Ltd All rights reserved.","author":[{"dropping-particle":"","family":"Malik","given":"Alam Sher","non-dropping-particle":"","parse-names":false,"suffix":""},{"dropping-particle":"","family":"Malik","given":"Rukhsana Hussain","non-dropping-particle":"","parse-names":false,"suffix":""}],"container-title":"Medical Teacher","id":"ITEM-1","issued":{"date-parts":[["2011"]]},"title":"Twelve tips for developing an integrated curriculum","type":"article-journal"},"uris":["http://www.mendeley.com/documents/?uuid=70cf96d2-efe9-4caa-b858-8dfd535e5785","http://www.mendeley.com/documents/?uuid=d877c96a-bb85-432f-a9f1-635916483f84"]}],"mendeley":{"formattedCitation":"(Malik and Malik, 2011)","plainTextFormattedCitation":"(Malik and Malik, 2011)","previouslyFormattedCitation":"(Malik and Malik,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(Malik and Malik, 2011)</w:t>
      </w:r>
      <w:r w:rsidR="00E50E02" w:rsidRPr="00734ABE">
        <w:rPr>
          <w:rFonts w:asciiTheme="minorHAnsi" w:hAnsiTheme="minorHAnsi"/>
          <w:szCs w:val="24"/>
        </w:rPr>
        <w:fldChar w:fldCharType="end"/>
      </w:r>
      <w:r w:rsidR="00320381" w:rsidRPr="00734ABE">
        <w:rPr>
          <w:rFonts w:asciiTheme="minorHAnsi" w:hAnsiTheme="minorHAnsi"/>
          <w:szCs w:val="24"/>
        </w:rPr>
        <w:t>.</w:t>
      </w:r>
    </w:p>
    <w:p w:rsidR="00320381" w:rsidRPr="00734ABE" w:rsidRDefault="00320381" w:rsidP="000715DA">
      <w:pPr>
        <w:rPr>
          <w:rFonts w:asciiTheme="minorHAnsi" w:hAnsiTheme="minorHAnsi"/>
          <w:szCs w:val="24"/>
        </w:rPr>
      </w:pPr>
    </w:p>
    <w:p w:rsidR="00BE41F8" w:rsidRPr="00734ABE" w:rsidRDefault="00320381" w:rsidP="00402051">
      <w:pPr>
        <w:ind w:firstLine="0"/>
        <w:rPr>
          <w:rFonts w:asciiTheme="minorHAnsi" w:hAnsiTheme="minorHAnsi"/>
          <w:szCs w:val="24"/>
        </w:rPr>
      </w:pPr>
      <w:r w:rsidRPr="00734ABE">
        <w:rPr>
          <w:rFonts w:asciiTheme="minorHAnsi" w:hAnsiTheme="minorHAnsi"/>
          <w:szCs w:val="24"/>
        </w:rPr>
        <w:lastRenderedPageBreak/>
        <w:t xml:space="preserve">The program can be seen as a kind of plan or model for the systematic conduct of educational activities. The meaning of the term integrates content with teaching methods and </w:t>
      </w:r>
      <w:r w:rsidR="00816B29" w:rsidRPr="00734ABE">
        <w:rPr>
          <w:rFonts w:asciiTheme="minorHAnsi" w:hAnsiTheme="minorHAnsi"/>
          <w:szCs w:val="24"/>
        </w:rPr>
        <w:t>this</w:t>
      </w:r>
      <w:r w:rsidRPr="00734ABE">
        <w:rPr>
          <w:rFonts w:asciiTheme="minorHAnsi" w:hAnsiTheme="minorHAnsi"/>
          <w:szCs w:val="24"/>
        </w:rPr>
        <w:t xml:space="preserve"> has a wider </w:t>
      </w:r>
      <w:r w:rsidR="00816B29" w:rsidRPr="00734ABE">
        <w:rPr>
          <w:rFonts w:asciiTheme="minorHAnsi" w:hAnsiTheme="minorHAnsi"/>
          <w:szCs w:val="24"/>
        </w:rPr>
        <w:t>range</w:t>
      </w:r>
      <w:r w:rsidRPr="00734ABE">
        <w:rPr>
          <w:rFonts w:asciiTheme="minorHAnsi" w:hAnsiTheme="minorHAnsi"/>
          <w:szCs w:val="24"/>
        </w:rPr>
        <w:t xml:space="preserve"> than the first two prayers of the curriculum due to the inclusion of methods. In this sense, Tom (1984) views the curriculum as a </w:t>
      </w:r>
      <w:r w:rsidR="002B1A0A" w:rsidRPr="00734ABE">
        <w:rPr>
          <w:rFonts w:asciiTheme="minorHAnsi" w:hAnsiTheme="minorHAnsi"/>
          <w:szCs w:val="24"/>
        </w:rPr>
        <w:t>“</w:t>
      </w:r>
      <w:r w:rsidRPr="00734ABE">
        <w:rPr>
          <w:rFonts w:asciiTheme="minorHAnsi" w:hAnsiTheme="minorHAnsi"/>
          <w:szCs w:val="24"/>
        </w:rPr>
        <w:t>teaching or learning plan</w:t>
      </w:r>
      <w:r w:rsidR="002B1A0A" w:rsidRPr="00734ABE">
        <w:rPr>
          <w:rFonts w:asciiTheme="minorHAnsi" w:hAnsiTheme="minorHAnsi"/>
          <w:szCs w:val="24"/>
        </w:rPr>
        <w:t>”</w:t>
      </w:r>
      <w:r w:rsidRPr="00734ABE">
        <w:rPr>
          <w:rFonts w:asciiTheme="minorHAnsi" w:hAnsiTheme="minorHAnsi"/>
          <w:szCs w:val="24"/>
        </w:rPr>
        <w:t xml:space="preserve"> </w:t>
      </w:r>
      <w:r w:rsidR="00BA61B1" w:rsidRPr="00734ABE">
        <w:rPr>
          <w:rFonts w:asciiTheme="minorHAnsi" w:hAnsiTheme="minorHAnsi"/>
          <w:szCs w:val="24"/>
        </w:rPr>
        <w:t xml:space="preserve">(p. 89). </w:t>
      </w:r>
      <w:r w:rsidR="002B1A0A" w:rsidRPr="00734ABE">
        <w:rPr>
          <w:rFonts w:asciiTheme="minorHAnsi" w:hAnsiTheme="minorHAnsi"/>
          <w:szCs w:val="24"/>
        </w:rPr>
        <w:t>In the same way</w:t>
      </w:r>
      <w:r w:rsidR="00BA61B1" w:rsidRPr="00734ABE">
        <w:rPr>
          <w:rFonts w:asciiTheme="minorHAnsi" w:hAnsiTheme="minorHAnsi"/>
          <w:szCs w:val="24"/>
        </w:rPr>
        <w:t xml:space="preserve">, one </w:t>
      </w:r>
      <w:r w:rsidRPr="00734ABE">
        <w:rPr>
          <w:rFonts w:asciiTheme="minorHAnsi" w:hAnsiTheme="minorHAnsi"/>
          <w:szCs w:val="24"/>
        </w:rPr>
        <w:t>views it as a “model for sustainab</w:t>
      </w:r>
      <w:r w:rsidR="00BA61B1" w:rsidRPr="00734ABE">
        <w:rPr>
          <w:rFonts w:asciiTheme="minorHAnsi" w:hAnsiTheme="minorHAnsi"/>
          <w:szCs w:val="24"/>
        </w:rPr>
        <w:t>le teaching and learning”</w:t>
      </w:r>
      <w:r w:rsidRPr="00734ABE">
        <w:rPr>
          <w:rFonts w:asciiTheme="minorHAnsi" w:hAnsiTheme="minorHAnsi"/>
          <w:szCs w:val="24"/>
        </w:rPr>
        <w:t xml:space="preserve"> with a particular emphasis on the content and process of teaching and learning. It should be noted that this view of the curriculum hardly </w:t>
      </w:r>
      <w:r w:rsidR="00A243DE" w:rsidRPr="00734ABE">
        <w:rPr>
          <w:rFonts w:asciiTheme="minorHAnsi" w:hAnsiTheme="minorHAnsi"/>
          <w:szCs w:val="24"/>
        </w:rPr>
        <w:t>is understood</w:t>
      </w:r>
      <w:r w:rsidRPr="00734ABE">
        <w:rPr>
          <w:rFonts w:asciiTheme="minorHAnsi" w:hAnsiTheme="minorHAnsi"/>
          <w:szCs w:val="24"/>
        </w:rPr>
        <w:t xml:space="preserve"> with the methods themselves in action. Pratt (1994) further explains this by saying that “actual teaching and learning are not curricula because curriculum refers to pedagog</w:t>
      </w:r>
      <w:r w:rsidR="00BA61B1" w:rsidRPr="00734ABE">
        <w:rPr>
          <w:rFonts w:asciiTheme="minorHAnsi" w:hAnsiTheme="minorHAnsi"/>
          <w:szCs w:val="24"/>
        </w:rPr>
        <w:t xml:space="preserve">ical action plans, not actions. </w:t>
      </w:r>
      <w:r w:rsidRPr="00734ABE">
        <w:rPr>
          <w:rFonts w:asciiTheme="minorHAnsi" w:hAnsiTheme="minorHAnsi"/>
          <w:szCs w:val="24"/>
        </w:rPr>
        <w:t>From this point of view, programs can be compared. Since the plan itself is not a building, i</w:t>
      </w:r>
      <w:r w:rsidR="00BA61B1" w:rsidRPr="00734ABE">
        <w:rPr>
          <w:rFonts w:asciiTheme="minorHAnsi" w:hAnsiTheme="minorHAnsi"/>
          <w:szCs w:val="24"/>
        </w:rPr>
        <w:t xml:space="preserve">t is not a curriculum in itself. </w:t>
      </w:r>
    </w:p>
    <w:p w:rsidR="006D4982" w:rsidRPr="00734ABE" w:rsidRDefault="006D4982" w:rsidP="000715DA">
      <w:pPr>
        <w:rPr>
          <w:rFonts w:asciiTheme="minorHAnsi" w:hAnsiTheme="minorHAnsi"/>
          <w:szCs w:val="24"/>
        </w:rPr>
      </w:pPr>
    </w:p>
    <w:p w:rsidR="006D4982" w:rsidRPr="00734ABE" w:rsidRDefault="00320381" w:rsidP="00A243DE">
      <w:pPr>
        <w:ind w:firstLine="0"/>
        <w:rPr>
          <w:rFonts w:asciiTheme="minorHAnsi" w:hAnsiTheme="minorHAnsi"/>
          <w:szCs w:val="24"/>
        </w:rPr>
      </w:pPr>
      <w:r w:rsidRPr="00734ABE">
        <w:rPr>
          <w:rFonts w:asciiTheme="minorHAnsi" w:hAnsiTheme="minorHAnsi"/>
          <w:szCs w:val="24"/>
        </w:rPr>
        <w:t>Others, like Brady (1995), view the curriculum as a document</w:t>
      </w:r>
      <w:r w:rsidR="00A243DE" w:rsidRPr="00734ABE">
        <w:rPr>
          <w:rFonts w:asciiTheme="minorHAnsi" w:hAnsiTheme="minorHAnsi"/>
          <w:szCs w:val="24"/>
        </w:rPr>
        <w:t>,</w:t>
      </w:r>
      <w:r w:rsidRPr="00734ABE">
        <w:rPr>
          <w:rFonts w:asciiTheme="minorHAnsi" w:hAnsiTheme="minorHAnsi"/>
          <w:szCs w:val="24"/>
        </w:rPr>
        <w:t xml:space="preserve"> an outline of a course written on a piece of paper. For example, the program included official written curricula published by </w:t>
      </w:r>
      <w:r w:rsidR="005C70D5" w:rsidRPr="00734ABE">
        <w:rPr>
          <w:rFonts w:asciiTheme="minorHAnsi" w:hAnsiTheme="minorHAnsi"/>
          <w:szCs w:val="24"/>
        </w:rPr>
        <w:t>the Go</w:t>
      </w:r>
      <w:r w:rsidR="00540AE1" w:rsidRPr="00734ABE">
        <w:rPr>
          <w:rFonts w:asciiTheme="minorHAnsi" w:hAnsiTheme="minorHAnsi"/>
          <w:szCs w:val="24"/>
        </w:rPr>
        <w:t>vernment</w:t>
      </w:r>
      <w:r w:rsidRPr="00734ABE">
        <w:rPr>
          <w:rFonts w:asciiTheme="minorHAnsi" w:hAnsiTheme="minorHAnsi"/>
          <w:szCs w:val="24"/>
        </w:rPr>
        <w:t xml:space="preserve"> or </w:t>
      </w:r>
      <w:r w:rsidR="00540AE1" w:rsidRPr="00734ABE">
        <w:rPr>
          <w:rFonts w:asciiTheme="minorHAnsi" w:hAnsiTheme="minorHAnsi"/>
          <w:szCs w:val="24"/>
        </w:rPr>
        <w:t xml:space="preserve">the </w:t>
      </w:r>
      <w:r w:rsidRPr="00734ABE">
        <w:rPr>
          <w:rFonts w:asciiTheme="minorHAnsi" w:hAnsiTheme="minorHAnsi"/>
          <w:szCs w:val="24"/>
        </w:rPr>
        <w:t>departments of education, local authorities or education boards, and commercial companies or groups of education professionals working o</w:t>
      </w:r>
      <w:r w:rsidR="00BA61B1" w:rsidRPr="00734ABE">
        <w:rPr>
          <w:rFonts w:asciiTheme="minorHAnsi" w:hAnsiTheme="minorHAnsi"/>
          <w:szCs w:val="24"/>
        </w:rPr>
        <w:t xml:space="preserve">n specially funded projects ''. </w:t>
      </w:r>
      <w:r w:rsidRPr="00734ABE">
        <w:rPr>
          <w:rFonts w:asciiTheme="minorHAnsi" w:hAnsiTheme="minorHAnsi"/>
          <w:szCs w:val="24"/>
        </w:rPr>
        <w:t>This kind of written visual document accompanying the curriculum arises from the need, especially during the design and implementation stages of the curriculum, in writing to include a statement of objectives, content, method and assessment. The presentation of the document aims to give teachers a role model in the educational process. In this sense, curriculum</w:t>
      </w:r>
      <w:r w:rsidR="00BA61B1" w:rsidRPr="00734ABE">
        <w:rPr>
          <w:rFonts w:asciiTheme="minorHAnsi" w:hAnsiTheme="minorHAnsi"/>
          <w:szCs w:val="24"/>
        </w:rPr>
        <w:t xml:space="preserve"> is synonymous with curriculum</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{"citationItems":[{"id":"ITEM-1","itemData":{"DOI":"10.3109/0142159X.2013.828153","ISSN":"0142159X","PMID":"24004029","abstract":"There are many theories that explain how adults learn and each has its own merits. This Guide explains and explores the more commonly used ones and how they can be used to enhance student and faculty learning. The Guide presents a model that combines many of the theories into a flow diagram which can be followed by anyone planning learning. The schema can be used at curriculum planning level, or at the level of individual learning. At each stage of the model, the Guide identifies the responsibilities of both learner and educator. The role of the institution is to ensure that the time and resources are available to allow effective learning to happen. The Guide is designed for those new to education, in the hope that it can unravel the difficulties in understanding and applying the common learning theories, whilst also creating opportunities for debate as to the best way they should be used. © 2013 Informa UK Ltd.","author":[{"dropping-particle":"","family":"Taylor","given":"David C.M.","non-dropping-particle":"","parse-names":false,"suffix":""},{"dropping-particle":"","family":"Hamdy","given":"Hossam","non-dropping-particle":"","parse-names":false,"suffix":""}],"container-title":"Medical Teacher","id":"ITEM-1","issued":{"date-parts":[["2013"]]},"title":"Adult learning theories: Implications for learning and teaching in medical education: AMEE Guide No. 83","type":"article-journal"},"uris":["http://www.mendeley.com/documents/?uuid=15a672c0-8235-46ce-ae9b-21b196ee5558","http://www.mendeley.com/documents/?uuid=9d54b588-54ca-422c-b4f6-a48d6b4f31a3"]}],"mendeley":{"formattedCitation":"(Taylor and Hamdy, 2013)","plainTextFormattedCitation":"(Taylor and Hamdy, 2013)","previouslyFormattedCitation":"(Taylor and Hamdy,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(Taylor and Hamdy, 2013)</w:t>
      </w:r>
      <w:r w:rsidR="00E50E02" w:rsidRPr="00734ABE">
        <w:rPr>
          <w:rFonts w:asciiTheme="minorHAnsi" w:hAnsiTheme="minorHAnsi"/>
          <w:szCs w:val="24"/>
        </w:rPr>
        <w:fldChar w:fldCharType="end"/>
      </w:r>
      <w:r w:rsidR="00BA61B1" w:rsidRPr="00734ABE">
        <w:rPr>
          <w:rFonts w:asciiTheme="minorHAnsi" w:hAnsiTheme="minorHAnsi"/>
          <w:szCs w:val="24"/>
        </w:rPr>
        <w:t>.</w:t>
      </w:r>
    </w:p>
    <w:p w:rsidR="00320381" w:rsidRPr="00734ABE" w:rsidRDefault="00320381" w:rsidP="000715DA">
      <w:pPr>
        <w:rPr>
          <w:rFonts w:asciiTheme="minorHAnsi" w:hAnsiTheme="minorHAnsi"/>
          <w:szCs w:val="24"/>
        </w:rPr>
      </w:pPr>
    </w:p>
    <w:p w:rsidR="00320381" w:rsidRPr="00734ABE" w:rsidRDefault="00320381" w:rsidP="008337C7">
      <w:pPr>
        <w:ind w:firstLine="0"/>
        <w:rPr>
          <w:rFonts w:asciiTheme="minorHAnsi" w:hAnsiTheme="minorHAnsi"/>
          <w:szCs w:val="24"/>
        </w:rPr>
      </w:pPr>
      <w:r w:rsidRPr="00734ABE">
        <w:rPr>
          <w:rFonts w:asciiTheme="minorHAnsi" w:hAnsiTheme="minorHAnsi"/>
          <w:szCs w:val="24"/>
        </w:rPr>
        <w:t>Rather than viewing programs as formal lesson content or learning objectives, it can be helpful to think of them as more holistic than experiential programs. According to this definition, what Marsh (1997) publishes in the curriculum can be remembered as “a set of interdependent plans and experiences that compl</w:t>
      </w:r>
      <w:r w:rsidR="00BA61B1" w:rsidRPr="00734ABE">
        <w:rPr>
          <w:rFonts w:asciiTheme="minorHAnsi" w:hAnsiTheme="minorHAnsi"/>
          <w:szCs w:val="24"/>
        </w:rPr>
        <w:t>ement student-led school”</w:t>
      </w:r>
      <w:r w:rsidRPr="00734ABE">
        <w:rPr>
          <w:rFonts w:asciiTheme="minorHAnsi" w:hAnsiTheme="minorHAnsi"/>
          <w:szCs w:val="24"/>
        </w:rPr>
        <w:t xml:space="preserve">. This means that the relationship between "plans and experiences" is closely related to "plans" assigned to pre-planned programs and "experiences" related to unforeseen events in the classroom. While planning is a </w:t>
      </w:r>
      <w:r w:rsidR="00F87E5E" w:rsidRPr="00734ABE">
        <w:rPr>
          <w:rFonts w:asciiTheme="minorHAnsi" w:hAnsiTheme="minorHAnsi"/>
          <w:szCs w:val="24"/>
        </w:rPr>
        <w:t>person</w:t>
      </w:r>
      <w:r w:rsidRPr="00734ABE">
        <w:rPr>
          <w:rFonts w:asciiTheme="minorHAnsi" w:hAnsiTheme="minorHAnsi"/>
          <w:szCs w:val="24"/>
        </w:rPr>
        <w:t xml:space="preserve"> of action, it is important to understand that unexpected events often occur in the classroom.</w:t>
      </w:r>
    </w:p>
    <w:p w:rsidR="00A22A29" w:rsidRPr="00734ABE" w:rsidRDefault="00A22A29" w:rsidP="008337C7">
      <w:pPr>
        <w:ind w:firstLine="0"/>
        <w:rPr>
          <w:rFonts w:asciiTheme="minorHAnsi" w:hAnsiTheme="minorHAnsi"/>
          <w:szCs w:val="24"/>
        </w:rPr>
      </w:pPr>
    </w:p>
    <w:p w:rsidR="00A22A29" w:rsidRPr="00D82225" w:rsidRDefault="00734ABE" w:rsidP="008337C7">
      <w:pPr>
        <w:ind w:firstLine="0"/>
        <w:rPr>
          <w:rFonts w:asciiTheme="minorHAnsi" w:eastAsiaTheme="minorEastAsia" w:hAnsiTheme="minorHAnsi"/>
          <w:szCs w:val="24"/>
          <w:lang w:eastAsia="en-GB"/>
        </w:rPr>
      </w:pPr>
      <w:r w:rsidRPr="00734ABE">
        <w:rPr>
          <w:rFonts w:asciiTheme="minorHAnsi" w:eastAsiaTheme="minorEastAsia" w:hAnsiTheme="minorHAnsi"/>
          <w:szCs w:val="24"/>
          <w:lang w:eastAsia="en-GB"/>
        </w:rPr>
        <w:t>Inclusive education has been adopted worldwide in order to provide effective and inclusive teaching to all learners, including those who experience barriers to learning in mainstream schools. Teachers are central in this change in ensuring that all learners are accommodated in the inclusive classroom.</w:t>
      </w:r>
      <w:r w:rsidR="00D82225">
        <w:rPr>
          <w:rFonts w:asciiTheme="minorHAnsi" w:eastAsiaTheme="minorEastAsia" w:hAnsiTheme="minorHAnsi"/>
          <w:szCs w:val="24"/>
          <w:lang w:eastAsia="en-GB"/>
        </w:rPr>
        <w:t xml:space="preserve"> </w:t>
      </w:r>
      <w:r w:rsidRPr="00734ABE">
        <w:rPr>
          <w:rFonts w:asciiTheme="minorHAnsi" w:eastAsiaTheme="minorEastAsia" w:hAnsiTheme="minorHAnsi"/>
          <w:szCs w:val="24"/>
          <w:lang w:eastAsia="en-GB"/>
        </w:rPr>
        <w:t>The purpose of this study was to explore effective inclusive Foundation Phase teaching strategies in schools that could benefit every learner in an inclusive education setting. Teaching strategies in the context of this study were not limited to strategies for learning, teaching and assessing content but included classroom management, creating positive learning environments, ensuring participation, selecting resources, modifying the curriculum and creating opportunities for collaborating with colleagues and parents.</w:t>
      </w:r>
      <w:r w:rsidR="00A22A29" w:rsidRPr="00734ABE">
        <w:rPr>
          <w:rFonts w:asciiTheme="minorHAnsi" w:hAnsiTheme="minorHAnsi"/>
          <w:szCs w:val="24"/>
        </w:rPr>
        <w:t xml:space="preserve">The Welsh </w:t>
      </w:r>
      <w:r w:rsidR="00F55843" w:rsidRPr="00734ABE">
        <w:rPr>
          <w:rFonts w:asciiTheme="minorHAnsi" w:hAnsiTheme="minorHAnsi"/>
          <w:szCs w:val="24"/>
        </w:rPr>
        <w:t xml:space="preserve">Government (2015) stated that </w:t>
      </w:r>
    </w:p>
    <w:p w:rsidR="005C1848" w:rsidRPr="00734ABE" w:rsidRDefault="005C1848" w:rsidP="005C1848">
      <w:pPr>
        <w:ind w:firstLine="0"/>
        <w:rPr>
          <w:rFonts w:asciiTheme="minorHAnsi" w:hAnsiTheme="minorHAnsi"/>
          <w:szCs w:val="24"/>
        </w:rPr>
      </w:pPr>
    </w:p>
    <w:p w:rsidR="00320381" w:rsidRPr="00734ABE" w:rsidRDefault="00320381" w:rsidP="00A360EC">
      <w:pPr>
        <w:ind w:firstLine="0"/>
        <w:rPr>
          <w:rFonts w:asciiTheme="minorHAnsi" w:hAnsiTheme="minorHAnsi"/>
          <w:szCs w:val="24"/>
        </w:rPr>
      </w:pPr>
      <w:r w:rsidRPr="00734ABE">
        <w:rPr>
          <w:rFonts w:asciiTheme="minorHAnsi" w:hAnsiTheme="minorHAnsi"/>
          <w:szCs w:val="24"/>
        </w:rPr>
        <w:t>For this reason, Marsh (1997) argues that “real-life programs in the classroom are a collection of p</w:t>
      </w:r>
      <w:r w:rsidR="00BA61B1" w:rsidRPr="00734ABE">
        <w:rPr>
          <w:rFonts w:asciiTheme="minorHAnsi" w:hAnsiTheme="minorHAnsi"/>
          <w:szCs w:val="24"/>
        </w:rPr>
        <w:t>lans and experiences”</w:t>
      </w:r>
      <w:r w:rsidRPr="00734ABE">
        <w:rPr>
          <w:rFonts w:asciiTheme="minorHAnsi" w:hAnsiTheme="minorHAnsi"/>
          <w:szCs w:val="24"/>
        </w:rPr>
        <w:t xml:space="preserve">. In other words, learning is rarely completely </w:t>
      </w:r>
      <w:r w:rsidR="00192F70" w:rsidRPr="00734ABE">
        <w:rPr>
          <w:rFonts w:asciiTheme="minorHAnsi" w:hAnsiTheme="minorHAnsi"/>
          <w:szCs w:val="24"/>
        </w:rPr>
        <w:t>unplanned</w:t>
      </w:r>
      <w:r w:rsidRPr="00734ABE">
        <w:rPr>
          <w:rFonts w:asciiTheme="minorHAnsi" w:hAnsiTheme="minorHAnsi"/>
          <w:szCs w:val="24"/>
        </w:rPr>
        <w:t xml:space="preserve"> or planned, it is a distraction between impulse and intention</w:t>
      </w:r>
      <w:r w:rsidR="00192F70" w:rsidRPr="00734ABE">
        <w:rPr>
          <w:rFonts w:asciiTheme="minorHAnsi" w:hAnsiTheme="minorHAnsi"/>
          <w:szCs w:val="24"/>
        </w:rPr>
        <w:t xml:space="preserve">, </w:t>
      </w:r>
      <w:r w:rsidR="00BA61B1" w:rsidRPr="00734ABE">
        <w:rPr>
          <w:rFonts w:asciiTheme="minorHAnsi" w:hAnsiTheme="minorHAnsi"/>
          <w:szCs w:val="24"/>
        </w:rPr>
        <w:t>the</w:t>
      </w:r>
      <w:r w:rsidRPr="00734ABE">
        <w:rPr>
          <w:rFonts w:asciiTheme="minorHAnsi" w:hAnsiTheme="minorHAnsi"/>
          <w:szCs w:val="24"/>
        </w:rPr>
        <w:t xml:space="preserve"> learning experience outside the classroom extends to extracurricular activities (Marsh, 1997). In this sense, experience refers to potential contacts to explore experiences in which learners </w:t>
      </w:r>
      <w:r w:rsidRPr="00734ABE">
        <w:rPr>
          <w:rFonts w:asciiTheme="minorHAnsi" w:hAnsiTheme="minorHAnsi"/>
          <w:szCs w:val="24"/>
        </w:rPr>
        <w:lastRenderedPageBreak/>
        <w:t>participate in or outside the classroom.</w:t>
      </w:r>
      <w:r w:rsidR="00A912A1" w:rsidRPr="00734ABE">
        <w:rPr>
          <w:rFonts w:asciiTheme="minorHAnsi" w:hAnsiTheme="minorHAnsi"/>
          <w:szCs w:val="24"/>
        </w:rPr>
        <w:t xml:space="preserve"> Outdoor environments are beneficial for the children to have a range of different activ</w:t>
      </w:r>
      <w:r w:rsidR="00A360EC" w:rsidRPr="00734ABE">
        <w:rPr>
          <w:rFonts w:asciiTheme="minorHAnsi" w:hAnsiTheme="minorHAnsi"/>
          <w:szCs w:val="24"/>
        </w:rPr>
        <w:t xml:space="preserve">ities.   </w:t>
      </w:r>
      <w:r w:rsidRPr="00734ABE">
        <w:rPr>
          <w:rFonts w:asciiTheme="minorHAnsi" w:hAnsiTheme="minorHAnsi"/>
          <w:szCs w:val="24"/>
        </w:rPr>
        <w:t xml:space="preserve">From this perspective, teaching and learning can be seen as extracurricular activities. Likewise, the American Association for Educational Research </w:t>
      </w:r>
      <w:r w:rsidR="00BA61B1" w:rsidRPr="00734ABE">
        <w:rPr>
          <w:rFonts w:asciiTheme="minorHAnsi" w:hAnsiTheme="minorHAnsi"/>
          <w:szCs w:val="24"/>
        </w:rPr>
        <w:t>Encyclopaedia</w:t>
      </w:r>
      <w:r w:rsidRPr="00734ABE">
        <w:rPr>
          <w:rFonts w:asciiTheme="minorHAnsi" w:hAnsiTheme="minorHAnsi"/>
          <w:szCs w:val="24"/>
        </w:rPr>
        <w:t xml:space="preserve"> of Educational Research defines this program as “the school-led experience of all students” Kearney</w:t>
      </w:r>
      <w:r w:rsidR="004D4CD8" w:rsidRPr="00734ABE">
        <w:rPr>
          <w:rFonts w:asciiTheme="minorHAnsi" w:hAnsiTheme="minorHAnsi"/>
          <w:szCs w:val="24"/>
        </w:rPr>
        <w:t xml:space="preserve"> and </w:t>
      </w:r>
      <w:r w:rsidRPr="00734ABE">
        <w:rPr>
          <w:rFonts w:asciiTheme="minorHAnsi" w:hAnsiTheme="minorHAnsi"/>
          <w:szCs w:val="24"/>
        </w:rPr>
        <w:t xml:space="preserve">Cook, </w:t>
      </w:r>
      <w:r w:rsidR="00B0457C" w:rsidRPr="00734ABE">
        <w:rPr>
          <w:rFonts w:asciiTheme="minorHAnsi" w:hAnsiTheme="minorHAnsi"/>
          <w:szCs w:val="24"/>
        </w:rPr>
        <w:t>(</w:t>
      </w:r>
      <w:r w:rsidRPr="00734ABE">
        <w:rPr>
          <w:rFonts w:asciiTheme="minorHAnsi" w:hAnsiTheme="minorHAnsi"/>
          <w:szCs w:val="24"/>
        </w:rPr>
        <w:t>1961</w:t>
      </w:r>
      <w:r w:rsidR="00B0457C" w:rsidRPr="00734ABE">
        <w:rPr>
          <w:rFonts w:asciiTheme="minorHAnsi" w:hAnsiTheme="minorHAnsi"/>
          <w:szCs w:val="24"/>
        </w:rPr>
        <w:t>)</w:t>
      </w:r>
      <w:r w:rsidRPr="00734ABE">
        <w:rPr>
          <w:rFonts w:asciiTheme="minorHAnsi" w:hAnsiTheme="minorHAnsi"/>
          <w:szCs w:val="24"/>
        </w:rPr>
        <w:t xml:space="preserve">. Barrow and Milburn (1990) </w:t>
      </w:r>
      <w:r w:rsidR="004D4CD8" w:rsidRPr="00734ABE">
        <w:rPr>
          <w:rFonts w:asciiTheme="minorHAnsi" w:hAnsiTheme="minorHAnsi"/>
          <w:szCs w:val="24"/>
        </w:rPr>
        <w:t xml:space="preserve">states that </w:t>
      </w:r>
      <w:r w:rsidRPr="00734ABE">
        <w:rPr>
          <w:rFonts w:asciiTheme="minorHAnsi" w:hAnsiTheme="minorHAnsi"/>
          <w:szCs w:val="24"/>
        </w:rPr>
        <w:t xml:space="preserve">the curriculum </w:t>
      </w:r>
      <w:r w:rsidR="004D4CD8" w:rsidRPr="00734ABE">
        <w:rPr>
          <w:rFonts w:asciiTheme="minorHAnsi" w:hAnsiTheme="minorHAnsi"/>
          <w:szCs w:val="24"/>
        </w:rPr>
        <w:t>is</w:t>
      </w:r>
      <w:r w:rsidRPr="00734ABE">
        <w:rPr>
          <w:rFonts w:asciiTheme="minorHAnsi" w:hAnsiTheme="minorHAnsi"/>
          <w:szCs w:val="24"/>
        </w:rPr>
        <w:t xml:space="preserve"> “the entire experience of a child in school” (p. 85). </w:t>
      </w:r>
      <w:r w:rsidR="001213AA" w:rsidRPr="00734ABE">
        <w:rPr>
          <w:rFonts w:asciiTheme="minorHAnsi" w:hAnsiTheme="minorHAnsi"/>
          <w:szCs w:val="24"/>
        </w:rPr>
        <w:t>T</w:t>
      </w:r>
      <w:r w:rsidRPr="00734ABE">
        <w:rPr>
          <w:rFonts w:asciiTheme="minorHAnsi" w:hAnsiTheme="minorHAnsi"/>
          <w:szCs w:val="24"/>
        </w:rPr>
        <w:t xml:space="preserve">he material presented to the students, the actions of teachers (attitudes and motivations) in the class, the actions of the students (reactions, attitudes and stimuli) and </w:t>
      </w:r>
      <w:r w:rsidR="00307143" w:rsidRPr="00734ABE">
        <w:rPr>
          <w:rFonts w:asciiTheme="minorHAnsi" w:hAnsiTheme="minorHAnsi"/>
          <w:szCs w:val="24"/>
        </w:rPr>
        <w:t>education</w:t>
      </w:r>
      <w:r w:rsidRPr="00734ABE">
        <w:rPr>
          <w:rFonts w:asciiTheme="minorHAnsi" w:hAnsiTheme="minorHAnsi"/>
          <w:szCs w:val="24"/>
        </w:rPr>
        <w:t xml:space="preserve"> material can be considered as aspects of the program of experience. The definitions can be expressed in algebraic equations as follows</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{"citationItems":[{"id":"ITEM-1","itemData":{"DOI":"10.3109/13561820.2012.736888","ISSN":"13561820","PMID":"23137295","abstract":"International policy has emphasized the development of interprofessional education (IPE) to reinforce interprofessional practice. This study explored the extent to which IPE initiatives in the UK are based on sound theoretical frameworks. Findings from semi-structured interviews with lead IPE curriculum developers at eight higher education institutions are presented which identified curriculum developers' developmental approaches to IPE. The findings reveal a notable lack of explicit theoretical basis for models of IPE. In many cases, senior managers determined the institutional approach to IPE which academic staff then needed to deliver. Curriculum developers reported adopting a largely practical approach to IPE curriculum development. However, questioning that focused on learning and teaching methods revealed that a range of learning theories was used implicitly. The significance of these findings is discussed with recommendations to inform future curriculum development of IPE initiatives. © 2013 Informa UK, Ltd.","author":[{"dropping-particle":"","family":"Craddock","given":"Deborah","non-dropping-particle":"","parse-names":false,"suffix":""},{"dropping-particle":"","family":"O'Halloran","given":"Cath","non-dropping-particle":"","parse-names":false,"suffix":""},{"dropping-particle":"","family":"McPherson","given":"Kathryn","non-dropping-particle":"","parse-names":false,"suffix":""},{"dropping-particle":"","family":"Hean","given":"Sarah","non-dropping-particle":"","parse-names":false,"suffix":""},{"dropping-particle":"","family":"Hammick","given":"Marilyn","non-dropping-particle":"","parse-names":false,"suffix":""}],"container-title":"Journal of Interprofessional Care","id":"ITEM-1","issued":{"date-parts":[["2013"]]},"title":"A top-down approach impedes the use of theory? Interprofessional educational leaders' approaches to curriculum development and the use of learning theory","type":"article-journal"},"uris":["http://www.mendeley.com/documents/?uuid=f5711a9e-88ef-4f72-8f58-30437e281de3","http://www.mendeley.com/documents/?uuid=5f9d1294-6219-4c57-8f59-d326d6c628e1"]}],"mendeley":{"formattedCitation":"(Craddock &lt;i&gt;et al.&lt;/i&gt;, 2013)","plainTextFormattedCitation":"(Craddock et al., 2013)","previouslyFormattedCitation":"(Craddock &lt;i&gt;et al.&lt;/i&gt;,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Craddock et al</w:t>
      </w:r>
      <w:r w:rsidR="00EC06AD" w:rsidRPr="00734ABE">
        <w:rPr>
          <w:rFonts w:asciiTheme="minorHAnsi" w:hAnsiTheme="minorHAnsi"/>
          <w:noProof/>
          <w:szCs w:val="24"/>
        </w:rPr>
        <w:t>,</w:t>
      </w:r>
      <w:r w:rsidR="00E50E02" w:rsidRPr="00734ABE">
        <w:rPr>
          <w:rFonts w:asciiTheme="minorHAnsi" w:hAnsiTheme="minorHAnsi"/>
          <w:noProof/>
          <w:szCs w:val="24"/>
        </w:rPr>
        <w:t xml:space="preserve"> </w:t>
      </w:r>
      <w:r w:rsidR="00311755" w:rsidRPr="00734ABE">
        <w:rPr>
          <w:rFonts w:asciiTheme="minorHAnsi" w:hAnsiTheme="minorHAnsi"/>
          <w:noProof/>
          <w:szCs w:val="24"/>
        </w:rPr>
        <w:t>(</w:t>
      </w:r>
      <w:r w:rsidR="00E50E02" w:rsidRPr="00734ABE">
        <w:rPr>
          <w:rFonts w:asciiTheme="minorHAnsi" w:hAnsiTheme="minorHAnsi"/>
          <w:noProof/>
          <w:szCs w:val="24"/>
        </w:rPr>
        <w:t>2013)</w:t>
      </w:r>
      <w:r w:rsidR="00E50E02" w:rsidRPr="00734ABE">
        <w:rPr>
          <w:rFonts w:asciiTheme="minorHAnsi" w:hAnsiTheme="minorHAnsi"/>
          <w:szCs w:val="24"/>
        </w:rPr>
        <w:fldChar w:fldCharType="end"/>
      </w:r>
      <w:r w:rsidRPr="00734ABE">
        <w:rPr>
          <w:rFonts w:asciiTheme="minorHAnsi" w:hAnsiTheme="minorHAnsi"/>
          <w:szCs w:val="24"/>
        </w:rPr>
        <w:t>.</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Summary as a set of goals = goals or objectives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Training courses as training or as a subject = subject + goals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Programs such as plans = content + goals + teaching methods.</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Curriculum as documents = content + objectives + methods + assessment</w:t>
      </w:r>
    </w:p>
    <w:p w:rsidR="00320381" w:rsidRPr="00734ABE" w:rsidRDefault="00320381" w:rsidP="00BA61B1">
      <w:pPr>
        <w:pStyle w:val="ListParagraph"/>
        <w:numPr>
          <w:ilvl w:val="0"/>
          <w:numId w:val="13"/>
        </w:numPr>
        <w:ind w:left="284" w:hanging="284"/>
        <w:rPr>
          <w:rFonts w:asciiTheme="minorHAnsi" w:hAnsiTheme="minorHAnsi"/>
          <w:szCs w:val="24"/>
        </w:rPr>
      </w:pPr>
      <w:r w:rsidRPr="00734ABE">
        <w:rPr>
          <w:rFonts w:asciiTheme="minorHAnsi" w:hAnsiTheme="minorHAnsi"/>
          <w:szCs w:val="24"/>
        </w:rPr>
        <w:t>Programs as experiences = content + goals + methods + evaluation + extracurricular activities and learning environment + hidden agenda + culture</w:t>
      </w:r>
    </w:p>
    <w:p w:rsidR="00320381" w:rsidRPr="00734ABE" w:rsidRDefault="00320381" w:rsidP="00320381">
      <w:pPr>
        <w:rPr>
          <w:rFonts w:asciiTheme="minorHAnsi" w:hAnsiTheme="minorHAnsi"/>
          <w:szCs w:val="24"/>
        </w:rPr>
      </w:pPr>
      <w:r w:rsidRPr="00734ABE">
        <w:rPr>
          <w:rFonts w:asciiTheme="minorHAnsi" w:hAnsiTheme="minorHAnsi"/>
          <w:szCs w:val="24"/>
        </w:rPr>
        <w:t>Linear alignment of definitions allows you to capture the meaning of a term in various ways.</w:t>
      </w:r>
    </w:p>
    <w:p w:rsidR="00320381" w:rsidRPr="00734ABE" w:rsidRDefault="00320381" w:rsidP="00320381">
      <w:pPr>
        <w:rPr>
          <w:rFonts w:asciiTheme="minorHAnsi" w:hAnsiTheme="minorHAnsi"/>
          <w:szCs w:val="24"/>
        </w:rPr>
      </w:pPr>
    </w:p>
    <w:p w:rsidR="00BE41F8" w:rsidRPr="00734ABE" w:rsidRDefault="00BE41F8" w:rsidP="00BE41F8">
      <w:pPr>
        <w:jc w:val="center"/>
        <w:rPr>
          <w:rFonts w:asciiTheme="minorHAnsi" w:hAnsiTheme="minorHAnsi"/>
          <w:szCs w:val="24"/>
        </w:rPr>
      </w:pPr>
      <w:r w:rsidRPr="00734ABE">
        <w:rPr>
          <w:rFonts w:asciiTheme="minorHAnsi" w:hAnsiTheme="minorHAnsi"/>
          <w:noProof/>
          <w:szCs w:val="24"/>
          <w:lang w:eastAsia="en-GB"/>
        </w:rPr>
        <w:drawing>
          <wp:inline distT="0" distB="0" distL="0" distR="0" wp14:anchorId="49BB6DB6" wp14:editId="06D79FF6">
            <wp:extent cx="447675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76750" cy="914400"/>
                    </a:xfrm>
                    <a:prstGeom prst="rect">
                      <a:avLst/>
                    </a:prstGeom>
                  </pic:spPr>
                </pic:pic>
              </a:graphicData>
            </a:graphic>
          </wp:inline>
        </w:drawing>
      </w:r>
    </w:p>
    <w:p w:rsidR="006D4982" w:rsidRPr="00734ABE" w:rsidRDefault="006D4982" w:rsidP="001A437D">
      <w:pPr>
        <w:ind w:firstLine="0"/>
        <w:rPr>
          <w:rFonts w:asciiTheme="minorHAnsi" w:hAnsiTheme="minorHAnsi"/>
          <w:szCs w:val="24"/>
        </w:rPr>
      </w:pPr>
    </w:p>
    <w:p w:rsidR="006D4982" w:rsidRPr="00734ABE" w:rsidRDefault="006D4982" w:rsidP="00866219">
      <w:pPr>
        <w:ind w:firstLine="0"/>
        <w:rPr>
          <w:rFonts w:asciiTheme="minorHAnsi" w:hAnsiTheme="minorHAnsi"/>
          <w:szCs w:val="24"/>
        </w:rPr>
      </w:pPr>
      <w:r w:rsidRPr="00734ABE">
        <w:rPr>
          <w:rFonts w:asciiTheme="minorHAnsi" w:hAnsiTheme="minorHAnsi"/>
          <w:szCs w:val="24"/>
        </w:rPr>
        <w:t>Philosophy can</w:t>
      </w:r>
      <w:r w:rsidR="00866219" w:rsidRPr="00734ABE">
        <w:rPr>
          <w:rFonts w:asciiTheme="minorHAnsi" w:hAnsiTheme="minorHAnsi"/>
          <w:szCs w:val="24"/>
        </w:rPr>
        <w:t xml:space="preserve"> </w:t>
      </w:r>
      <w:r w:rsidRPr="00734ABE">
        <w:rPr>
          <w:rFonts w:asciiTheme="minorHAnsi" w:hAnsiTheme="minorHAnsi"/>
          <w:szCs w:val="24"/>
        </w:rPr>
        <w:t>not be learned but we learn to philosophize. We can say that philosophy is a critical reflection.</w:t>
      </w:r>
      <w:r w:rsidR="00866219" w:rsidRPr="00734ABE">
        <w:rPr>
          <w:rFonts w:asciiTheme="minorHAnsi" w:hAnsiTheme="minorHAnsi"/>
          <w:szCs w:val="24"/>
        </w:rPr>
        <w:t xml:space="preserve">  </w:t>
      </w:r>
      <w:r w:rsidRPr="00734ABE">
        <w:rPr>
          <w:rFonts w:asciiTheme="minorHAnsi" w:hAnsiTheme="minorHAnsi"/>
          <w:szCs w:val="24"/>
        </w:rPr>
        <w:t>Greek philosophy is the scientist, that is to say the one who knows things. In the days of ancient Greece, knowledge and reflection were not distinct. With modernity, philosophy separates from science to reflect on several things:</w:t>
      </w:r>
    </w:p>
    <w:p w:rsidR="006D4982" w:rsidRPr="00734ABE" w:rsidRDefault="006D4982" w:rsidP="00761FBF">
      <w:pPr>
        <w:pStyle w:val="ListParagraph"/>
        <w:numPr>
          <w:ilvl w:val="0"/>
          <w:numId w:val="10"/>
        </w:numPr>
        <w:ind w:left="284" w:hanging="284"/>
        <w:rPr>
          <w:rFonts w:asciiTheme="minorHAnsi" w:hAnsiTheme="minorHAnsi"/>
          <w:szCs w:val="24"/>
        </w:rPr>
      </w:pPr>
      <w:r w:rsidRPr="00734ABE">
        <w:rPr>
          <w:rFonts w:asciiTheme="minorHAnsi" w:hAnsiTheme="minorHAnsi"/>
          <w:szCs w:val="24"/>
        </w:rPr>
        <w:t>The foundations of knowledge,</w:t>
      </w:r>
    </w:p>
    <w:p w:rsidR="006D4982" w:rsidRPr="00734ABE" w:rsidRDefault="006D4982" w:rsidP="00761FBF">
      <w:pPr>
        <w:pStyle w:val="ListParagraph"/>
        <w:numPr>
          <w:ilvl w:val="0"/>
          <w:numId w:val="10"/>
        </w:numPr>
        <w:ind w:left="284" w:hanging="284"/>
        <w:rPr>
          <w:rFonts w:asciiTheme="minorHAnsi" w:hAnsiTheme="minorHAnsi"/>
          <w:szCs w:val="24"/>
        </w:rPr>
      </w:pPr>
      <w:r w:rsidRPr="00734ABE">
        <w:rPr>
          <w:rFonts w:asciiTheme="minorHAnsi" w:hAnsiTheme="minorHAnsi"/>
          <w:szCs w:val="24"/>
        </w:rPr>
        <w:t>Values ​​susceptible to found the company</w:t>
      </w:r>
    </w:p>
    <w:p w:rsidR="00B86C1C" w:rsidRPr="00734ABE" w:rsidRDefault="00B86C1C" w:rsidP="00B86C1C">
      <w:pPr>
        <w:ind w:firstLine="0"/>
        <w:rPr>
          <w:rFonts w:asciiTheme="minorHAnsi" w:hAnsiTheme="minorHAnsi"/>
          <w:szCs w:val="24"/>
          <w:lang w:eastAsia="en-GB"/>
        </w:rPr>
      </w:pPr>
    </w:p>
    <w:p w:rsidR="00D148E8" w:rsidRPr="00734ABE" w:rsidRDefault="006D4982" w:rsidP="005002A9">
      <w:pPr>
        <w:ind w:firstLine="0"/>
        <w:rPr>
          <w:rFonts w:asciiTheme="minorHAnsi" w:hAnsiTheme="minorHAnsi"/>
          <w:szCs w:val="24"/>
          <w:lang w:eastAsia="en-GB"/>
        </w:rPr>
      </w:pPr>
      <w:r w:rsidRPr="00734ABE">
        <w:rPr>
          <w:rFonts w:asciiTheme="minorHAnsi" w:hAnsiTheme="minorHAnsi"/>
          <w:szCs w:val="24"/>
          <w:lang w:eastAsia="en-GB"/>
        </w:rPr>
        <w:t xml:space="preserve">Philosophy refuses to take opinion into account as the foundations of communication and </w:t>
      </w:r>
      <w:r w:rsidR="003E560B" w:rsidRPr="00734ABE">
        <w:rPr>
          <w:rFonts w:asciiTheme="minorHAnsi" w:hAnsiTheme="minorHAnsi"/>
          <w:szCs w:val="24"/>
          <w:lang w:eastAsia="en-GB"/>
        </w:rPr>
        <w:t>criticises</w:t>
      </w:r>
      <w:r w:rsidRPr="00734ABE">
        <w:rPr>
          <w:rFonts w:asciiTheme="minorHAnsi" w:hAnsiTheme="minorHAnsi"/>
          <w:szCs w:val="24"/>
          <w:lang w:eastAsia="en-GB"/>
        </w:rPr>
        <w:t xml:space="preserve"> it severely. To philosophize, you have to make the effort to question once in your life everything that until </w:t>
      </w:r>
      <w:r w:rsidR="00D148E8" w:rsidRPr="00734ABE">
        <w:rPr>
          <w:rFonts w:asciiTheme="minorHAnsi" w:hAnsiTheme="minorHAnsi"/>
          <w:szCs w:val="24"/>
          <w:lang w:eastAsia="en-GB"/>
        </w:rPr>
        <w:t>then, had been held to be true.</w:t>
      </w:r>
      <w:r w:rsidR="00096EDE" w:rsidRPr="00734ABE">
        <w:rPr>
          <w:rFonts w:asciiTheme="minorHAnsi" w:hAnsiTheme="minorHAnsi"/>
          <w:szCs w:val="24"/>
          <w:lang w:eastAsia="en-GB"/>
        </w:rPr>
        <w:t xml:space="preserve">  </w:t>
      </w:r>
      <w:r w:rsidRPr="00734ABE">
        <w:rPr>
          <w:rFonts w:asciiTheme="minorHAnsi" w:hAnsiTheme="minorHAnsi"/>
          <w:szCs w:val="24"/>
          <w:lang w:eastAsia="en-GB"/>
        </w:rPr>
        <w:t xml:space="preserve">If thought is a natural activity that requires no effort, then </w:t>
      </w:r>
      <w:r w:rsidR="00096EDE" w:rsidRPr="00734ABE">
        <w:rPr>
          <w:rFonts w:asciiTheme="minorHAnsi" w:hAnsiTheme="minorHAnsi"/>
          <w:szCs w:val="24"/>
          <w:lang w:eastAsia="en-GB"/>
        </w:rPr>
        <w:t>philosophising</w:t>
      </w:r>
      <w:r w:rsidRPr="00734ABE">
        <w:rPr>
          <w:rFonts w:asciiTheme="minorHAnsi" w:hAnsiTheme="minorHAnsi"/>
          <w:szCs w:val="24"/>
          <w:lang w:eastAsia="en-GB"/>
        </w:rPr>
        <w:t xml:space="preserve"> implies the need to go beyond appearances, </w:t>
      </w:r>
      <w:r w:rsidR="00D148E8" w:rsidRPr="00734ABE">
        <w:rPr>
          <w:rFonts w:asciiTheme="minorHAnsi" w:hAnsiTheme="minorHAnsi"/>
          <w:szCs w:val="24"/>
          <w:lang w:eastAsia="en-GB"/>
        </w:rPr>
        <w:t>to desire something more solid.</w:t>
      </w:r>
      <w:r w:rsidR="005002A9" w:rsidRPr="00734ABE">
        <w:rPr>
          <w:rFonts w:asciiTheme="minorHAnsi" w:hAnsiTheme="minorHAnsi"/>
          <w:szCs w:val="24"/>
          <w:lang w:eastAsia="en-GB"/>
        </w:rPr>
        <w:t xml:space="preserve">  </w:t>
      </w:r>
      <w:r w:rsidRPr="00734ABE">
        <w:rPr>
          <w:rFonts w:asciiTheme="minorHAnsi" w:hAnsiTheme="minorHAnsi"/>
          <w:szCs w:val="24"/>
          <w:lang w:eastAsia="en-GB"/>
        </w:rPr>
        <w:t>With Nietzsche to philosophize, one must rise to a certain height, not to constant what is but to modify r</w:t>
      </w:r>
      <w:r w:rsidR="00D148E8" w:rsidRPr="00734ABE">
        <w:rPr>
          <w:rFonts w:asciiTheme="minorHAnsi" w:hAnsiTheme="minorHAnsi"/>
          <w:szCs w:val="24"/>
          <w:lang w:eastAsia="en-GB"/>
        </w:rPr>
        <w:t xml:space="preserve">eality by the power of thought. </w:t>
      </w:r>
      <w:r w:rsidRPr="00734ABE">
        <w:rPr>
          <w:rFonts w:asciiTheme="minorHAnsi" w:hAnsiTheme="minorHAnsi"/>
          <w:szCs w:val="24"/>
          <w:lang w:eastAsia="en-GB"/>
        </w:rPr>
        <w:t>Philosophy therefore leads man from ignorance to knowledge</w:t>
      </w:r>
      <w:r w:rsidR="00E50E02" w:rsidRPr="00734ABE">
        <w:rPr>
          <w:rFonts w:asciiTheme="minorHAnsi" w:hAnsiTheme="minorHAnsi"/>
          <w:szCs w:val="24"/>
          <w:lang w:eastAsia="en-GB"/>
        </w:rPr>
        <w:t xml:space="preserve"> </w:t>
      </w:r>
      <w:r w:rsidR="00E50E02" w:rsidRPr="00734ABE">
        <w:rPr>
          <w:rFonts w:asciiTheme="minorHAnsi" w:hAnsiTheme="minorHAnsi"/>
          <w:szCs w:val="24"/>
          <w:lang w:eastAsia="en-GB"/>
        </w:rPr>
        <w:fldChar w:fldCharType="begin" w:fldLock="1"/>
      </w:r>
      <w:r w:rsidR="00E50E02" w:rsidRPr="00734ABE">
        <w:rPr>
          <w:rFonts w:asciiTheme="minorHAnsi" w:hAnsiTheme="minorHAnsi"/>
          <w:szCs w:val="24"/>
          <w:lang w:eastAsia="en-GB"/>
        </w:rPr>
        <w:instrText>ADDIN CSL_CITATION {"citationItems":[{"id":"ITEM-1","itemData":{"DOI":"10.3109/0142159X.2012.655610","ISSN":"0142159X","PMID":"22289014","abstract":"Professional values and behaviours are intrinsic to all medical practice, yet remain one of the most difficult subjects to integrate explicitly into a curriculum. Professionalism for the twenty-first century raises challenges not only to adapting the course to changing societal values but also for instilling skills of ongoing self-directed continuous development in trainees for future revalidation. This Guide is based on the contemporary available literature and focuses on instilling Professionalism positively into both undergraduate and postgraduate training deliberately avoiding the more negative aspects of Fitness to Practise. The literature on Professionalism is extensive. An evidence-based approach has been taken throughout. We have selected only some of the available publications to offer practical advice. Comprehensive reviews are available elsewhere (van Mook et al. 2009ag). This Guide takes a structured stepwise approach and sequentially addresses: (i) agreeing an institutional definition, (ii) structuring the curriculum to integrate learning across all years, (iii) suggesting learning models, (iv) harnessing the impact of the formal, informal and hidden curricula and (v) assessing the learning. Finally, a few well-evaluated case studies for both teaching and assessment have been selected to illustrate our recommendations. © 2012 Informa UK Ltd All rights reserved: reproduction in whole or part not permitted.","author":[{"dropping-particle":"","family":"O'Sullivan","given":"Helen","non-dropping-particle":"","parse-names":false,"suffix":""},{"dropping-particle":"","family":"Mook","given":"Walther","non-dropping-particle":"Van","parse-names":false,"suffix":""},{"dropping-particle":"","family":"Fewtrell","given":"Ray","non-dropping-particle":"","parse-names":false,"suffix":""},{"dropping-particle":"","family":"Wass","given":"Val","non-dropping-particle":"","parse-names":false,"suffix":""}],"container-title":"Medical Teacher","id":"ITEM-1","issued":{"date-parts":[["2012"]]},"title":"Integrating professionalism into the curriculum: AMEE Guide No. 61","type":"article-journal"},"uris":["http://www.mendeley.com/documents/?uuid=9de839ad-835b-4209-859d-4e495e5b86b4","http://www.mendeley.com/documents/?uuid=3b9f55ae-9191-4c76-b8b5-cee8733c260e"]}],"mendeley":{"formattedCitation":"(O’Sullivan &lt;i&gt;et al.&lt;/i&gt;, 2012a)","plainTextFormattedCitation":"(O’Sullivan et al., 2012a)","previouslyFormattedCitation":"(O’Sullivan &lt;i&gt;et al.&lt;/i&gt;, 2012a)"},"properties":{"noteIndex":0},"schema":"https://github.com/citation-style-language/schema/raw/master/csl-citation.json"}</w:instrText>
      </w:r>
      <w:r w:rsidR="00E50E02" w:rsidRPr="00734ABE">
        <w:rPr>
          <w:rFonts w:asciiTheme="minorHAnsi" w:hAnsiTheme="minorHAnsi"/>
          <w:szCs w:val="24"/>
          <w:lang w:eastAsia="en-GB"/>
        </w:rPr>
        <w:fldChar w:fldCharType="separate"/>
      </w:r>
      <w:r w:rsidR="00E50E02" w:rsidRPr="00734ABE">
        <w:rPr>
          <w:rFonts w:asciiTheme="minorHAnsi" w:hAnsiTheme="minorHAnsi"/>
          <w:noProof/>
          <w:szCs w:val="24"/>
          <w:lang w:eastAsia="en-GB"/>
        </w:rPr>
        <w:t xml:space="preserve">O’Sullivan et al, </w:t>
      </w:r>
      <w:r w:rsidR="005002A9" w:rsidRPr="00734ABE">
        <w:rPr>
          <w:rFonts w:asciiTheme="minorHAnsi" w:hAnsiTheme="minorHAnsi"/>
          <w:noProof/>
          <w:szCs w:val="24"/>
          <w:lang w:eastAsia="en-GB"/>
        </w:rPr>
        <w:t>(</w:t>
      </w:r>
      <w:r w:rsidR="00E50E02" w:rsidRPr="00734ABE">
        <w:rPr>
          <w:rFonts w:asciiTheme="minorHAnsi" w:hAnsiTheme="minorHAnsi"/>
          <w:noProof/>
          <w:szCs w:val="24"/>
          <w:lang w:eastAsia="en-GB"/>
        </w:rPr>
        <w:t>2012a)</w:t>
      </w:r>
      <w:r w:rsidR="00E50E02" w:rsidRPr="00734ABE">
        <w:rPr>
          <w:rFonts w:asciiTheme="minorHAnsi" w:hAnsiTheme="minorHAnsi"/>
          <w:szCs w:val="24"/>
          <w:lang w:eastAsia="en-GB"/>
        </w:rPr>
        <w:fldChar w:fldCharType="end"/>
      </w:r>
      <w:r w:rsidRPr="00734ABE">
        <w:rPr>
          <w:rFonts w:asciiTheme="minorHAnsi" w:hAnsiTheme="minorHAnsi"/>
          <w:szCs w:val="24"/>
          <w:lang w:eastAsia="en-GB"/>
        </w:rPr>
        <w:t>.</w:t>
      </w:r>
    </w:p>
    <w:p w:rsidR="00D148E8" w:rsidRPr="00734ABE" w:rsidRDefault="00D148E8" w:rsidP="00D148E8">
      <w:pPr>
        <w:rPr>
          <w:rFonts w:asciiTheme="minorHAnsi" w:hAnsiTheme="minorHAnsi"/>
          <w:szCs w:val="24"/>
          <w:lang w:eastAsia="en-GB"/>
        </w:rPr>
      </w:pPr>
    </w:p>
    <w:p w:rsidR="006D4982" w:rsidRPr="00734ABE" w:rsidRDefault="006D4982" w:rsidP="00E96230">
      <w:pPr>
        <w:ind w:firstLine="0"/>
        <w:rPr>
          <w:rFonts w:asciiTheme="minorHAnsi" w:hAnsiTheme="minorHAnsi"/>
          <w:szCs w:val="24"/>
          <w:lang w:eastAsia="en-GB"/>
        </w:rPr>
      </w:pPr>
      <w:r w:rsidRPr="00734ABE">
        <w:rPr>
          <w:rFonts w:asciiTheme="minorHAnsi" w:hAnsiTheme="minorHAnsi"/>
          <w:szCs w:val="24"/>
          <w:lang w:eastAsia="en-GB"/>
        </w:rPr>
        <w:t>Astonishment is the condition for the possibility of philosophical reflec</w:t>
      </w:r>
      <w:r w:rsidR="00D148E8" w:rsidRPr="00734ABE">
        <w:rPr>
          <w:rFonts w:asciiTheme="minorHAnsi" w:hAnsiTheme="minorHAnsi"/>
          <w:szCs w:val="24"/>
          <w:lang w:eastAsia="en-GB"/>
        </w:rPr>
        <w:t>tion, but it is not philosophy.</w:t>
      </w:r>
      <w:r w:rsidR="00E96230" w:rsidRPr="00734ABE">
        <w:rPr>
          <w:rFonts w:asciiTheme="minorHAnsi" w:hAnsiTheme="minorHAnsi"/>
          <w:szCs w:val="24"/>
          <w:lang w:eastAsia="en-GB"/>
        </w:rPr>
        <w:t xml:space="preserve">  </w:t>
      </w:r>
      <w:r w:rsidRPr="00734ABE">
        <w:rPr>
          <w:rFonts w:asciiTheme="minorHAnsi" w:hAnsiTheme="minorHAnsi"/>
          <w:szCs w:val="24"/>
          <w:lang w:eastAsia="en-GB"/>
        </w:rPr>
        <w:t>As astonishment reveals a not knowing then it is necessary to go beyond it to produce a philosophical discourse (giving the answer</w:t>
      </w:r>
      <w:r w:rsidR="00D148E8" w:rsidRPr="00734ABE">
        <w:rPr>
          <w:rFonts w:asciiTheme="minorHAnsi" w:hAnsiTheme="minorHAnsi"/>
          <w:szCs w:val="24"/>
          <w:lang w:eastAsia="en-GB"/>
        </w:rPr>
        <w:t>s, asking the right questions).</w:t>
      </w:r>
    </w:p>
    <w:p w:rsidR="00D148E8" w:rsidRPr="00734ABE" w:rsidRDefault="00D148E8" w:rsidP="00D148E8">
      <w:pPr>
        <w:rPr>
          <w:rFonts w:asciiTheme="minorHAnsi" w:hAnsiTheme="minorHAnsi"/>
          <w:szCs w:val="24"/>
          <w:lang w:eastAsia="en-GB"/>
        </w:rPr>
      </w:pPr>
    </w:p>
    <w:p w:rsidR="006D4982" w:rsidRPr="00734ABE" w:rsidRDefault="006D4982" w:rsidP="00D148E8">
      <w:pPr>
        <w:pStyle w:val="Heading2"/>
        <w:rPr>
          <w:rFonts w:asciiTheme="minorHAnsi" w:hAnsiTheme="minorHAnsi"/>
          <w:bCs w:val="0"/>
          <w:i w:val="0"/>
          <w:szCs w:val="24"/>
        </w:rPr>
      </w:pPr>
      <w:bookmarkStart w:id="0" w:name="_Toc57665862"/>
      <w:r w:rsidRPr="00734ABE">
        <w:rPr>
          <w:rFonts w:asciiTheme="minorHAnsi" w:hAnsiTheme="minorHAnsi"/>
          <w:bCs w:val="0"/>
          <w:i w:val="0"/>
          <w:szCs w:val="24"/>
        </w:rPr>
        <w:t>The method</w:t>
      </w:r>
      <w:bookmarkEnd w:id="0"/>
    </w:p>
    <w:p w:rsidR="006D4982" w:rsidRPr="00734ABE" w:rsidRDefault="006D4982" w:rsidP="00D148E8">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t>A ge</w:t>
      </w:r>
      <w:r w:rsidR="00D148E8" w:rsidRPr="00734ABE">
        <w:rPr>
          <w:rFonts w:asciiTheme="minorHAnsi" w:hAnsiTheme="minorHAnsi"/>
          <w:szCs w:val="24"/>
          <w:lang w:eastAsia="en-GB"/>
        </w:rPr>
        <w:t xml:space="preserve">neral meaning: to </w:t>
      </w:r>
      <w:r w:rsidR="00E96230" w:rsidRPr="00734ABE">
        <w:rPr>
          <w:rFonts w:asciiTheme="minorHAnsi" w:hAnsiTheme="minorHAnsi"/>
          <w:szCs w:val="24"/>
          <w:lang w:eastAsia="en-GB"/>
        </w:rPr>
        <w:t>conceptualise</w:t>
      </w:r>
    </w:p>
    <w:p w:rsidR="00E96230" w:rsidRPr="00734ABE" w:rsidRDefault="006D4982" w:rsidP="00E96230">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t>Meaning which encompasses and exc</w:t>
      </w:r>
      <w:r w:rsidR="00D148E8" w:rsidRPr="00734ABE">
        <w:rPr>
          <w:rFonts w:asciiTheme="minorHAnsi" w:hAnsiTheme="minorHAnsi"/>
          <w:szCs w:val="24"/>
          <w:lang w:eastAsia="en-GB"/>
        </w:rPr>
        <w:t>eeds all particular cases.</w:t>
      </w:r>
    </w:p>
    <w:p w:rsidR="006D4982" w:rsidRDefault="006D4982" w:rsidP="00E96230">
      <w:pPr>
        <w:pStyle w:val="ListParagraph"/>
        <w:numPr>
          <w:ilvl w:val="0"/>
          <w:numId w:val="8"/>
        </w:numPr>
        <w:ind w:left="284" w:hanging="284"/>
        <w:rPr>
          <w:rFonts w:asciiTheme="minorHAnsi" w:hAnsiTheme="minorHAnsi"/>
          <w:szCs w:val="24"/>
          <w:lang w:eastAsia="en-GB"/>
        </w:rPr>
      </w:pPr>
      <w:r w:rsidRPr="00734ABE">
        <w:rPr>
          <w:rFonts w:asciiTheme="minorHAnsi" w:hAnsiTheme="minorHAnsi"/>
          <w:szCs w:val="24"/>
          <w:lang w:eastAsia="en-GB"/>
        </w:rPr>
        <w:lastRenderedPageBreak/>
        <w:t>Philosophy is opposed to doxa (= opinion) because the latter is an affirmation because it has not been subjected to a critical examination. It is received for truth without the mind</w:t>
      </w:r>
      <w:r w:rsidRPr="00734ABE">
        <w:rPr>
          <w:rFonts w:asciiTheme="minorHAnsi" w:hAnsiTheme="minorHAnsi"/>
          <w:szCs w:val="24"/>
          <w:lang w:eastAsia="en-GB"/>
        </w:rPr>
        <w:br/>
        <w:t>being conce</w:t>
      </w:r>
      <w:r w:rsidR="00D148E8" w:rsidRPr="00734ABE">
        <w:rPr>
          <w:rFonts w:asciiTheme="minorHAnsi" w:hAnsiTheme="minorHAnsi"/>
          <w:szCs w:val="24"/>
          <w:lang w:eastAsia="en-GB"/>
        </w:rPr>
        <w:t>rned with its truth or falsity.</w:t>
      </w:r>
    </w:p>
    <w:p w:rsidR="00F461CF" w:rsidRPr="00734ABE" w:rsidRDefault="00F461CF" w:rsidP="00F461CF">
      <w:pPr>
        <w:pStyle w:val="ListParagraph"/>
        <w:ind w:left="284" w:firstLine="0"/>
        <w:rPr>
          <w:rFonts w:asciiTheme="minorHAnsi" w:hAnsiTheme="minorHAnsi"/>
          <w:szCs w:val="24"/>
          <w:lang w:eastAsia="en-GB"/>
        </w:rPr>
      </w:pPr>
    </w:p>
    <w:p w:rsidR="00397B41" w:rsidRPr="00734ABE" w:rsidRDefault="006D4982" w:rsidP="00B81FAB">
      <w:pPr>
        <w:ind w:firstLine="0"/>
        <w:rPr>
          <w:rFonts w:asciiTheme="minorHAnsi" w:hAnsiTheme="minorHAnsi"/>
          <w:szCs w:val="24"/>
        </w:rPr>
      </w:pPr>
      <w:r w:rsidRPr="00734ABE">
        <w:rPr>
          <w:rFonts w:asciiTheme="minorHAnsi" w:hAnsiTheme="minorHAnsi"/>
          <w:szCs w:val="24"/>
          <w:lang w:eastAsia="en-GB"/>
        </w:rPr>
        <w:t xml:space="preserve">It is therefore not a question of adhering to what one believes in philosophy but of </w:t>
      </w:r>
      <w:r w:rsidR="00E744C7" w:rsidRPr="00734ABE">
        <w:rPr>
          <w:rFonts w:asciiTheme="minorHAnsi" w:hAnsiTheme="minorHAnsi"/>
          <w:szCs w:val="24"/>
          <w:lang w:eastAsia="en-GB"/>
        </w:rPr>
        <w:t>criticising</w:t>
      </w:r>
      <w:r w:rsidRPr="00734ABE">
        <w:rPr>
          <w:rFonts w:asciiTheme="minorHAnsi" w:hAnsiTheme="minorHAnsi"/>
          <w:szCs w:val="24"/>
          <w:lang w:eastAsia="en-GB"/>
        </w:rPr>
        <w:t>, that is to say, of examining the validity of the discourse. We systematically ask ourselves if we have the right to think what we think. The goal is to arrive at a perfect knowledge or to produce a discourse which</w:t>
      </w:r>
      <w:r w:rsidR="00D148E8" w:rsidRPr="00734ABE">
        <w:rPr>
          <w:rFonts w:asciiTheme="minorHAnsi" w:hAnsiTheme="minorHAnsi"/>
          <w:szCs w:val="24"/>
          <w:lang w:eastAsia="en-GB"/>
        </w:rPr>
        <w:t xml:space="preserve"> engages an ordered reflection.</w:t>
      </w:r>
      <w:r w:rsidR="007053C2" w:rsidRPr="00734ABE">
        <w:rPr>
          <w:rFonts w:asciiTheme="minorHAnsi" w:hAnsiTheme="minorHAnsi"/>
          <w:szCs w:val="24"/>
          <w:lang w:eastAsia="en-GB"/>
        </w:rPr>
        <w:t xml:space="preserve">  </w:t>
      </w:r>
      <w:r w:rsidRPr="00734ABE">
        <w:rPr>
          <w:rFonts w:asciiTheme="minorHAnsi" w:hAnsiTheme="minorHAnsi"/>
          <w:szCs w:val="24"/>
          <w:lang w:eastAsia="en-GB"/>
        </w:rPr>
        <w:t xml:space="preserve">Philosophy is more a movement of the mind more than an outcome. It is not a completed, universal, systematic knowledge. It is an effort to grasp the true, the beautiful, </w:t>
      </w:r>
      <w:r w:rsidR="00D148E8" w:rsidRPr="00734ABE">
        <w:rPr>
          <w:rFonts w:asciiTheme="minorHAnsi" w:hAnsiTheme="minorHAnsi"/>
          <w:szCs w:val="24"/>
          <w:lang w:eastAsia="en-GB"/>
        </w:rPr>
        <w:t>and the</w:t>
      </w:r>
      <w:r w:rsidRPr="00734ABE">
        <w:rPr>
          <w:rFonts w:asciiTheme="minorHAnsi" w:hAnsiTheme="minorHAnsi"/>
          <w:szCs w:val="24"/>
          <w:lang w:eastAsia="en-GB"/>
        </w:rPr>
        <w:t xml:space="preserve"> good through everyday life</w:t>
      </w:r>
      <w:r w:rsidR="00B81FAB" w:rsidRPr="00734ABE">
        <w:rPr>
          <w:rFonts w:asciiTheme="minorHAnsi" w:hAnsiTheme="minorHAnsi"/>
          <w:szCs w:val="24"/>
          <w:lang w:eastAsia="en-GB"/>
        </w:rPr>
        <w:t xml:space="preserve">.  </w:t>
      </w:r>
    </w:p>
    <w:p w:rsidR="00B81FAB" w:rsidRPr="00734ABE" w:rsidRDefault="00B81FAB" w:rsidP="00B81FAB">
      <w:pPr>
        <w:ind w:firstLine="0"/>
        <w:rPr>
          <w:rFonts w:asciiTheme="minorHAnsi" w:hAnsiTheme="minorHAnsi"/>
          <w:szCs w:val="24"/>
        </w:rPr>
      </w:pPr>
    </w:p>
    <w:p w:rsidR="00397B41" w:rsidRPr="00734ABE" w:rsidRDefault="00397B41" w:rsidP="00B81FAB">
      <w:pPr>
        <w:ind w:firstLine="0"/>
        <w:rPr>
          <w:rFonts w:asciiTheme="minorHAnsi" w:hAnsiTheme="minorHAnsi"/>
          <w:szCs w:val="24"/>
        </w:rPr>
      </w:pPr>
      <w:r w:rsidRPr="00734ABE">
        <w:rPr>
          <w:rFonts w:asciiTheme="minorHAnsi" w:hAnsiTheme="minorHAnsi"/>
          <w:szCs w:val="24"/>
        </w:rPr>
        <w:t xml:space="preserve">It is increasingly </w:t>
      </w:r>
      <w:r w:rsidR="00AC3C1F" w:rsidRPr="00734ABE">
        <w:rPr>
          <w:rFonts w:asciiTheme="minorHAnsi" w:hAnsiTheme="minorHAnsi"/>
          <w:szCs w:val="24"/>
        </w:rPr>
        <w:t>recognised</w:t>
      </w:r>
      <w:r w:rsidRPr="00734ABE">
        <w:rPr>
          <w:rFonts w:asciiTheme="minorHAnsi" w:hAnsiTheme="minorHAnsi"/>
          <w:szCs w:val="24"/>
        </w:rPr>
        <w:t xml:space="preserve"> that a process of interpretation based on the understanding of individual actions is an essential phase of any sociological analysis. It is indeed important to anchor the sociological explanation or diagnosis in </w:t>
      </w:r>
      <w:r w:rsidR="00054FA5" w:rsidRPr="00734ABE">
        <w:rPr>
          <w:rFonts w:asciiTheme="minorHAnsi" w:hAnsiTheme="minorHAnsi"/>
          <w:szCs w:val="24"/>
        </w:rPr>
        <w:t>reasonable</w:t>
      </w:r>
      <w:r w:rsidRPr="00734ABE">
        <w:rPr>
          <w:rFonts w:asciiTheme="minorHAnsi" w:hAnsiTheme="minorHAnsi"/>
          <w:szCs w:val="24"/>
        </w:rPr>
        <w:t xml:space="preserve"> behavioural sequences. </w:t>
      </w:r>
      <w:r w:rsidR="00C142A5" w:rsidRPr="00734ABE">
        <w:rPr>
          <w:rFonts w:asciiTheme="minorHAnsi" w:hAnsiTheme="minorHAnsi"/>
          <w:szCs w:val="24"/>
        </w:rPr>
        <w:t xml:space="preserve"> </w:t>
      </w:r>
      <w:r w:rsidRPr="00734ABE">
        <w:rPr>
          <w:rFonts w:asciiTheme="minorHAnsi" w:hAnsiTheme="minorHAnsi"/>
          <w:szCs w:val="24"/>
        </w:rPr>
        <w:t>In this sense, as Dominique Schnapper notes, sociological understanding replaces the confusion of reality "by an intelligible, coherent a</w:t>
      </w:r>
      <w:r w:rsidR="00BA61B1" w:rsidRPr="00734ABE">
        <w:rPr>
          <w:rFonts w:asciiTheme="minorHAnsi" w:hAnsiTheme="minorHAnsi"/>
          <w:szCs w:val="24"/>
        </w:rPr>
        <w:t>nd rational whole"</w:t>
      </w:r>
      <w:r w:rsidRPr="00734ABE">
        <w:rPr>
          <w:rFonts w:asciiTheme="minorHAnsi" w:hAnsiTheme="minorHAnsi"/>
          <w:szCs w:val="24"/>
        </w:rPr>
        <w:t xml:space="preserve">. The </w:t>
      </w:r>
      <w:r w:rsidR="00E05FC2" w:rsidRPr="00734ABE">
        <w:rPr>
          <w:rFonts w:asciiTheme="minorHAnsi" w:hAnsiTheme="minorHAnsi"/>
          <w:szCs w:val="24"/>
        </w:rPr>
        <w:t>quality</w:t>
      </w:r>
      <w:r w:rsidRPr="00734ABE">
        <w:rPr>
          <w:rFonts w:asciiTheme="minorHAnsi" w:hAnsiTheme="minorHAnsi"/>
          <w:szCs w:val="24"/>
        </w:rPr>
        <w:t xml:space="preserve"> of a </w:t>
      </w:r>
      <w:r w:rsidR="00BA61B1" w:rsidRPr="00734ABE">
        <w:rPr>
          <w:rFonts w:asciiTheme="minorHAnsi" w:hAnsiTheme="minorHAnsi"/>
          <w:szCs w:val="24"/>
        </w:rPr>
        <w:t>behavioural</w:t>
      </w:r>
      <w:r w:rsidRPr="00734ABE">
        <w:rPr>
          <w:rFonts w:asciiTheme="minorHAnsi" w:hAnsiTheme="minorHAnsi"/>
          <w:szCs w:val="24"/>
        </w:rPr>
        <w:t xml:space="preserve"> sequence imposes itself with the force of the evidence when the logic of the actor becomes accessible to the researcher, not that this one necessarily admits the merits of the adopted </w:t>
      </w:r>
      <w:r w:rsidR="00BA61B1" w:rsidRPr="00734ABE">
        <w:rPr>
          <w:rFonts w:asciiTheme="minorHAnsi" w:hAnsiTheme="minorHAnsi"/>
          <w:szCs w:val="24"/>
        </w:rPr>
        <w:t>behaviour</w:t>
      </w:r>
      <w:r w:rsidRPr="00734ABE">
        <w:rPr>
          <w:rFonts w:asciiTheme="minorHAnsi" w:hAnsiTheme="minorHAnsi"/>
          <w:szCs w:val="24"/>
        </w:rPr>
        <w:t xml:space="preserve"> or that he accepts it. </w:t>
      </w:r>
      <w:r w:rsidR="00BA61B1" w:rsidRPr="00734ABE">
        <w:rPr>
          <w:rFonts w:asciiTheme="minorHAnsi" w:hAnsiTheme="minorHAnsi"/>
          <w:szCs w:val="24"/>
        </w:rPr>
        <w:t>The</w:t>
      </w:r>
      <w:r w:rsidRPr="00734ABE">
        <w:rPr>
          <w:rFonts w:asciiTheme="minorHAnsi" w:hAnsiTheme="minorHAnsi"/>
          <w:szCs w:val="24"/>
        </w:rPr>
        <w:t xml:space="preserve"> justifications but that he can at least imagine how they unfold without feeling a feeling of inconsistency or </w:t>
      </w:r>
      <w:r w:rsidR="0002247F" w:rsidRPr="00734ABE">
        <w:rPr>
          <w:rFonts w:asciiTheme="minorHAnsi" w:hAnsiTheme="minorHAnsi"/>
          <w:szCs w:val="24"/>
        </w:rPr>
        <w:t>unreasonable</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{"citationItems":[{"id":"ITEM-1","itemData":{"DOI":"10.1080/09585176.2011.627213","ISSN":"09585176","abstract":"This article extends currently reported theory and practice in the use of learning goals or targets with students in secondary and further education. Goal-setting and action-planning constructs are employed in personal development plans (PDPs) and personal learning plans (PLPs) and are advocated as practice within the English national policy agenda with its focus on personalisation. The article argues that frameworks widely used for goal setting and action planning by UK educational practitioners, in particular SMART targets or goals, have yet to be rigorously examined in the light of relevant theory and practice. Doing so is important given contemporary emphasis on the dimensions of the learner experience regarded by 'learning to learn' practitioners as underpinning effective learning in the modern classroom. The article draws from social cognitive theory and achievement goal theory, including Zimmerman's criteria for appropriate goals, to suggest an alternative framework for goal or target setting - 'well-formed outcomes', a construct from the field of neuro-linguistic programming (NLP). In comparison with SMART targets, the authors argue that well-formed outcomes offer a more rigorous and holistic approach, by taking greater account of the learner's identity, affective dimensions (feelings and emotions), social relations and values, as well as encouraging mental rehearsal. © 2011 Copyright Taylor and Francis Group, LLC.","author":[{"dropping-particle":"","family":"Day","given":"Trevor","non-dropping-particle":"","parse-names":false,"suffix":""},{"dropping-particle":"","family":"Tosey","given":"Paul","non-dropping-particle":"","parse-names":false,"suffix":""}],"container-title":"Curriculum Journal","id":"ITEM-1","issued":{"date-parts":[["2011"]]},"title":"Beyond SMART? A new framework for goal setting","type":"article-journal"},"uris":["http://www.mendeley.com/documents/?uuid=433c1b4f-b34c-47f6-9318-614619045661","http://www.mendeley.com/documents/?uuid=c326fa73-0a9d-443c-80ac-8c7bc90b9a20"]}],"mendeley":{"formattedCitation":"(Day and Tosey, 2011)","plainTextFormattedCitation":"(Day and Tosey, 2011)","previouslyFormattedCitation":"(Day and Tosey,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(Day and Tosey, 2011)</w:t>
      </w:r>
      <w:r w:rsidR="00E50E02" w:rsidRPr="00734ABE">
        <w:rPr>
          <w:rFonts w:asciiTheme="minorHAnsi" w:hAnsiTheme="minorHAnsi"/>
          <w:szCs w:val="24"/>
        </w:rPr>
        <w:fldChar w:fldCharType="end"/>
      </w:r>
      <w:r w:rsidRPr="00734ABE">
        <w:rPr>
          <w:rFonts w:asciiTheme="minorHAnsi" w:hAnsiTheme="minorHAnsi"/>
          <w:szCs w:val="24"/>
        </w:rPr>
        <w:t>.</w:t>
      </w:r>
    </w:p>
    <w:p w:rsidR="00397B41" w:rsidRPr="00734ABE" w:rsidRDefault="00397B41" w:rsidP="00397B41">
      <w:pPr>
        <w:ind w:firstLine="0"/>
        <w:rPr>
          <w:rFonts w:asciiTheme="minorHAnsi" w:hAnsiTheme="minorHAnsi"/>
          <w:szCs w:val="24"/>
        </w:rPr>
      </w:pPr>
    </w:p>
    <w:p w:rsidR="00F028CB" w:rsidRPr="00734ABE" w:rsidRDefault="00397B41" w:rsidP="00AE6763">
      <w:pPr>
        <w:ind w:firstLine="0"/>
        <w:rPr>
          <w:rFonts w:asciiTheme="minorHAnsi" w:hAnsiTheme="minorHAnsi"/>
          <w:szCs w:val="24"/>
        </w:rPr>
      </w:pPr>
      <w:r w:rsidRPr="00734ABE">
        <w:rPr>
          <w:rFonts w:asciiTheme="minorHAnsi" w:hAnsiTheme="minorHAnsi"/>
          <w:szCs w:val="24"/>
        </w:rPr>
        <w:t xml:space="preserve">The operation of reconstruction of meaning which we call "comprehension" presupposes that an attitude of </w:t>
      </w:r>
      <w:r w:rsidR="0007076E" w:rsidRPr="00734ABE">
        <w:rPr>
          <w:rFonts w:asciiTheme="minorHAnsi" w:hAnsiTheme="minorHAnsi"/>
          <w:szCs w:val="24"/>
        </w:rPr>
        <w:t>displacement</w:t>
      </w:r>
      <w:r w:rsidRPr="00734ABE">
        <w:rPr>
          <w:rFonts w:asciiTheme="minorHAnsi" w:hAnsiTheme="minorHAnsi"/>
          <w:szCs w:val="24"/>
        </w:rPr>
        <w:t xml:space="preserve"> combined with an adequate search for relevant information must allow the sociologist to overcome social or cultural distance, or even historical distance, in order to find his place. </w:t>
      </w:r>
      <w:r w:rsidR="00BA61B1" w:rsidRPr="00734ABE">
        <w:rPr>
          <w:rFonts w:asciiTheme="minorHAnsi" w:hAnsiTheme="minorHAnsi"/>
          <w:szCs w:val="24"/>
        </w:rPr>
        <w:t>Mentally</w:t>
      </w:r>
      <w:r w:rsidRPr="00734ABE">
        <w:rPr>
          <w:rFonts w:asciiTheme="minorHAnsi" w:hAnsiTheme="minorHAnsi"/>
          <w:szCs w:val="24"/>
        </w:rPr>
        <w:t xml:space="preserve"> in a logic of action and in a situational context sometimes very far from what it may be a </w:t>
      </w:r>
      <w:r w:rsidR="00BA61B1" w:rsidRPr="00734ABE">
        <w:rPr>
          <w:rFonts w:asciiTheme="minorHAnsi" w:hAnsiTheme="minorHAnsi"/>
          <w:szCs w:val="24"/>
        </w:rPr>
        <w:t>prior tempted</w:t>
      </w:r>
      <w:r w:rsidRPr="00734ABE">
        <w:rPr>
          <w:rFonts w:asciiTheme="minorHAnsi" w:hAnsiTheme="minorHAnsi"/>
          <w:szCs w:val="24"/>
        </w:rPr>
        <w:t xml:space="preserve"> to take it implicitly for granted. This implies a bet on the existence of fundamental mechanisms of life in society and of invariants of human </w:t>
      </w:r>
      <w:r w:rsidR="00BA61B1" w:rsidRPr="00734ABE">
        <w:rPr>
          <w:rFonts w:asciiTheme="minorHAnsi" w:hAnsiTheme="minorHAnsi"/>
          <w:szCs w:val="24"/>
        </w:rPr>
        <w:t>behaviour</w:t>
      </w:r>
      <w:r w:rsidRPr="00734ABE">
        <w:rPr>
          <w:rFonts w:asciiTheme="minorHAnsi" w:hAnsiTheme="minorHAnsi"/>
          <w:szCs w:val="24"/>
        </w:rPr>
        <w:t xml:space="preserve"> allowing the researcher to understand the motives of the actor by projecting reasons for acting which transcend eras and cultures. </w:t>
      </w:r>
      <w:r w:rsidR="000951BA" w:rsidRPr="00734ABE">
        <w:rPr>
          <w:rFonts w:asciiTheme="minorHAnsi" w:hAnsiTheme="minorHAnsi"/>
          <w:szCs w:val="24"/>
        </w:rPr>
        <w:t xml:space="preserve"> </w:t>
      </w:r>
      <w:r w:rsidRPr="00734ABE">
        <w:rPr>
          <w:rFonts w:asciiTheme="minorHAnsi" w:hAnsiTheme="minorHAnsi"/>
          <w:szCs w:val="24"/>
        </w:rPr>
        <w:t xml:space="preserve">This bet in fact concerns the conditions for implementing the </w:t>
      </w:r>
      <w:r w:rsidR="000951BA" w:rsidRPr="00734ABE">
        <w:rPr>
          <w:rFonts w:asciiTheme="minorHAnsi" w:hAnsiTheme="minorHAnsi"/>
          <w:szCs w:val="24"/>
        </w:rPr>
        <w:t>generalising</w:t>
      </w:r>
      <w:r w:rsidRPr="00734ABE">
        <w:rPr>
          <w:rFonts w:asciiTheme="minorHAnsi" w:hAnsiTheme="minorHAnsi"/>
          <w:szCs w:val="24"/>
        </w:rPr>
        <w:t xml:space="preserve"> intention of sociology. In this way, he calls into question the very existence of sociology as a scientific project. The insistence on the need for a phase of comprehension should not therefore lead to an unstable practice of sociological research, leading to </w:t>
      </w:r>
      <w:r w:rsidR="00BA61B1" w:rsidRPr="00734ABE">
        <w:rPr>
          <w:rFonts w:asciiTheme="minorHAnsi" w:hAnsiTheme="minorHAnsi"/>
          <w:szCs w:val="24"/>
        </w:rPr>
        <w:t>essayist</w:t>
      </w:r>
      <w:r w:rsidRPr="00734ABE">
        <w:rPr>
          <w:rFonts w:asciiTheme="minorHAnsi" w:hAnsiTheme="minorHAnsi"/>
          <w:szCs w:val="24"/>
        </w:rPr>
        <w:t xml:space="preserve">; on the contrary, it is closely linked to </w:t>
      </w:r>
      <w:r w:rsidR="00BA61B1" w:rsidRPr="00734ABE">
        <w:rPr>
          <w:rFonts w:asciiTheme="minorHAnsi" w:hAnsiTheme="minorHAnsi"/>
          <w:szCs w:val="24"/>
        </w:rPr>
        <w:t>a</w:t>
      </w:r>
      <w:r w:rsidRPr="00734ABE">
        <w:rPr>
          <w:rFonts w:asciiTheme="minorHAnsi" w:hAnsiTheme="minorHAnsi"/>
          <w:szCs w:val="24"/>
        </w:rPr>
        <w:t xml:space="preserve"> “scientific intention” which is not satisfied with relations between variables that cannot be the subject of an attribution of meaning. Research programs which naively seek to avoid the stage of understanding by non-selective linking of variables generally do not give conclusive results and sometimes confuse researchers. The computer tools that we currently have make it very easy to cross "everything with everything" but there is no surer way to make yourself look ridiculous.</w:t>
      </w:r>
      <w:r w:rsidR="000B10C7" w:rsidRPr="00734ABE">
        <w:rPr>
          <w:rFonts w:asciiTheme="minorHAnsi" w:hAnsiTheme="minorHAnsi"/>
          <w:szCs w:val="24"/>
        </w:rPr>
        <w:t xml:space="preserve"> </w:t>
      </w:r>
      <w:r w:rsidRPr="00734ABE">
        <w:rPr>
          <w:rFonts w:asciiTheme="minorHAnsi" w:hAnsiTheme="minorHAnsi"/>
          <w:szCs w:val="24"/>
        </w:rPr>
        <w:t xml:space="preserve">If the mental operation of understanding through the effort of identification with others appears to be a necessary part of any research, we must nevertheless </w:t>
      </w:r>
      <w:r w:rsidR="000B10C7" w:rsidRPr="00734ABE">
        <w:rPr>
          <w:rFonts w:asciiTheme="minorHAnsi" w:hAnsiTheme="minorHAnsi"/>
          <w:szCs w:val="24"/>
        </w:rPr>
        <w:t>recognise</w:t>
      </w:r>
      <w:r w:rsidRPr="00734ABE">
        <w:rPr>
          <w:rFonts w:asciiTheme="minorHAnsi" w:hAnsiTheme="minorHAnsi"/>
          <w:szCs w:val="24"/>
        </w:rPr>
        <w:t xml:space="preserve"> that it remains one of the weak</w:t>
      </w:r>
      <w:r w:rsidR="00135D9D" w:rsidRPr="00734ABE">
        <w:rPr>
          <w:rFonts w:asciiTheme="minorHAnsi" w:hAnsiTheme="minorHAnsi"/>
          <w:szCs w:val="24"/>
        </w:rPr>
        <w:t xml:space="preserve"> links in sociological analysis.</w:t>
      </w:r>
      <w:r w:rsidRPr="00734ABE">
        <w:rPr>
          <w:rFonts w:asciiTheme="minorHAnsi" w:hAnsiTheme="minorHAnsi"/>
          <w:szCs w:val="24"/>
        </w:rPr>
        <w:t xml:space="preserve"> It relies at least in part on the application of a </w:t>
      </w:r>
      <w:r w:rsidR="000B10C7" w:rsidRPr="00734ABE">
        <w:rPr>
          <w:rFonts w:asciiTheme="minorHAnsi" w:hAnsiTheme="minorHAnsi"/>
          <w:szCs w:val="24"/>
        </w:rPr>
        <w:t>generalisation</w:t>
      </w:r>
      <w:r w:rsidRPr="00734ABE">
        <w:rPr>
          <w:rFonts w:asciiTheme="minorHAnsi" w:hAnsiTheme="minorHAnsi"/>
          <w:szCs w:val="24"/>
        </w:rPr>
        <w:t xml:space="preserve"> based on our own experience or on our personal sense of the obvious</w:t>
      </w:r>
      <w:r w:rsidR="000B10C7" w:rsidRPr="00734ABE">
        <w:rPr>
          <w:rFonts w:asciiTheme="minorHAnsi" w:hAnsiTheme="minorHAnsi"/>
          <w:szCs w:val="24"/>
        </w:rPr>
        <w:t xml:space="preserve">, </w:t>
      </w:r>
      <w:r w:rsidRPr="00734ABE">
        <w:rPr>
          <w:rFonts w:asciiTheme="minorHAnsi" w:hAnsiTheme="minorHAnsi"/>
          <w:szCs w:val="24"/>
        </w:rPr>
        <w:t xml:space="preserve">Abel, </w:t>
      </w:r>
      <w:r w:rsidR="000B10C7" w:rsidRPr="00734ABE">
        <w:rPr>
          <w:rFonts w:asciiTheme="minorHAnsi" w:hAnsiTheme="minorHAnsi"/>
          <w:szCs w:val="24"/>
        </w:rPr>
        <w:t>(</w:t>
      </w:r>
      <w:r w:rsidRPr="00734ABE">
        <w:rPr>
          <w:rFonts w:asciiTheme="minorHAnsi" w:hAnsiTheme="minorHAnsi"/>
          <w:szCs w:val="24"/>
        </w:rPr>
        <w:t>1948</w:t>
      </w:r>
      <w:r w:rsidR="000B10C7" w:rsidRPr="00734ABE">
        <w:rPr>
          <w:rFonts w:asciiTheme="minorHAnsi" w:hAnsiTheme="minorHAnsi"/>
          <w:szCs w:val="24"/>
        </w:rPr>
        <w:t>)</w:t>
      </w:r>
      <w:r w:rsidR="00B147F2" w:rsidRPr="00734ABE">
        <w:rPr>
          <w:rFonts w:asciiTheme="minorHAnsi" w:hAnsiTheme="minorHAnsi"/>
          <w:szCs w:val="24"/>
        </w:rPr>
        <w:t xml:space="preserve">.  </w:t>
      </w:r>
    </w:p>
    <w:p w:rsidR="00B147F2" w:rsidRPr="00734ABE" w:rsidRDefault="00B147F2" w:rsidP="00B147F2">
      <w:pPr>
        <w:ind w:firstLine="0"/>
        <w:rPr>
          <w:rFonts w:asciiTheme="minorHAnsi" w:hAnsiTheme="minorHAnsi"/>
          <w:szCs w:val="24"/>
        </w:rPr>
      </w:pPr>
    </w:p>
    <w:p w:rsidR="00397B41" w:rsidRPr="00734ABE" w:rsidRDefault="00397B41" w:rsidP="00B147F2">
      <w:pPr>
        <w:ind w:firstLine="0"/>
        <w:rPr>
          <w:rFonts w:asciiTheme="minorHAnsi" w:hAnsiTheme="minorHAnsi"/>
          <w:szCs w:val="24"/>
        </w:rPr>
      </w:pPr>
      <w:r w:rsidRPr="00734ABE">
        <w:rPr>
          <w:rFonts w:asciiTheme="minorHAnsi" w:hAnsiTheme="minorHAnsi"/>
          <w:szCs w:val="24"/>
        </w:rPr>
        <w:lastRenderedPageBreak/>
        <w:t xml:space="preserve">Despite the most rigorous intellectual </w:t>
      </w:r>
      <w:r w:rsidR="00B147F2" w:rsidRPr="00734ABE">
        <w:rPr>
          <w:rFonts w:asciiTheme="minorHAnsi" w:hAnsiTheme="minorHAnsi"/>
          <w:szCs w:val="24"/>
        </w:rPr>
        <w:t>self discipline</w:t>
      </w:r>
      <w:r w:rsidRPr="00734ABE">
        <w:rPr>
          <w:rFonts w:asciiTheme="minorHAnsi" w:hAnsiTheme="minorHAnsi"/>
          <w:szCs w:val="24"/>
        </w:rPr>
        <w:t xml:space="preserve">, the risk is always present of attributing to the actor a </w:t>
      </w:r>
      <w:r w:rsidR="00320381" w:rsidRPr="00734ABE">
        <w:rPr>
          <w:rFonts w:asciiTheme="minorHAnsi" w:hAnsiTheme="minorHAnsi"/>
          <w:szCs w:val="24"/>
        </w:rPr>
        <w:t>behavioural</w:t>
      </w:r>
      <w:r w:rsidRPr="00734ABE">
        <w:rPr>
          <w:rFonts w:asciiTheme="minorHAnsi" w:hAnsiTheme="minorHAnsi"/>
          <w:szCs w:val="24"/>
        </w:rPr>
        <w:t xml:space="preserve"> logic whose universal scope is judged even though it is linked to a particular socio-cultural context</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{"citationItems":[{"id":"ITEM-1","itemData":{"DOI":"10.1111/medu.12072","ISSN":"03080110","PMID":"23323652","abstract":"CONTEXT  Major influences on learning about medical professionalism come from the hidden curriculum. These influences can contribute positively or negatively towards the professional enculturation of clinical students. The fact that there is no validated method for identifying the components of the hidden curriculum poses problems for educators considering professionalism. The aim of this study was to analyse whether a cultural web, adapted from a business context, might assist in the identification of elements of the hidden curriculum at a UK veterinary school. METHODS  A qualitative approach was used. Seven focus groups consisting of three staff groups and four student groups were organised. Questioning was framed using the cultural web, which is a model used by business owners to assess their environment and consider how it affects their employees and customers. The focus group discussions were recorded, transcribed and analysed thematically using a combination of a priori and emergent themes. RESULTS  The cultural web identified elements of the hidden curriculum for both students and staff. These included: core assumptions; routines; rituals; control systems; organisational factors; power structures, and symbols. Discussions occurred about how and where these issues may affect students' professional identity development. CONCLUSIONS  The cultural web framework functioned well to help participants identify elements of the hidden curriculum. These aspects aligned broadly with previously described factors such as role models and institutional slang. The influence of these issues on a student's development of a professional identity requires discussion amongst faculty staff, and could be used to develop learning opportunities for students. The framework is promising for the analysis of the hidden curriculum and could be developed as an instrument for implementation in other clinical teaching environments. Discuss ideas arising from this article at 'discuss' © Blackwell Publishing Ltd 2013.","author":[{"dropping-particle":"","family":"Mossop","given":"Liz","non-dropping-particle":"","parse-names":false,"suffix":""},{"dropping-particle":"","family":"Dennick","given":"Reg","non-dropping-particle":"","parse-names":false,"suffix":""},{"dropping-particle":"","family":"Hammond","given":"Richard","non-dropping-particle":"","parse-names":false,"suffix":""},{"dropping-particle":"","family":"Robbé","given":"Iain","non-dropping-particle":"","parse-names":false,"suffix":""}],"container-title":"Medical Education","id":"ITEM-1","issued":{"date-parts":[["2013"]]},"title":"Analysing the hidden curriculum: Use of a cultural web","type":"article-journal"},"uris":["http://www.mendeley.com/documents/?uuid=286929df-0e5b-48d4-b31d-18da086e31aa","http://www.mendeley.com/documents/?uuid=e5225901-fe0c-43a3-97ad-b5c93367beaa"]}],"mendeley":{"formattedCitation":"(Mossop &lt;i&gt;et al.&lt;/i&gt;, 2013)","plainTextFormattedCitation":"(Mossop et al., 2013)","previouslyFormattedCitation":"(Mossop &lt;i&gt;et al.&lt;/i&gt;, 2013)"},"properties":{"noteIndex":0},"schema":"https://github.com/citation-style-language/schema/raw/master/csl-citation.json"}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Mossop et al</w:t>
      </w:r>
      <w:r w:rsidR="00F85E53" w:rsidRPr="00734ABE">
        <w:rPr>
          <w:rFonts w:asciiTheme="minorHAnsi" w:hAnsiTheme="minorHAnsi"/>
          <w:noProof/>
          <w:szCs w:val="24"/>
        </w:rPr>
        <w:t xml:space="preserve">, </w:t>
      </w:r>
      <w:r w:rsidR="00E50E02" w:rsidRPr="00734ABE">
        <w:rPr>
          <w:rFonts w:asciiTheme="minorHAnsi" w:hAnsiTheme="minorHAnsi"/>
          <w:noProof/>
          <w:szCs w:val="24"/>
        </w:rPr>
        <w:t xml:space="preserve"> </w:t>
      </w:r>
      <w:r w:rsidR="00F85E53" w:rsidRPr="00734ABE">
        <w:rPr>
          <w:rFonts w:asciiTheme="minorHAnsi" w:hAnsiTheme="minorHAnsi"/>
          <w:noProof/>
          <w:szCs w:val="24"/>
        </w:rPr>
        <w:t>(</w:t>
      </w:r>
      <w:r w:rsidR="00E50E02" w:rsidRPr="00734ABE">
        <w:rPr>
          <w:rFonts w:asciiTheme="minorHAnsi" w:hAnsiTheme="minorHAnsi"/>
          <w:noProof/>
          <w:szCs w:val="24"/>
        </w:rPr>
        <w:t>2013)</w:t>
      </w:r>
      <w:r w:rsidR="00E50E02" w:rsidRPr="00734ABE">
        <w:rPr>
          <w:rFonts w:asciiTheme="minorHAnsi" w:hAnsiTheme="minorHAnsi"/>
          <w:szCs w:val="24"/>
        </w:rPr>
        <w:fldChar w:fldCharType="end"/>
      </w:r>
      <w:r w:rsidR="00F85E53" w:rsidRPr="00734ABE">
        <w:rPr>
          <w:rFonts w:asciiTheme="minorHAnsi" w:hAnsiTheme="minorHAnsi"/>
          <w:szCs w:val="24"/>
        </w:rPr>
        <w:t xml:space="preserve">. </w:t>
      </w:r>
      <w:r w:rsidRPr="00734ABE">
        <w:rPr>
          <w:rFonts w:asciiTheme="minorHAnsi" w:hAnsiTheme="minorHAnsi"/>
          <w:szCs w:val="24"/>
        </w:rPr>
        <w:t> Certainly, there is no lack of constructed examples which suggest an easy understanding of the actor's subjectivity. We can bet that the attitude of the pedestrian looking left and right before crossing the street will retain for some time its power of fascination on certain theorists. But there is also no shortage of examples of interpretations which reflect the subjectivity of the researcher much more than that of the actor</w:t>
      </w:r>
      <w:r w:rsidR="00D6490C" w:rsidRPr="00734ABE">
        <w:rPr>
          <w:rFonts w:asciiTheme="minorHAnsi" w:hAnsiTheme="minorHAnsi"/>
          <w:szCs w:val="24"/>
        </w:rPr>
        <w:t xml:space="preserve"> </w:t>
      </w:r>
      <w:r w:rsidRPr="00734ABE">
        <w:rPr>
          <w:rFonts w:asciiTheme="minorHAnsi" w:hAnsiTheme="minorHAnsi"/>
          <w:szCs w:val="24"/>
        </w:rPr>
        <w:t>aktuelles Verstehen, based on the direct perception of meaning or on the direct observation of actio</w:t>
      </w:r>
      <w:r w:rsidR="00BA61B1" w:rsidRPr="00734ABE">
        <w:rPr>
          <w:rFonts w:asciiTheme="minorHAnsi" w:hAnsiTheme="minorHAnsi"/>
          <w:szCs w:val="24"/>
        </w:rPr>
        <w:t>ns</w:t>
      </w:r>
      <w:r w:rsidRPr="00734ABE">
        <w:rPr>
          <w:rFonts w:asciiTheme="minorHAnsi" w:hAnsiTheme="minorHAnsi"/>
          <w:szCs w:val="24"/>
        </w:rPr>
        <w:t>. As Raymond Aron underlines in his commentary on the Weberian point of view on the matter</w:t>
      </w:r>
      <w:r w:rsidR="00312C61" w:rsidRPr="00734ABE">
        <w:rPr>
          <w:rFonts w:asciiTheme="minorHAnsi" w:hAnsiTheme="minorHAnsi"/>
          <w:szCs w:val="24"/>
        </w:rPr>
        <w:t xml:space="preserve">.  </w:t>
      </w:r>
      <w:r w:rsidRPr="00734ABE">
        <w:rPr>
          <w:rFonts w:asciiTheme="minorHAnsi" w:hAnsiTheme="minorHAnsi"/>
          <w:szCs w:val="24"/>
        </w:rPr>
        <w:t>This implies the rejection of uncontrolled intuition as a principle of understanding. Intuition could only be a sufficient support for comprehension if any directly observable act were immediately comprehensible</w:t>
      </w:r>
    </w:p>
    <w:p w:rsidR="0045240F" w:rsidRPr="00734ABE" w:rsidRDefault="0045240F" w:rsidP="00761FBF">
      <w:pPr>
        <w:ind w:firstLine="0"/>
        <w:rPr>
          <w:rFonts w:asciiTheme="minorHAnsi" w:hAnsiTheme="minorHAnsi"/>
          <w:szCs w:val="24"/>
        </w:rPr>
      </w:pPr>
    </w:p>
    <w:p w:rsidR="0045240F" w:rsidRPr="00734ABE" w:rsidRDefault="0045240F" w:rsidP="00312C61">
      <w:pPr>
        <w:ind w:firstLine="0"/>
        <w:rPr>
          <w:rFonts w:asciiTheme="minorHAnsi" w:hAnsiTheme="minorHAnsi"/>
          <w:szCs w:val="24"/>
        </w:rPr>
      </w:pPr>
      <w:r w:rsidRPr="00734ABE">
        <w:rPr>
          <w:rFonts w:asciiTheme="minorHAnsi" w:hAnsiTheme="minorHAnsi"/>
          <w:szCs w:val="24"/>
        </w:rPr>
        <w:t xml:space="preserve">Reducing the North-South digital divide is at the top of international agendas. International development institutions are indeed expecting, like the countries of Southeast Asia, the </w:t>
      </w:r>
      <w:r w:rsidR="00FA64D8" w:rsidRPr="00734ABE">
        <w:rPr>
          <w:rFonts w:asciiTheme="minorHAnsi" w:hAnsiTheme="minorHAnsi"/>
          <w:szCs w:val="24"/>
        </w:rPr>
        <w:t>ac</w:t>
      </w:r>
      <w:r w:rsidR="00F80527" w:rsidRPr="00734ABE">
        <w:rPr>
          <w:rFonts w:asciiTheme="minorHAnsi" w:hAnsiTheme="minorHAnsi"/>
          <w:szCs w:val="24"/>
        </w:rPr>
        <w:t>tion</w:t>
      </w:r>
      <w:r w:rsidRPr="00734ABE">
        <w:rPr>
          <w:rFonts w:asciiTheme="minorHAnsi" w:hAnsiTheme="minorHAnsi"/>
          <w:szCs w:val="24"/>
        </w:rPr>
        <w:t xml:space="preserve"> of a process of emergence that would extend to all peripheral countries. Indeed, a study carried out by UNCTAD on the use of ICT concludes that the use of ICT for developing countries could have repercussions on productivity at the same level as that measured in developing </w:t>
      </w:r>
      <w:r w:rsidR="00D97EDE" w:rsidRPr="00734ABE">
        <w:rPr>
          <w:rFonts w:asciiTheme="minorHAnsi" w:hAnsiTheme="minorHAnsi"/>
          <w:szCs w:val="24"/>
        </w:rPr>
        <w:t>countries. </w:t>
      </w:r>
      <w:r w:rsidRPr="00734ABE">
        <w:rPr>
          <w:rFonts w:asciiTheme="minorHAnsi" w:hAnsiTheme="minorHAnsi"/>
          <w:szCs w:val="24"/>
        </w:rPr>
        <w:t>Thus, UNCTAD</w:t>
      </w:r>
      <w:r w:rsidR="00D97EDE" w:rsidRPr="00734ABE">
        <w:rPr>
          <w:rFonts w:asciiTheme="minorHAnsi" w:hAnsiTheme="minorHAnsi"/>
          <w:szCs w:val="24"/>
        </w:rPr>
        <w:t xml:space="preserve"> </w:t>
      </w:r>
      <w:r w:rsidRPr="00734ABE">
        <w:rPr>
          <w:rFonts w:asciiTheme="minorHAnsi" w:hAnsiTheme="minorHAnsi"/>
          <w:szCs w:val="24"/>
        </w:rPr>
        <w:t xml:space="preserve">she specifies that, theoretically, the introduction of ICT should improve the productivity of companies, provided however that they make the appropriate </w:t>
      </w:r>
      <w:r w:rsidR="00E77C89" w:rsidRPr="00734ABE">
        <w:rPr>
          <w:rFonts w:asciiTheme="minorHAnsi" w:hAnsiTheme="minorHAnsi"/>
          <w:szCs w:val="24"/>
        </w:rPr>
        <w:t>organisational</w:t>
      </w:r>
      <w:r w:rsidRPr="00734ABE">
        <w:rPr>
          <w:rFonts w:asciiTheme="minorHAnsi" w:hAnsiTheme="minorHAnsi"/>
          <w:szCs w:val="24"/>
        </w:rPr>
        <w:t xml:space="preserve"> changes. The gains are linked to a better responsiveness of the company to changes in its environment</w:t>
      </w:r>
      <w:r w:rsidR="004A7447" w:rsidRPr="00734ABE">
        <w:rPr>
          <w:rFonts w:asciiTheme="minorHAnsi" w:hAnsiTheme="minorHAnsi"/>
          <w:szCs w:val="24"/>
        </w:rPr>
        <w:t xml:space="preserve">, </w:t>
      </w:r>
      <w:r w:rsidRPr="00734ABE">
        <w:rPr>
          <w:rFonts w:asciiTheme="minorHAnsi" w:hAnsiTheme="minorHAnsi"/>
          <w:szCs w:val="24"/>
        </w:rPr>
        <w:t xml:space="preserve">management of suppliers and customers, expansion of the product range, </w:t>
      </w:r>
      <w:r w:rsidR="004A7447" w:rsidRPr="00734ABE">
        <w:rPr>
          <w:rFonts w:asciiTheme="minorHAnsi" w:hAnsiTheme="minorHAnsi"/>
          <w:szCs w:val="24"/>
        </w:rPr>
        <w:t>customisation</w:t>
      </w:r>
      <w:r w:rsidRPr="00734ABE">
        <w:rPr>
          <w:rFonts w:asciiTheme="minorHAnsi" w:hAnsiTheme="minorHAnsi"/>
          <w:szCs w:val="24"/>
        </w:rPr>
        <w:t xml:space="preserve"> of the services offered and, overall, better consideration of the specificities of the business. </w:t>
      </w:r>
      <w:r w:rsidR="00D97EDE" w:rsidRPr="00734ABE">
        <w:rPr>
          <w:rFonts w:asciiTheme="minorHAnsi" w:hAnsiTheme="minorHAnsi"/>
          <w:szCs w:val="24"/>
        </w:rPr>
        <w:t>Demand</w:t>
      </w:r>
      <w:r w:rsidRPr="00734ABE">
        <w:rPr>
          <w:rFonts w:asciiTheme="minorHAnsi" w:hAnsiTheme="minorHAnsi"/>
          <w:szCs w:val="24"/>
        </w:rPr>
        <w:t xml:space="preserve"> and production </w:t>
      </w:r>
      <w:r w:rsidR="004A7447" w:rsidRPr="00734ABE">
        <w:rPr>
          <w:rFonts w:asciiTheme="minorHAnsi" w:hAnsiTheme="minorHAnsi"/>
          <w:szCs w:val="24"/>
        </w:rPr>
        <w:t>optimisation</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{"citationItems":[{"id":"ITEM-1","itemData":{"DOI":"10.3109/0142159X.2011.595600","ISSN":"0142159X","PMID":"22288994","abstract":"Professional values and behaviours are intrinsic to all medical practice yet remain one of the most difficult subjects to integrate explicitly into a curriculum. Professionalism in the twenty-first century raises challenges not only for the adaptation of the medical training programme to changing societal values but also for ensuring that trainees gain the skills for self-directed continuous development and future revalidation. This article is an introduction to the AMEE Guide in Medical Education No 61: Integrating Professionalism into the Curriculum (www.amee.org), which is based on the extensive contemporary available literature. An evidence-based approach has been taken throughout the Guide as it focuses on instilling professionalism positively into both undergraduate and postgraduate training. It takes a structured, stepwise approach and sequentially addresses: (i) agreeing an institutional definition, (ii) structuring the curriculum to integrate learning across all years, (iii) suggesting learning models, (iv) harnessing the impact of the formal, informal and hidden curricula and (v) assessing the learning of the trainee. A few well-evaluated case studies for both teaching and assessment have been selected to illustrate the recommendations. © 2012 Informa UK Ltd All rights reserved: reproduction in whole or part not permitted.","author":[{"dropping-particle":"","family":"O'Sullivan","given":"Helen","non-dropping-particle":"","parse-names":false,"suffix":""},{"dropping-particle":"","family":"Mook","given":"Walther","non-dropping-particle":"Van","parse-names":false,"suffix":""},{"dropping-particle":"","family":"Fewtrell","given":"Ray","non-dropping-particle":"","parse-names":false,"suffix":""},{"dropping-particle":"","family":"Wass","given":"Val","non-dropping-particle":"","parse-names":false,"suffix":""}],"container-title":"Medical Teacher","id":"ITEM-1","issued":{"date-parts":[["2012"]]},"title":"Integrating professionalism into the curriculum","type":"article-journal"},"uris":["http://www.mendeley.com/documents/?uuid=0d4dda87-d524-4cde-95aa-471989df9505","http://www.mendeley.com/documents/?uuid=a64f07c1-217d-47f6-94d6-9b9f78e0a014"]}],"mendeley":{"formattedCitation":"(O’Sullivan &lt;i&gt;et al.&lt;/i&gt;, 2012b)","plainTextFormattedCitation":"(O’Sullivan et al., 2012b)","previouslyFormattedCitation":"(O’Sullivan &lt;i&gt;et al.&lt;/i&gt;, 2012b)"},"properties":{"noteIndex":0},"schema":"https://github.com/citation-style-language/schema/raw/master/csl-citation.json"}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O’Sullivan et al, </w:t>
      </w:r>
      <w:r w:rsidR="004A7447" w:rsidRPr="00734ABE">
        <w:rPr>
          <w:rFonts w:asciiTheme="minorHAnsi" w:hAnsiTheme="minorHAnsi"/>
          <w:noProof/>
          <w:szCs w:val="24"/>
        </w:rPr>
        <w:t>(</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Pr="00734ABE">
        <w:rPr>
          <w:rFonts w:asciiTheme="minorHAnsi" w:hAnsiTheme="minorHAnsi"/>
          <w:szCs w:val="24"/>
        </w:rPr>
        <w:t>.</w:t>
      </w:r>
    </w:p>
    <w:p w:rsidR="007F5FCD" w:rsidRPr="00734ABE" w:rsidRDefault="007F5FCD" w:rsidP="007F5FCD">
      <w:pPr>
        <w:ind w:firstLine="0"/>
        <w:rPr>
          <w:rFonts w:asciiTheme="minorHAnsi" w:hAnsiTheme="minorHAnsi"/>
          <w:szCs w:val="24"/>
        </w:rPr>
      </w:pPr>
    </w:p>
    <w:p w:rsidR="0045240F" w:rsidRPr="00734ABE" w:rsidRDefault="0045240F" w:rsidP="007F5FCD">
      <w:pPr>
        <w:ind w:firstLine="0"/>
        <w:rPr>
          <w:rFonts w:asciiTheme="minorHAnsi" w:hAnsiTheme="minorHAnsi"/>
          <w:szCs w:val="24"/>
        </w:rPr>
      </w:pPr>
      <w:r w:rsidRPr="00734ABE">
        <w:rPr>
          <w:rFonts w:asciiTheme="minorHAnsi" w:hAnsiTheme="minorHAnsi"/>
          <w:szCs w:val="24"/>
        </w:rPr>
        <w:t>The assessment of the impact of ICT on productivity by UNCTAD was carried out in Thailand. This case shows a significant difference in productivity for companies that use IT and in proportions that are close to those observed in developed countries. The diffusion of ICT makes it possible to reduce transaction costs and generates a better match between supply and demand</w:t>
      </w:r>
      <w:r w:rsidR="009D1CB4" w:rsidRPr="00734ABE">
        <w:rPr>
          <w:rFonts w:asciiTheme="minorHAnsi" w:hAnsiTheme="minorHAnsi"/>
          <w:szCs w:val="24"/>
        </w:rPr>
        <w:t>.</w:t>
      </w:r>
      <w:r w:rsidR="00EB15CB" w:rsidRPr="00734ABE">
        <w:rPr>
          <w:rFonts w:asciiTheme="minorHAnsi" w:hAnsiTheme="minorHAnsi"/>
          <w:szCs w:val="24"/>
        </w:rPr>
        <w:t xml:space="preserve"> </w:t>
      </w:r>
      <w:r w:rsidRPr="00734ABE">
        <w:rPr>
          <w:rFonts w:asciiTheme="minorHAnsi" w:hAnsiTheme="minorHAnsi"/>
          <w:szCs w:val="24"/>
        </w:rPr>
        <w:t>But these induced effects are p</w:t>
      </w:r>
      <w:r w:rsidR="00BA61B1" w:rsidRPr="00734ABE">
        <w:rPr>
          <w:rFonts w:asciiTheme="minorHAnsi" w:hAnsiTheme="minorHAnsi"/>
          <w:szCs w:val="24"/>
        </w:rPr>
        <w:t>articularly difficult to assess</w:t>
      </w:r>
      <w:r w:rsidRPr="00734ABE">
        <w:rPr>
          <w:rFonts w:asciiTheme="minorHAnsi" w:hAnsiTheme="minorHAnsi"/>
          <w:szCs w:val="24"/>
        </w:rPr>
        <w:t xml:space="preserve">. In the context of development economics, ICTs must allow the emergence of new economic opportunities by facilitating the diversification of production and exported goods, by contributing to a rise in the value chain. An improvement in the banking system could be enabled by the adoption of ICT, which could improve customer information and allow part of the financial sector to move away from informality, which generates transaction costs. This reduction in costs would also allow an increase in the amounts allocated to investment. A final element consists of the production of collective knowledge and the use of collective knowledge thanks to free software. This element of free education is an element </w:t>
      </w:r>
      <w:r w:rsidR="00D97EDE" w:rsidRPr="00734ABE">
        <w:rPr>
          <w:rFonts w:asciiTheme="minorHAnsi" w:hAnsiTheme="minorHAnsi"/>
          <w:szCs w:val="24"/>
        </w:rPr>
        <w:t>favourable</w:t>
      </w:r>
      <w:r w:rsidRPr="00734ABE">
        <w:rPr>
          <w:rFonts w:asciiTheme="minorHAnsi" w:hAnsiTheme="minorHAnsi"/>
          <w:szCs w:val="24"/>
        </w:rPr>
        <w:t xml:space="preserve"> to catching up in poor countries. </w:t>
      </w:r>
      <w:r w:rsidR="00C5029E" w:rsidRPr="00734ABE">
        <w:rPr>
          <w:rFonts w:asciiTheme="minorHAnsi" w:hAnsiTheme="minorHAnsi"/>
          <w:szCs w:val="24"/>
        </w:rPr>
        <w:t>On the other h</w:t>
      </w:r>
      <w:r w:rsidR="00647625" w:rsidRPr="00734ABE">
        <w:rPr>
          <w:rFonts w:asciiTheme="minorHAnsi" w:hAnsiTheme="minorHAnsi"/>
          <w:szCs w:val="24"/>
        </w:rPr>
        <w:t>and</w:t>
      </w:r>
      <w:r w:rsidRPr="00734ABE">
        <w:rPr>
          <w:rFonts w:asciiTheme="minorHAnsi" w:hAnsiTheme="minorHAnsi"/>
          <w:szCs w:val="24"/>
        </w:rPr>
        <w:t>, there is the question of property rights over proprietary software and the need to adopt a regime for poor countries. But the TRIPS </w:t>
      </w:r>
      <w:r w:rsidR="00D97EDE" w:rsidRPr="00734ABE">
        <w:rPr>
          <w:rFonts w:asciiTheme="minorHAnsi" w:hAnsiTheme="minorHAnsi"/>
          <w:szCs w:val="24"/>
        </w:rPr>
        <w:t>agreement may</w:t>
      </w:r>
      <w:r w:rsidRPr="00734ABE">
        <w:rPr>
          <w:rFonts w:asciiTheme="minorHAnsi" w:hAnsiTheme="minorHAnsi"/>
          <w:szCs w:val="24"/>
        </w:rPr>
        <w:t xml:space="preserve"> suggest such a situation. However, all these potential improvements are not without posing new problems</w:t>
      </w:r>
      <w:r w:rsidR="004D7188" w:rsidRPr="00734ABE">
        <w:rPr>
          <w:rFonts w:asciiTheme="minorHAnsi" w:hAnsiTheme="minorHAnsi"/>
          <w:szCs w:val="24"/>
        </w:rPr>
        <w:t>,</w:t>
      </w:r>
      <w:r w:rsidRPr="00734ABE">
        <w:rPr>
          <w:rFonts w:asciiTheme="minorHAnsi" w:hAnsiTheme="minorHAnsi"/>
          <w:szCs w:val="24"/>
        </w:rPr>
        <w:t xml:space="preserve"> the new services generated can be at the origin of new difficulties such as the production of trust within the framework of </w:t>
      </w:r>
      <w:r w:rsidR="004D7188" w:rsidRPr="00734ABE">
        <w:rPr>
          <w:rFonts w:asciiTheme="minorHAnsi" w:hAnsiTheme="minorHAnsi"/>
          <w:szCs w:val="24"/>
        </w:rPr>
        <w:t>computerised</w:t>
      </w:r>
      <w:r w:rsidRPr="00734ABE">
        <w:rPr>
          <w:rFonts w:asciiTheme="minorHAnsi" w:hAnsiTheme="minorHAnsi"/>
          <w:szCs w:val="24"/>
        </w:rPr>
        <w:t xml:space="preserve"> transactions as well as their security. </w:t>
      </w:r>
      <w:r w:rsidR="004D7188" w:rsidRPr="00734ABE">
        <w:rPr>
          <w:rFonts w:asciiTheme="minorHAnsi" w:hAnsiTheme="minorHAnsi"/>
          <w:szCs w:val="24"/>
        </w:rPr>
        <w:t>How</w:t>
      </w:r>
      <w:r w:rsidR="00B017CB" w:rsidRPr="00734ABE">
        <w:rPr>
          <w:rFonts w:asciiTheme="minorHAnsi" w:hAnsiTheme="minorHAnsi"/>
          <w:szCs w:val="24"/>
        </w:rPr>
        <w:t>ever</w:t>
      </w:r>
      <w:r w:rsidRPr="00734ABE">
        <w:rPr>
          <w:rFonts w:asciiTheme="minorHAnsi" w:hAnsiTheme="minorHAnsi"/>
          <w:szCs w:val="24"/>
        </w:rPr>
        <w:t xml:space="preserve">, the very decreasing costs of these mechanisms can constitute an obstacle to their </w:t>
      </w:r>
      <w:r w:rsidR="0071219B" w:rsidRPr="00734ABE">
        <w:rPr>
          <w:rFonts w:asciiTheme="minorHAnsi" w:hAnsiTheme="minorHAnsi"/>
          <w:szCs w:val="24"/>
        </w:rPr>
        <w:t>action</w:t>
      </w:r>
      <w:r w:rsidRPr="00734ABE">
        <w:rPr>
          <w:rFonts w:asciiTheme="minorHAnsi" w:hAnsiTheme="minorHAnsi"/>
          <w:szCs w:val="24"/>
        </w:rPr>
        <w:t xml:space="preserve">, which is why UNCTAD plans to </w:t>
      </w:r>
      <w:r w:rsidRPr="00734ABE">
        <w:rPr>
          <w:rFonts w:asciiTheme="minorHAnsi" w:hAnsiTheme="minorHAnsi"/>
          <w:szCs w:val="24"/>
        </w:rPr>
        <w:lastRenderedPageBreak/>
        <w:t>take this issue into account in the implementation of its development policy</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{"citationItems":[{"id":"ITEM-1","itemData":{"DOI":"10.3109/0142159X.2011.595435","ISSN":"0142159X","PMID":"22225433","abstract":"Self-determination Theory (SDT), designed by Edward Deci and Richard Ryan, serves among the current major motivational theories in psychology. SDT research has been conducted in many areas, among which are education and health care, but its applications in medical education are rare. The potential of SDT to help understand processes in medical education justifies this Guide. SDT is explained in seven principles, one of which is the distinction of three innate psychological needs of human beings: for competence, for autonomy and for relatedness. Further, SDT elaborates how humans tend to internalise regulation of behaviour that initially has been external, in order to develop autonomous, self-determined behaviour. Implications of SDT for medical education are discussed with reference to preparation and selection, curriculum structure, classroom teaching, assessments and examinations, self-directed learning, clinical teaching, students as teachers and researchers, continuing professional development, faculty development and stress among trainees. © 2011 Informa UK Ltd.","author":[{"dropping-particle":"","family":"Cate","given":"Th J.","non-dropping-particle":"Ten","parse-names":false,"suffix":""},{"dropping-particle":"","family":"Kusurkar","given":"Rashmi A.","non-dropping-particle":"","parse-names":false,"suffix":""},{"dropping-particle":"","family":"Williams","given":"Geoffrey C.","non-dropping-particle":"","parse-names":false,"suffix":""}],"container-title":"Medical Teacher","id":"ITEM-1","issued":{"date-parts":[["2011"]]},"title":"How self-determination theory can assist our understanding of the teaching and learning processes in medical education. AMEE Guide No. 59","type":"article-journal"},"uris":["http://www.mendeley.com/documents/?uuid=ef3334d7-f88c-4f92-87ac-987fdf5215c4","http://www.mendeley.com/documents/?uuid=f6c7891b-59f4-4fe9-846c-ce296916b67e"]}],"mendeley":{"formattedCitation":"(Ten Cate, Kusurkar and Williams, 2011)","plainTextFormattedCitation":"(Ten Cate, Kusurkar and Williams, 2011)","previouslyFormattedCitation":"(Ten Cate, Kusurkar and Williams, 2011)"},"properties":{"noteIndex":0},"schema":"https://github.com/citation-style-language/schema/raw/master/csl-citation.json"}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Ten Cate, Kusurkar and Williams, </w:t>
      </w:r>
      <w:r w:rsidR="00391405" w:rsidRPr="00734ABE">
        <w:rPr>
          <w:rFonts w:asciiTheme="minorHAnsi" w:hAnsiTheme="minorHAnsi"/>
          <w:noProof/>
          <w:szCs w:val="24"/>
        </w:rPr>
        <w:t>(</w:t>
      </w:r>
      <w:r w:rsidR="00E50E02" w:rsidRPr="00734ABE">
        <w:rPr>
          <w:rFonts w:asciiTheme="minorHAnsi" w:hAnsiTheme="minorHAnsi"/>
          <w:noProof/>
          <w:szCs w:val="24"/>
        </w:rPr>
        <w:t>2011)</w:t>
      </w:r>
      <w:r w:rsidR="00E50E02" w:rsidRPr="00734ABE">
        <w:rPr>
          <w:rFonts w:asciiTheme="minorHAnsi" w:hAnsiTheme="minorHAnsi"/>
          <w:szCs w:val="24"/>
        </w:rPr>
        <w:fldChar w:fldCharType="end"/>
      </w:r>
      <w:r w:rsidRPr="00734ABE">
        <w:rPr>
          <w:rFonts w:asciiTheme="minorHAnsi" w:hAnsiTheme="minorHAnsi"/>
          <w:szCs w:val="24"/>
        </w:rPr>
        <w:t>.</w:t>
      </w:r>
    </w:p>
    <w:p w:rsidR="00391405" w:rsidRPr="00734ABE" w:rsidRDefault="00391405" w:rsidP="00391405">
      <w:pPr>
        <w:ind w:firstLine="0"/>
        <w:rPr>
          <w:rFonts w:asciiTheme="minorHAnsi" w:hAnsiTheme="minorHAnsi"/>
          <w:szCs w:val="24"/>
        </w:rPr>
      </w:pPr>
    </w:p>
    <w:p w:rsidR="0045240F" w:rsidRPr="00734ABE" w:rsidRDefault="0045240F" w:rsidP="00391405">
      <w:pPr>
        <w:ind w:firstLine="0"/>
        <w:rPr>
          <w:rFonts w:asciiTheme="minorHAnsi" w:hAnsiTheme="minorHAnsi"/>
          <w:szCs w:val="24"/>
        </w:rPr>
      </w:pPr>
      <w:r w:rsidRPr="00734ABE">
        <w:rPr>
          <w:rFonts w:asciiTheme="minorHAnsi" w:hAnsiTheme="minorHAnsi"/>
          <w:szCs w:val="24"/>
        </w:rPr>
        <w:t xml:space="preserve">Finally, ICT goods are often dependent on complementary services and products to function properly, it is the existence of network effects. As UNCTAD points </w:t>
      </w:r>
      <w:r w:rsidR="00D97EDE" w:rsidRPr="00734ABE">
        <w:rPr>
          <w:rFonts w:asciiTheme="minorHAnsi" w:hAnsiTheme="minorHAnsi"/>
          <w:szCs w:val="24"/>
        </w:rPr>
        <w:t>out,</w:t>
      </w:r>
      <w:r w:rsidRPr="00734ABE">
        <w:rPr>
          <w:rFonts w:asciiTheme="minorHAnsi" w:hAnsiTheme="minorHAnsi"/>
          <w:szCs w:val="24"/>
        </w:rPr>
        <w:t xml:space="preserve"> the progress made by ICT seems to depend very much on the industrial and commercial context. The use of distance selling via the Internet presupposes the presence of numerous preconditions which may be absent in many developing countries and particularly for the countries of Sub-Saharan Africa. Thus, the report underlines the importance of complementary factors and political factors in achieving productivity gains from the uses of </w:t>
      </w:r>
      <w:r w:rsidR="00D97EDE" w:rsidRPr="00734ABE">
        <w:rPr>
          <w:rFonts w:asciiTheme="minorHAnsi" w:hAnsiTheme="minorHAnsi"/>
          <w:szCs w:val="24"/>
        </w:rPr>
        <w:t>ICT. </w:t>
      </w:r>
      <w:r w:rsidRPr="00734ABE">
        <w:rPr>
          <w:rFonts w:asciiTheme="minorHAnsi" w:hAnsiTheme="minorHAnsi"/>
          <w:szCs w:val="24"/>
        </w:rPr>
        <w:t>Mastery of ICT</w:t>
      </w:r>
      <w:r w:rsidR="00D97EDE" w:rsidRPr="00734ABE">
        <w:rPr>
          <w:rFonts w:asciiTheme="minorHAnsi" w:hAnsiTheme="minorHAnsi"/>
          <w:szCs w:val="24"/>
        </w:rPr>
        <w:t xml:space="preserve"> </w:t>
      </w:r>
      <w:r w:rsidRPr="00734ABE">
        <w:rPr>
          <w:rFonts w:asciiTheme="minorHAnsi" w:hAnsiTheme="minorHAnsi"/>
          <w:szCs w:val="24"/>
        </w:rPr>
        <w:t xml:space="preserve">requires skills, knowledge and appropriate training without which ICTs cannot manifest their benefits “Several institutional issues must be taken into account such as the establishment of an intellectual property regime </w:t>
      </w:r>
      <w:r w:rsidR="00D97EDE" w:rsidRPr="00734ABE">
        <w:rPr>
          <w:rFonts w:asciiTheme="minorHAnsi" w:hAnsiTheme="minorHAnsi"/>
          <w:szCs w:val="24"/>
        </w:rPr>
        <w:t>favourable</w:t>
      </w:r>
      <w:r w:rsidRPr="00734ABE">
        <w:rPr>
          <w:rFonts w:asciiTheme="minorHAnsi" w:hAnsiTheme="minorHAnsi"/>
          <w:szCs w:val="24"/>
        </w:rPr>
        <w:t xml:space="preserve"> to innovations and a competition policy, strengthening of the education system as well as the research system, the creation of public “knowledge” structures, the development of information and communication infrastructure, the creation of an environment that generates confidence in the use of ICTs and proper functioning of financial markets. </w:t>
      </w:r>
    </w:p>
    <w:p w:rsidR="003E6719" w:rsidRPr="00734ABE" w:rsidRDefault="003E6719" w:rsidP="001A437D">
      <w:pPr>
        <w:pStyle w:val="Heading1"/>
        <w:rPr>
          <w:rFonts w:asciiTheme="minorHAnsi" w:hAnsiTheme="minorHAnsi"/>
          <w:b w:val="0"/>
          <w:i w:val="0"/>
          <w:szCs w:val="24"/>
        </w:rPr>
      </w:pPr>
    </w:p>
    <w:p w:rsidR="004D44E8" w:rsidRPr="00734ABE" w:rsidRDefault="004D44E8" w:rsidP="003E6719">
      <w:pPr>
        <w:pStyle w:val="Heading2"/>
        <w:rPr>
          <w:rFonts w:asciiTheme="minorHAnsi" w:hAnsiTheme="minorHAnsi"/>
          <w:bCs w:val="0"/>
          <w:i w:val="0"/>
          <w:szCs w:val="24"/>
        </w:rPr>
      </w:pPr>
      <w:bookmarkStart w:id="1" w:name="_Toc57665867"/>
      <w:r w:rsidRPr="00734ABE">
        <w:rPr>
          <w:rFonts w:asciiTheme="minorHAnsi" w:hAnsiTheme="minorHAnsi"/>
          <w:bCs w:val="0"/>
          <w:i w:val="0"/>
          <w:szCs w:val="24"/>
        </w:rPr>
        <w:t>Curriculum</w:t>
      </w:r>
      <w:bookmarkEnd w:id="1"/>
    </w:p>
    <w:p w:rsidR="00320381" w:rsidRPr="00734ABE" w:rsidRDefault="00320381" w:rsidP="004137C4">
      <w:pPr>
        <w:pStyle w:val="ListParagraph"/>
        <w:numPr>
          <w:ilvl w:val="0"/>
          <w:numId w:val="17"/>
        </w:numPr>
        <w:rPr>
          <w:rFonts w:asciiTheme="minorHAnsi" w:hAnsiTheme="minorHAnsi"/>
          <w:szCs w:val="24"/>
        </w:rPr>
      </w:pPr>
      <w:r w:rsidRPr="00734ABE">
        <w:rPr>
          <w:rFonts w:asciiTheme="minorHAnsi" w:hAnsiTheme="minorHAnsi"/>
          <w:szCs w:val="24"/>
        </w:rPr>
        <w:t>Changes to program structure are rarely beneficial.</w:t>
      </w:r>
    </w:p>
    <w:p w:rsidR="00320381" w:rsidRPr="00734ABE" w:rsidRDefault="00320381" w:rsidP="004137C4">
      <w:pPr>
        <w:pStyle w:val="ListParagraph"/>
        <w:numPr>
          <w:ilvl w:val="0"/>
          <w:numId w:val="17"/>
        </w:numPr>
        <w:rPr>
          <w:rFonts w:asciiTheme="minorHAnsi" w:hAnsiTheme="minorHAnsi"/>
          <w:szCs w:val="24"/>
        </w:rPr>
      </w:pPr>
      <w:r w:rsidRPr="00734ABE">
        <w:rPr>
          <w:rFonts w:asciiTheme="minorHAnsi" w:hAnsiTheme="minorHAnsi"/>
          <w:szCs w:val="24"/>
        </w:rPr>
        <w:t>There is no doubt that the concept of the new program was a desire to rebalance the STEM approach. The problem is that there is no evidence that curriculum change is beneficial.</w:t>
      </w:r>
    </w:p>
    <w:p w:rsidR="004D44E8" w:rsidRPr="00734ABE" w:rsidRDefault="00320381" w:rsidP="004D6395">
      <w:pPr>
        <w:ind w:firstLine="0"/>
        <w:rPr>
          <w:rFonts w:asciiTheme="minorHAnsi" w:hAnsiTheme="minorHAnsi"/>
          <w:szCs w:val="24"/>
        </w:rPr>
      </w:pPr>
      <w:r w:rsidRPr="00734ABE">
        <w:rPr>
          <w:rFonts w:asciiTheme="minorHAnsi" w:hAnsiTheme="minorHAnsi"/>
          <w:szCs w:val="24"/>
        </w:rPr>
        <w:t>Hattie seems distracted - all the effort goes into planning and structure. However, the benefits usually appear and manifest much later.</w:t>
      </w:r>
      <w:r w:rsidR="004D6395" w:rsidRPr="00734ABE">
        <w:rPr>
          <w:rFonts w:asciiTheme="minorHAnsi" w:hAnsiTheme="minorHAnsi"/>
          <w:szCs w:val="24"/>
        </w:rPr>
        <w:t xml:space="preserve"> </w:t>
      </w:r>
      <w:r w:rsidRPr="00734ABE">
        <w:rPr>
          <w:rFonts w:asciiTheme="minorHAnsi" w:hAnsiTheme="minorHAnsi"/>
          <w:szCs w:val="24"/>
        </w:rPr>
        <w:t>Analysis of the impact of introducing "custom" programs shows that this is not the best way forward. Due to structural weaknesses, lack of context, and high training and development requirements, the simplest solution is the exact opposite</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{"citationItems":[{"id":"ITEM-1","itemData":{"DOI":"10.1016/j.pec.2018.04.013","ISSN":"18735134","PMID":"29706382","abstract":"Objectives: Clinical communication is a core component of undergraduate medical training. A consensus statement on the essential elements of the communication curriculum was co-produced in 2008 by the communication leads of UK medical schools. This paper discusses the relational, contextual and technological changes which have affected clinical communication since then and presents an updated curriculum for communication in undergraduate medicine. Method: The consensus was developed through an iterative consultation process with the communication leads who represent their medical schools on the UK Council of Clinical Communication in Undergraduate Medical Education. Results: The updated curriculum defines the underpinning values, core components and skills required within the context of contemporary medical care. It incorporates the evolving relational issues associated with the more prominent role of the patient in the consultation, reflected through legal precedent and changing societal expectations. The impact on clinical communication of the increased focus on patient safety, the professional duty of candour and digital medicine are discussed. Conclusion: Changes in the way medicine is practised should lead rapidly to adjustments to the content of curricula. Practice implications: The updated curriculum provides a model of best practice to help medical schools develop their teaching and argue for resources.","author":[{"dropping-particle":"","family":"Noble","given":"Lorraine M.","non-dropping-particle":"","parse-names":false,"suffix":""},{"dropping-particle":"","family":"Scott-Smith","given":"Wesley","non-dropping-particle":"","parse-names":false,"suffix":""},{"dropping-particle":"","family":"O'Neill","given":"Bernadette","non-dropping-particle":"","parse-names":false,"suffix":""},{"dropping-particle":"","family":"Salisbury","given":"Helen","non-dropping-particle":"","parse-names":false,"suffix":""}],"container-title":"Patient Education and Counseling","id":"ITEM-1","issued":{"date-parts":[["2018"]]},"title":"Consensus statement on an updated core communication curriculum for UK undergraduate medical education","type":"article"},"uris":["http://www.mendeley.com/documents/?uuid=13bf57f0-298b-45cc-a35c-111de7494867","http://www.mendeley.com/documents/?uuid=00e054e9-5a11-4acd-910e-9ad7734766e1"]}],"mendeley":{"formattedCitation":"(Noble &lt;i&gt;et al.&lt;/i&gt;, 2018)","plainTextFormattedCitation":"(Noble et al., 2018)","previouslyFormattedCitation":"(Noble &lt;i&gt;et al.&lt;/i&gt;, 2018)"},"properties":{"noteIndex":0},"schema":"https://github.com/citation-style-language/schema/raw/master/csl-citation.json"}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Noble et al, </w:t>
      </w:r>
      <w:r w:rsidR="00D93FAA" w:rsidRPr="00734ABE">
        <w:rPr>
          <w:rFonts w:asciiTheme="minorHAnsi" w:hAnsiTheme="minorHAnsi"/>
          <w:noProof/>
          <w:szCs w:val="24"/>
        </w:rPr>
        <w:t>(</w:t>
      </w:r>
      <w:r w:rsidR="00E50E02" w:rsidRPr="00734ABE">
        <w:rPr>
          <w:rFonts w:asciiTheme="minorHAnsi" w:hAnsiTheme="minorHAnsi"/>
          <w:noProof/>
          <w:szCs w:val="24"/>
        </w:rPr>
        <w:t>2018)</w:t>
      </w:r>
      <w:r w:rsidR="00E50E02" w:rsidRPr="00734ABE">
        <w:rPr>
          <w:rFonts w:asciiTheme="minorHAnsi" w:hAnsiTheme="minorHAnsi"/>
          <w:szCs w:val="24"/>
        </w:rPr>
        <w:fldChar w:fldCharType="end"/>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3E6719" w:rsidRPr="00734ABE" w:rsidRDefault="003E6719" w:rsidP="004D44E8">
      <w:pPr>
        <w:ind w:firstLine="0"/>
        <w:rPr>
          <w:rFonts w:asciiTheme="minorHAnsi" w:hAnsiTheme="minorHAnsi"/>
          <w:szCs w:val="24"/>
        </w:rPr>
      </w:pPr>
    </w:p>
    <w:p w:rsidR="004D44E8" w:rsidRPr="00734ABE" w:rsidRDefault="00320381" w:rsidP="001F6B73">
      <w:pPr>
        <w:ind w:firstLine="0"/>
        <w:rPr>
          <w:rFonts w:asciiTheme="minorHAnsi" w:hAnsiTheme="minorHAnsi"/>
          <w:szCs w:val="24"/>
        </w:rPr>
      </w:pPr>
      <w:r w:rsidRPr="00734ABE">
        <w:rPr>
          <w:rFonts w:asciiTheme="minorHAnsi" w:hAnsiTheme="minorHAnsi"/>
          <w:szCs w:val="24"/>
        </w:rPr>
        <w:t>Application Science is an underdeveloped concept in education</w:t>
      </w:r>
      <w:r w:rsidR="00944A38" w:rsidRPr="00734ABE">
        <w:rPr>
          <w:rFonts w:asciiTheme="minorHAnsi" w:hAnsiTheme="minorHAnsi"/>
          <w:szCs w:val="24"/>
        </w:rPr>
        <w:t>, t</w:t>
      </w:r>
      <w:r w:rsidRPr="00734ABE">
        <w:rPr>
          <w:rFonts w:asciiTheme="minorHAnsi" w:hAnsiTheme="minorHAnsi"/>
          <w:szCs w:val="24"/>
        </w:rPr>
        <w:t xml:space="preserve">here is no white canvas to highlight. We are expected to rebuild the model and aircraft in flight. </w:t>
      </w:r>
      <w:r w:rsidR="007D45AE" w:rsidRPr="00734ABE">
        <w:rPr>
          <w:rFonts w:asciiTheme="minorHAnsi" w:hAnsiTheme="minorHAnsi"/>
          <w:szCs w:val="24"/>
        </w:rPr>
        <w:t>T</w:t>
      </w:r>
      <w:r w:rsidRPr="00734ABE">
        <w:rPr>
          <w:rFonts w:asciiTheme="minorHAnsi" w:hAnsiTheme="minorHAnsi"/>
          <w:szCs w:val="24"/>
        </w:rPr>
        <w:t>eachers who have managed to take a school out of a new school believe renovations will be critical if they adapt their approach to reality. For these students and teachers in the system, the adjustment has implications for clarity and potential results.</w:t>
      </w:r>
      <w:r w:rsidR="001F6B73" w:rsidRPr="00734ABE">
        <w:rPr>
          <w:rFonts w:asciiTheme="minorHAnsi" w:hAnsiTheme="minorHAnsi"/>
          <w:szCs w:val="24"/>
        </w:rPr>
        <w:t xml:space="preserve">  </w:t>
      </w:r>
      <w:r w:rsidRPr="00734ABE">
        <w:rPr>
          <w:rFonts w:asciiTheme="minorHAnsi" w:hAnsiTheme="minorHAnsi"/>
          <w:szCs w:val="24"/>
        </w:rPr>
        <w:t>The incredible progress made in bridging the gap is expected to continue as the more comprehensive program is implemented</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{"citationItems":[{"id":"ITEM-1","itemData":{"DOI":"10.1080/01421590902825149","ISSN":"0142159X","PMID":"19811128","abstract":"This Guide, a combined work by three authors from different countries, provides perspectives into the history of teaching gross anatomy, briefly, from the earliest of times, through to a detailed examination of curricula in both traditional didactic approaches and Problem-Based Learning (PBL) curricula. The delivery of a module within a curriculum in tertiary education is interplay between the content (knowledge and skills) of a subject, the teaching staff involved, the students and their approaches to learning, and the philosophy underpinning the delivery of the learning material. The work is divided into sections that deal with approaches to learning anatomy from the perspective of students, to delivery of the content of the curriculum by lecturers, including the assessment of knowledge, and itemises the topics that could be considered important for an appropriate anatomy module in an integrated course, delivered in a way that emphasises clinical application. The work concludes by looking to the future, and considering what measures may need to be addressed to ensure the continued development of anatomy as a clinically relevant subject in any medical curriculum. © 2009 Informa UK Ltd.","author":[{"dropping-particle":"","family":"Louw","given":"Graham","non-dropping-particle":"","parse-names":false,"suffix":""},{"dropping-particle":"","family":"Eizenberg","given":"Norman","non-dropping-particle":"","parse-names":false,"suffix":""},{"dropping-particle":"","family":"Carmichael","given":"Stephen W.","non-dropping-particle":"","parse-names":false,"suffix":""}],"container-title":"Medical Teacher","id":"ITEM-1","issued":{"date-parts":[["2009"]]},"title":"The place of anatomy in medical education: AMEE Guide no 41","type":"article"},"uris":["http://www.mendeley.com/documents/?uuid=73140f57-0782-481b-9b31-5c796372e928","http://www.mendeley.com/documents/?uuid=b9fe406a-83e9-4e2f-812f-5b24886b89f7"]}],"mendeley":{"formattedCitation":"(Louw, Eizenberg and Carmichael, 2009)","plainTextFormattedCitation":"(Louw, Eizenberg and Carmichael, 2009)","previouslyFormattedCitation":"(Louw, Eizenberg and Carmichael, 2009)"},"properties":{"noteIndex":0},"schema":"https://github.com/citation-style-language/schema/raw/master/csl-citation.json"}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Louw, Eizenberg and Carmichael, </w:t>
      </w:r>
      <w:r w:rsidR="007D45AE" w:rsidRPr="00734ABE">
        <w:rPr>
          <w:rFonts w:asciiTheme="minorHAnsi" w:hAnsiTheme="minorHAnsi"/>
          <w:noProof/>
          <w:szCs w:val="24"/>
        </w:rPr>
        <w:t>(</w:t>
      </w:r>
      <w:r w:rsidR="00E50E02" w:rsidRPr="00734ABE">
        <w:rPr>
          <w:rFonts w:asciiTheme="minorHAnsi" w:hAnsiTheme="minorHAnsi"/>
          <w:noProof/>
          <w:szCs w:val="24"/>
        </w:rPr>
        <w:t>2009)</w:t>
      </w:r>
      <w:r w:rsidR="00E50E02" w:rsidRPr="00734ABE">
        <w:rPr>
          <w:rFonts w:asciiTheme="minorHAnsi" w:hAnsiTheme="minorHAnsi"/>
          <w:szCs w:val="24"/>
        </w:rPr>
        <w:fldChar w:fldCharType="end"/>
      </w:r>
      <w:r w:rsidRPr="00734ABE">
        <w:rPr>
          <w:rFonts w:asciiTheme="minorHAnsi" w:hAnsiTheme="minorHAnsi"/>
          <w:szCs w:val="24"/>
        </w:rPr>
        <w:t>.</w:t>
      </w:r>
      <w:r w:rsidR="001F6B73" w:rsidRPr="00734ABE">
        <w:rPr>
          <w:rFonts w:asciiTheme="minorHAnsi" w:hAnsiTheme="minorHAnsi"/>
          <w:szCs w:val="24"/>
        </w:rPr>
        <w:t xml:space="preserve">  </w:t>
      </w:r>
      <w:r w:rsidRPr="00734ABE">
        <w:rPr>
          <w:rFonts w:asciiTheme="minorHAnsi" w:hAnsiTheme="minorHAnsi"/>
          <w:szCs w:val="24"/>
        </w:rPr>
        <w:t xml:space="preserve">The term "clutter" is often used to describe the realities of implementation in schools. This is one of the main reasons why what has been tested and observed in laboratories is so difficult to put into practice. Take, for example, the growth mind-set: It's a great idea and can be seen in behaviour, but implementation has little effect in "trivial" reality </w:t>
      </w:r>
      <w:r w:rsidR="00BA61B1" w:rsidRPr="00734ABE">
        <w:rPr>
          <w:rFonts w:asciiTheme="minorHAnsi" w:hAnsiTheme="minorHAnsi"/>
          <w:szCs w:val="24"/>
        </w:rPr>
        <w:t>when measured empirically</w:t>
      </w:r>
      <w:r w:rsidR="00F028CB" w:rsidRPr="00734ABE">
        <w:rPr>
          <w:rFonts w:asciiTheme="minorHAnsi" w:hAnsiTheme="minorHAnsi"/>
          <w:szCs w:val="24"/>
        </w:rPr>
        <w:t xml:space="preserve">. </w:t>
      </w:r>
      <w:r w:rsidRPr="00734ABE">
        <w:rPr>
          <w:rFonts w:asciiTheme="minorHAnsi" w:hAnsiTheme="minorHAnsi"/>
          <w:szCs w:val="24"/>
        </w:rPr>
        <w:t>Implementing a new program is a huge task</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4D44E8" w:rsidRPr="00734ABE" w:rsidRDefault="00320381" w:rsidP="0091165F">
      <w:pPr>
        <w:ind w:firstLine="0"/>
        <w:rPr>
          <w:rFonts w:asciiTheme="minorHAnsi" w:hAnsiTheme="minorHAnsi"/>
          <w:szCs w:val="24"/>
        </w:rPr>
      </w:pPr>
      <w:r w:rsidRPr="00734ABE">
        <w:rPr>
          <w:rFonts w:asciiTheme="minorHAnsi" w:hAnsiTheme="minorHAnsi"/>
          <w:szCs w:val="24"/>
        </w:rPr>
        <w:t>Deep learning takes time and requires completely different learning strategies to gain a superficial understanding. The transition from "surface" to "depth" and "displacement" is in great demand.</w:t>
      </w:r>
      <w:r w:rsidR="00262EAC" w:rsidRPr="00734ABE">
        <w:rPr>
          <w:rFonts w:asciiTheme="minorHAnsi" w:hAnsiTheme="minorHAnsi"/>
          <w:szCs w:val="24"/>
        </w:rPr>
        <w:t xml:space="preserve">  </w:t>
      </w:r>
      <w:r w:rsidRPr="00734ABE">
        <w:rPr>
          <w:rFonts w:asciiTheme="minorHAnsi" w:hAnsiTheme="minorHAnsi"/>
          <w:szCs w:val="24"/>
        </w:rPr>
        <w:t xml:space="preserve">Currently, about 95% of primary schooling is superficial. The teacher's speech lasts an average of 89% of the class time (look for visible classrooms in over 4,000 </w:t>
      </w:r>
      <w:r w:rsidRPr="00734ABE">
        <w:rPr>
          <w:rFonts w:asciiTheme="minorHAnsi" w:hAnsiTheme="minorHAnsi"/>
          <w:szCs w:val="24"/>
        </w:rPr>
        <w:lastRenderedPageBreak/>
        <w:t>lessons). This preserves the surface, but is less effective.</w:t>
      </w:r>
      <w:r w:rsidR="006833A5" w:rsidRPr="00734ABE">
        <w:rPr>
          <w:rFonts w:asciiTheme="minorHAnsi" w:hAnsiTheme="minorHAnsi"/>
          <w:szCs w:val="24"/>
        </w:rPr>
        <w:t xml:space="preserve">  </w:t>
      </w:r>
      <w:r w:rsidRPr="00734ABE">
        <w:rPr>
          <w:rFonts w:asciiTheme="minorHAnsi" w:hAnsiTheme="minorHAnsi"/>
          <w:szCs w:val="24"/>
        </w:rPr>
        <w:t xml:space="preserve">While there are proven models that can facilitate deepening, current practice in primary </w:t>
      </w:r>
      <w:r w:rsidR="00F028CB" w:rsidRPr="00734ABE">
        <w:rPr>
          <w:rFonts w:asciiTheme="minorHAnsi" w:hAnsiTheme="minorHAnsi"/>
          <w:szCs w:val="24"/>
        </w:rPr>
        <w:t>schools is very limited in use.</w:t>
      </w:r>
      <w:r w:rsidR="0091165F" w:rsidRPr="00734ABE">
        <w:rPr>
          <w:rFonts w:asciiTheme="minorHAnsi" w:hAnsiTheme="minorHAnsi"/>
          <w:szCs w:val="24"/>
        </w:rPr>
        <w:t xml:space="preserve"> </w:t>
      </w:r>
      <w:r w:rsidRPr="00734ABE">
        <w:rPr>
          <w:rFonts w:asciiTheme="minorHAnsi" w:hAnsiTheme="minorHAnsi"/>
          <w:szCs w:val="24"/>
        </w:rPr>
        <w:t xml:space="preserve">Depth should be central to the design of any curriculum. This requires a deep dive into </w:t>
      </w:r>
      <w:r w:rsidR="00841D9E" w:rsidRPr="00734ABE">
        <w:rPr>
          <w:rFonts w:asciiTheme="minorHAnsi" w:hAnsiTheme="minorHAnsi"/>
          <w:szCs w:val="24"/>
        </w:rPr>
        <w:t xml:space="preserve">the </w:t>
      </w:r>
      <w:r w:rsidRPr="00734ABE">
        <w:rPr>
          <w:rFonts w:asciiTheme="minorHAnsi" w:hAnsiTheme="minorHAnsi"/>
          <w:szCs w:val="24"/>
        </w:rPr>
        <w:t>data, SOLO taxonomy, and other support strategies, all of which require significant investment to develop the experience</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320381" w:rsidRPr="00734ABE" w:rsidRDefault="00320381" w:rsidP="0091165F">
      <w:pPr>
        <w:ind w:firstLine="0"/>
        <w:rPr>
          <w:rFonts w:asciiTheme="minorHAnsi" w:hAnsiTheme="minorHAnsi"/>
          <w:szCs w:val="24"/>
        </w:rPr>
      </w:pPr>
      <w:r w:rsidRPr="00734ABE">
        <w:rPr>
          <w:rFonts w:asciiTheme="minorHAnsi" w:hAnsiTheme="minorHAnsi"/>
          <w:szCs w:val="24"/>
        </w:rPr>
        <w:t>Currently, the assessment is not too poorly designed to support a larger program. It is too long, unconscious (too often students judge what they already know rather than advance on what they have learned), and it complements rather than is central to the learning process.</w:t>
      </w:r>
    </w:p>
    <w:p w:rsidR="004D44E8" w:rsidRPr="00734ABE" w:rsidRDefault="00320381" w:rsidP="00607CC2">
      <w:pPr>
        <w:ind w:firstLine="0"/>
        <w:rPr>
          <w:rFonts w:asciiTheme="minorHAnsi" w:hAnsiTheme="minorHAnsi"/>
          <w:szCs w:val="24"/>
        </w:rPr>
      </w:pPr>
      <w:r w:rsidRPr="00734ABE">
        <w:rPr>
          <w:rFonts w:asciiTheme="minorHAnsi" w:hAnsiTheme="minorHAnsi"/>
          <w:szCs w:val="24"/>
        </w:rPr>
        <w:t>According to current regulations, teachers and students are considered rude. (William estimates accuracy is 50 %.) Interesting testing schemes were largely accompanied by the transition from levels to knowledge and mastery of skills. Workout is still a relatively ineffective supplement. It could be implementation or timing related. It's true that the move to triple labelling did</w:t>
      </w:r>
      <w:r w:rsidR="00004048" w:rsidRPr="00734ABE">
        <w:rPr>
          <w:rFonts w:asciiTheme="minorHAnsi" w:hAnsiTheme="minorHAnsi"/>
          <w:szCs w:val="24"/>
        </w:rPr>
        <w:t xml:space="preserve"> no</w:t>
      </w:r>
      <w:r w:rsidR="00753374" w:rsidRPr="00734ABE">
        <w:rPr>
          <w:rFonts w:asciiTheme="minorHAnsi" w:hAnsiTheme="minorHAnsi"/>
          <w:szCs w:val="24"/>
        </w:rPr>
        <w:t>t</w:t>
      </w:r>
      <w:r w:rsidRPr="00734ABE">
        <w:rPr>
          <w:rFonts w:asciiTheme="minorHAnsi" w:hAnsiTheme="minorHAnsi"/>
          <w:szCs w:val="24"/>
        </w:rPr>
        <w:t xml:space="preserve"> help with either workload or progress. Professional and comparative judgment takes time, practice and moderation, which significantly increases the workload, but does not necessarily lead to results</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{"citationItems":[{"id":"ITEM-1","itemData":{"DOI":"10.1080/09585176.2012.678500","ISSN":"09585176","abstract":"Within the UK, physical education finds itself, as a curriculum subject, in a contested space with felt pressures from competing discourses and policy areas. This paper contests that over time within this nexus, physical education has become disconnected in four specific ways: from the wider movement culture, from other curriculum subjects, within the curriculum between different age phases and between training and teacher needs. The paper discusses each of these disconnections and, importantly, offers suggestions about how reconnections might be found. © 2012 Copyright Taylor and Francis Group, LLC.","author":[{"dropping-particle":"","family":"Griggs","given":"Gerald","non-dropping-particle":"","parse-names":false,"suffix":""},{"dropping-particle":"","family":"Ward","given":"Gavin","non-dropping-particle":"","parse-names":false,"suffix":""}],"container-title":"Curriculum Journal","id":"ITEM-1","issued":{"date-parts":[["2012"]]},"title":"Physical Education in the UK: Disconnections and reconnections","type":"article-journal"},"uris":["http://www.mendeley.com/documents/?uuid=e3e5a489-2fad-4e1c-a13f-93b2cafa65d7","http://www.mendeley.com/documents/?uuid=81d7fb4e-a128-4019-a711-df182f9917a5"]}],"mendeley":{"formattedCitation":"(Griggs and Ward, 2012)","plainTextFormattedCitation":"(Griggs and Ward, 2012)","previouslyFormattedCitation":"(Griggs and Ward, 2012)"},"properties":{"noteIndex":0},"schema":"https://github.com/citation-style-language/schema/raw/master/csl-citation.json"}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 xml:space="preserve">Griggs and Ward, </w:t>
      </w:r>
      <w:r w:rsidR="00753374" w:rsidRPr="00734ABE">
        <w:rPr>
          <w:rFonts w:asciiTheme="minorHAnsi" w:hAnsiTheme="minorHAnsi"/>
          <w:noProof/>
          <w:szCs w:val="24"/>
        </w:rPr>
        <w:t>(</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Pr="00734ABE">
        <w:rPr>
          <w:rFonts w:asciiTheme="minorHAnsi" w:hAnsiTheme="minorHAnsi"/>
          <w:szCs w:val="24"/>
        </w:rPr>
        <w:t>.</w:t>
      </w:r>
      <w:r w:rsidR="00753374" w:rsidRPr="00734ABE">
        <w:rPr>
          <w:rFonts w:asciiTheme="minorHAnsi" w:hAnsiTheme="minorHAnsi"/>
          <w:szCs w:val="24"/>
        </w:rPr>
        <w:t xml:space="preserve"> </w:t>
      </w:r>
      <w:r w:rsidRPr="00734ABE">
        <w:rPr>
          <w:rFonts w:asciiTheme="minorHAnsi" w:hAnsiTheme="minorHAnsi"/>
          <w:szCs w:val="24"/>
        </w:rPr>
        <w:t>An assessment approach is needed and is an integral part of program design. One who puts an end to the false contradiction between formative and summative, one who accepts rubric and learning progress? A system that enhances students' ability to assess. One that exceeds expectations and clearly defines the next steps.</w:t>
      </w:r>
      <w:r w:rsidR="00607CC2" w:rsidRPr="00734ABE">
        <w:rPr>
          <w:rFonts w:asciiTheme="minorHAnsi" w:hAnsiTheme="minorHAnsi"/>
          <w:szCs w:val="24"/>
        </w:rPr>
        <w:t xml:space="preserve"> </w:t>
      </w:r>
      <w:r w:rsidRPr="00734ABE">
        <w:rPr>
          <w:rFonts w:asciiTheme="minorHAnsi" w:hAnsiTheme="minorHAnsi"/>
          <w:szCs w:val="24"/>
        </w:rPr>
        <w:t xml:space="preserve">There are international models that can be </w:t>
      </w:r>
      <w:r w:rsidR="00607CC2" w:rsidRPr="00734ABE">
        <w:rPr>
          <w:rFonts w:asciiTheme="minorHAnsi" w:hAnsiTheme="minorHAnsi"/>
          <w:szCs w:val="24"/>
        </w:rPr>
        <w:t>customised</w:t>
      </w:r>
      <w:r w:rsidRPr="00734ABE">
        <w:rPr>
          <w:rFonts w:asciiTheme="minorHAnsi" w:hAnsiTheme="minorHAnsi"/>
          <w:szCs w:val="24"/>
        </w:rPr>
        <w:t>. With the political threat to THS, scheduling uncertainty is a shaky relationship</w:t>
      </w:r>
      <w:r w:rsidR="004D44E8" w:rsidRPr="00734ABE">
        <w:rPr>
          <w:rFonts w:asciiTheme="minorHAnsi" w:hAnsiTheme="minorHAnsi"/>
          <w:szCs w:val="24"/>
        </w:rPr>
        <w:t>.</w:t>
      </w:r>
    </w:p>
    <w:p w:rsidR="003E6719" w:rsidRPr="00734ABE" w:rsidRDefault="003E6719" w:rsidP="004D44E8">
      <w:pPr>
        <w:ind w:firstLine="0"/>
        <w:rPr>
          <w:rFonts w:asciiTheme="minorHAnsi" w:hAnsiTheme="minorHAnsi"/>
          <w:szCs w:val="24"/>
        </w:rPr>
      </w:pPr>
    </w:p>
    <w:p w:rsidR="00432777" w:rsidRPr="00734ABE" w:rsidRDefault="00320381" w:rsidP="0037735E">
      <w:pPr>
        <w:ind w:firstLine="0"/>
        <w:rPr>
          <w:rFonts w:asciiTheme="minorHAnsi" w:hAnsiTheme="minorHAnsi"/>
          <w:szCs w:val="24"/>
        </w:rPr>
      </w:pPr>
      <w:r w:rsidRPr="00734ABE">
        <w:rPr>
          <w:rFonts w:asciiTheme="minorHAnsi" w:hAnsiTheme="minorHAnsi"/>
          <w:szCs w:val="24"/>
        </w:rPr>
        <w:t xml:space="preserve">The new </w:t>
      </w:r>
      <w:r w:rsidR="00607CC2" w:rsidRPr="00734ABE">
        <w:rPr>
          <w:rFonts w:asciiTheme="minorHAnsi" w:hAnsiTheme="minorHAnsi"/>
          <w:szCs w:val="24"/>
        </w:rPr>
        <w:t>child</w:t>
      </w:r>
      <w:r w:rsidRPr="00734ABE">
        <w:rPr>
          <w:rFonts w:asciiTheme="minorHAnsi" w:hAnsiTheme="minorHAnsi"/>
          <w:szCs w:val="24"/>
        </w:rPr>
        <w:t xml:space="preserve"> has a real impact on the learning block design. Impact cycles, magnitude of impact and emphasis on assessment are still in their infancy. All evidence suggests that the greatest impact occurs when it is based on the collective effectiveness of teachers.</w:t>
      </w:r>
      <w:r w:rsidR="00607CC2" w:rsidRPr="00734ABE">
        <w:rPr>
          <w:rFonts w:asciiTheme="minorHAnsi" w:hAnsiTheme="minorHAnsi"/>
          <w:szCs w:val="24"/>
        </w:rPr>
        <w:t xml:space="preserve"> </w:t>
      </w:r>
      <w:r w:rsidRPr="00734ABE">
        <w:rPr>
          <w:rFonts w:asciiTheme="minorHAnsi" w:hAnsiTheme="minorHAnsi"/>
          <w:szCs w:val="24"/>
        </w:rPr>
        <w:t>To date, we have reached areas of highly probable strategies based on the work of Hattie, Marzano, EEF, and other advocates of educational research. While this is just the beginning, many people misunderstand the key message of influence. This leads to a lot of confusion about correct teaching, reinforced by formal teaching behaviour, observation of lessons, and activities such as learning to walk and managing academic performance. The judgment can easily become rampant.</w:t>
      </w:r>
      <w:r w:rsidR="00D87A4B" w:rsidRPr="00734ABE">
        <w:rPr>
          <w:rFonts w:asciiTheme="minorHAnsi" w:hAnsiTheme="minorHAnsi"/>
          <w:szCs w:val="24"/>
        </w:rPr>
        <w:t xml:space="preserve"> </w:t>
      </w:r>
      <w:r w:rsidRPr="00734ABE">
        <w:rPr>
          <w:rFonts w:asciiTheme="minorHAnsi" w:hAnsiTheme="minorHAnsi"/>
          <w:szCs w:val="24"/>
        </w:rPr>
        <w:t>While this may eliminate some of the worst practices, most of them are a shift in emphasis from development to impact on the material productivity of teachers.</w:t>
      </w:r>
      <w:r w:rsidR="00D87A4B" w:rsidRPr="00734ABE">
        <w:rPr>
          <w:rFonts w:asciiTheme="minorHAnsi" w:hAnsiTheme="minorHAnsi"/>
          <w:szCs w:val="24"/>
        </w:rPr>
        <w:t xml:space="preserve"> </w:t>
      </w:r>
      <w:r w:rsidRPr="00734ABE">
        <w:rPr>
          <w:rFonts w:asciiTheme="minorHAnsi" w:hAnsiTheme="minorHAnsi"/>
          <w:szCs w:val="24"/>
        </w:rPr>
        <w:t>For impact to work as a process, it must primarily focus on learning and engaging all parties together</w:t>
      </w:r>
      <w:r w:rsidR="00E50E02" w:rsidRPr="00734ABE">
        <w:rPr>
          <w:rFonts w:asciiTheme="minorHAnsi" w:hAnsiTheme="minorHAnsi"/>
          <w:szCs w:val="24"/>
        </w:rPr>
        <w:t xml:space="preserve"> </w:t>
      </w:r>
      <w:r w:rsidR="00E50E02" w:rsidRPr="00734ABE">
        <w:rPr>
          <w:rFonts w:asciiTheme="minorHAnsi" w:hAnsiTheme="minorHAnsi"/>
          <w:szCs w:val="24"/>
        </w:rPr>
        <w:fldChar w:fldCharType="begin" w:fldLock="1"/>
      </w:r>
      <w:r w:rsidR="00E50E02" w:rsidRPr="00734ABE">
        <w:rPr>
          <w:rFonts w:asciiTheme="minorHAnsi" w:hAnsiTheme="minorHAnsi"/>
          <w:szCs w:val="24"/>
        </w:rPr>
        <w:instrText>ADDIN CSL_CITATION {"citationItems":[{"id":"ITEM-1","itemData":{"DOI":"10.3109/0142159X.2012.668245","ISSN":"0142159X","PMID":"22449268","abstract":"Background: The millennial learner is reliant on technology to gain knowledge. Social media in the form of Twitter and Facebook provide a unique way to reach these learners. Aims: To demonstrate a supplement to a curriculum using \"push technology\" via Twitter and Facebook to deliver educational content to mobile devices. Methods: A curriculum consisting of high-yield ultrasound concepts was developed and posted to Twitter @EDUltrasound daily. Followers received tweets \"pushed\" directly to their mobile devices. Following the year-long program, followers were surveyed regarding the program's effectiveness. To determine the ways in which tweets were reaching users, followers were categorized demographically. Results: Daily \"tweets\" were posted each morning beginning on July 1, 2010. By the end of the year, there were 87 followers on Twitter and 78 on Facebook. The majority of followers (55.6%) had not previously used Twitter. The majority of followers (88.9%) found Twitter user-friendly, while most (81.5%) found the information useful. Conclusions: Due to ease of use and widespread applicability, Twitter and Facebook are excellent applications of \"push technology\" as a means to deliver educational content. This pilot project demonstrates the potential of social media to both supplement and enhance traditional educational methods. © 2012 Informa UK Ltd.","author":[{"dropping-particle":"","family":"Bahner","given":"David P.","non-dropping-particle":"","parse-names":false,"suffix":""},{"dropping-particle":"","family":"Adkins","given":"Eric","non-dropping-particle":"","parse-names":false,"suffix":""},{"dropping-particle":"","family":"Patel","given":"Nilesh","non-dropping-particle":"","parse-names":false,"suffix":""},{"dropping-particle":"","family":"Donley","given":"Chad","non-dropping-particle":"","parse-names":false,"suffix":""},{"dropping-particle":"","family":"Nagel","given":"Rollin","non-dropping-particle":"","parse-names":false,"suffix":""},{"dropping-particle":"","family":"Kman","given":"Nicholas E.","non-dropping-particle":"","parse-names":false,"suffix":""}],"container-title":"Medical Teacher","id":"ITEM-1","issued":{"date-parts":[["2012"]]},"title":"How we use social media to supplement a novel curriculum in medical education","type":"article-journal"},"uris":["http://www.mendeley.com/documents/?uuid=b6310dc6-c337-4daf-a5b5-6b4ee0a6f0bb","http://www.mendeley.com/documents/?uuid=b1a20b7f-047c-4503-b3a4-ac5bb329aff9"]}],"mendeley":{"formattedCitation":"(Bahner &lt;i&gt;et al.&lt;/i&gt;, 2012)","plainTextFormattedCitation":"(Bahner et al., 2012)","previouslyFormattedCitation":"(Bahner &lt;i&gt;et al.&lt;/i&gt;, 2012)"},"properties":{"noteIndex":0},"schema":"https://github.com/citation-style-language/schema/raw/master/csl-citation.json"}</w:instrText>
      </w:r>
      <w:r w:rsidR="00E50E02" w:rsidRPr="00734ABE">
        <w:rPr>
          <w:rFonts w:asciiTheme="minorHAnsi" w:hAnsiTheme="minorHAnsi"/>
          <w:szCs w:val="24"/>
        </w:rPr>
        <w:fldChar w:fldCharType="separate"/>
      </w:r>
      <w:r w:rsidR="00E50E02" w:rsidRPr="00734ABE">
        <w:rPr>
          <w:rFonts w:asciiTheme="minorHAnsi" w:hAnsiTheme="minorHAnsi"/>
          <w:noProof/>
          <w:szCs w:val="24"/>
        </w:rPr>
        <w:t>Bahner et al</w:t>
      </w:r>
      <w:r w:rsidR="00D87A4B" w:rsidRPr="00734ABE">
        <w:rPr>
          <w:rFonts w:asciiTheme="minorHAnsi" w:hAnsiTheme="minorHAnsi"/>
          <w:noProof/>
          <w:szCs w:val="24"/>
        </w:rPr>
        <w:t>,</w:t>
      </w:r>
      <w:r w:rsidR="0037735E" w:rsidRPr="00734ABE">
        <w:rPr>
          <w:rFonts w:asciiTheme="minorHAnsi" w:hAnsiTheme="minorHAnsi"/>
          <w:noProof/>
          <w:szCs w:val="24"/>
        </w:rPr>
        <w:t xml:space="preserve"> (</w:t>
      </w:r>
      <w:r w:rsidR="00E50E02" w:rsidRPr="00734ABE">
        <w:rPr>
          <w:rFonts w:asciiTheme="minorHAnsi" w:hAnsiTheme="minorHAnsi"/>
          <w:noProof/>
          <w:szCs w:val="24"/>
        </w:rPr>
        <w:t>2012)</w:t>
      </w:r>
      <w:r w:rsidR="00E50E02" w:rsidRPr="00734ABE">
        <w:rPr>
          <w:rFonts w:asciiTheme="minorHAnsi" w:hAnsiTheme="minorHAnsi"/>
          <w:szCs w:val="24"/>
        </w:rPr>
        <w:fldChar w:fldCharType="end"/>
      </w:r>
      <w:r w:rsidR="0037735E" w:rsidRPr="00734ABE">
        <w:rPr>
          <w:rFonts w:asciiTheme="minorHAnsi" w:hAnsiTheme="minorHAnsi"/>
          <w:szCs w:val="24"/>
        </w:rPr>
        <w:t xml:space="preserve">.  </w:t>
      </w:r>
      <w:r w:rsidRPr="00734ABE">
        <w:rPr>
          <w:rFonts w:asciiTheme="minorHAnsi" w:hAnsiTheme="minorHAnsi"/>
          <w:szCs w:val="24"/>
        </w:rPr>
        <w:t>There are no easy answers. For all the political uncertainty and labour pressure, schools should be making changes over a longer period of time</w:t>
      </w:r>
      <w:r w:rsidR="004D44E8" w:rsidRPr="00734ABE">
        <w:rPr>
          <w:rFonts w:asciiTheme="minorHAnsi" w:hAnsiTheme="minorHAnsi"/>
          <w:szCs w:val="24"/>
        </w:rPr>
        <w:t>.</w:t>
      </w:r>
    </w:p>
    <w:p w:rsidR="0037735E" w:rsidRPr="00734ABE" w:rsidRDefault="0037735E" w:rsidP="0037735E">
      <w:pPr>
        <w:ind w:firstLine="0"/>
        <w:rPr>
          <w:rFonts w:asciiTheme="minorHAnsi" w:hAnsiTheme="minorHAnsi"/>
          <w:szCs w:val="24"/>
        </w:rPr>
      </w:pPr>
    </w:p>
    <w:p w:rsidR="0037735E" w:rsidRPr="00734ABE" w:rsidRDefault="0037735E" w:rsidP="0037735E">
      <w:pPr>
        <w:ind w:firstLine="0"/>
        <w:rPr>
          <w:rFonts w:asciiTheme="minorHAnsi" w:hAnsiTheme="minorHAnsi"/>
          <w:szCs w:val="24"/>
        </w:rPr>
      </w:pPr>
      <w:r w:rsidRPr="00734ABE">
        <w:rPr>
          <w:rFonts w:asciiTheme="minorHAnsi" w:hAnsiTheme="minorHAnsi"/>
          <w:szCs w:val="24"/>
        </w:rPr>
        <w:t>To conclude, it is clear to see that there are different factors to be considered w</w:t>
      </w:r>
      <w:r w:rsidR="0006341A" w:rsidRPr="00734ABE">
        <w:rPr>
          <w:rFonts w:asciiTheme="minorHAnsi" w:hAnsiTheme="minorHAnsi"/>
          <w:szCs w:val="24"/>
        </w:rPr>
        <w:t xml:space="preserve">ith the curriculum in wales, whilst looking at different areas, it is clear to see ICT is the main factor throughout.  </w:t>
      </w:r>
      <w:r w:rsidR="00290454" w:rsidRPr="00734ABE">
        <w:rPr>
          <w:rFonts w:asciiTheme="minorHAnsi" w:hAnsiTheme="minorHAnsi"/>
          <w:szCs w:val="24"/>
        </w:rPr>
        <w:t xml:space="preserve">Also whilst looking at the different techniques used, it is clear to see that </w:t>
      </w:r>
      <w:r w:rsidR="00C67A01" w:rsidRPr="00734ABE">
        <w:rPr>
          <w:rFonts w:asciiTheme="minorHAnsi" w:hAnsiTheme="minorHAnsi"/>
          <w:szCs w:val="24"/>
        </w:rPr>
        <w:t>the cur</w:t>
      </w:r>
      <w:r w:rsidR="00E05621" w:rsidRPr="00734ABE">
        <w:rPr>
          <w:rFonts w:asciiTheme="minorHAnsi" w:hAnsiTheme="minorHAnsi"/>
          <w:szCs w:val="24"/>
        </w:rPr>
        <w:t xml:space="preserve">riculum covers different areas.  </w:t>
      </w:r>
      <w:r w:rsidR="00E46FC6">
        <w:rPr>
          <w:rFonts w:asciiTheme="minorHAnsi" w:hAnsiTheme="minorHAnsi"/>
          <w:szCs w:val="24"/>
        </w:rPr>
        <w:t xml:space="preserve">Whilst looking at the different factors it is clear to see there are many straggles in which the curriculum promotes inclusivity. </w:t>
      </w:r>
    </w:p>
    <w:p w:rsidR="00432777" w:rsidRPr="00734ABE" w:rsidRDefault="00432777">
      <w:pPr>
        <w:spacing w:after="160" w:line="259" w:lineRule="auto"/>
        <w:ind w:firstLine="0"/>
        <w:rPr>
          <w:rFonts w:asciiTheme="minorHAnsi" w:hAnsiTheme="minorHAnsi"/>
          <w:szCs w:val="24"/>
        </w:rPr>
      </w:pPr>
      <w:r w:rsidRPr="00734ABE">
        <w:rPr>
          <w:rFonts w:asciiTheme="minorHAnsi" w:hAnsiTheme="minorHAnsi"/>
          <w:szCs w:val="24"/>
        </w:rPr>
        <w:br w:type="page"/>
      </w:r>
    </w:p>
    <w:p w:rsidR="007C214E" w:rsidRPr="006F7C86" w:rsidRDefault="007C214E" w:rsidP="006F7C86">
      <w:pPr>
        <w:widowControl w:val="0"/>
        <w:autoSpaceDE w:val="0"/>
        <w:autoSpaceDN w:val="0"/>
        <w:adjustRightInd w:val="0"/>
        <w:ind w:left="709" w:hanging="709"/>
        <w:rPr>
          <w:rFonts w:asciiTheme="minorHAnsi" w:hAnsiTheme="minorHAnsi"/>
          <w:u w:val="single"/>
        </w:rPr>
      </w:pPr>
      <w:r w:rsidRPr="006F7C86">
        <w:rPr>
          <w:rFonts w:asciiTheme="minorHAnsi" w:hAnsiTheme="minorHAnsi"/>
          <w:u w:val="single"/>
        </w:rPr>
        <w:lastRenderedPageBreak/>
        <w:t>Reference list</w:t>
      </w:r>
    </w:p>
    <w:p w:rsidR="006F7C86" w:rsidRDefault="006F7C86" w:rsidP="006F7C86">
      <w:pPr>
        <w:widowControl w:val="0"/>
        <w:autoSpaceDE w:val="0"/>
        <w:autoSpaceDN w:val="0"/>
        <w:adjustRightInd w:val="0"/>
        <w:ind w:left="709" w:hanging="709"/>
        <w:rPr>
          <w:rFonts w:asciiTheme="minorHAnsi" w:hAnsiTheme="minorHAnsi"/>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rPr>
        <w:fldChar w:fldCharType="begin" w:fldLock="1"/>
      </w:r>
      <w:r w:rsidRPr="00387405">
        <w:rPr>
          <w:rFonts w:asciiTheme="minorHAnsi" w:hAnsiTheme="minorHAnsi"/>
        </w:rPr>
        <w:instrText xml:space="preserve">ADDIN Mendeley Bibliography CSL_BIBLIOGRAPHY </w:instrText>
      </w:r>
      <w:r w:rsidRPr="00387405">
        <w:rPr>
          <w:rFonts w:asciiTheme="minorHAnsi" w:hAnsiTheme="minorHAnsi"/>
        </w:rPr>
        <w:fldChar w:fldCharType="separate"/>
      </w:r>
      <w:r w:rsidRPr="00387405">
        <w:rPr>
          <w:rFonts w:asciiTheme="minorHAnsi" w:hAnsiTheme="minorHAnsi" w:cs="Times New Roman"/>
          <w:noProof/>
          <w:szCs w:val="24"/>
        </w:rPr>
        <w:t>Bahner, D. P. et al. (2012) ‘How we use social media to supplement a novel curriculum in medical education’, Medical Teacher. doi: 10.3109/0142159X.2012.668245.</w:t>
      </w:r>
    </w:p>
    <w:p w:rsidR="00EC0450" w:rsidRPr="00387405" w:rsidRDefault="00EC0450"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Craddock, D. et al. (2013) ‘A top-down approach impedes the use of theory? Interprofessional educational leaders’ approaches to curriculum development and the use of learning theory’, Journal of Interprofessional Care. doi: 10.3109/13561820.2012.736888.</w:t>
      </w:r>
    </w:p>
    <w:p w:rsidR="00EC0450" w:rsidRPr="00387405" w:rsidRDefault="00EC0450"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Day, T. and Tosey, P. (2011) ‘Beyond SMART? A new framework for goal setting’, Curriculum Journal. doi: 10.1080/09585176.2011.627213.</w:t>
      </w:r>
    </w:p>
    <w:p w:rsidR="00EC0450" w:rsidRPr="00387405" w:rsidRDefault="00EC0450"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Griggs, G. and Ward, G. (2012) ‘Physical Education in the UK: Disconnections and reconnections’, Curriculum Journal. doi: 10.1080/09585176.2012.678500.</w:t>
      </w:r>
    </w:p>
    <w:p w:rsidR="00EC0450" w:rsidRPr="00387405" w:rsidRDefault="00EC0450"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Louw, G., Eizenberg, N. and Carmichael, S. W. (2009) ‘The place of anatomy in medical education: AMEE Guide no 41’, Medical Teacher. doi: 10.1080/01421590902825149.</w:t>
      </w:r>
    </w:p>
    <w:p w:rsidR="00963724" w:rsidRPr="00387405" w:rsidRDefault="00963724"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Malik, A. S. and Malik, R. H. (2011) ‘Twelve tips for developing an integrated curriculum’, Medical Teacher. doi: 10.3109/0142159X.2010.507711.</w:t>
      </w:r>
    </w:p>
    <w:p w:rsidR="00963724" w:rsidRPr="00387405" w:rsidRDefault="00963724"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963724">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Mossop, L. et al. (2013) ‘Analysing the hidden curriculum: Use of a cultural web’, Medical Education. doi: 10.1111/medu.12072.</w:t>
      </w:r>
    </w:p>
    <w:p w:rsidR="00963724" w:rsidRPr="00387405" w:rsidRDefault="00963724" w:rsidP="00963724">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963724">
      <w:pPr>
        <w:widowControl w:val="0"/>
        <w:autoSpaceDE w:val="0"/>
        <w:autoSpaceDN w:val="0"/>
        <w:adjustRightInd w:val="0"/>
        <w:ind w:left="720" w:hanging="709"/>
        <w:rPr>
          <w:rFonts w:asciiTheme="minorHAnsi" w:hAnsiTheme="minorHAnsi" w:cs="Times New Roman"/>
          <w:noProof/>
          <w:szCs w:val="24"/>
        </w:rPr>
      </w:pPr>
      <w:r w:rsidRPr="00387405">
        <w:rPr>
          <w:rFonts w:asciiTheme="minorHAnsi" w:hAnsiTheme="minorHAnsi" w:cs="Times New Roman"/>
          <w:noProof/>
          <w:szCs w:val="24"/>
        </w:rPr>
        <w:t>Noble, L. M. et al. (2018) ‘Consensus statement on an updated core communication curriculum for UK undergraduate medical education’, Patient Education and Counseling. doi: 10.1016/j.pec.2018.04.013.</w:t>
      </w:r>
    </w:p>
    <w:p w:rsidR="00963724" w:rsidRPr="00387405" w:rsidRDefault="00963724" w:rsidP="00963724">
      <w:pPr>
        <w:widowControl w:val="0"/>
        <w:autoSpaceDE w:val="0"/>
        <w:autoSpaceDN w:val="0"/>
        <w:adjustRightInd w:val="0"/>
        <w:ind w:left="720"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O’Sullivan, H. et al. (2012a) ‘Integrating professionalism into the curriculum: AMEE Guide No. 61’, Medical Teacher. doi: 10.3109/0142159X.2012.655610.</w:t>
      </w: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O’Sullivan, H. et al. (2012b) ‘Integrating professionalism into the curriculum’, Medical Teacher. doi: 10.3109/0142159X.2011.595600.</w:t>
      </w:r>
    </w:p>
    <w:p w:rsidR="00963724" w:rsidRPr="00387405" w:rsidRDefault="00963724" w:rsidP="00E50E02">
      <w:pPr>
        <w:widowControl w:val="0"/>
        <w:autoSpaceDE w:val="0"/>
        <w:autoSpaceDN w:val="0"/>
        <w:adjustRightInd w:val="0"/>
        <w:ind w:left="709" w:hanging="709"/>
        <w:rPr>
          <w:rFonts w:asciiTheme="minorHAnsi" w:hAnsiTheme="minorHAnsi" w:cs="Times New Roman"/>
          <w:noProof/>
          <w:szCs w:val="24"/>
        </w:rPr>
      </w:pPr>
    </w:p>
    <w:p w:rsidR="00E50E02"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Taylor, D. C. M. and Hamdy, H. (2013) ‘Adult learning theories: Implications for learning and teaching in medical education: AMEE Guide No. 83’, Medical Teacher. doi: 10.3109/0142159X.2013.828153.</w:t>
      </w:r>
    </w:p>
    <w:p w:rsidR="007F3FBB" w:rsidRPr="00387405" w:rsidRDefault="007F3FBB" w:rsidP="00E50E02">
      <w:pPr>
        <w:widowControl w:val="0"/>
        <w:autoSpaceDE w:val="0"/>
        <w:autoSpaceDN w:val="0"/>
        <w:adjustRightInd w:val="0"/>
        <w:ind w:left="709" w:hanging="709"/>
        <w:rPr>
          <w:rFonts w:asciiTheme="minorHAnsi" w:hAnsiTheme="minorHAnsi" w:cs="Times New Roman"/>
          <w:noProof/>
          <w:szCs w:val="24"/>
        </w:rPr>
      </w:pPr>
    </w:p>
    <w:p w:rsidR="007F3FBB" w:rsidRPr="00387405" w:rsidRDefault="007F3FBB" w:rsidP="0013596C">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Ten Cate, T. J., Kusurkar, R. A. and Williams, G. C. (2011) ‘How self-determination theory can assist our understanding of the teaching and learning processes in medical education. AMEE Guide No. 59’, Medical Teacher. doi: 10.3109/0142159X.2011.595435.</w:t>
      </w:r>
    </w:p>
    <w:p w:rsidR="00963724" w:rsidRPr="00387405" w:rsidRDefault="00963724" w:rsidP="00E50E02">
      <w:pPr>
        <w:widowControl w:val="0"/>
        <w:autoSpaceDE w:val="0"/>
        <w:autoSpaceDN w:val="0"/>
        <w:adjustRightInd w:val="0"/>
        <w:ind w:left="709" w:hanging="709"/>
        <w:rPr>
          <w:rFonts w:asciiTheme="minorHAnsi" w:hAnsiTheme="minorHAnsi" w:cs="Times New Roman"/>
          <w:noProof/>
          <w:szCs w:val="24"/>
        </w:rPr>
      </w:pPr>
    </w:p>
    <w:p w:rsidR="00E50E02" w:rsidRPr="00387405" w:rsidRDefault="00E50E02" w:rsidP="00E50E02">
      <w:pPr>
        <w:widowControl w:val="0"/>
        <w:autoSpaceDE w:val="0"/>
        <w:autoSpaceDN w:val="0"/>
        <w:adjustRightInd w:val="0"/>
        <w:ind w:left="709" w:hanging="709"/>
        <w:rPr>
          <w:rFonts w:asciiTheme="minorHAnsi" w:hAnsiTheme="minorHAnsi" w:cs="Times New Roman"/>
          <w:noProof/>
          <w:szCs w:val="24"/>
        </w:rPr>
      </w:pPr>
      <w:r w:rsidRPr="00387405">
        <w:rPr>
          <w:rFonts w:asciiTheme="minorHAnsi" w:hAnsiTheme="minorHAnsi" w:cs="Times New Roman"/>
          <w:noProof/>
          <w:szCs w:val="24"/>
        </w:rPr>
        <w:t>UKFP, U. F. P. O. (2016) ‘The Foundation Programme Curriculum 2016’, The Foundation Programme Curriculum 2016.</w:t>
      </w:r>
    </w:p>
    <w:p w:rsidR="00963724" w:rsidRPr="00387405" w:rsidRDefault="00963724" w:rsidP="00E50E02">
      <w:pPr>
        <w:widowControl w:val="0"/>
        <w:autoSpaceDE w:val="0"/>
        <w:autoSpaceDN w:val="0"/>
        <w:adjustRightInd w:val="0"/>
        <w:ind w:left="709" w:hanging="709"/>
        <w:rPr>
          <w:rFonts w:asciiTheme="minorHAnsi" w:hAnsiTheme="minorHAnsi" w:cs="Times New Roman"/>
          <w:noProof/>
          <w:szCs w:val="24"/>
        </w:rPr>
      </w:pPr>
    </w:p>
    <w:p w:rsidR="00EC0450" w:rsidRPr="00387405" w:rsidRDefault="008206B5" w:rsidP="00E50E02">
      <w:pPr>
        <w:widowControl w:val="0"/>
        <w:autoSpaceDE w:val="0"/>
        <w:autoSpaceDN w:val="0"/>
        <w:adjustRightInd w:val="0"/>
        <w:ind w:left="709" w:hanging="709"/>
        <w:rPr>
          <w:rFonts w:asciiTheme="minorHAnsi" w:hAnsiTheme="minorHAnsi" w:cs="Times New Roman"/>
          <w:noProof/>
        </w:rPr>
      </w:pPr>
      <w:r>
        <w:rPr>
          <w:rFonts w:asciiTheme="minorHAnsi" w:hAnsiTheme="minorHAnsi" w:cs="Times New Roman"/>
          <w:noProof/>
          <w:szCs w:val="24"/>
        </w:rPr>
        <w:t xml:space="preserve">Welsh Government (2015) ‘Foundation Phase’. Available at: </w:t>
      </w:r>
      <w:r w:rsidR="00640789" w:rsidRPr="00640789">
        <w:rPr>
          <w:rFonts w:asciiTheme="minorHAnsi" w:hAnsiTheme="minorHAnsi" w:cs="Times New Roman"/>
          <w:noProof/>
          <w:szCs w:val="24"/>
        </w:rPr>
        <w:lastRenderedPageBreak/>
        <w:t>https://gov.wales/sites/default/files/publications/2018-02/foundation-phase-framework-revised-2015.pdf</w:t>
      </w:r>
      <w:r w:rsidR="00640789">
        <w:rPr>
          <w:rFonts w:asciiTheme="minorHAnsi" w:hAnsiTheme="minorHAnsi" w:cs="Times New Roman"/>
          <w:noProof/>
          <w:szCs w:val="24"/>
        </w:rPr>
        <w:t xml:space="preserve">. (Accessed: 30th November 2020).  </w:t>
      </w:r>
    </w:p>
    <w:p w:rsidR="0045240F" w:rsidRPr="008414EE" w:rsidRDefault="00E50E02" w:rsidP="00E50E02">
      <w:pPr>
        <w:ind w:left="709" w:hanging="709"/>
      </w:pPr>
      <w:r w:rsidRPr="00387405">
        <w:rPr>
          <w:rFonts w:asciiTheme="minorHAnsi" w:hAnsiTheme="minorHAnsi"/>
        </w:rPr>
        <w:fldChar w:fldCharType="end"/>
      </w:r>
    </w:p>
    <w:sectPr w:rsidR="0045240F" w:rsidRPr="008414EE" w:rsidSect="00A066BA">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70210" w:rsidRDefault="00870210" w:rsidP="00A066BA">
      <w:r>
        <w:separator/>
      </w:r>
    </w:p>
  </w:endnote>
  <w:endnote w:type="continuationSeparator" w:id="0">
    <w:p w:rsidR="00870210" w:rsidRDefault="00870210" w:rsidP="00A066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066BA" w:rsidRDefault="00A066BA" w:rsidP="003F1708">
    <w:pPr>
      <w:pStyle w:val="Footer"/>
      <w:pBdr>
        <w:top w:val="single" w:sz="4" w:space="1" w:color="D9D9D9" w:themeColor="background1" w:themeShade="D9"/>
      </w:pBdr>
      <w:ind w:firstLine="0"/>
    </w:pPr>
  </w:p>
  <w:p w:rsidR="00A066BA" w:rsidRDefault="00A066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70210" w:rsidRDefault="00870210" w:rsidP="00A066BA">
      <w:r>
        <w:separator/>
      </w:r>
    </w:p>
  </w:footnote>
  <w:footnote w:type="continuationSeparator" w:id="0">
    <w:p w:rsidR="00870210" w:rsidRDefault="00870210" w:rsidP="00A066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751A0"/>
    <w:multiLevelType w:val="hybridMultilevel"/>
    <w:tmpl w:val="53E26E3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 w15:restartNumberingAfterBreak="0">
    <w:nsid w:val="09FF301E"/>
    <w:multiLevelType w:val="hybridMultilevel"/>
    <w:tmpl w:val="2CA2B8A8"/>
    <w:lvl w:ilvl="0" w:tplc="3586C17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EF32E64"/>
    <w:multiLevelType w:val="hybridMultilevel"/>
    <w:tmpl w:val="22349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8B46E8"/>
    <w:multiLevelType w:val="hybridMultilevel"/>
    <w:tmpl w:val="547A3D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9741E0"/>
    <w:multiLevelType w:val="hybridMultilevel"/>
    <w:tmpl w:val="C5C0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84DD6"/>
    <w:multiLevelType w:val="hybridMultilevel"/>
    <w:tmpl w:val="A10028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5646B40"/>
    <w:multiLevelType w:val="hybridMultilevel"/>
    <w:tmpl w:val="A37C3FE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15:restartNumberingAfterBreak="0">
    <w:nsid w:val="36BF6CCE"/>
    <w:multiLevelType w:val="hybridMultilevel"/>
    <w:tmpl w:val="AD2CE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9A6F33"/>
    <w:multiLevelType w:val="hybridMultilevel"/>
    <w:tmpl w:val="04E04AE2"/>
    <w:lvl w:ilvl="0" w:tplc="540E293A">
      <w:start w:val="5"/>
      <w:numFmt w:val="bullet"/>
      <w:lvlText w:val="•"/>
      <w:lvlJc w:val="left"/>
      <w:pPr>
        <w:ind w:left="1069" w:hanging="360"/>
      </w:pPr>
      <w:rPr>
        <w:rFonts w:ascii="Times New Roman" w:eastAsiaTheme="minorHAnsi" w:hAnsi="Times New Roman" w:cs="Times New Roman"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15:restartNumberingAfterBreak="0">
    <w:nsid w:val="3B1A26F5"/>
    <w:multiLevelType w:val="multilevel"/>
    <w:tmpl w:val="812E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4549D0"/>
    <w:multiLevelType w:val="multilevel"/>
    <w:tmpl w:val="0C1A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1057C4C"/>
    <w:multiLevelType w:val="multilevel"/>
    <w:tmpl w:val="A5926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CCA478E"/>
    <w:multiLevelType w:val="hybridMultilevel"/>
    <w:tmpl w:val="CEA8A30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3" w15:restartNumberingAfterBreak="0">
    <w:nsid w:val="6D1D3BD2"/>
    <w:multiLevelType w:val="hybridMultilevel"/>
    <w:tmpl w:val="489C1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161C01"/>
    <w:multiLevelType w:val="multilevel"/>
    <w:tmpl w:val="FB349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28617A"/>
    <w:multiLevelType w:val="hybridMultilevel"/>
    <w:tmpl w:val="8CD2D5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769864AE"/>
    <w:multiLevelType w:val="hybridMultilevel"/>
    <w:tmpl w:val="6FA8EB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9"/>
  </w:num>
  <w:num w:numId="3">
    <w:abstractNumId w:val="11"/>
  </w:num>
  <w:num w:numId="4">
    <w:abstractNumId w:val="10"/>
  </w:num>
  <w:num w:numId="5">
    <w:abstractNumId w:val="5"/>
  </w:num>
  <w:num w:numId="6">
    <w:abstractNumId w:val="16"/>
  </w:num>
  <w:num w:numId="7">
    <w:abstractNumId w:val="13"/>
  </w:num>
  <w:num w:numId="8">
    <w:abstractNumId w:val="15"/>
  </w:num>
  <w:num w:numId="9">
    <w:abstractNumId w:val="4"/>
  </w:num>
  <w:num w:numId="10">
    <w:abstractNumId w:val="12"/>
  </w:num>
  <w:num w:numId="11">
    <w:abstractNumId w:val="7"/>
  </w:num>
  <w:num w:numId="12">
    <w:abstractNumId w:val="14"/>
  </w:num>
  <w:num w:numId="13">
    <w:abstractNumId w:val="0"/>
  </w:num>
  <w:num w:numId="14">
    <w:abstractNumId w:val="1"/>
  </w:num>
  <w:num w:numId="15">
    <w:abstractNumId w:val="6"/>
  </w:num>
  <w:num w:numId="16">
    <w:abstractNumId w:val="8"/>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4DC4"/>
    <w:rsid w:val="000024DF"/>
    <w:rsid w:val="00004048"/>
    <w:rsid w:val="0001432A"/>
    <w:rsid w:val="0002247F"/>
    <w:rsid w:val="00032A47"/>
    <w:rsid w:val="0004087D"/>
    <w:rsid w:val="00054FA5"/>
    <w:rsid w:val="0006341A"/>
    <w:rsid w:val="00065292"/>
    <w:rsid w:val="0007076E"/>
    <w:rsid w:val="000715DA"/>
    <w:rsid w:val="000951BA"/>
    <w:rsid w:val="00096EDE"/>
    <w:rsid w:val="000B10C7"/>
    <w:rsid w:val="000B53AF"/>
    <w:rsid w:val="000B5BB5"/>
    <w:rsid w:val="00117DD4"/>
    <w:rsid w:val="001213AA"/>
    <w:rsid w:val="00135D9D"/>
    <w:rsid w:val="001739F6"/>
    <w:rsid w:val="00192F70"/>
    <w:rsid w:val="001A437D"/>
    <w:rsid w:val="001B3CC0"/>
    <w:rsid w:val="001C3239"/>
    <w:rsid w:val="001F0490"/>
    <w:rsid w:val="001F6B73"/>
    <w:rsid w:val="00204DC4"/>
    <w:rsid w:val="00262EAC"/>
    <w:rsid w:val="00266B95"/>
    <w:rsid w:val="00290454"/>
    <w:rsid w:val="00295A59"/>
    <w:rsid w:val="002A40C6"/>
    <w:rsid w:val="002B1A0A"/>
    <w:rsid w:val="00307143"/>
    <w:rsid w:val="00311755"/>
    <w:rsid w:val="00312C61"/>
    <w:rsid w:val="00320381"/>
    <w:rsid w:val="00356032"/>
    <w:rsid w:val="0037735E"/>
    <w:rsid w:val="0038232A"/>
    <w:rsid w:val="00387405"/>
    <w:rsid w:val="00391405"/>
    <w:rsid w:val="00393AE8"/>
    <w:rsid w:val="00397B41"/>
    <w:rsid w:val="003E560B"/>
    <w:rsid w:val="003E6719"/>
    <w:rsid w:val="003F1708"/>
    <w:rsid w:val="00402051"/>
    <w:rsid w:val="004137C4"/>
    <w:rsid w:val="00427513"/>
    <w:rsid w:val="00432777"/>
    <w:rsid w:val="0045240F"/>
    <w:rsid w:val="004A7447"/>
    <w:rsid w:val="004C7188"/>
    <w:rsid w:val="004D44E8"/>
    <w:rsid w:val="004D4CD8"/>
    <w:rsid w:val="004D6395"/>
    <w:rsid w:val="004D7188"/>
    <w:rsid w:val="005002A9"/>
    <w:rsid w:val="00540AE1"/>
    <w:rsid w:val="005C1848"/>
    <w:rsid w:val="005C70D5"/>
    <w:rsid w:val="005E2C28"/>
    <w:rsid w:val="00607CC2"/>
    <w:rsid w:val="0061113E"/>
    <w:rsid w:val="00640789"/>
    <w:rsid w:val="00647625"/>
    <w:rsid w:val="0066136C"/>
    <w:rsid w:val="006833A5"/>
    <w:rsid w:val="006D4982"/>
    <w:rsid w:val="006E1575"/>
    <w:rsid w:val="006F7C86"/>
    <w:rsid w:val="007053C2"/>
    <w:rsid w:val="0071219B"/>
    <w:rsid w:val="0072720A"/>
    <w:rsid w:val="00734ABE"/>
    <w:rsid w:val="00746167"/>
    <w:rsid w:val="00750010"/>
    <w:rsid w:val="00753374"/>
    <w:rsid w:val="00761FBF"/>
    <w:rsid w:val="00790C02"/>
    <w:rsid w:val="007C214E"/>
    <w:rsid w:val="007D35A2"/>
    <w:rsid w:val="007D45AE"/>
    <w:rsid w:val="007E6087"/>
    <w:rsid w:val="007F3FBB"/>
    <w:rsid w:val="007F5FCD"/>
    <w:rsid w:val="00816B29"/>
    <w:rsid w:val="008206B5"/>
    <w:rsid w:val="008337C7"/>
    <w:rsid w:val="008414EE"/>
    <w:rsid w:val="00841D9E"/>
    <w:rsid w:val="00866219"/>
    <w:rsid w:val="00870210"/>
    <w:rsid w:val="0091165F"/>
    <w:rsid w:val="00931F1F"/>
    <w:rsid w:val="00944A38"/>
    <w:rsid w:val="00963724"/>
    <w:rsid w:val="009956B1"/>
    <w:rsid w:val="009B0E70"/>
    <w:rsid w:val="009D1CB4"/>
    <w:rsid w:val="009F0205"/>
    <w:rsid w:val="00A066BA"/>
    <w:rsid w:val="00A12AFF"/>
    <w:rsid w:val="00A1769B"/>
    <w:rsid w:val="00A22A29"/>
    <w:rsid w:val="00A243DE"/>
    <w:rsid w:val="00A27304"/>
    <w:rsid w:val="00A360EC"/>
    <w:rsid w:val="00A912A1"/>
    <w:rsid w:val="00AC3C1F"/>
    <w:rsid w:val="00AD0E69"/>
    <w:rsid w:val="00AD6C12"/>
    <w:rsid w:val="00AE6763"/>
    <w:rsid w:val="00AF175E"/>
    <w:rsid w:val="00B017CB"/>
    <w:rsid w:val="00B0457C"/>
    <w:rsid w:val="00B10837"/>
    <w:rsid w:val="00B147F2"/>
    <w:rsid w:val="00B21475"/>
    <w:rsid w:val="00B3705D"/>
    <w:rsid w:val="00B46680"/>
    <w:rsid w:val="00B536BD"/>
    <w:rsid w:val="00B66CB1"/>
    <w:rsid w:val="00B713E0"/>
    <w:rsid w:val="00B81FAB"/>
    <w:rsid w:val="00B8230C"/>
    <w:rsid w:val="00B86C1C"/>
    <w:rsid w:val="00BA61B1"/>
    <w:rsid w:val="00BC2C9F"/>
    <w:rsid w:val="00BE41F8"/>
    <w:rsid w:val="00C142A5"/>
    <w:rsid w:val="00C5029E"/>
    <w:rsid w:val="00C62B70"/>
    <w:rsid w:val="00C67A01"/>
    <w:rsid w:val="00CB3897"/>
    <w:rsid w:val="00CC228D"/>
    <w:rsid w:val="00D04044"/>
    <w:rsid w:val="00D148E8"/>
    <w:rsid w:val="00D43892"/>
    <w:rsid w:val="00D6490C"/>
    <w:rsid w:val="00D722B5"/>
    <w:rsid w:val="00D82225"/>
    <w:rsid w:val="00D87A4B"/>
    <w:rsid w:val="00D93FAA"/>
    <w:rsid w:val="00D97EDE"/>
    <w:rsid w:val="00DF7684"/>
    <w:rsid w:val="00E05621"/>
    <w:rsid w:val="00E05FC2"/>
    <w:rsid w:val="00E31079"/>
    <w:rsid w:val="00E46FC6"/>
    <w:rsid w:val="00E50E02"/>
    <w:rsid w:val="00E744C7"/>
    <w:rsid w:val="00E77C89"/>
    <w:rsid w:val="00E77FB8"/>
    <w:rsid w:val="00E96230"/>
    <w:rsid w:val="00EB15CB"/>
    <w:rsid w:val="00EB2F68"/>
    <w:rsid w:val="00EC0450"/>
    <w:rsid w:val="00EC06AD"/>
    <w:rsid w:val="00F028CB"/>
    <w:rsid w:val="00F373B6"/>
    <w:rsid w:val="00F461CF"/>
    <w:rsid w:val="00F548D8"/>
    <w:rsid w:val="00F55843"/>
    <w:rsid w:val="00F66640"/>
    <w:rsid w:val="00F80527"/>
    <w:rsid w:val="00F81F79"/>
    <w:rsid w:val="00F85E53"/>
    <w:rsid w:val="00F86952"/>
    <w:rsid w:val="00F87ACF"/>
    <w:rsid w:val="00F87E5E"/>
    <w:rsid w:val="00FA64D8"/>
    <w:rsid w:val="00FB6F85"/>
    <w:rsid w:val="00FD73FC"/>
    <w:rsid w:val="00FE6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E6905"/>
  <w15:chartTrackingRefBased/>
  <w15:docId w15:val="{8ECE1CE4-0F9F-4D8E-8963-FFF76ABA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982"/>
    <w:pPr>
      <w:spacing w:after="0" w:line="240" w:lineRule="auto"/>
      <w:ind w:firstLine="709"/>
    </w:pPr>
    <w:rPr>
      <w:rFonts w:ascii="Times New Roman" w:hAnsi="Times New Roman"/>
      <w:sz w:val="24"/>
    </w:rPr>
  </w:style>
  <w:style w:type="paragraph" w:styleId="Heading1">
    <w:name w:val="heading 1"/>
    <w:basedOn w:val="Normal"/>
    <w:next w:val="Normal"/>
    <w:link w:val="Heading1Char"/>
    <w:uiPriority w:val="9"/>
    <w:qFormat/>
    <w:rsid w:val="006D4982"/>
    <w:pPr>
      <w:keepNext/>
      <w:keepLines/>
      <w:ind w:firstLine="0"/>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6D4982"/>
    <w:pPr>
      <w:ind w:firstLine="0"/>
      <w:outlineLvl w:val="1"/>
    </w:pPr>
    <w:rPr>
      <w:rFonts w:eastAsia="Times New Roman" w:cs="Times New Roman"/>
      <w:bCs/>
      <w:i/>
      <w:szCs w:val="36"/>
      <w:lang w:eastAsia="en-GB"/>
    </w:rPr>
  </w:style>
  <w:style w:type="paragraph" w:styleId="Heading3">
    <w:name w:val="heading 3"/>
    <w:basedOn w:val="Normal"/>
    <w:link w:val="Heading3Char"/>
    <w:uiPriority w:val="9"/>
    <w:qFormat/>
    <w:rsid w:val="006D4982"/>
    <w:pPr>
      <w:spacing w:before="100" w:beforeAutospacing="1" w:after="100" w:afterAutospacing="1"/>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1F8"/>
    <w:pPr>
      <w:ind w:left="720"/>
      <w:contextualSpacing/>
    </w:pPr>
  </w:style>
  <w:style w:type="character" w:styleId="Hyperlink">
    <w:name w:val="Hyperlink"/>
    <w:basedOn w:val="DefaultParagraphFont"/>
    <w:uiPriority w:val="99"/>
    <w:unhideWhenUsed/>
    <w:rsid w:val="006D4982"/>
    <w:rPr>
      <w:color w:val="0563C1" w:themeColor="hyperlink"/>
      <w:u w:val="single"/>
    </w:rPr>
  </w:style>
  <w:style w:type="character" w:customStyle="1" w:styleId="Heading2Char">
    <w:name w:val="Heading 2 Char"/>
    <w:basedOn w:val="DefaultParagraphFont"/>
    <w:link w:val="Heading2"/>
    <w:uiPriority w:val="9"/>
    <w:rsid w:val="006D4982"/>
    <w:rPr>
      <w:rFonts w:ascii="Times New Roman" w:eastAsia="Times New Roman" w:hAnsi="Times New Roman" w:cs="Times New Roman"/>
      <w:bCs/>
      <w:i/>
      <w:sz w:val="24"/>
      <w:szCs w:val="36"/>
      <w:lang w:eastAsia="en-GB"/>
    </w:rPr>
  </w:style>
  <w:style w:type="character" w:customStyle="1" w:styleId="Heading3Char">
    <w:name w:val="Heading 3 Char"/>
    <w:basedOn w:val="DefaultParagraphFont"/>
    <w:link w:val="Heading3"/>
    <w:uiPriority w:val="9"/>
    <w:rsid w:val="006D498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D4982"/>
    <w:pPr>
      <w:spacing w:before="100" w:beforeAutospacing="1" w:after="100" w:afterAutospacing="1"/>
    </w:pPr>
    <w:rPr>
      <w:rFonts w:eastAsia="Times New Roman" w:cs="Times New Roman"/>
      <w:szCs w:val="24"/>
      <w:lang w:eastAsia="en-GB"/>
    </w:rPr>
  </w:style>
  <w:style w:type="character" w:styleId="Strong">
    <w:name w:val="Strong"/>
    <w:basedOn w:val="DefaultParagraphFont"/>
    <w:uiPriority w:val="22"/>
    <w:qFormat/>
    <w:rsid w:val="006D4982"/>
    <w:rPr>
      <w:b/>
      <w:bCs/>
    </w:rPr>
  </w:style>
  <w:style w:type="character" w:customStyle="1" w:styleId="Heading1Char">
    <w:name w:val="Heading 1 Char"/>
    <w:basedOn w:val="DefaultParagraphFont"/>
    <w:link w:val="Heading1"/>
    <w:uiPriority w:val="9"/>
    <w:rsid w:val="006D4982"/>
    <w:rPr>
      <w:rFonts w:ascii="Times New Roman" w:eastAsiaTheme="majorEastAsia" w:hAnsi="Times New Roman" w:cstheme="majorBidi"/>
      <w:b/>
      <w:i/>
      <w:color w:val="000000" w:themeColor="text1"/>
      <w:sz w:val="24"/>
      <w:szCs w:val="32"/>
    </w:rPr>
  </w:style>
  <w:style w:type="paragraph" w:styleId="TOCHeading">
    <w:name w:val="TOC Heading"/>
    <w:basedOn w:val="Heading1"/>
    <w:next w:val="Normal"/>
    <w:uiPriority w:val="39"/>
    <w:unhideWhenUsed/>
    <w:qFormat/>
    <w:rsid w:val="004C7188"/>
    <w:pPr>
      <w:spacing w:before="240" w:line="259" w:lineRule="auto"/>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4C7188"/>
    <w:pPr>
      <w:spacing w:after="100"/>
    </w:pPr>
  </w:style>
  <w:style w:type="paragraph" w:styleId="TOC2">
    <w:name w:val="toc 2"/>
    <w:basedOn w:val="Normal"/>
    <w:next w:val="Normal"/>
    <w:autoRedefine/>
    <w:uiPriority w:val="39"/>
    <w:unhideWhenUsed/>
    <w:rsid w:val="004C7188"/>
    <w:pPr>
      <w:spacing w:after="100"/>
      <w:ind w:left="240"/>
    </w:pPr>
  </w:style>
  <w:style w:type="paragraph" w:styleId="Header">
    <w:name w:val="header"/>
    <w:basedOn w:val="Normal"/>
    <w:link w:val="HeaderChar"/>
    <w:uiPriority w:val="99"/>
    <w:unhideWhenUsed/>
    <w:rsid w:val="00A066BA"/>
    <w:pPr>
      <w:tabs>
        <w:tab w:val="center" w:pos="4513"/>
        <w:tab w:val="right" w:pos="9026"/>
      </w:tabs>
    </w:pPr>
  </w:style>
  <w:style w:type="character" w:customStyle="1" w:styleId="HeaderChar">
    <w:name w:val="Header Char"/>
    <w:basedOn w:val="DefaultParagraphFont"/>
    <w:link w:val="Header"/>
    <w:uiPriority w:val="99"/>
    <w:rsid w:val="00A066BA"/>
    <w:rPr>
      <w:rFonts w:ascii="Times New Roman" w:hAnsi="Times New Roman"/>
      <w:sz w:val="24"/>
    </w:rPr>
  </w:style>
  <w:style w:type="paragraph" w:styleId="Footer">
    <w:name w:val="footer"/>
    <w:basedOn w:val="Normal"/>
    <w:link w:val="FooterChar"/>
    <w:uiPriority w:val="99"/>
    <w:unhideWhenUsed/>
    <w:rsid w:val="00A066BA"/>
    <w:pPr>
      <w:tabs>
        <w:tab w:val="center" w:pos="4513"/>
        <w:tab w:val="right" w:pos="9026"/>
      </w:tabs>
    </w:pPr>
  </w:style>
  <w:style w:type="character" w:customStyle="1" w:styleId="FooterChar">
    <w:name w:val="Footer Char"/>
    <w:basedOn w:val="DefaultParagraphFont"/>
    <w:link w:val="Footer"/>
    <w:uiPriority w:val="99"/>
    <w:rsid w:val="00A066BA"/>
    <w:rPr>
      <w:rFonts w:ascii="Times New Roman" w:hAnsi="Times New Roman"/>
      <w:sz w:val="24"/>
    </w:rPr>
  </w:style>
  <w:style w:type="paragraph" w:styleId="EndnoteText">
    <w:name w:val="endnote text"/>
    <w:basedOn w:val="Normal"/>
    <w:link w:val="EndnoteTextChar"/>
    <w:uiPriority w:val="99"/>
    <w:semiHidden/>
    <w:unhideWhenUsed/>
    <w:rsid w:val="001F0490"/>
    <w:rPr>
      <w:sz w:val="20"/>
      <w:szCs w:val="20"/>
    </w:rPr>
  </w:style>
  <w:style w:type="character" w:customStyle="1" w:styleId="EndnoteTextChar">
    <w:name w:val="Endnote Text Char"/>
    <w:basedOn w:val="DefaultParagraphFont"/>
    <w:link w:val="EndnoteText"/>
    <w:uiPriority w:val="99"/>
    <w:semiHidden/>
    <w:rsid w:val="001F0490"/>
    <w:rPr>
      <w:rFonts w:ascii="Times New Roman" w:hAnsi="Times New Roman"/>
      <w:sz w:val="20"/>
      <w:szCs w:val="20"/>
    </w:rPr>
  </w:style>
  <w:style w:type="character" w:styleId="EndnoteReference">
    <w:name w:val="endnote reference"/>
    <w:basedOn w:val="DefaultParagraphFont"/>
    <w:uiPriority w:val="99"/>
    <w:semiHidden/>
    <w:unhideWhenUsed/>
    <w:rsid w:val="001F04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992540">
      <w:bodyDiv w:val="1"/>
      <w:marLeft w:val="0"/>
      <w:marRight w:val="0"/>
      <w:marTop w:val="0"/>
      <w:marBottom w:val="0"/>
      <w:divBdr>
        <w:top w:val="none" w:sz="0" w:space="0" w:color="auto"/>
        <w:left w:val="none" w:sz="0" w:space="0" w:color="auto"/>
        <w:bottom w:val="none" w:sz="0" w:space="0" w:color="auto"/>
        <w:right w:val="none" w:sz="0" w:space="0" w:color="auto"/>
      </w:divBdr>
      <w:divsChild>
        <w:div w:id="388965298">
          <w:marLeft w:val="0"/>
          <w:marRight w:val="0"/>
          <w:marTop w:val="0"/>
          <w:marBottom w:val="0"/>
          <w:divBdr>
            <w:top w:val="none" w:sz="0" w:space="0" w:color="auto"/>
            <w:left w:val="none" w:sz="0" w:space="0" w:color="auto"/>
            <w:bottom w:val="none" w:sz="0" w:space="0" w:color="auto"/>
            <w:right w:val="none" w:sz="0" w:space="0" w:color="auto"/>
          </w:divBdr>
          <w:divsChild>
            <w:div w:id="1077824428">
              <w:marLeft w:val="0"/>
              <w:marRight w:val="0"/>
              <w:marTop w:val="0"/>
              <w:marBottom w:val="0"/>
              <w:divBdr>
                <w:top w:val="none" w:sz="0" w:space="0" w:color="auto"/>
                <w:left w:val="none" w:sz="0" w:space="0" w:color="auto"/>
                <w:bottom w:val="none" w:sz="0" w:space="0" w:color="auto"/>
                <w:right w:val="none" w:sz="0" w:space="0" w:color="auto"/>
              </w:divBdr>
              <w:divsChild>
                <w:div w:id="1747805568">
                  <w:marLeft w:val="0"/>
                  <w:marRight w:val="0"/>
                  <w:marTop w:val="0"/>
                  <w:marBottom w:val="0"/>
                  <w:divBdr>
                    <w:top w:val="none" w:sz="0" w:space="0" w:color="auto"/>
                    <w:left w:val="none" w:sz="0" w:space="0" w:color="auto"/>
                    <w:bottom w:val="none" w:sz="0" w:space="0" w:color="auto"/>
                    <w:right w:val="none" w:sz="0" w:space="0" w:color="auto"/>
                  </w:divBdr>
                </w:div>
                <w:div w:id="98804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70782">
      <w:bodyDiv w:val="1"/>
      <w:marLeft w:val="0"/>
      <w:marRight w:val="0"/>
      <w:marTop w:val="0"/>
      <w:marBottom w:val="0"/>
      <w:divBdr>
        <w:top w:val="none" w:sz="0" w:space="0" w:color="auto"/>
        <w:left w:val="none" w:sz="0" w:space="0" w:color="auto"/>
        <w:bottom w:val="none" w:sz="0" w:space="0" w:color="auto"/>
        <w:right w:val="none" w:sz="0" w:space="0" w:color="auto"/>
      </w:divBdr>
    </w:div>
    <w:div w:id="334919578">
      <w:bodyDiv w:val="1"/>
      <w:marLeft w:val="0"/>
      <w:marRight w:val="0"/>
      <w:marTop w:val="0"/>
      <w:marBottom w:val="0"/>
      <w:divBdr>
        <w:top w:val="none" w:sz="0" w:space="0" w:color="auto"/>
        <w:left w:val="none" w:sz="0" w:space="0" w:color="auto"/>
        <w:bottom w:val="none" w:sz="0" w:space="0" w:color="auto"/>
        <w:right w:val="none" w:sz="0" w:space="0" w:color="auto"/>
      </w:divBdr>
    </w:div>
    <w:div w:id="427239141">
      <w:bodyDiv w:val="1"/>
      <w:marLeft w:val="0"/>
      <w:marRight w:val="0"/>
      <w:marTop w:val="0"/>
      <w:marBottom w:val="0"/>
      <w:divBdr>
        <w:top w:val="none" w:sz="0" w:space="0" w:color="auto"/>
        <w:left w:val="none" w:sz="0" w:space="0" w:color="auto"/>
        <w:bottom w:val="none" w:sz="0" w:space="0" w:color="auto"/>
        <w:right w:val="none" w:sz="0" w:space="0" w:color="auto"/>
      </w:divBdr>
    </w:div>
    <w:div w:id="473983229">
      <w:bodyDiv w:val="1"/>
      <w:marLeft w:val="0"/>
      <w:marRight w:val="0"/>
      <w:marTop w:val="0"/>
      <w:marBottom w:val="0"/>
      <w:divBdr>
        <w:top w:val="none" w:sz="0" w:space="0" w:color="auto"/>
        <w:left w:val="none" w:sz="0" w:space="0" w:color="auto"/>
        <w:bottom w:val="none" w:sz="0" w:space="0" w:color="auto"/>
        <w:right w:val="none" w:sz="0" w:space="0" w:color="auto"/>
      </w:divBdr>
    </w:div>
    <w:div w:id="493838538">
      <w:bodyDiv w:val="1"/>
      <w:marLeft w:val="0"/>
      <w:marRight w:val="0"/>
      <w:marTop w:val="0"/>
      <w:marBottom w:val="0"/>
      <w:divBdr>
        <w:top w:val="none" w:sz="0" w:space="0" w:color="auto"/>
        <w:left w:val="none" w:sz="0" w:space="0" w:color="auto"/>
        <w:bottom w:val="none" w:sz="0" w:space="0" w:color="auto"/>
        <w:right w:val="none" w:sz="0" w:space="0" w:color="auto"/>
      </w:divBdr>
    </w:div>
    <w:div w:id="886527347">
      <w:bodyDiv w:val="1"/>
      <w:marLeft w:val="0"/>
      <w:marRight w:val="0"/>
      <w:marTop w:val="0"/>
      <w:marBottom w:val="0"/>
      <w:divBdr>
        <w:top w:val="none" w:sz="0" w:space="0" w:color="auto"/>
        <w:left w:val="none" w:sz="0" w:space="0" w:color="auto"/>
        <w:bottom w:val="none" w:sz="0" w:space="0" w:color="auto"/>
        <w:right w:val="none" w:sz="0" w:space="0" w:color="auto"/>
      </w:divBdr>
    </w:div>
    <w:div w:id="1200782582">
      <w:bodyDiv w:val="1"/>
      <w:marLeft w:val="0"/>
      <w:marRight w:val="0"/>
      <w:marTop w:val="0"/>
      <w:marBottom w:val="0"/>
      <w:divBdr>
        <w:top w:val="none" w:sz="0" w:space="0" w:color="auto"/>
        <w:left w:val="none" w:sz="0" w:space="0" w:color="auto"/>
        <w:bottom w:val="none" w:sz="0" w:space="0" w:color="auto"/>
        <w:right w:val="none" w:sz="0" w:space="0" w:color="auto"/>
      </w:divBdr>
      <w:divsChild>
        <w:div w:id="1175143918">
          <w:marLeft w:val="0"/>
          <w:marRight w:val="0"/>
          <w:marTop w:val="0"/>
          <w:marBottom w:val="0"/>
          <w:divBdr>
            <w:top w:val="none" w:sz="0" w:space="0" w:color="auto"/>
            <w:left w:val="none" w:sz="0" w:space="0" w:color="auto"/>
            <w:bottom w:val="none" w:sz="0" w:space="0" w:color="auto"/>
            <w:right w:val="none" w:sz="0" w:space="0" w:color="auto"/>
          </w:divBdr>
          <w:divsChild>
            <w:div w:id="221259313">
              <w:marLeft w:val="0"/>
              <w:marRight w:val="0"/>
              <w:marTop w:val="0"/>
              <w:marBottom w:val="0"/>
              <w:divBdr>
                <w:top w:val="none" w:sz="0" w:space="0" w:color="auto"/>
                <w:left w:val="none" w:sz="0" w:space="0" w:color="auto"/>
                <w:bottom w:val="none" w:sz="0" w:space="0" w:color="auto"/>
                <w:right w:val="none" w:sz="0" w:space="0" w:color="auto"/>
              </w:divBdr>
              <w:divsChild>
                <w:div w:id="94448156">
                  <w:marLeft w:val="0"/>
                  <w:marRight w:val="0"/>
                  <w:marTop w:val="0"/>
                  <w:marBottom w:val="0"/>
                  <w:divBdr>
                    <w:top w:val="none" w:sz="0" w:space="0" w:color="auto"/>
                    <w:left w:val="none" w:sz="0" w:space="0" w:color="auto"/>
                    <w:bottom w:val="none" w:sz="0" w:space="0" w:color="auto"/>
                    <w:right w:val="none" w:sz="0" w:space="0" w:color="auto"/>
                  </w:divBdr>
                </w:div>
                <w:div w:id="93023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513635">
      <w:bodyDiv w:val="1"/>
      <w:marLeft w:val="0"/>
      <w:marRight w:val="0"/>
      <w:marTop w:val="0"/>
      <w:marBottom w:val="0"/>
      <w:divBdr>
        <w:top w:val="none" w:sz="0" w:space="0" w:color="auto"/>
        <w:left w:val="none" w:sz="0" w:space="0" w:color="auto"/>
        <w:bottom w:val="none" w:sz="0" w:space="0" w:color="auto"/>
        <w:right w:val="none" w:sz="0" w:space="0" w:color="auto"/>
      </w:divBdr>
    </w:div>
    <w:div w:id="1956138679">
      <w:bodyDiv w:val="1"/>
      <w:marLeft w:val="0"/>
      <w:marRight w:val="0"/>
      <w:marTop w:val="0"/>
      <w:marBottom w:val="0"/>
      <w:divBdr>
        <w:top w:val="none" w:sz="0" w:space="0" w:color="auto"/>
        <w:left w:val="none" w:sz="0" w:space="0" w:color="auto"/>
        <w:bottom w:val="none" w:sz="0" w:space="0" w:color="auto"/>
        <w:right w:val="none" w:sz="0" w:space="0" w:color="auto"/>
      </w:divBdr>
    </w:div>
    <w:div w:id="207095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A8CC1-525F-487A-8542-29DFBF91D3B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9</Pages>
  <Words>8591</Words>
  <Characters>48975</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Chloe Marie Harries (1803550)</cp:lastModifiedBy>
  <cp:revision>161</cp:revision>
  <dcterms:created xsi:type="dcterms:W3CDTF">2020-11-30T14:48:00Z</dcterms:created>
  <dcterms:modified xsi:type="dcterms:W3CDTF">2020-11-30T21:37:00Z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http://www.zotero.org/styles/oscola</vt:lpwstr>
  </property>
  <property fmtid="{D5CDD505-2E9C-101B-9397-08002B2CF9AE}" pid="21" name="Mendeley Recent Style Name 9_1">
    <vt:lpwstr>OSCOLA (Oxford University Standard for Citation of Legal Authorities)</vt:lpwstr>
  </property>
  <property fmtid="{D5CDD505-2E9C-101B-9397-08002B2CF9AE}" pid="22" name="Mendeley Document_1">
    <vt:lpwstr>True</vt:lpwstr>
  </property>
  <property fmtid="{D5CDD505-2E9C-101B-9397-08002B2CF9AE}" pid="23" name="Mendeley Unique User Id_1">
    <vt:lpwstr>1b07f276-91b5-3402-9ad0-806541576c01</vt:lpwstr>
  </property>
  <property fmtid="{D5CDD505-2E9C-101B-9397-08002B2CF9AE}" pid="24" name="Mendeley Citation Style_1">
    <vt:lpwstr>http://www.zotero.org/styles/harvard1</vt:lpwstr>
  </property>
</Properties>
</file>