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C93CF" w14:textId="77777777" w:rsidR="00987B25" w:rsidRDefault="00987B25" w:rsidP="009A02D8">
      <w:pPr>
        <w:spacing w:line="360" w:lineRule="auto"/>
        <w:jc w:val="center"/>
        <w:rPr>
          <w:rFonts w:ascii="Arial" w:hAnsi="Arial" w:cs="Arial"/>
          <w:b/>
          <w:bCs/>
        </w:rPr>
      </w:pPr>
    </w:p>
    <w:p w14:paraId="119FE840" w14:textId="77777777" w:rsidR="00987B25" w:rsidRDefault="00987B25" w:rsidP="009A02D8">
      <w:pPr>
        <w:spacing w:line="360" w:lineRule="auto"/>
        <w:jc w:val="center"/>
        <w:rPr>
          <w:rFonts w:ascii="Arial" w:hAnsi="Arial" w:cs="Arial"/>
          <w:b/>
          <w:bCs/>
        </w:rPr>
      </w:pPr>
    </w:p>
    <w:p w14:paraId="4023A372" w14:textId="77777777" w:rsidR="00987B25" w:rsidRDefault="00987B25" w:rsidP="009A02D8">
      <w:pPr>
        <w:spacing w:line="360" w:lineRule="auto"/>
        <w:jc w:val="center"/>
        <w:rPr>
          <w:rFonts w:ascii="Arial" w:hAnsi="Arial" w:cs="Arial"/>
          <w:b/>
          <w:bCs/>
        </w:rPr>
      </w:pPr>
    </w:p>
    <w:p w14:paraId="300A0E8B" w14:textId="741B244E" w:rsidR="00987B25" w:rsidRDefault="00987B25" w:rsidP="009A02D8">
      <w:pPr>
        <w:spacing w:line="360" w:lineRule="auto"/>
        <w:jc w:val="center"/>
        <w:rPr>
          <w:rFonts w:ascii="Arial" w:hAnsi="Arial" w:cs="Arial"/>
          <w:b/>
          <w:bCs/>
        </w:rPr>
      </w:pPr>
    </w:p>
    <w:p w14:paraId="504CC8BC" w14:textId="2CBDACA4" w:rsidR="00987B25" w:rsidRDefault="00987B25" w:rsidP="009A02D8">
      <w:pPr>
        <w:spacing w:line="360" w:lineRule="auto"/>
        <w:jc w:val="center"/>
        <w:rPr>
          <w:rFonts w:ascii="Arial" w:hAnsi="Arial" w:cs="Arial"/>
          <w:b/>
          <w:bCs/>
        </w:rPr>
      </w:pPr>
    </w:p>
    <w:p w14:paraId="0394C8FA" w14:textId="7DEED78A" w:rsidR="00987B25" w:rsidRDefault="00987B25" w:rsidP="009A02D8">
      <w:pPr>
        <w:spacing w:line="360" w:lineRule="auto"/>
        <w:jc w:val="center"/>
        <w:rPr>
          <w:rFonts w:ascii="Arial" w:hAnsi="Arial" w:cs="Arial"/>
          <w:b/>
          <w:bCs/>
        </w:rPr>
      </w:pPr>
    </w:p>
    <w:p w14:paraId="4ECFB63A" w14:textId="77777777" w:rsidR="00987B25" w:rsidRDefault="00987B25" w:rsidP="009A02D8">
      <w:pPr>
        <w:spacing w:line="360" w:lineRule="auto"/>
        <w:jc w:val="center"/>
        <w:rPr>
          <w:rFonts w:ascii="Arial" w:hAnsi="Arial" w:cs="Arial"/>
          <w:b/>
          <w:bCs/>
        </w:rPr>
      </w:pPr>
    </w:p>
    <w:p w14:paraId="118A6512" w14:textId="32422ECC" w:rsidR="009A02D8" w:rsidRPr="009A02D8" w:rsidRDefault="0083460B" w:rsidP="009A02D8">
      <w:pPr>
        <w:spacing w:line="360" w:lineRule="auto"/>
        <w:jc w:val="center"/>
        <w:rPr>
          <w:rFonts w:ascii="Arial" w:hAnsi="Arial" w:cs="Arial"/>
          <w:b/>
          <w:bCs/>
        </w:rPr>
      </w:pPr>
      <w:r w:rsidRPr="009A02D8">
        <w:rPr>
          <w:rFonts w:ascii="Arial" w:hAnsi="Arial" w:cs="Arial"/>
          <w:b/>
          <w:bCs/>
        </w:rPr>
        <w:t>How to Engage Employees Throughout the Employee Lifecycle</w:t>
      </w:r>
    </w:p>
    <w:p w14:paraId="184B8F12" w14:textId="77777777" w:rsidR="00987B25" w:rsidRDefault="00987B25" w:rsidP="00987B25">
      <w:pPr>
        <w:spacing w:line="360" w:lineRule="auto"/>
        <w:jc w:val="center"/>
        <w:rPr>
          <w:rFonts w:ascii="Arial" w:hAnsi="Arial" w:cs="Arial"/>
        </w:rPr>
      </w:pPr>
    </w:p>
    <w:p w14:paraId="59A660F8" w14:textId="4C7E65C0" w:rsidR="00987B25" w:rsidRPr="00987B25" w:rsidRDefault="00987B25" w:rsidP="00987B25">
      <w:pPr>
        <w:spacing w:line="360" w:lineRule="auto"/>
        <w:jc w:val="center"/>
        <w:rPr>
          <w:rFonts w:ascii="Arial" w:hAnsi="Arial" w:cs="Arial"/>
        </w:rPr>
      </w:pPr>
      <w:r>
        <w:rPr>
          <w:rFonts w:ascii="Arial" w:hAnsi="Arial" w:cs="Arial"/>
        </w:rPr>
        <w:t xml:space="preserve">Student </w:t>
      </w:r>
      <w:proofErr w:type="spellStart"/>
      <w:proofErr w:type="gramStart"/>
      <w:r>
        <w:rPr>
          <w:rFonts w:ascii="Arial" w:hAnsi="Arial" w:cs="Arial"/>
        </w:rPr>
        <w:t>N</w:t>
      </w:r>
      <w:r w:rsidRPr="00987B25">
        <w:rPr>
          <w:rFonts w:ascii="Arial" w:hAnsi="Arial" w:cs="Arial"/>
        </w:rPr>
        <w:t>ame</w:t>
      </w:r>
      <w:r w:rsidR="007E6249">
        <w:rPr>
          <w:rFonts w:ascii="Arial" w:hAnsi="Arial" w:cs="Arial"/>
        </w:rPr>
        <w:t>:Lenuta</w:t>
      </w:r>
      <w:proofErr w:type="gramEnd"/>
      <w:r w:rsidR="007E6249">
        <w:rPr>
          <w:rFonts w:ascii="Arial" w:hAnsi="Arial" w:cs="Arial"/>
        </w:rPr>
        <w:t>-Mihaela</w:t>
      </w:r>
      <w:proofErr w:type="spellEnd"/>
      <w:r w:rsidR="007E6249">
        <w:rPr>
          <w:rFonts w:ascii="Arial" w:hAnsi="Arial" w:cs="Arial"/>
        </w:rPr>
        <w:t xml:space="preserve"> </w:t>
      </w:r>
      <w:proofErr w:type="spellStart"/>
      <w:r w:rsidR="007E6249">
        <w:rPr>
          <w:rFonts w:ascii="Arial" w:hAnsi="Arial" w:cs="Arial"/>
        </w:rPr>
        <w:t>Serbanica</w:t>
      </w:r>
      <w:proofErr w:type="spellEnd"/>
    </w:p>
    <w:p w14:paraId="5EE30041" w14:textId="316980A1" w:rsidR="00987B25" w:rsidRPr="00987B25" w:rsidRDefault="00987B25" w:rsidP="00987B25">
      <w:pPr>
        <w:spacing w:line="360" w:lineRule="auto"/>
        <w:jc w:val="center"/>
        <w:rPr>
          <w:rFonts w:ascii="Arial" w:hAnsi="Arial" w:cs="Arial"/>
        </w:rPr>
      </w:pPr>
      <w:r>
        <w:rPr>
          <w:rFonts w:ascii="Arial" w:hAnsi="Arial" w:cs="Arial"/>
        </w:rPr>
        <w:t>M</w:t>
      </w:r>
      <w:r w:rsidRPr="00987B25">
        <w:rPr>
          <w:rFonts w:ascii="Arial" w:hAnsi="Arial" w:cs="Arial"/>
        </w:rPr>
        <w:t xml:space="preserve">odule </w:t>
      </w:r>
      <w:r>
        <w:rPr>
          <w:rFonts w:ascii="Arial" w:hAnsi="Arial" w:cs="Arial"/>
        </w:rPr>
        <w:t>T</w:t>
      </w:r>
      <w:r w:rsidRPr="00987B25">
        <w:rPr>
          <w:rFonts w:ascii="Arial" w:hAnsi="Arial" w:cs="Arial"/>
        </w:rPr>
        <w:t xml:space="preserve">itle and </w:t>
      </w:r>
      <w:r>
        <w:rPr>
          <w:rFonts w:ascii="Arial" w:hAnsi="Arial" w:cs="Arial"/>
        </w:rPr>
        <w:t>M</w:t>
      </w:r>
      <w:r w:rsidRPr="00987B25">
        <w:rPr>
          <w:rFonts w:ascii="Arial" w:hAnsi="Arial" w:cs="Arial"/>
        </w:rPr>
        <w:t xml:space="preserve">odule </w:t>
      </w:r>
      <w:proofErr w:type="spellStart"/>
      <w:proofErr w:type="gramStart"/>
      <w:r>
        <w:rPr>
          <w:rFonts w:ascii="Arial" w:hAnsi="Arial" w:cs="Arial"/>
        </w:rPr>
        <w:t>C</w:t>
      </w:r>
      <w:r w:rsidRPr="00987B25">
        <w:rPr>
          <w:rFonts w:ascii="Arial" w:hAnsi="Arial" w:cs="Arial"/>
        </w:rPr>
        <w:t>ode</w:t>
      </w:r>
      <w:r w:rsidR="007E6249">
        <w:rPr>
          <w:rFonts w:ascii="Arial" w:hAnsi="Arial" w:cs="Arial"/>
        </w:rPr>
        <w:t>:Personnel</w:t>
      </w:r>
      <w:proofErr w:type="spellEnd"/>
      <w:proofErr w:type="gramEnd"/>
      <w:r w:rsidR="007E6249">
        <w:rPr>
          <w:rFonts w:ascii="Arial" w:hAnsi="Arial" w:cs="Arial"/>
        </w:rPr>
        <w:t xml:space="preserve"> Resourcing and Development</w:t>
      </w:r>
      <w:r w:rsidR="00B15945">
        <w:rPr>
          <w:rFonts w:ascii="Arial" w:hAnsi="Arial" w:cs="Arial"/>
        </w:rPr>
        <w:t>(BMIH5005)</w:t>
      </w:r>
    </w:p>
    <w:p w14:paraId="6359D3E9" w14:textId="283DDF0D" w:rsidR="00987B25" w:rsidRDefault="00987B25" w:rsidP="00987B25">
      <w:pPr>
        <w:spacing w:line="360" w:lineRule="auto"/>
        <w:jc w:val="center"/>
        <w:rPr>
          <w:rFonts w:ascii="Arial" w:hAnsi="Arial" w:cs="Arial"/>
        </w:rPr>
      </w:pPr>
      <w:r>
        <w:rPr>
          <w:rFonts w:ascii="Arial" w:hAnsi="Arial" w:cs="Arial"/>
        </w:rPr>
        <w:t>L</w:t>
      </w:r>
      <w:r w:rsidRPr="00987B25">
        <w:rPr>
          <w:rFonts w:ascii="Arial" w:hAnsi="Arial" w:cs="Arial"/>
        </w:rPr>
        <w:t xml:space="preserve">ecturer’s </w:t>
      </w:r>
      <w:proofErr w:type="spellStart"/>
      <w:proofErr w:type="gramStart"/>
      <w:r>
        <w:rPr>
          <w:rFonts w:ascii="Arial" w:hAnsi="Arial" w:cs="Arial"/>
        </w:rPr>
        <w:t>N</w:t>
      </w:r>
      <w:r w:rsidRPr="00987B25">
        <w:rPr>
          <w:rFonts w:ascii="Arial" w:hAnsi="Arial" w:cs="Arial"/>
        </w:rPr>
        <w:t>ame</w:t>
      </w:r>
      <w:r w:rsidR="00585944">
        <w:rPr>
          <w:rFonts w:ascii="Arial" w:hAnsi="Arial" w:cs="Arial"/>
        </w:rPr>
        <w:t>:Lisa</w:t>
      </w:r>
      <w:proofErr w:type="spellEnd"/>
      <w:proofErr w:type="gramEnd"/>
      <w:r w:rsidR="00585944">
        <w:rPr>
          <w:rFonts w:ascii="Arial" w:hAnsi="Arial" w:cs="Arial"/>
        </w:rPr>
        <w:t xml:space="preserve"> Knight</w:t>
      </w:r>
    </w:p>
    <w:p w14:paraId="47AC893C" w14:textId="77777777" w:rsidR="00987B25" w:rsidRDefault="00987B25" w:rsidP="00987B25">
      <w:pPr>
        <w:spacing w:line="360" w:lineRule="auto"/>
        <w:jc w:val="center"/>
        <w:rPr>
          <w:rFonts w:ascii="Arial" w:hAnsi="Arial" w:cs="Arial"/>
          <w:b/>
          <w:bCs/>
        </w:rPr>
      </w:pPr>
    </w:p>
    <w:p w14:paraId="0E758C92" w14:textId="77777777" w:rsidR="00987B25" w:rsidRDefault="00987B25" w:rsidP="00987B25">
      <w:pPr>
        <w:spacing w:line="360" w:lineRule="auto"/>
        <w:jc w:val="center"/>
        <w:rPr>
          <w:rFonts w:ascii="Arial" w:hAnsi="Arial" w:cs="Arial"/>
          <w:b/>
          <w:bCs/>
        </w:rPr>
      </w:pPr>
    </w:p>
    <w:p w14:paraId="31859026" w14:textId="77777777" w:rsidR="00987B25" w:rsidRDefault="00987B25" w:rsidP="00987B25">
      <w:pPr>
        <w:spacing w:line="360" w:lineRule="auto"/>
        <w:jc w:val="center"/>
        <w:rPr>
          <w:rFonts w:ascii="Arial" w:hAnsi="Arial" w:cs="Arial"/>
          <w:b/>
          <w:bCs/>
        </w:rPr>
      </w:pPr>
    </w:p>
    <w:p w14:paraId="1DB24620" w14:textId="77777777" w:rsidR="00987B25" w:rsidRDefault="00987B25" w:rsidP="00987B25">
      <w:pPr>
        <w:spacing w:line="360" w:lineRule="auto"/>
        <w:jc w:val="center"/>
        <w:rPr>
          <w:rFonts w:ascii="Arial" w:hAnsi="Arial" w:cs="Arial"/>
          <w:b/>
          <w:bCs/>
        </w:rPr>
      </w:pPr>
    </w:p>
    <w:p w14:paraId="35176BA6" w14:textId="77777777" w:rsidR="00987B25" w:rsidRDefault="00987B25" w:rsidP="00987B25">
      <w:pPr>
        <w:spacing w:line="360" w:lineRule="auto"/>
        <w:jc w:val="center"/>
        <w:rPr>
          <w:rFonts w:ascii="Arial" w:hAnsi="Arial" w:cs="Arial"/>
          <w:b/>
          <w:bCs/>
        </w:rPr>
      </w:pPr>
    </w:p>
    <w:p w14:paraId="5E048649" w14:textId="77777777" w:rsidR="00987B25" w:rsidRDefault="00987B25" w:rsidP="00987B25">
      <w:pPr>
        <w:spacing w:line="360" w:lineRule="auto"/>
        <w:jc w:val="center"/>
        <w:rPr>
          <w:rFonts w:ascii="Arial" w:hAnsi="Arial" w:cs="Arial"/>
          <w:b/>
          <w:bCs/>
        </w:rPr>
      </w:pPr>
    </w:p>
    <w:p w14:paraId="218041B2" w14:textId="77777777" w:rsidR="00987B25" w:rsidRDefault="00987B25" w:rsidP="00987B25">
      <w:pPr>
        <w:spacing w:line="360" w:lineRule="auto"/>
        <w:jc w:val="center"/>
        <w:rPr>
          <w:rFonts w:ascii="Arial" w:hAnsi="Arial" w:cs="Arial"/>
          <w:b/>
          <w:bCs/>
        </w:rPr>
      </w:pPr>
    </w:p>
    <w:p w14:paraId="4D0B22DA" w14:textId="77777777" w:rsidR="00987B25" w:rsidRDefault="00987B25" w:rsidP="00987B25">
      <w:pPr>
        <w:spacing w:line="360" w:lineRule="auto"/>
        <w:jc w:val="center"/>
        <w:rPr>
          <w:rFonts w:ascii="Arial" w:hAnsi="Arial" w:cs="Arial"/>
          <w:b/>
          <w:bCs/>
        </w:rPr>
      </w:pPr>
    </w:p>
    <w:p w14:paraId="48AC23D8" w14:textId="118EBAE5" w:rsidR="00987B25" w:rsidRDefault="00987B25" w:rsidP="00987B25">
      <w:pPr>
        <w:spacing w:line="360" w:lineRule="auto"/>
        <w:rPr>
          <w:rFonts w:ascii="Arial" w:hAnsi="Arial" w:cs="Arial"/>
          <w:b/>
          <w:bCs/>
        </w:rPr>
      </w:pPr>
    </w:p>
    <w:p w14:paraId="2BA4A548" w14:textId="77777777" w:rsidR="00987B25" w:rsidRDefault="00987B25" w:rsidP="00987B25">
      <w:pPr>
        <w:spacing w:line="360" w:lineRule="auto"/>
        <w:rPr>
          <w:rFonts w:ascii="Arial" w:hAnsi="Arial" w:cs="Arial"/>
          <w:b/>
          <w:bCs/>
        </w:rPr>
      </w:pPr>
    </w:p>
    <w:p w14:paraId="734D35F0" w14:textId="77777777" w:rsidR="00987B25" w:rsidRDefault="00987B25" w:rsidP="00987B25">
      <w:pPr>
        <w:spacing w:line="360" w:lineRule="auto"/>
        <w:jc w:val="center"/>
        <w:rPr>
          <w:rFonts w:ascii="Arial" w:hAnsi="Arial" w:cs="Arial"/>
          <w:b/>
          <w:bCs/>
        </w:rPr>
      </w:pPr>
    </w:p>
    <w:p w14:paraId="20E28F5C" w14:textId="0EE7F275" w:rsidR="009A02D8" w:rsidRPr="009A02D8" w:rsidRDefault="0083460B" w:rsidP="00987B25">
      <w:pPr>
        <w:spacing w:line="360" w:lineRule="auto"/>
        <w:jc w:val="center"/>
        <w:rPr>
          <w:rFonts w:ascii="Arial" w:hAnsi="Arial" w:cs="Arial"/>
          <w:b/>
          <w:bCs/>
        </w:rPr>
      </w:pPr>
      <w:r w:rsidRPr="009A02D8">
        <w:rPr>
          <w:rFonts w:ascii="Arial" w:hAnsi="Arial" w:cs="Arial"/>
          <w:b/>
          <w:bCs/>
        </w:rPr>
        <w:lastRenderedPageBreak/>
        <w:t>How to Engage Employees Throughout the Employee Lifecycle</w:t>
      </w:r>
    </w:p>
    <w:p w14:paraId="70A138A2" w14:textId="0511C165" w:rsidR="00924848" w:rsidRPr="009A02D8" w:rsidRDefault="0083460B" w:rsidP="009A02D8">
      <w:pPr>
        <w:spacing w:line="360" w:lineRule="auto"/>
        <w:jc w:val="center"/>
        <w:rPr>
          <w:rFonts w:ascii="Arial" w:hAnsi="Arial" w:cs="Arial"/>
        </w:rPr>
      </w:pPr>
      <w:r w:rsidRPr="009A02D8">
        <w:rPr>
          <w:rFonts w:ascii="Arial" w:hAnsi="Arial" w:cs="Arial"/>
          <w:b/>
          <w:bCs/>
        </w:rPr>
        <w:t>Introduction</w:t>
      </w:r>
    </w:p>
    <w:p w14:paraId="5247F514" w14:textId="6234C17A" w:rsidR="00924848" w:rsidRPr="009A02D8" w:rsidRDefault="0083460B" w:rsidP="009A02D8">
      <w:pPr>
        <w:spacing w:line="360" w:lineRule="auto"/>
        <w:jc w:val="both"/>
        <w:rPr>
          <w:rFonts w:ascii="Arial" w:hAnsi="Arial" w:cs="Arial"/>
        </w:rPr>
      </w:pPr>
      <w:r w:rsidRPr="009A02D8">
        <w:rPr>
          <w:rFonts w:ascii="Arial" w:hAnsi="Arial" w:cs="Arial"/>
        </w:rPr>
        <w:tab/>
      </w:r>
      <w:r w:rsidR="004348D4" w:rsidRPr="009A02D8">
        <w:rPr>
          <w:rFonts w:ascii="Arial" w:hAnsi="Arial" w:cs="Arial"/>
        </w:rPr>
        <w:t>Employee engagement is a vital notion in extensive hotel human resource management. It is the process of motivating and encouraging employees to participate actively in corporate activities and to remain dedicated to organizational goals. Employee engagement is essential in attaining a company's goals and objectives because it ensures that employees feel valued and have a feeling of purpose. It is also vital to highlight that employee engagement is an ongoing rather than a one-time event. Organizations must understand human resources' function in engaging employees to effectively engage them throughout the employee lifecycle. The employee lifecycle is a critical part of this process, as it includes the complete journey of an employee from recruitment to retirement. Therefore, the human resource department of large hotels must appreciate the importance of engaging employees throughout the employee's lifetime.</w:t>
      </w:r>
    </w:p>
    <w:p w14:paraId="34F0D0A6" w14:textId="7504609E" w:rsidR="00B50BA2" w:rsidRPr="009A02D8" w:rsidRDefault="0083460B" w:rsidP="00987B25">
      <w:pPr>
        <w:tabs>
          <w:tab w:val="left" w:pos="975"/>
        </w:tabs>
        <w:spacing w:line="360" w:lineRule="auto"/>
        <w:jc w:val="center"/>
        <w:rPr>
          <w:rFonts w:ascii="Arial" w:hAnsi="Arial" w:cs="Arial"/>
          <w:b/>
          <w:bCs/>
        </w:rPr>
      </w:pPr>
      <w:r w:rsidRPr="009A02D8">
        <w:rPr>
          <w:rFonts w:ascii="Arial" w:hAnsi="Arial" w:cs="Arial"/>
          <w:b/>
          <w:bCs/>
        </w:rPr>
        <w:t>The Role of Human Resources in Engaging Employee</w:t>
      </w:r>
    </w:p>
    <w:p w14:paraId="229F93B3" w14:textId="7B4CC519" w:rsidR="00B50BA2" w:rsidRPr="009A02D8" w:rsidRDefault="0083460B" w:rsidP="009A02D8">
      <w:pPr>
        <w:spacing w:line="360" w:lineRule="auto"/>
        <w:jc w:val="both"/>
        <w:rPr>
          <w:rFonts w:ascii="Arial" w:hAnsi="Arial" w:cs="Arial"/>
        </w:rPr>
      </w:pPr>
      <w:r w:rsidRPr="009A02D8">
        <w:rPr>
          <w:rFonts w:ascii="Arial" w:hAnsi="Arial" w:cs="Arial"/>
        </w:rPr>
        <w:tab/>
      </w:r>
      <w:r w:rsidR="004348D4" w:rsidRPr="009A02D8">
        <w:rPr>
          <w:rFonts w:ascii="Arial" w:hAnsi="Arial" w:cs="Arial"/>
        </w:rPr>
        <w:t>The function of human resources in engaging employees is vital. Human resources specialists are responsible for aiding the recruitment and onboarding process and creating and sustaining relationships with employees during their tenure with the organization. They are also responsible for ensuring that staff is equipped with the required tools, resources, and support to be successful in their tasks</w:t>
      </w:r>
      <w:r w:rsidR="00220A48">
        <w:rPr>
          <w:rFonts w:ascii="Arial" w:hAnsi="Arial" w:cs="Arial"/>
        </w:rPr>
        <w:t xml:space="preserve"> (</w:t>
      </w:r>
      <w:r w:rsidR="00220A48" w:rsidRPr="00447B3C">
        <w:rPr>
          <w:rFonts w:ascii="Arial" w:hAnsi="Arial" w:cs="Arial"/>
        </w:rPr>
        <w:t>Stahl</w:t>
      </w:r>
      <w:r w:rsidR="00220A48">
        <w:rPr>
          <w:rFonts w:ascii="Arial" w:hAnsi="Arial" w:cs="Arial"/>
        </w:rPr>
        <w:t xml:space="preserve"> </w:t>
      </w:r>
      <w:r w:rsidR="00220A48">
        <w:rPr>
          <w:rFonts w:ascii="Arial" w:hAnsi="Arial" w:cs="Arial"/>
          <w:i/>
          <w:iCs/>
        </w:rPr>
        <w:t xml:space="preserve">et al., </w:t>
      </w:r>
      <w:r w:rsidR="00220A48">
        <w:rPr>
          <w:rFonts w:ascii="Arial" w:hAnsi="Arial" w:cs="Arial"/>
        </w:rPr>
        <w:t xml:space="preserve">2020, </w:t>
      </w:r>
      <w:proofErr w:type="spellStart"/>
      <w:r w:rsidR="00220A48">
        <w:rPr>
          <w:rFonts w:ascii="Arial" w:hAnsi="Arial" w:cs="Arial"/>
        </w:rPr>
        <w:t>pg</w:t>
      </w:r>
      <w:proofErr w:type="spellEnd"/>
      <w:r w:rsidR="00220A48">
        <w:rPr>
          <w:rFonts w:ascii="Arial" w:hAnsi="Arial" w:cs="Arial"/>
        </w:rPr>
        <w:t xml:space="preserve"> 4)</w:t>
      </w:r>
      <w:r w:rsidR="004348D4" w:rsidRPr="009A02D8">
        <w:rPr>
          <w:rFonts w:ascii="Arial" w:hAnsi="Arial" w:cs="Arial"/>
        </w:rPr>
        <w:t>. Human resources professionals are also entrusted with fostering a pleasant work atmosphere that stimulates collaboration, communication, and trust. Furthermore, they are accountable for detecting and addressing employee engagement and satisfaction issues. One of the critical purposes of human resources is to ensure that employees are engaged throughout their employment lifetime. This involves providing employees with the essential training and development opportunities to help them develop the skills they need to be successful in their professions</w:t>
      </w:r>
      <w:r w:rsidR="00220A48">
        <w:rPr>
          <w:rFonts w:ascii="Arial" w:hAnsi="Arial" w:cs="Arial"/>
        </w:rPr>
        <w:t xml:space="preserve"> ((</w:t>
      </w:r>
      <w:proofErr w:type="spellStart"/>
      <w:r w:rsidR="00220A48" w:rsidRPr="00447B3C">
        <w:rPr>
          <w:rFonts w:ascii="Arial" w:hAnsi="Arial" w:cs="Arial"/>
        </w:rPr>
        <w:t>Dirani</w:t>
      </w:r>
      <w:proofErr w:type="spellEnd"/>
      <w:r w:rsidR="00220A48">
        <w:rPr>
          <w:rFonts w:ascii="Arial" w:hAnsi="Arial" w:cs="Arial"/>
        </w:rPr>
        <w:t xml:space="preserve"> </w:t>
      </w:r>
      <w:r w:rsidR="00220A48">
        <w:rPr>
          <w:rFonts w:ascii="Arial" w:hAnsi="Arial" w:cs="Arial"/>
          <w:i/>
          <w:iCs/>
        </w:rPr>
        <w:t xml:space="preserve">et al., </w:t>
      </w:r>
      <w:r w:rsidR="00220A48">
        <w:rPr>
          <w:rFonts w:ascii="Arial" w:hAnsi="Arial" w:cs="Arial"/>
        </w:rPr>
        <w:t xml:space="preserve">2020, </w:t>
      </w:r>
      <w:proofErr w:type="spellStart"/>
      <w:r w:rsidR="00220A48">
        <w:rPr>
          <w:rFonts w:ascii="Arial" w:hAnsi="Arial" w:cs="Arial"/>
        </w:rPr>
        <w:t>pg</w:t>
      </w:r>
      <w:proofErr w:type="spellEnd"/>
      <w:r w:rsidR="00220A48">
        <w:rPr>
          <w:rFonts w:ascii="Arial" w:hAnsi="Arial" w:cs="Arial"/>
        </w:rPr>
        <w:t xml:space="preserve"> 385)</w:t>
      </w:r>
      <w:r w:rsidR="004348D4" w:rsidRPr="009A02D8">
        <w:rPr>
          <w:rFonts w:ascii="Arial" w:hAnsi="Arial" w:cs="Arial"/>
        </w:rPr>
        <w:t>. Additionally, human resources should ensure that employees have access to job descriptions, performance management systems, and job-related documents to help them understand their duties and responsibilities.</w:t>
      </w:r>
    </w:p>
    <w:p w14:paraId="757F920A" w14:textId="4C16D4CA" w:rsidR="00B50BA2" w:rsidRPr="009A02D8" w:rsidRDefault="0083460B" w:rsidP="009A02D8">
      <w:pPr>
        <w:spacing w:line="360" w:lineRule="auto"/>
        <w:jc w:val="center"/>
        <w:rPr>
          <w:rFonts w:ascii="Arial" w:hAnsi="Arial" w:cs="Arial"/>
          <w:b/>
          <w:bCs/>
        </w:rPr>
      </w:pPr>
      <w:r w:rsidRPr="009A02D8">
        <w:rPr>
          <w:rFonts w:ascii="Arial" w:hAnsi="Arial" w:cs="Arial"/>
          <w:b/>
          <w:bCs/>
        </w:rPr>
        <w:lastRenderedPageBreak/>
        <w:t>How to Engage and Advantages of Engaging a Team</w:t>
      </w:r>
    </w:p>
    <w:p w14:paraId="68C7ACE4" w14:textId="661EA17C" w:rsidR="005A3B52" w:rsidRPr="009A02D8" w:rsidRDefault="0083460B" w:rsidP="009A02D8">
      <w:pPr>
        <w:spacing w:line="360" w:lineRule="auto"/>
        <w:jc w:val="both"/>
        <w:rPr>
          <w:rFonts w:ascii="Arial" w:hAnsi="Arial" w:cs="Arial"/>
        </w:rPr>
      </w:pPr>
      <w:r w:rsidRPr="009A02D8">
        <w:rPr>
          <w:rFonts w:ascii="Arial" w:hAnsi="Arial" w:cs="Arial"/>
        </w:rPr>
        <w:tab/>
      </w:r>
      <w:r w:rsidR="004348D4" w:rsidRPr="009A02D8">
        <w:rPr>
          <w:rFonts w:ascii="Arial" w:hAnsi="Arial" w:cs="Arial"/>
        </w:rPr>
        <w:t>Human resources should provide employees with the appropriate feedback and advice to help them fulfill their potential and be successful in their roles. Another crucial component of engaging employees throughout their employment lifetime is offering them incentives and rewards. This could include recognition programs, performance bonuses, and other incentives that reward employees for their hard work and dedication. Additionally, human resources should create a pleasant work atmosphere that fosters collaboration, communication, and trust</w:t>
      </w:r>
      <w:r w:rsidR="00220A48">
        <w:rPr>
          <w:rFonts w:ascii="Arial" w:hAnsi="Arial" w:cs="Arial"/>
        </w:rPr>
        <w:t xml:space="preserve"> (</w:t>
      </w:r>
      <w:r w:rsidR="00220A48" w:rsidRPr="00447B3C">
        <w:rPr>
          <w:rFonts w:ascii="Arial" w:hAnsi="Arial" w:cs="Arial"/>
        </w:rPr>
        <w:t>Chaudhary, 2020</w:t>
      </w:r>
      <w:r w:rsidR="00220A48">
        <w:rPr>
          <w:rFonts w:ascii="Arial" w:hAnsi="Arial" w:cs="Arial"/>
        </w:rPr>
        <w:t xml:space="preserve">, </w:t>
      </w:r>
      <w:proofErr w:type="spellStart"/>
      <w:r w:rsidR="00220A48">
        <w:rPr>
          <w:rFonts w:ascii="Arial" w:hAnsi="Arial" w:cs="Arial"/>
        </w:rPr>
        <w:t>pg</w:t>
      </w:r>
      <w:proofErr w:type="spellEnd"/>
      <w:r w:rsidR="00220A48">
        <w:rPr>
          <w:rFonts w:ascii="Arial" w:hAnsi="Arial" w:cs="Arial"/>
        </w:rPr>
        <w:t xml:space="preserve"> 635)</w:t>
      </w:r>
      <w:r w:rsidR="004348D4" w:rsidRPr="009A02D8">
        <w:rPr>
          <w:rFonts w:ascii="Arial" w:hAnsi="Arial" w:cs="Arial"/>
        </w:rPr>
        <w:t>. This could include frequent team meetings, team-building events, and other initiatives to establish trust and foster collaboration. Finally, human resources must identify and address any issues connected to employee engagement and satisfaction. This includes recognizing and addressing potential problems that may impede employee engagement and happiness, such as poor communication, lack of recognition, or lack of resources. Human resources should proactively address developing concerns and engage with employees to fix them. There are various advantages to engaging a team throughout the employee lifecycle</w:t>
      </w:r>
      <w:r w:rsidR="00220A48">
        <w:rPr>
          <w:rFonts w:ascii="Arial" w:hAnsi="Arial" w:cs="Arial"/>
        </w:rPr>
        <w:t xml:space="preserve"> (</w:t>
      </w:r>
      <w:r w:rsidR="00220A48" w:rsidRPr="00447B3C">
        <w:rPr>
          <w:rFonts w:ascii="Arial" w:hAnsi="Arial" w:cs="Arial"/>
        </w:rPr>
        <w:t>Saeed</w:t>
      </w:r>
      <w:r w:rsidR="00220A48">
        <w:rPr>
          <w:rFonts w:ascii="Arial" w:hAnsi="Arial" w:cs="Arial"/>
        </w:rPr>
        <w:t xml:space="preserve"> </w:t>
      </w:r>
      <w:r w:rsidR="00220A48">
        <w:rPr>
          <w:rFonts w:ascii="Arial" w:hAnsi="Arial" w:cs="Arial"/>
          <w:i/>
          <w:iCs/>
        </w:rPr>
        <w:t xml:space="preserve">et al., </w:t>
      </w:r>
      <w:r w:rsidR="00220A48">
        <w:rPr>
          <w:rFonts w:ascii="Arial" w:hAnsi="Arial" w:cs="Arial"/>
        </w:rPr>
        <w:t xml:space="preserve">2019, </w:t>
      </w:r>
      <w:proofErr w:type="spellStart"/>
      <w:r w:rsidR="00220A48">
        <w:rPr>
          <w:rFonts w:ascii="Arial" w:hAnsi="Arial" w:cs="Arial"/>
        </w:rPr>
        <w:t>pg</w:t>
      </w:r>
      <w:proofErr w:type="spellEnd"/>
      <w:r w:rsidR="00220A48">
        <w:rPr>
          <w:rFonts w:ascii="Arial" w:hAnsi="Arial" w:cs="Arial"/>
        </w:rPr>
        <w:t xml:space="preserve"> 427)</w:t>
      </w:r>
      <w:r w:rsidR="004348D4" w:rsidRPr="009A02D8">
        <w:rPr>
          <w:rFonts w:ascii="Arial" w:hAnsi="Arial" w:cs="Arial"/>
        </w:rPr>
        <w:t>. Engaging a team helps guarantee that everyone is working together towards a common objective and working to the same standards. It also develops collaboration and communication, which can help increase team performance and productivity. Additionally, engaging a team helps to guarantee that everyone is on the same page and working towards the same objectives.</w:t>
      </w:r>
    </w:p>
    <w:p w14:paraId="67A870B5" w14:textId="7DDB3CCE" w:rsidR="00B50BA2" w:rsidRPr="009A02D8" w:rsidRDefault="0083460B" w:rsidP="009A02D8">
      <w:pPr>
        <w:spacing w:line="360" w:lineRule="auto"/>
        <w:jc w:val="center"/>
        <w:rPr>
          <w:rFonts w:ascii="Arial" w:hAnsi="Arial" w:cs="Arial"/>
          <w:b/>
          <w:bCs/>
        </w:rPr>
      </w:pPr>
      <w:r w:rsidRPr="009A02D8">
        <w:rPr>
          <w:rFonts w:ascii="Arial" w:hAnsi="Arial" w:cs="Arial"/>
          <w:b/>
          <w:bCs/>
        </w:rPr>
        <w:t>The Employee Lifecycle</w:t>
      </w:r>
    </w:p>
    <w:p w14:paraId="6131BF04" w14:textId="5640F824" w:rsidR="004348D4" w:rsidRPr="009A02D8" w:rsidRDefault="0083460B" w:rsidP="009A02D8">
      <w:pPr>
        <w:spacing w:line="360" w:lineRule="auto"/>
        <w:jc w:val="both"/>
        <w:rPr>
          <w:rFonts w:ascii="Arial" w:hAnsi="Arial" w:cs="Arial"/>
        </w:rPr>
      </w:pPr>
      <w:r w:rsidRPr="009A02D8">
        <w:rPr>
          <w:rFonts w:ascii="Arial" w:hAnsi="Arial" w:cs="Arial"/>
        </w:rPr>
        <w:tab/>
        <w:t>Employees are the heartbeat of ev</w:t>
      </w:r>
      <w:r w:rsidRPr="009A02D8">
        <w:rPr>
          <w:rFonts w:ascii="Arial" w:hAnsi="Arial" w:cs="Arial"/>
        </w:rPr>
        <w:t>ery firm, and keeping them engaged is critical to improving performance and attaining success. Employee engagement is essential to ensuring employee satisfaction and productivity throughout the lifecycle. The initial phase in the employee lifecycle is to a</w:t>
      </w:r>
      <w:r w:rsidRPr="009A02D8">
        <w:rPr>
          <w:rFonts w:ascii="Arial" w:hAnsi="Arial" w:cs="Arial"/>
        </w:rPr>
        <w:t>ttract potential employees</w:t>
      </w:r>
      <w:r w:rsidR="00220A48">
        <w:rPr>
          <w:rFonts w:ascii="Arial" w:hAnsi="Arial" w:cs="Arial"/>
        </w:rPr>
        <w:t xml:space="preserve"> (</w:t>
      </w:r>
      <w:proofErr w:type="spellStart"/>
      <w:r w:rsidR="00220A48" w:rsidRPr="00447B3C">
        <w:rPr>
          <w:rFonts w:ascii="Arial" w:hAnsi="Arial" w:cs="Arial"/>
        </w:rPr>
        <w:t>Chanana</w:t>
      </w:r>
      <w:proofErr w:type="spellEnd"/>
      <w:r w:rsidR="00220A48" w:rsidRPr="00447B3C">
        <w:rPr>
          <w:rFonts w:ascii="Arial" w:hAnsi="Arial" w:cs="Arial"/>
        </w:rPr>
        <w:t>, 2021</w:t>
      </w:r>
      <w:r w:rsidR="00220A48">
        <w:rPr>
          <w:rFonts w:ascii="Arial" w:hAnsi="Arial" w:cs="Arial"/>
        </w:rPr>
        <w:t xml:space="preserve">, </w:t>
      </w:r>
      <w:proofErr w:type="spellStart"/>
      <w:r w:rsidR="00220A48">
        <w:rPr>
          <w:rFonts w:ascii="Arial" w:hAnsi="Arial" w:cs="Arial"/>
        </w:rPr>
        <w:t>pg</w:t>
      </w:r>
      <w:proofErr w:type="spellEnd"/>
      <w:r w:rsidR="00220A48">
        <w:rPr>
          <w:rFonts w:ascii="Arial" w:hAnsi="Arial" w:cs="Arial"/>
        </w:rPr>
        <w:t xml:space="preserve"> 3)</w:t>
      </w:r>
      <w:r w:rsidRPr="009A02D8">
        <w:rPr>
          <w:rFonts w:ascii="Arial" w:hAnsi="Arial" w:cs="Arial"/>
        </w:rPr>
        <w:t>. Companies must build an appealing image that is appealing to suitable candidates. This can be accomplished by developing a great employer brand, providing competitive salaries and benefits, and stressing th</w:t>
      </w:r>
      <w:r w:rsidRPr="009A02D8">
        <w:rPr>
          <w:rFonts w:ascii="Arial" w:hAnsi="Arial" w:cs="Arial"/>
        </w:rPr>
        <w:t>e organization's values and culture. Companies should also make their presence known on job boards, social media, and other recruitment venues</w:t>
      </w:r>
      <w:r w:rsidR="00220A48">
        <w:rPr>
          <w:rFonts w:ascii="Arial" w:hAnsi="Arial" w:cs="Arial"/>
        </w:rPr>
        <w:t xml:space="preserve"> (</w:t>
      </w:r>
      <w:r w:rsidR="00220A48" w:rsidRPr="00447B3C">
        <w:rPr>
          <w:rFonts w:ascii="Arial" w:hAnsi="Arial" w:cs="Arial"/>
        </w:rPr>
        <w:t>Jha</w:t>
      </w:r>
      <w:r w:rsidR="00220A48">
        <w:rPr>
          <w:rFonts w:ascii="Arial" w:hAnsi="Arial" w:cs="Arial"/>
        </w:rPr>
        <w:t xml:space="preserve">, </w:t>
      </w:r>
      <w:r w:rsidR="00220A48" w:rsidRPr="00447B3C">
        <w:rPr>
          <w:rFonts w:ascii="Arial" w:hAnsi="Arial" w:cs="Arial"/>
        </w:rPr>
        <w:t>Sareen</w:t>
      </w:r>
      <w:r w:rsidR="00220A48">
        <w:rPr>
          <w:rFonts w:ascii="Arial" w:hAnsi="Arial" w:cs="Arial"/>
        </w:rPr>
        <w:t xml:space="preserve"> &amp;</w:t>
      </w:r>
      <w:r w:rsidR="00220A48" w:rsidRPr="00447B3C">
        <w:rPr>
          <w:rFonts w:ascii="Arial" w:hAnsi="Arial" w:cs="Arial"/>
        </w:rPr>
        <w:t xml:space="preserve"> </w:t>
      </w:r>
      <w:proofErr w:type="spellStart"/>
      <w:r w:rsidR="00220A48" w:rsidRPr="00447B3C">
        <w:rPr>
          <w:rFonts w:ascii="Arial" w:hAnsi="Arial" w:cs="Arial"/>
        </w:rPr>
        <w:t>Potnuru</w:t>
      </w:r>
      <w:proofErr w:type="spellEnd"/>
      <w:r w:rsidR="00220A48" w:rsidRPr="00447B3C">
        <w:rPr>
          <w:rFonts w:ascii="Arial" w:hAnsi="Arial" w:cs="Arial"/>
        </w:rPr>
        <w:t>, 2019</w:t>
      </w:r>
      <w:r w:rsidR="00220A48">
        <w:rPr>
          <w:rFonts w:ascii="Arial" w:hAnsi="Arial" w:cs="Arial"/>
        </w:rPr>
        <w:t xml:space="preserve">, </w:t>
      </w:r>
      <w:proofErr w:type="spellStart"/>
      <w:r w:rsidR="00220A48">
        <w:rPr>
          <w:rFonts w:ascii="Arial" w:hAnsi="Arial" w:cs="Arial"/>
        </w:rPr>
        <w:t>pg</w:t>
      </w:r>
      <w:proofErr w:type="spellEnd"/>
      <w:r w:rsidR="00220A48">
        <w:rPr>
          <w:rFonts w:ascii="Arial" w:hAnsi="Arial" w:cs="Arial"/>
        </w:rPr>
        <w:t xml:space="preserve"> 10)</w:t>
      </w:r>
      <w:r w:rsidRPr="009A02D8">
        <w:rPr>
          <w:rFonts w:ascii="Arial" w:hAnsi="Arial" w:cs="Arial"/>
        </w:rPr>
        <w:t xml:space="preserve">. Companies could also </w:t>
      </w:r>
      <w:r w:rsidRPr="009A02D8">
        <w:rPr>
          <w:rFonts w:ascii="Arial" w:hAnsi="Arial" w:cs="Arial"/>
        </w:rPr>
        <w:lastRenderedPageBreak/>
        <w:t>consider providing referral incentives and incentive s</w:t>
      </w:r>
      <w:r w:rsidRPr="009A02D8">
        <w:rPr>
          <w:rFonts w:ascii="Arial" w:hAnsi="Arial" w:cs="Arial"/>
        </w:rPr>
        <w:t>chemes to encourage current employees to refer friends and family to available positions.</w:t>
      </w:r>
    </w:p>
    <w:p w14:paraId="4C79D731" w14:textId="7E41E760" w:rsidR="004348D4" w:rsidRPr="009A02D8" w:rsidRDefault="0083460B" w:rsidP="009A02D8">
      <w:pPr>
        <w:spacing w:line="360" w:lineRule="auto"/>
        <w:jc w:val="both"/>
        <w:rPr>
          <w:rFonts w:ascii="Arial" w:hAnsi="Arial" w:cs="Arial"/>
        </w:rPr>
      </w:pPr>
      <w:r w:rsidRPr="009A02D8">
        <w:rPr>
          <w:rFonts w:ascii="Arial" w:hAnsi="Arial" w:cs="Arial"/>
        </w:rPr>
        <w:tab/>
        <w:t>The second step of the employee lifecycle is recruitment, which is a crucial element of the process of engaging employees. Human resource departments in large hotels</w:t>
      </w:r>
      <w:r w:rsidRPr="009A02D8">
        <w:rPr>
          <w:rFonts w:ascii="Arial" w:hAnsi="Arial" w:cs="Arial"/>
        </w:rPr>
        <w:t xml:space="preserve"> must have robust recruitment methods to attract suitable people for the roles they are attempting to fill. This includes an in-depth grasp of the skills, qualifications, and experience required for specific occupations</w:t>
      </w:r>
      <w:r w:rsidR="00220A48">
        <w:rPr>
          <w:rFonts w:ascii="Arial" w:hAnsi="Arial" w:cs="Arial"/>
        </w:rPr>
        <w:t xml:space="preserve"> (</w:t>
      </w:r>
      <w:r w:rsidR="00220A48" w:rsidRPr="00447B3C">
        <w:rPr>
          <w:rFonts w:ascii="Arial" w:hAnsi="Arial" w:cs="Arial"/>
        </w:rPr>
        <w:t>Hung</w:t>
      </w:r>
      <w:r w:rsidR="00220A48">
        <w:rPr>
          <w:rFonts w:ascii="Arial" w:hAnsi="Arial" w:cs="Arial"/>
        </w:rPr>
        <w:t xml:space="preserve"> </w:t>
      </w:r>
      <w:r w:rsidR="00220A48">
        <w:rPr>
          <w:rFonts w:ascii="Arial" w:hAnsi="Arial" w:cs="Arial"/>
          <w:i/>
          <w:iCs/>
        </w:rPr>
        <w:t xml:space="preserve">et al., </w:t>
      </w:r>
      <w:r w:rsidR="00220A48">
        <w:rPr>
          <w:rFonts w:ascii="Arial" w:hAnsi="Arial" w:cs="Arial"/>
        </w:rPr>
        <w:t xml:space="preserve">2019, </w:t>
      </w:r>
      <w:proofErr w:type="spellStart"/>
      <w:r w:rsidR="00220A48">
        <w:rPr>
          <w:rFonts w:ascii="Arial" w:hAnsi="Arial" w:cs="Arial"/>
        </w:rPr>
        <w:t>pg</w:t>
      </w:r>
      <w:proofErr w:type="spellEnd"/>
      <w:r w:rsidR="00220A48">
        <w:rPr>
          <w:rFonts w:ascii="Arial" w:hAnsi="Arial" w:cs="Arial"/>
        </w:rPr>
        <w:t xml:space="preserve"> 4)</w:t>
      </w:r>
      <w:r w:rsidRPr="009A02D8">
        <w:rPr>
          <w:rFonts w:ascii="Arial" w:hAnsi="Arial" w:cs="Arial"/>
        </w:rPr>
        <w:t>. Furthermo</w:t>
      </w:r>
      <w:r w:rsidRPr="009A02D8">
        <w:rPr>
          <w:rFonts w:ascii="Arial" w:hAnsi="Arial" w:cs="Arial"/>
        </w:rPr>
        <w:t>re, the recruitment process should be planned to ensure that the correct people are hired and feel welcome and supported. This can be accomplished by providing detailed job descriptions, conducting in-depth interviews, and providing enough training and ass</w:t>
      </w:r>
      <w:r w:rsidRPr="009A02D8">
        <w:rPr>
          <w:rFonts w:ascii="Arial" w:hAnsi="Arial" w:cs="Arial"/>
        </w:rPr>
        <w:t>istance.</w:t>
      </w:r>
    </w:p>
    <w:p w14:paraId="79414B5D" w14:textId="0F8FC135" w:rsidR="004348D4" w:rsidRPr="009A02D8" w:rsidRDefault="0083460B" w:rsidP="009A02D8">
      <w:pPr>
        <w:spacing w:line="360" w:lineRule="auto"/>
        <w:jc w:val="both"/>
        <w:rPr>
          <w:rFonts w:ascii="Arial" w:hAnsi="Arial" w:cs="Arial"/>
        </w:rPr>
      </w:pPr>
      <w:r w:rsidRPr="009A02D8">
        <w:rPr>
          <w:rFonts w:ascii="Arial" w:hAnsi="Arial" w:cs="Arial"/>
        </w:rPr>
        <w:tab/>
        <w:t xml:space="preserve">Onboarding is the third step of the employee lifecycle and is just as significant as recruitment in terms of employee engagement. Human resource departments must ensure that new workers have the necessary resources to feel welcomed and supported </w:t>
      </w:r>
      <w:r w:rsidRPr="009A02D8">
        <w:rPr>
          <w:rFonts w:ascii="Arial" w:hAnsi="Arial" w:cs="Arial"/>
        </w:rPr>
        <w:t>in their new roles</w:t>
      </w:r>
      <w:r w:rsidR="00220A48">
        <w:rPr>
          <w:rFonts w:ascii="Arial" w:hAnsi="Arial" w:cs="Arial"/>
        </w:rPr>
        <w:t xml:space="preserve"> (</w:t>
      </w:r>
      <w:r w:rsidR="00220A48" w:rsidRPr="00447B3C">
        <w:rPr>
          <w:rFonts w:ascii="Arial" w:hAnsi="Arial" w:cs="Arial"/>
        </w:rPr>
        <w:t>He</w:t>
      </w:r>
      <w:r w:rsidR="00220A48">
        <w:rPr>
          <w:rFonts w:ascii="Arial" w:hAnsi="Arial" w:cs="Arial"/>
        </w:rPr>
        <w:t xml:space="preserve"> </w:t>
      </w:r>
      <w:r w:rsidR="00220A48">
        <w:rPr>
          <w:rFonts w:ascii="Arial" w:hAnsi="Arial" w:cs="Arial"/>
          <w:i/>
          <w:iCs/>
        </w:rPr>
        <w:t xml:space="preserve">et al., </w:t>
      </w:r>
      <w:r w:rsidR="00220A48">
        <w:rPr>
          <w:rFonts w:ascii="Arial" w:hAnsi="Arial" w:cs="Arial"/>
        </w:rPr>
        <w:t xml:space="preserve">2021, </w:t>
      </w:r>
      <w:proofErr w:type="spellStart"/>
      <w:r w:rsidR="00220A48">
        <w:rPr>
          <w:rFonts w:ascii="Arial" w:hAnsi="Arial" w:cs="Arial"/>
        </w:rPr>
        <w:t>pg</w:t>
      </w:r>
      <w:proofErr w:type="spellEnd"/>
      <w:r w:rsidR="00220A48">
        <w:rPr>
          <w:rFonts w:ascii="Arial" w:hAnsi="Arial" w:cs="Arial"/>
        </w:rPr>
        <w:t xml:space="preserve"> 347)</w:t>
      </w:r>
      <w:r w:rsidRPr="009A02D8">
        <w:rPr>
          <w:rFonts w:ascii="Arial" w:hAnsi="Arial" w:cs="Arial"/>
        </w:rPr>
        <w:t xml:space="preserve">. This includes offering an efficient onboarding process that includes orientation, training, and resource access. Furthermore, the onboarding process should be tailored to each employee to ensure they are given </w:t>
      </w:r>
      <w:r w:rsidRPr="009A02D8">
        <w:rPr>
          <w:rFonts w:ascii="Arial" w:hAnsi="Arial" w:cs="Arial"/>
        </w:rPr>
        <w:t>the assistance and tools they need to succeed in their new work.</w:t>
      </w:r>
    </w:p>
    <w:p w14:paraId="58F52373" w14:textId="2CEA6CC9" w:rsidR="004348D4" w:rsidRPr="009A02D8" w:rsidRDefault="0083460B" w:rsidP="009A02D8">
      <w:pPr>
        <w:spacing w:line="360" w:lineRule="auto"/>
        <w:jc w:val="both"/>
        <w:rPr>
          <w:rFonts w:ascii="Arial" w:hAnsi="Arial" w:cs="Arial"/>
        </w:rPr>
      </w:pPr>
      <w:r w:rsidRPr="009A02D8">
        <w:rPr>
          <w:rFonts w:ascii="Arial" w:hAnsi="Arial" w:cs="Arial"/>
        </w:rPr>
        <w:tab/>
        <w:t xml:space="preserve">The fourth stage of the employee lifecycle, development, is critical to ensuring employee engagement. Human resource departments must guarantee that employees have opportunities to grow and </w:t>
      </w:r>
      <w:r w:rsidRPr="009A02D8">
        <w:rPr>
          <w:rFonts w:ascii="Arial" w:hAnsi="Arial" w:cs="Arial"/>
        </w:rPr>
        <w:t>develop within the organization</w:t>
      </w:r>
      <w:r w:rsidR="00220A48">
        <w:rPr>
          <w:rFonts w:ascii="Arial" w:hAnsi="Arial" w:cs="Arial"/>
        </w:rPr>
        <w:t xml:space="preserve"> (</w:t>
      </w:r>
      <w:proofErr w:type="spellStart"/>
      <w:r w:rsidR="00220A48" w:rsidRPr="00447B3C">
        <w:rPr>
          <w:rFonts w:ascii="Arial" w:hAnsi="Arial" w:cs="Arial"/>
        </w:rPr>
        <w:t>Vrontis</w:t>
      </w:r>
      <w:proofErr w:type="spellEnd"/>
      <w:r w:rsidR="00220A48">
        <w:rPr>
          <w:rFonts w:ascii="Arial" w:hAnsi="Arial" w:cs="Arial"/>
        </w:rPr>
        <w:t xml:space="preserve"> </w:t>
      </w:r>
      <w:r w:rsidR="00220A48">
        <w:rPr>
          <w:rFonts w:ascii="Arial" w:hAnsi="Arial" w:cs="Arial"/>
          <w:i/>
          <w:iCs/>
        </w:rPr>
        <w:t xml:space="preserve">et al., </w:t>
      </w:r>
      <w:r w:rsidR="00220A48">
        <w:rPr>
          <w:rFonts w:ascii="Arial" w:hAnsi="Arial" w:cs="Arial"/>
        </w:rPr>
        <w:t xml:space="preserve">2022, </w:t>
      </w:r>
      <w:proofErr w:type="spellStart"/>
      <w:r w:rsidR="00220A48">
        <w:rPr>
          <w:rFonts w:ascii="Arial" w:hAnsi="Arial" w:cs="Arial"/>
        </w:rPr>
        <w:t>pg</w:t>
      </w:r>
      <w:proofErr w:type="spellEnd"/>
      <w:r w:rsidR="00220A48">
        <w:rPr>
          <w:rFonts w:ascii="Arial" w:hAnsi="Arial" w:cs="Arial"/>
        </w:rPr>
        <w:t xml:space="preserve"> 1240)</w:t>
      </w:r>
      <w:r w:rsidRPr="009A02D8">
        <w:rPr>
          <w:rFonts w:ascii="Arial" w:hAnsi="Arial" w:cs="Arial"/>
        </w:rPr>
        <w:t xml:space="preserve">. This implies they must provide employees with access to training and development opportunities and assistance with professional advancement. Furthermore, the human resources </w:t>
      </w:r>
      <w:r w:rsidRPr="009A02D8">
        <w:rPr>
          <w:rFonts w:ascii="Arial" w:hAnsi="Arial" w:cs="Arial"/>
        </w:rPr>
        <w:t>department should ensure that employees can take on additional duties and tasks inside the organization.</w:t>
      </w:r>
    </w:p>
    <w:p w14:paraId="4F5DC593" w14:textId="71BFF11C" w:rsidR="004348D4" w:rsidRPr="009A02D8" w:rsidRDefault="0083460B" w:rsidP="009A02D8">
      <w:pPr>
        <w:spacing w:line="360" w:lineRule="auto"/>
        <w:jc w:val="both"/>
        <w:rPr>
          <w:rFonts w:ascii="Arial" w:hAnsi="Arial" w:cs="Arial"/>
        </w:rPr>
      </w:pPr>
      <w:r w:rsidRPr="009A02D8">
        <w:rPr>
          <w:rFonts w:ascii="Arial" w:hAnsi="Arial" w:cs="Arial"/>
        </w:rPr>
        <w:tab/>
        <w:t>Retention is the fifth stage of the employee lifecycle and is critical to retaining employees. Human resource departments must ensure that employees g</w:t>
      </w:r>
      <w:r w:rsidRPr="009A02D8">
        <w:rPr>
          <w:rFonts w:ascii="Arial" w:hAnsi="Arial" w:cs="Arial"/>
        </w:rPr>
        <w:t>et the support and resources they need to stay engaged and effective in their professions</w:t>
      </w:r>
      <w:r w:rsidR="00220A48">
        <w:rPr>
          <w:rFonts w:ascii="Arial" w:hAnsi="Arial" w:cs="Arial"/>
        </w:rPr>
        <w:t xml:space="preserve"> (</w:t>
      </w:r>
      <w:r w:rsidR="00220A48" w:rsidRPr="00447B3C">
        <w:rPr>
          <w:rFonts w:ascii="Arial" w:hAnsi="Arial" w:cs="Arial"/>
        </w:rPr>
        <w:t>Fenech</w:t>
      </w:r>
      <w:r w:rsidR="00220A48">
        <w:rPr>
          <w:rFonts w:ascii="Arial" w:hAnsi="Arial" w:cs="Arial"/>
        </w:rPr>
        <w:t xml:space="preserve">, </w:t>
      </w:r>
      <w:proofErr w:type="spellStart"/>
      <w:r w:rsidR="00220A48" w:rsidRPr="00447B3C">
        <w:rPr>
          <w:rFonts w:ascii="Arial" w:hAnsi="Arial" w:cs="Arial"/>
        </w:rPr>
        <w:t>Baguant</w:t>
      </w:r>
      <w:proofErr w:type="spellEnd"/>
      <w:r w:rsidR="00220A48">
        <w:rPr>
          <w:rFonts w:ascii="Arial" w:hAnsi="Arial" w:cs="Arial"/>
        </w:rPr>
        <w:t xml:space="preserve"> &amp;</w:t>
      </w:r>
      <w:r w:rsidR="00220A48" w:rsidRPr="00447B3C">
        <w:rPr>
          <w:rFonts w:ascii="Arial" w:hAnsi="Arial" w:cs="Arial"/>
        </w:rPr>
        <w:t xml:space="preserve"> Ivanov, 2019</w:t>
      </w:r>
      <w:r w:rsidR="00220A48">
        <w:rPr>
          <w:rFonts w:ascii="Arial" w:hAnsi="Arial" w:cs="Arial"/>
        </w:rPr>
        <w:t xml:space="preserve">, </w:t>
      </w:r>
      <w:proofErr w:type="spellStart"/>
      <w:r w:rsidR="00220A48">
        <w:rPr>
          <w:rFonts w:ascii="Arial" w:hAnsi="Arial" w:cs="Arial"/>
        </w:rPr>
        <w:t>pg</w:t>
      </w:r>
      <w:proofErr w:type="spellEnd"/>
      <w:r w:rsidR="00220A48">
        <w:rPr>
          <w:rFonts w:ascii="Arial" w:hAnsi="Arial" w:cs="Arial"/>
        </w:rPr>
        <w:t xml:space="preserve"> 22)</w:t>
      </w:r>
      <w:r w:rsidRPr="009A02D8">
        <w:rPr>
          <w:rFonts w:ascii="Arial" w:hAnsi="Arial" w:cs="Arial"/>
        </w:rPr>
        <w:t>. This includes competitive pay, benefits, and prospects for advancement and development</w:t>
      </w:r>
      <w:r w:rsidRPr="00220A48">
        <w:rPr>
          <w:rFonts w:ascii="Arial" w:hAnsi="Arial" w:cs="Arial"/>
        </w:rPr>
        <w:t>. Furthermore, the human resources depa</w:t>
      </w:r>
      <w:r w:rsidRPr="00220A48">
        <w:rPr>
          <w:rFonts w:ascii="Arial" w:hAnsi="Arial" w:cs="Arial"/>
        </w:rPr>
        <w:t>rtment</w:t>
      </w:r>
      <w:r w:rsidRPr="009A02D8">
        <w:rPr>
          <w:rFonts w:ascii="Arial" w:hAnsi="Arial" w:cs="Arial"/>
        </w:rPr>
        <w:t xml:space="preserve"> </w:t>
      </w:r>
      <w:r w:rsidRPr="009A02D8">
        <w:rPr>
          <w:rFonts w:ascii="Arial" w:hAnsi="Arial" w:cs="Arial"/>
        </w:rPr>
        <w:lastRenderedPageBreak/>
        <w:t>should cultivate an open and friendly work atmosphere in which employees feel valued and appreciated for their contributions.</w:t>
      </w:r>
    </w:p>
    <w:p w14:paraId="3925AC44" w14:textId="57E0B81E" w:rsidR="00924848" w:rsidRPr="009A02D8" w:rsidRDefault="0083460B" w:rsidP="009A02D8">
      <w:pPr>
        <w:spacing w:line="360" w:lineRule="auto"/>
        <w:jc w:val="both"/>
        <w:rPr>
          <w:rFonts w:ascii="Arial" w:hAnsi="Arial" w:cs="Arial"/>
        </w:rPr>
      </w:pPr>
      <w:r w:rsidRPr="009A02D8">
        <w:rPr>
          <w:rFonts w:ascii="Arial" w:hAnsi="Arial" w:cs="Arial"/>
        </w:rPr>
        <w:tab/>
        <w:t>Separation is the final stage of the employee lifecycle and an essential component of the engagement process. Human resour</w:t>
      </w:r>
      <w:r w:rsidRPr="009A02D8">
        <w:rPr>
          <w:rFonts w:ascii="Arial" w:hAnsi="Arial" w:cs="Arial"/>
        </w:rPr>
        <w:t>ce departments must guarantee that departing employees are treated with dignity and assistance during their transition</w:t>
      </w:r>
      <w:r w:rsidR="00220A48">
        <w:rPr>
          <w:rFonts w:ascii="Arial" w:hAnsi="Arial" w:cs="Arial"/>
        </w:rPr>
        <w:t xml:space="preserve"> (</w:t>
      </w:r>
      <w:proofErr w:type="spellStart"/>
      <w:r w:rsidR="00220A48" w:rsidRPr="00447B3C">
        <w:rPr>
          <w:rFonts w:ascii="Arial" w:hAnsi="Arial" w:cs="Arial"/>
        </w:rPr>
        <w:t>Ramakumar</w:t>
      </w:r>
      <w:proofErr w:type="spellEnd"/>
      <w:r w:rsidR="00220A48">
        <w:rPr>
          <w:rFonts w:ascii="Arial" w:hAnsi="Arial" w:cs="Arial"/>
        </w:rPr>
        <w:t xml:space="preserve"> &amp;</w:t>
      </w:r>
      <w:r w:rsidR="00220A48" w:rsidRPr="00447B3C">
        <w:rPr>
          <w:rFonts w:ascii="Arial" w:hAnsi="Arial" w:cs="Arial"/>
        </w:rPr>
        <w:t xml:space="preserve"> Priyadarshini, 2021</w:t>
      </w:r>
      <w:r w:rsidR="00220A48">
        <w:rPr>
          <w:rFonts w:ascii="Arial" w:hAnsi="Arial" w:cs="Arial"/>
        </w:rPr>
        <w:t xml:space="preserve">, </w:t>
      </w:r>
      <w:proofErr w:type="spellStart"/>
      <w:r w:rsidR="00220A48">
        <w:rPr>
          <w:rFonts w:ascii="Arial" w:hAnsi="Arial" w:cs="Arial"/>
        </w:rPr>
        <w:t>pg</w:t>
      </w:r>
      <w:proofErr w:type="spellEnd"/>
      <w:r w:rsidR="00220A48">
        <w:rPr>
          <w:rFonts w:ascii="Arial" w:hAnsi="Arial" w:cs="Arial"/>
        </w:rPr>
        <w:t xml:space="preserve"> 109)</w:t>
      </w:r>
      <w:r w:rsidRPr="009A02D8">
        <w:rPr>
          <w:rFonts w:ascii="Arial" w:hAnsi="Arial" w:cs="Arial"/>
        </w:rPr>
        <w:t xml:space="preserve">. This includes conducting exit interviews and delivering performance evaluations to employees. </w:t>
      </w:r>
      <w:r w:rsidRPr="009A02D8">
        <w:rPr>
          <w:rFonts w:ascii="Arial" w:hAnsi="Arial" w:cs="Arial"/>
        </w:rPr>
        <w:t>Furthermore, the human resources department should equip departing employees with the resources they need to transition smoothly into their new roles.</w:t>
      </w:r>
    </w:p>
    <w:p w14:paraId="6F04BF1A" w14:textId="2420AF0E" w:rsidR="00B50BA2" w:rsidRPr="009A02D8" w:rsidRDefault="0083460B" w:rsidP="009A02D8">
      <w:pPr>
        <w:spacing w:line="360" w:lineRule="auto"/>
        <w:jc w:val="center"/>
        <w:rPr>
          <w:rFonts w:ascii="Arial" w:hAnsi="Arial" w:cs="Arial"/>
          <w:b/>
          <w:bCs/>
        </w:rPr>
      </w:pPr>
      <w:r w:rsidRPr="009A02D8">
        <w:rPr>
          <w:rFonts w:ascii="Arial" w:hAnsi="Arial" w:cs="Arial"/>
          <w:b/>
          <w:bCs/>
        </w:rPr>
        <w:t>Examples of How you Could Engage your Team</w:t>
      </w:r>
    </w:p>
    <w:p w14:paraId="5A8CB3DA" w14:textId="05F97284" w:rsidR="004348D4" w:rsidRPr="009A02D8" w:rsidRDefault="0083460B" w:rsidP="009A02D8">
      <w:pPr>
        <w:spacing w:line="360" w:lineRule="auto"/>
        <w:jc w:val="both"/>
        <w:rPr>
          <w:rFonts w:ascii="Arial" w:hAnsi="Arial" w:cs="Arial"/>
        </w:rPr>
      </w:pPr>
      <w:r w:rsidRPr="009A02D8">
        <w:rPr>
          <w:rFonts w:ascii="Arial" w:hAnsi="Arial" w:cs="Arial"/>
        </w:rPr>
        <w:tab/>
        <w:t xml:space="preserve">Employers must develop an environment that promotes employee </w:t>
      </w:r>
      <w:r w:rsidRPr="009A02D8">
        <w:rPr>
          <w:rFonts w:ascii="Arial" w:hAnsi="Arial" w:cs="Arial"/>
        </w:rPr>
        <w:t>engagement and motivation. Employees that are engaged are more likely to be productive and committed to their jobs, which can lead to higher customer satisfaction, more considerable revenues, and a more positive work atmosphere</w:t>
      </w:r>
      <w:r w:rsidR="0030307A">
        <w:rPr>
          <w:rFonts w:ascii="Arial" w:hAnsi="Arial" w:cs="Arial"/>
        </w:rPr>
        <w:t xml:space="preserve"> (</w:t>
      </w:r>
      <w:r w:rsidR="0030307A" w:rsidRPr="00447B3C">
        <w:rPr>
          <w:rFonts w:ascii="Arial" w:hAnsi="Arial" w:cs="Arial"/>
        </w:rPr>
        <w:t>Hashem</w:t>
      </w:r>
      <w:r w:rsidR="0030307A">
        <w:rPr>
          <w:rFonts w:ascii="Arial" w:hAnsi="Arial" w:cs="Arial"/>
        </w:rPr>
        <w:t xml:space="preserve"> </w:t>
      </w:r>
      <w:r w:rsidR="0030307A">
        <w:rPr>
          <w:rFonts w:ascii="Arial" w:hAnsi="Arial" w:cs="Arial"/>
          <w:i/>
          <w:iCs/>
        </w:rPr>
        <w:t xml:space="preserve">et al., </w:t>
      </w:r>
      <w:r w:rsidR="0030307A">
        <w:rPr>
          <w:rFonts w:ascii="Arial" w:hAnsi="Arial" w:cs="Arial"/>
        </w:rPr>
        <w:t xml:space="preserve">2022, </w:t>
      </w:r>
      <w:proofErr w:type="spellStart"/>
      <w:r w:rsidR="0030307A">
        <w:rPr>
          <w:rFonts w:ascii="Arial" w:hAnsi="Arial" w:cs="Arial"/>
        </w:rPr>
        <w:t>pg</w:t>
      </w:r>
      <w:proofErr w:type="spellEnd"/>
      <w:r w:rsidR="0030307A">
        <w:rPr>
          <w:rFonts w:ascii="Arial" w:hAnsi="Arial" w:cs="Arial"/>
        </w:rPr>
        <w:t xml:space="preserve"> 10)</w:t>
      </w:r>
      <w:r w:rsidRPr="009A02D8">
        <w:rPr>
          <w:rFonts w:ascii="Arial" w:hAnsi="Arial" w:cs="Arial"/>
        </w:rPr>
        <w:t>. Employers should work on building an atmosphere that fosters employee autonomy, recognition, and development to ensure employee engagement throughout the employment lifecycle. Giving staff autonomy is one approach to keep them engaged. This entails letti</w:t>
      </w:r>
      <w:r w:rsidRPr="009A02D8">
        <w:rPr>
          <w:rFonts w:ascii="Arial" w:hAnsi="Arial" w:cs="Arial"/>
        </w:rPr>
        <w:t>ng them make their own decisions and allowing them to work on their terms. This level of independence can make employees feel empowered and confident in taking on greater responsibilities</w:t>
      </w:r>
      <w:r w:rsidR="0030307A">
        <w:rPr>
          <w:rFonts w:ascii="Arial" w:hAnsi="Arial" w:cs="Arial"/>
        </w:rPr>
        <w:t xml:space="preserve"> (</w:t>
      </w:r>
      <w:proofErr w:type="spellStart"/>
      <w:r w:rsidR="0030307A" w:rsidRPr="00447B3C">
        <w:rPr>
          <w:rFonts w:ascii="Arial" w:hAnsi="Arial" w:cs="Arial"/>
        </w:rPr>
        <w:t>Ranathunga</w:t>
      </w:r>
      <w:proofErr w:type="spellEnd"/>
      <w:r w:rsidR="0030307A">
        <w:rPr>
          <w:rFonts w:ascii="Arial" w:hAnsi="Arial" w:cs="Arial"/>
        </w:rPr>
        <w:t xml:space="preserve"> &amp;</w:t>
      </w:r>
      <w:r w:rsidR="0030307A" w:rsidRPr="00447B3C">
        <w:rPr>
          <w:rFonts w:ascii="Arial" w:hAnsi="Arial" w:cs="Arial"/>
        </w:rPr>
        <w:t xml:space="preserve"> </w:t>
      </w:r>
      <w:proofErr w:type="spellStart"/>
      <w:r w:rsidR="0030307A" w:rsidRPr="00447B3C">
        <w:rPr>
          <w:rFonts w:ascii="Arial" w:hAnsi="Arial" w:cs="Arial"/>
        </w:rPr>
        <w:t>Jayawardane</w:t>
      </w:r>
      <w:proofErr w:type="spellEnd"/>
      <w:r w:rsidR="0030307A" w:rsidRPr="00447B3C">
        <w:rPr>
          <w:rFonts w:ascii="Arial" w:hAnsi="Arial" w:cs="Arial"/>
        </w:rPr>
        <w:t>, 2022</w:t>
      </w:r>
      <w:r w:rsidR="0030307A">
        <w:rPr>
          <w:rFonts w:ascii="Arial" w:hAnsi="Arial" w:cs="Arial"/>
        </w:rPr>
        <w:t xml:space="preserve">, </w:t>
      </w:r>
      <w:proofErr w:type="spellStart"/>
      <w:r w:rsidR="0030307A">
        <w:rPr>
          <w:rFonts w:ascii="Arial" w:hAnsi="Arial" w:cs="Arial"/>
        </w:rPr>
        <w:t>pg</w:t>
      </w:r>
      <w:proofErr w:type="spellEnd"/>
      <w:r w:rsidR="0030307A">
        <w:rPr>
          <w:rFonts w:ascii="Arial" w:hAnsi="Arial" w:cs="Arial"/>
        </w:rPr>
        <w:t xml:space="preserve"> 7)</w:t>
      </w:r>
      <w:r w:rsidRPr="009A02D8">
        <w:rPr>
          <w:rFonts w:ascii="Arial" w:hAnsi="Arial" w:cs="Arial"/>
        </w:rPr>
        <w:t xml:space="preserve">. It also enables children to </w:t>
      </w:r>
      <w:r w:rsidRPr="009A02D8">
        <w:rPr>
          <w:rFonts w:ascii="Arial" w:hAnsi="Arial" w:cs="Arial"/>
        </w:rPr>
        <w:t>take ownership of their work and be proud of their achievements. Employers can also recognize employees for their accomplishments. This can be accomplished through incentive and recognition programs or simply by thanking people for their actions. Recognize</w:t>
      </w:r>
      <w:r w:rsidRPr="009A02D8">
        <w:rPr>
          <w:rFonts w:ascii="Arial" w:hAnsi="Arial" w:cs="Arial"/>
        </w:rPr>
        <w:t>d employees feel valued and appreciated, which can lead to improved motivation and engagement.</w:t>
      </w:r>
    </w:p>
    <w:p w14:paraId="59488A9F" w14:textId="28C99AE9" w:rsidR="00C13746" w:rsidRPr="003E2D7E" w:rsidRDefault="0083460B" w:rsidP="003E2D7E">
      <w:pPr>
        <w:spacing w:line="360" w:lineRule="auto"/>
        <w:jc w:val="both"/>
        <w:rPr>
          <w:rFonts w:ascii="Arial" w:hAnsi="Arial" w:cs="Arial"/>
        </w:rPr>
      </w:pPr>
      <w:r w:rsidRPr="009A02D8">
        <w:rPr>
          <w:rFonts w:ascii="Arial" w:hAnsi="Arial" w:cs="Arial"/>
        </w:rPr>
        <w:tab/>
        <w:t xml:space="preserve">The second strategy to engage employees is to offer them opportunities for professional development. This can involve providing training, mentorship, and </w:t>
      </w:r>
      <w:r w:rsidRPr="009A02D8">
        <w:rPr>
          <w:rFonts w:ascii="Arial" w:hAnsi="Arial" w:cs="Arial"/>
        </w:rPr>
        <w:t>other forms of professional development. Professional development can help employees stay current on industry developments and remain competitive in the job market</w:t>
      </w:r>
      <w:r w:rsidR="0030307A">
        <w:rPr>
          <w:rFonts w:ascii="Arial" w:hAnsi="Arial" w:cs="Arial"/>
        </w:rPr>
        <w:t xml:space="preserve"> (</w:t>
      </w:r>
      <w:proofErr w:type="spellStart"/>
      <w:r w:rsidR="0030307A" w:rsidRPr="00447B3C">
        <w:rPr>
          <w:rFonts w:ascii="Arial" w:hAnsi="Arial" w:cs="Arial"/>
        </w:rPr>
        <w:t>Hussainy</w:t>
      </w:r>
      <w:proofErr w:type="spellEnd"/>
      <w:r w:rsidR="0030307A" w:rsidRPr="00447B3C">
        <w:rPr>
          <w:rFonts w:ascii="Arial" w:hAnsi="Arial" w:cs="Arial"/>
        </w:rPr>
        <w:t>, 2020</w:t>
      </w:r>
      <w:r w:rsidR="0030307A">
        <w:rPr>
          <w:rFonts w:ascii="Arial" w:hAnsi="Arial" w:cs="Arial"/>
        </w:rPr>
        <w:t xml:space="preserve">, </w:t>
      </w:r>
      <w:proofErr w:type="spellStart"/>
      <w:r w:rsidR="0030307A">
        <w:rPr>
          <w:rFonts w:ascii="Arial" w:hAnsi="Arial" w:cs="Arial"/>
        </w:rPr>
        <w:t>pg</w:t>
      </w:r>
      <w:proofErr w:type="spellEnd"/>
      <w:r w:rsidR="0030307A">
        <w:rPr>
          <w:rFonts w:ascii="Arial" w:hAnsi="Arial" w:cs="Arial"/>
        </w:rPr>
        <w:t xml:space="preserve"> 42)</w:t>
      </w:r>
      <w:r w:rsidRPr="009A02D8">
        <w:rPr>
          <w:rFonts w:ascii="Arial" w:hAnsi="Arial" w:cs="Arial"/>
        </w:rPr>
        <w:t>. It can also make employees feel more engaged with the company and a</w:t>
      </w:r>
      <w:r w:rsidRPr="009A02D8">
        <w:rPr>
          <w:rFonts w:ascii="Arial" w:hAnsi="Arial" w:cs="Arial"/>
        </w:rPr>
        <w:t xml:space="preserve">llow </w:t>
      </w:r>
      <w:r w:rsidRPr="009A02D8">
        <w:rPr>
          <w:rFonts w:ascii="Arial" w:hAnsi="Arial" w:cs="Arial"/>
        </w:rPr>
        <w:lastRenderedPageBreak/>
        <w:t>them to broaden their skill set. Implementing an employee engagement model is a third method of engaging employees. An employee engagement model can provide a framework for organizations to measure and improve employee engagement levels. This methodol</w:t>
      </w:r>
      <w:r w:rsidRPr="009A02D8">
        <w:rPr>
          <w:rFonts w:ascii="Arial" w:hAnsi="Arial" w:cs="Arial"/>
        </w:rPr>
        <w:t>ogy can involve surveys, focus groups, and interviews to understand employee happiness</w:t>
      </w:r>
      <w:r w:rsidR="0030307A">
        <w:rPr>
          <w:rFonts w:ascii="Arial" w:hAnsi="Arial" w:cs="Arial"/>
        </w:rPr>
        <w:t xml:space="preserve"> (</w:t>
      </w:r>
      <w:proofErr w:type="spellStart"/>
      <w:r w:rsidR="0030307A" w:rsidRPr="00447B3C">
        <w:rPr>
          <w:rFonts w:ascii="Arial" w:hAnsi="Arial" w:cs="Arial"/>
        </w:rPr>
        <w:t>Nasution</w:t>
      </w:r>
      <w:proofErr w:type="spellEnd"/>
      <w:r w:rsidR="0030307A">
        <w:rPr>
          <w:rFonts w:ascii="Arial" w:hAnsi="Arial" w:cs="Arial"/>
        </w:rPr>
        <w:t xml:space="preserve"> &amp;</w:t>
      </w:r>
      <w:r w:rsidR="0030307A" w:rsidRPr="00447B3C">
        <w:rPr>
          <w:rFonts w:ascii="Arial" w:hAnsi="Arial" w:cs="Arial"/>
        </w:rPr>
        <w:t xml:space="preserve"> </w:t>
      </w:r>
      <w:proofErr w:type="spellStart"/>
      <w:r w:rsidR="0030307A" w:rsidRPr="00447B3C">
        <w:rPr>
          <w:rFonts w:ascii="Arial" w:hAnsi="Arial" w:cs="Arial"/>
        </w:rPr>
        <w:t>Absah</w:t>
      </w:r>
      <w:proofErr w:type="spellEnd"/>
      <w:r w:rsidR="0030307A">
        <w:rPr>
          <w:rFonts w:ascii="Arial" w:hAnsi="Arial" w:cs="Arial"/>
        </w:rPr>
        <w:t>,</w:t>
      </w:r>
      <w:r w:rsidR="0030307A" w:rsidRPr="00447B3C">
        <w:rPr>
          <w:rFonts w:ascii="Arial" w:hAnsi="Arial" w:cs="Arial"/>
        </w:rPr>
        <w:t xml:space="preserve"> 2019</w:t>
      </w:r>
      <w:r w:rsidR="0030307A">
        <w:rPr>
          <w:rFonts w:ascii="Arial" w:hAnsi="Arial" w:cs="Arial"/>
        </w:rPr>
        <w:t xml:space="preserve">, </w:t>
      </w:r>
      <w:proofErr w:type="spellStart"/>
      <w:r w:rsidR="0030307A">
        <w:rPr>
          <w:rFonts w:ascii="Arial" w:hAnsi="Arial" w:cs="Arial"/>
        </w:rPr>
        <w:t>pg</w:t>
      </w:r>
      <w:proofErr w:type="spellEnd"/>
      <w:r w:rsidR="0030307A">
        <w:rPr>
          <w:rFonts w:ascii="Arial" w:hAnsi="Arial" w:cs="Arial"/>
        </w:rPr>
        <w:t xml:space="preserve"> 336)</w:t>
      </w:r>
      <w:r w:rsidRPr="009A02D8">
        <w:rPr>
          <w:rFonts w:ascii="Arial" w:hAnsi="Arial" w:cs="Arial"/>
        </w:rPr>
        <w:t xml:space="preserve">. Metrics like staff turnover, absenteeism, and engagement scores can also be used to identify areas for improvement. Employers can then </w:t>
      </w:r>
      <w:r w:rsidRPr="003E2D7E">
        <w:rPr>
          <w:rFonts w:ascii="Arial" w:hAnsi="Arial" w:cs="Arial"/>
        </w:rPr>
        <w:t>use this data to develop initiatives to increase employee engagement.</w:t>
      </w:r>
    </w:p>
    <w:p w14:paraId="53A01299" w14:textId="1501DF04" w:rsidR="003E2D7E" w:rsidRPr="003E2D7E" w:rsidRDefault="003E2D7E" w:rsidP="003E2D7E">
      <w:pPr>
        <w:pStyle w:val="NormalWeb"/>
        <w:spacing w:before="0" w:beforeAutospacing="0" w:after="0" w:afterAutospacing="0" w:line="360" w:lineRule="auto"/>
        <w:jc w:val="center"/>
        <w:rPr>
          <w:rFonts w:ascii="Arial" w:hAnsi="Arial" w:cs="Arial"/>
        </w:rPr>
      </w:pPr>
      <w:r w:rsidRPr="003E2D7E">
        <w:rPr>
          <w:rStyle w:val="Strong"/>
          <w:rFonts w:ascii="Arial" w:hAnsi="Arial" w:cs="Arial"/>
        </w:rPr>
        <w:t>Employee Engagement Model and How it could be Implemented</w:t>
      </w:r>
    </w:p>
    <w:p w14:paraId="3EF659D0" w14:textId="77777777" w:rsidR="003E2D7E" w:rsidRPr="003E2D7E" w:rsidRDefault="003E2D7E" w:rsidP="003E2D7E">
      <w:pPr>
        <w:pStyle w:val="NormalWeb"/>
        <w:spacing w:before="0" w:beforeAutospacing="0" w:after="0" w:afterAutospacing="0" w:line="360" w:lineRule="auto"/>
        <w:rPr>
          <w:rFonts w:ascii="Arial" w:hAnsi="Arial" w:cs="Arial"/>
        </w:rPr>
      </w:pPr>
      <w:r w:rsidRPr="003E2D7E">
        <w:rPr>
          <w:rFonts w:ascii="Arial" w:hAnsi="Arial" w:cs="Arial"/>
        </w:rPr>
        <w:t xml:space="preserve">           The Gallup employee engagement model is a comprehensive system of strategies, practices, and beliefs that organizations use to foster an engaged culture among their employees. This model has become an increasingly important component of human resource management and has been adopted by several large corporations, including hotels. The Gallup model is divided into four parts: purpose, performance, development, and recognition (Duong, 2020, </w:t>
      </w:r>
      <w:proofErr w:type="spellStart"/>
      <w:r w:rsidRPr="003E2D7E">
        <w:rPr>
          <w:rFonts w:ascii="Arial" w:hAnsi="Arial" w:cs="Arial"/>
        </w:rPr>
        <w:t>pg</w:t>
      </w:r>
      <w:proofErr w:type="spellEnd"/>
      <w:r w:rsidRPr="003E2D7E">
        <w:rPr>
          <w:rFonts w:ascii="Arial" w:hAnsi="Arial" w:cs="Arial"/>
        </w:rPr>
        <w:t xml:space="preserve"> 3). Understanding and communicating a clear purpose is the first step in developing an effective employee engagement strategy. The goal should be consistent with the company's mission and vision and should be communicated in a way that is appealing to the employees. This should be accomplished through regular company-wide meetings, one-on-one meetings, and other initiatives emphasizing the significance of purpose. The Gallup employee engagement model's second component is performance. Setting measurable goals aligned with the company's purpose and providing employees with the tools and resources to achieve them are examples. Performance should be consistently monitored, and feedback provided to ensure that employees perform to the highest standards (Rachapalli, 2021, </w:t>
      </w:r>
      <w:proofErr w:type="spellStart"/>
      <w:r w:rsidRPr="003E2D7E">
        <w:rPr>
          <w:rFonts w:ascii="Arial" w:hAnsi="Arial" w:cs="Arial"/>
        </w:rPr>
        <w:t>pg</w:t>
      </w:r>
      <w:proofErr w:type="spellEnd"/>
      <w:r w:rsidRPr="003E2D7E">
        <w:rPr>
          <w:rFonts w:ascii="Arial" w:hAnsi="Arial" w:cs="Arial"/>
        </w:rPr>
        <w:t xml:space="preserve"> 17). The Gallup model's third component is development. This includes allowing employees to advance professionally. This could have mentoring and coaching, training opportunities, and performance-based rewards. Finally, according to the Gallup model, employees should be recognized for their contributions and accomplishments through bonuses, awards, or informal recognition. This helps to motivate employees and encourages them to keep doing their best.</w:t>
      </w:r>
    </w:p>
    <w:p w14:paraId="054EC9C1" w14:textId="5FC0CD1B" w:rsidR="003E2D7E" w:rsidRDefault="003E2D7E" w:rsidP="003E2D7E">
      <w:pPr>
        <w:pStyle w:val="NormalWeb"/>
        <w:spacing w:before="0" w:beforeAutospacing="0" w:after="0" w:afterAutospacing="0" w:line="360" w:lineRule="auto"/>
        <w:rPr>
          <w:rFonts w:ascii="Arial" w:hAnsi="Arial" w:cs="Arial"/>
        </w:rPr>
      </w:pPr>
      <w:r w:rsidRPr="003E2D7E">
        <w:rPr>
          <w:rFonts w:ascii="Arial" w:hAnsi="Arial" w:cs="Arial"/>
        </w:rPr>
        <w:t xml:space="preserve">           Employee engagement is critical for any organization because it can improve job satisfaction, productivity, and workforce commitment. The Gallup Employee </w:t>
      </w:r>
      <w:r w:rsidRPr="003E2D7E">
        <w:rPr>
          <w:rFonts w:ascii="Arial" w:hAnsi="Arial" w:cs="Arial"/>
        </w:rPr>
        <w:lastRenderedPageBreak/>
        <w:t xml:space="preserve">Engagement Model effectively ensures employee engagement throughout the lifecycle (Sato, Kobayashi &amp; </w:t>
      </w:r>
      <w:proofErr w:type="spellStart"/>
      <w:r w:rsidRPr="003E2D7E">
        <w:rPr>
          <w:rFonts w:ascii="Arial" w:hAnsi="Arial" w:cs="Arial"/>
        </w:rPr>
        <w:t>Shirasaka</w:t>
      </w:r>
      <w:proofErr w:type="spellEnd"/>
      <w:r w:rsidRPr="003E2D7E">
        <w:rPr>
          <w:rFonts w:ascii="Arial" w:hAnsi="Arial" w:cs="Arial"/>
        </w:rPr>
        <w:t xml:space="preserve">, 2020., </w:t>
      </w:r>
      <w:proofErr w:type="spellStart"/>
      <w:r w:rsidRPr="003E2D7E">
        <w:rPr>
          <w:rFonts w:ascii="Arial" w:hAnsi="Arial" w:cs="Arial"/>
        </w:rPr>
        <w:t>pg</w:t>
      </w:r>
      <w:proofErr w:type="spellEnd"/>
      <w:r w:rsidRPr="003E2D7E">
        <w:rPr>
          <w:rFonts w:ascii="Arial" w:hAnsi="Arial" w:cs="Arial"/>
        </w:rPr>
        <w:t xml:space="preserve"> 145). The model</w:t>
      </w:r>
      <w:r w:rsidR="0044785F">
        <w:rPr>
          <w:rFonts w:ascii="Arial" w:hAnsi="Arial" w:cs="Arial"/>
        </w:rPr>
        <w:t xml:space="preserve"> can be implemented through fostering its</w:t>
      </w:r>
      <w:r w:rsidRPr="003E2D7E">
        <w:rPr>
          <w:rFonts w:ascii="Arial" w:hAnsi="Arial" w:cs="Arial"/>
        </w:rPr>
        <w:t xml:space="preserve"> key elements, which include strength-based development</w:t>
      </w:r>
      <w:r w:rsidR="0044785F">
        <w:rPr>
          <w:rFonts w:ascii="Arial" w:hAnsi="Arial" w:cs="Arial"/>
        </w:rPr>
        <w:t xml:space="preserve">. </w:t>
      </w:r>
      <w:r w:rsidRPr="003E2D7E">
        <w:rPr>
          <w:rFonts w:ascii="Arial" w:hAnsi="Arial" w:cs="Arial"/>
        </w:rPr>
        <w:t xml:space="preserve">This model component focuses on assisting employees in identifying and developing their strengths. This can be accomplished by providing employees with feedback and coaching and allowing them to use their strengths in the workplace. </w:t>
      </w:r>
      <w:proofErr w:type="spellStart"/>
      <w:r w:rsidR="0044785F">
        <w:rPr>
          <w:rFonts w:ascii="Arial" w:hAnsi="Arial" w:cs="Arial"/>
        </w:rPr>
        <w:t>additionaly</w:t>
      </w:r>
      <w:proofErr w:type="spellEnd"/>
      <w:r w:rsidRPr="003E2D7E">
        <w:rPr>
          <w:rFonts w:ascii="Arial" w:hAnsi="Arial" w:cs="Arial"/>
        </w:rPr>
        <w:t xml:space="preserve">, providing employees with team-building activities and other development opportunities can help to foster a sense of engagement and commitment to the organization (Zhang et al., 2019, </w:t>
      </w:r>
      <w:proofErr w:type="spellStart"/>
      <w:r w:rsidRPr="003E2D7E">
        <w:rPr>
          <w:rFonts w:ascii="Arial" w:hAnsi="Arial" w:cs="Arial"/>
        </w:rPr>
        <w:t>pg</w:t>
      </w:r>
      <w:proofErr w:type="spellEnd"/>
      <w:r w:rsidRPr="003E2D7E">
        <w:rPr>
          <w:rFonts w:ascii="Arial" w:hAnsi="Arial" w:cs="Arial"/>
        </w:rPr>
        <w:t xml:space="preserve"> 13). Second</w:t>
      </w:r>
      <w:r w:rsidR="0044785F">
        <w:rPr>
          <w:rFonts w:ascii="Arial" w:hAnsi="Arial" w:cs="Arial"/>
        </w:rPr>
        <w:t>ly</w:t>
      </w:r>
      <w:r w:rsidRPr="003E2D7E">
        <w:rPr>
          <w:rFonts w:ascii="Arial" w:hAnsi="Arial" w:cs="Arial"/>
        </w:rPr>
        <w:t>, through job design and involvement that focuses on making employees feel empowered and valued</w:t>
      </w:r>
      <w:r w:rsidR="0044785F">
        <w:rPr>
          <w:rFonts w:ascii="Arial" w:hAnsi="Arial" w:cs="Arial"/>
        </w:rPr>
        <w:t xml:space="preserve"> the Gallup model can be implemented. </w:t>
      </w:r>
      <w:r w:rsidRPr="003E2D7E">
        <w:rPr>
          <w:rFonts w:ascii="Arial" w:hAnsi="Arial" w:cs="Arial"/>
        </w:rPr>
        <w:t>It entails giving employees autonomy and the opportunity to participate in meaningful work and clearly defining their roles and responsibilities. Furthermore, allowing employees to participate in decision-making processes and provide feedback can foster a sense of engagement and empowerment. Finally, employee recognition and rewards can be used to implement the Gallup model. This model component provides employees with incentives and rewards for their efforts. This can be accomplished through monetary rewards, recognition ceremonies, and other acknowledgment forms. Also, giving employees team-building activities and other chances to improve themselves can make them feel more engaged and committed to the organization. If the Gallup Employee Engagement Model is used in a big hotel, it can ensure that employees are engaged the whole time they work there. The hotel can ensure that its employees are happy and committed to their jobs by allowing them to build on their strengths, do work that matters, and be recognized and rewarded for their efforts. </w:t>
      </w:r>
    </w:p>
    <w:p w14:paraId="4C59ECD8" w14:textId="2C95AE5C" w:rsidR="004348D4" w:rsidRPr="009A02D8" w:rsidRDefault="0083460B" w:rsidP="003E2D7E">
      <w:pPr>
        <w:pStyle w:val="NormalWeb"/>
        <w:spacing w:before="0" w:beforeAutospacing="0" w:after="0" w:afterAutospacing="0" w:line="360" w:lineRule="auto"/>
        <w:rPr>
          <w:rFonts w:ascii="Arial" w:hAnsi="Arial" w:cs="Arial"/>
        </w:rPr>
      </w:pPr>
      <w:r w:rsidRPr="009A02D8">
        <w:rPr>
          <w:rFonts w:ascii="Arial" w:hAnsi="Arial" w:cs="Arial"/>
        </w:rPr>
        <w:tab/>
        <w:t>Employee engagement, for example, is crucial in the hotel business due to the anticipated client service standards. Hotels should focus on creating an environment that encourages employees to stay connected and involved in their work w</w:t>
      </w:r>
      <w:r w:rsidRPr="009A02D8">
        <w:rPr>
          <w:rFonts w:ascii="Arial" w:hAnsi="Arial" w:cs="Arial"/>
        </w:rPr>
        <w:t>hile rewarding them for their efforts</w:t>
      </w:r>
      <w:r w:rsidR="0030307A">
        <w:rPr>
          <w:rFonts w:ascii="Arial" w:hAnsi="Arial" w:cs="Arial"/>
        </w:rPr>
        <w:t xml:space="preserve"> (</w:t>
      </w:r>
      <w:r w:rsidR="0030307A" w:rsidRPr="00447B3C">
        <w:rPr>
          <w:rFonts w:ascii="Arial" w:hAnsi="Arial" w:cs="Arial"/>
        </w:rPr>
        <w:t>Singh, 2019</w:t>
      </w:r>
      <w:r w:rsidR="0030307A">
        <w:rPr>
          <w:rFonts w:ascii="Arial" w:hAnsi="Arial" w:cs="Arial"/>
        </w:rPr>
        <w:t xml:space="preserve">, </w:t>
      </w:r>
      <w:proofErr w:type="spellStart"/>
      <w:r w:rsidR="0030307A">
        <w:rPr>
          <w:rFonts w:ascii="Arial" w:hAnsi="Arial" w:cs="Arial"/>
        </w:rPr>
        <w:t>pg</w:t>
      </w:r>
      <w:proofErr w:type="spellEnd"/>
      <w:r w:rsidR="0030307A">
        <w:rPr>
          <w:rFonts w:ascii="Arial" w:hAnsi="Arial" w:cs="Arial"/>
        </w:rPr>
        <w:t xml:space="preserve"> 427)</w:t>
      </w:r>
      <w:r w:rsidRPr="009A02D8">
        <w:rPr>
          <w:rFonts w:ascii="Arial" w:hAnsi="Arial" w:cs="Arial"/>
        </w:rPr>
        <w:t>. This could include giving staff training and development opportunities, such as customer service workshops, and establishing mechanisms for assessing and rewarding success. Additionally, hotels s</w:t>
      </w:r>
      <w:r w:rsidRPr="009A02D8">
        <w:rPr>
          <w:rFonts w:ascii="Arial" w:hAnsi="Arial" w:cs="Arial"/>
        </w:rPr>
        <w:t xml:space="preserve">hould provide relevant feedback to the team, such as an appreciation for good customer service, and ensure that they have the appropriate tools and technology to </w:t>
      </w:r>
      <w:r w:rsidRPr="009A02D8">
        <w:rPr>
          <w:rFonts w:ascii="Arial" w:hAnsi="Arial" w:cs="Arial"/>
        </w:rPr>
        <w:lastRenderedPageBreak/>
        <w:t>support their work</w:t>
      </w:r>
      <w:r w:rsidR="0030307A">
        <w:rPr>
          <w:rFonts w:ascii="Arial" w:hAnsi="Arial" w:cs="Arial"/>
        </w:rPr>
        <w:t xml:space="preserve"> (</w:t>
      </w:r>
      <w:r w:rsidR="0030307A" w:rsidRPr="00447B3C">
        <w:rPr>
          <w:rFonts w:ascii="Arial" w:hAnsi="Arial" w:cs="Arial"/>
        </w:rPr>
        <w:t>Kwon</w:t>
      </w:r>
      <w:r w:rsidR="0030307A">
        <w:rPr>
          <w:rFonts w:ascii="Arial" w:hAnsi="Arial" w:cs="Arial"/>
        </w:rPr>
        <w:t xml:space="preserve"> &amp;</w:t>
      </w:r>
      <w:r w:rsidR="0030307A" w:rsidRPr="00447B3C">
        <w:rPr>
          <w:rFonts w:ascii="Arial" w:hAnsi="Arial" w:cs="Arial"/>
        </w:rPr>
        <w:t xml:space="preserve"> Park, 2019</w:t>
      </w:r>
      <w:r w:rsidR="0030307A">
        <w:rPr>
          <w:rFonts w:ascii="Arial" w:hAnsi="Arial" w:cs="Arial"/>
        </w:rPr>
        <w:t xml:space="preserve">, </w:t>
      </w:r>
      <w:proofErr w:type="spellStart"/>
      <w:r w:rsidR="0030307A">
        <w:rPr>
          <w:rFonts w:ascii="Arial" w:hAnsi="Arial" w:cs="Arial"/>
        </w:rPr>
        <w:t>pg</w:t>
      </w:r>
      <w:proofErr w:type="spellEnd"/>
      <w:r w:rsidR="0030307A">
        <w:rPr>
          <w:rFonts w:ascii="Arial" w:hAnsi="Arial" w:cs="Arial"/>
        </w:rPr>
        <w:t xml:space="preserve"> 360)</w:t>
      </w:r>
      <w:r w:rsidRPr="009A02D8">
        <w:rPr>
          <w:rFonts w:ascii="Arial" w:hAnsi="Arial" w:cs="Arial"/>
        </w:rPr>
        <w:t xml:space="preserve">. Finally, hotels should provide staff with the </w:t>
      </w:r>
      <w:r w:rsidRPr="009A02D8">
        <w:rPr>
          <w:rFonts w:ascii="Arial" w:hAnsi="Arial" w:cs="Arial"/>
        </w:rPr>
        <w:t>resources to keep healthy and productive, such as access to a gym or other recreational activities. Hotels may ensure their employees remain motivated and productive by developing a practical employee engagement approach.</w:t>
      </w:r>
    </w:p>
    <w:p w14:paraId="08FC5D00" w14:textId="7430FA1C" w:rsidR="00987B25" w:rsidRDefault="0083460B" w:rsidP="009A02D8">
      <w:pPr>
        <w:spacing w:line="360" w:lineRule="auto"/>
        <w:jc w:val="both"/>
        <w:rPr>
          <w:rFonts w:ascii="Arial" w:hAnsi="Arial" w:cs="Arial"/>
        </w:rPr>
      </w:pPr>
      <w:r w:rsidRPr="009A02D8">
        <w:rPr>
          <w:rFonts w:ascii="Arial" w:hAnsi="Arial" w:cs="Arial"/>
        </w:rPr>
        <w:tab/>
        <w:t>In conclusion, employee engagemen</w:t>
      </w:r>
      <w:r w:rsidRPr="009A02D8">
        <w:rPr>
          <w:rFonts w:ascii="Arial" w:hAnsi="Arial" w:cs="Arial"/>
        </w:rPr>
        <w:t>t is vital in extensive hotel human resource management. Human resources experts are responsible for ensuring that employees feel appreciated and have a feeling of purpose. They also foster a pleasant work atmosphere that promotes collaboration, communicat</w:t>
      </w:r>
      <w:r w:rsidRPr="009A02D8">
        <w:rPr>
          <w:rFonts w:ascii="Arial" w:hAnsi="Arial" w:cs="Arial"/>
        </w:rPr>
        <w:t>ion, and trust. Employees are the heartbeat of every firm, and their involvement is critical to improving performance and attaining success. The five stages of the employee lifetime include recruiting, onboarding, development, retention, and separation. Hu</w:t>
      </w:r>
      <w:r w:rsidRPr="009A02D8">
        <w:rPr>
          <w:rFonts w:ascii="Arial" w:hAnsi="Arial" w:cs="Arial"/>
        </w:rPr>
        <w:t>man resource departments must ensure that new workers have the necessary resources to feel welcomed and supported. This includes offering an efficient onboarding process that includes orientation, training, and resource access. Employee engagement motivate</w:t>
      </w:r>
      <w:r w:rsidRPr="009A02D8">
        <w:rPr>
          <w:rFonts w:ascii="Arial" w:hAnsi="Arial" w:cs="Arial"/>
        </w:rPr>
        <w:t>s and inspires individuals to be productive, devoted, and engaged at work. Employers should prioritize building an environment that promotes employee autonomy, recognition, and development. An employee engagement model can offer organizations a framework f</w:t>
      </w:r>
      <w:r w:rsidRPr="009A02D8">
        <w:rPr>
          <w:rFonts w:ascii="Arial" w:hAnsi="Arial" w:cs="Arial"/>
        </w:rPr>
        <w:t>or monitoring and enhancing employee engagement levels. For example, the Zinger employee engagement model is a framework that helps firms understand and develop employee engagement. According to the concept, employee engagement results from three fundament</w:t>
      </w:r>
      <w:r w:rsidRPr="009A02D8">
        <w:rPr>
          <w:rFonts w:ascii="Arial" w:hAnsi="Arial" w:cs="Arial"/>
        </w:rPr>
        <w:t>al elements: employee experience, workplace culture, and employee connections. It also proposes that firms use data and insights to understand how each piece affects engagement. Offering flexible working alternatives, such as working from home or job shari</w:t>
      </w:r>
      <w:r w:rsidRPr="009A02D8">
        <w:rPr>
          <w:rFonts w:ascii="Arial" w:hAnsi="Arial" w:cs="Arial"/>
        </w:rPr>
        <w:t xml:space="preserve">ng, can also enhance morale and engagement. Offering </w:t>
      </w:r>
      <w:r w:rsidR="00854A3E" w:rsidRPr="009A02D8">
        <w:rPr>
          <w:rFonts w:ascii="Arial" w:hAnsi="Arial" w:cs="Arial"/>
        </w:rPr>
        <w:t>employees</w:t>
      </w:r>
      <w:r w:rsidRPr="009A02D8">
        <w:rPr>
          <w:rFonts w:ascii="Arial" w:hAnsi="Arial" w:cs="Arial"/>
        </w:rPr>
        <w:t xml:space="preserve"> the option to attend workshops, seminars, or other learning activities can assist in keeping them engaged and motivated. Hotels should focus on creating an environment that encourages employees</w:t>
      </w:r>
      <w:r w:rsidRPr="009A02D8">
        <w:rPr>
          <w:rFonts w:ascii="Arial" w:hAnsi="Arial" w:cs="Arial"/>
        </w:rPr>
        <w:t xml:space="preserve"> to stay connected and involved in their work. This could involve giving employees access to training and development opportunities, such as customer service workshops.</w:t>
      </w:r>
    </w:p>
    <w:p w14:paraId="15F7F7F0" w14:textId="77777777" w:rsidR="003E2D7E" w:rsidRDefault="003E2D7E" w:rsidP="009A02D8">
      <w:pPr>
        <w:spacing w:line="360" w:lineRule="auto"/>
        <w:jc w:val="both"/>
        <w:rPr>
          <w:rFonts w:ascii="Arial" w:hAnsi="Arial" w:cs="Arial"/>
        </w:rPr>
      </w:pPr>
    </w:p>
    <w:p w14:paraId="2B788457" w14:textId="72F28647" w:rsidR="009A02D8" w:rsidRDefault="0083460B" w:rsidP="009A02D8">
      <w:pPr>
        <w:spacing w:line="360" w:lineRule="auto"/>
        <w:jc w:val="center"/>
        <w:rPr>
          <w:rFonts w:ascii="Arial" w:hAnsi="Arial" w:cs="Arial"/>
          <w:b/>
          <w:bCs/>
        </w:rPr>
      </w:pPr>
      <w:r w:rsidRPr="009A02D8">
        <w:rPr>
          <w:rFonts w:ascii="Arial" w:hAnsi="Arial" w:cs="Arial"/>
          <w:b/>
          <w:bCs/>
        </w:rPr>
        <w:lastRenderedPageBreak/>
        <w:t>References</w:t>
      </w:r>
    </w:p>
    <w:p w14:paraId="5EDA762D" w14:textId="77777777" w:rsidR="0030307A" w:rsidRPr="00447B3C" w:rsidRDefault="0030307A" w:rsidP="0030307A">
      <w:pPr>
        <w:spacing w:line="360" w:lineRule="auto"/>
        <w:jc w:val="both"/>
        <w:rPr>
          <w:rFonts w:ascii="Arial" w:hAnsi="Arial" w:cs="Arial"/>
        </w:rPr>
      </w:pPr>
      <w:proofErr w:type="spellStart"/>
      <w:r w:rsidRPr="00447B3C">
        <w:rPr>
          <w:rFonts w:ascii="Arial" w:hAnsi="Arial" w:cs="Arial"/>
        </w:rPr>
        <w:t>Chanana</w:t>
      </w:r>
      <w:proofErr w:type="spellEnd"/>
      <w:r w:rsidRPr="00447B3C">
        <w:rPr>
          <w:rFonts w:ascii="Arial" w:hAnsi="Arial" w:cs="Arial"/>
        </w:rPr>
        <w:t>, N., 2021. Employee engagement practices during COVID</w:t>
      </w:r>
      <w:r w:rsidRPr="00447B3C">
        <w:rPr>
          <w:rFonts w:ascii="Cambria Math" w:hAnsi="Cambria Math" w:cs="Cambria Math"/>
        </w:rPr>
        <w:t>‐</w:t>
      </w:r>
      <w:r w:rsidRPr="00447B3C">
        <w:rPr>
          <w:rFonts w:ascii="Arial" w:hAnsi="Arial" w:cs="Arial"/>
        </w:rPr>
        <w:t xml:space="preserve">19 </w:t>
      </w:r>
      <w:r>
        <w:rPr>
          <w:rFonts w:ascii="Arial" w:hAnsi="Arial" w:cs="Arial"/>
        </w:rPr>
        <w:tab/>
      </w:r>
      <w:r w:rsidRPr="00447B3C">
        <w:rPr>
          <w:rFonts w:ascii="Arial" w:hAnsi="Arial" w:cs="Arial"/>
        </w:rPr>
        <w:t>lockdown. Journal of public affairs, 21(4), p.e2508.</w:t>
      </w:r>
      <w:r>
        <w:rPr>
          <w:rFonts w:ascii="Arial" w:hAnsi="Arial" w:cs="Arial"/>
        </w:rPr>
        <w:t xml:space="preserve"> </w:t>
      </w:r>
    </w:p>
    <w:p w14:paraId="7DF49355" w14:textId="77777777" w:rsidR="0030307A" w:rsidRPr="00447B3C" w:rsidRDefault="0030307A" w:rsidP="0030307A">
      <w:pPr>
        <w:spacing w:line="360" w:lineRule="auto"/>
        <w:jc w:val="both"/>
        <w:rPr>
          <w:rFonts w:ascii="Arial" w:hAnsi="Arial" w:cs="Arial"/>
        </w:rPr>
      </w:pPr>
      <w:r w:rsidRPr="00447B3C">
        <w:rPr>
          <w:rFonts w:ascii="Arial" w:hAnsi="Arial" w:cs="Arial"/>
        </w:rPr>
        <w:t xml:space="preserve">Chaudhary, R., 2020. Green human resource management and employee green </w:t>
      </w:r>
      <w:r>
        <w:rPr>
          <w:rFonts w:ascii="Arial" w:hAnsi="Arial" w:cs="Arial"/>
        </w:rPr>
        <w:tab/>
      </w:r>
      <w:r w:rsidRPr="00447B3C">
        <w:rPr>
          <w:rFonts w:ascii="Arial" w:hAnsi="Arial" w:cs="Arial"/>
        </w:rPr>
        <w:t xml:space="preserve">behavior: an empirical analysis. Corporate Social Responsibility and </w:t>
      </w:r>
      <w:r>
        <w:rPr>
          <w:rFonts w:ascii="Arial" w:hAnsi="Arial" w:cs="Arial"/>
        </w:rPr>
        <w:tab/>
      </w:r>
      <w:r w:rsidRPr="00447B3C">
        <w:rPr>
          <w:rFonts w:ascii="Arial" w:hAnsi="Arial" w:cs="Arial"/>
        </w:rPr>
        <w:t>Environmental Management, 27(2), pp.630-641.</w:t>
      </w:r>
      <w:r>
        <w:rPr>
          <w:rFonts w:ascii="Arial" w:hAnsi="Arial" w:cs="Arial"/>
        </w:rPr>
        <w:t xml:space="preserve"> </w:t>
      </w:r>
    </w:p>
    <w:p w14:paraId="2AC50ECE" w14:textId="77777777" w:rsidR="0030307A" w:rsidRPr="00447B3C" w:rsidRDefault="0030307A" w:rsidP="0030307A">
      <w:pPr>
        <w:spacing w:line="360" w:lineRule="auto"/>
        <w:jc w:val="both"/>
        <w:rPr>
          <w:rFonts w:ascii="Arial" w:hAnsi="Arial" w:cs="Arial"/>
        </w:rPr>
      </w:pPr>
      <w:proofErr w:type="spellStart"/>
      <w:r w:rsidRPr="00447B3C">
        <w:rPr>
          <w:rFonts w:ascii="Arial" w:hAnsi="Arial" w:cs="Arial"/>
        </w:rPr>
        <w:t>Dirani</w:t>
      </w:r>
      <w:proofErr w:type="spellEnd"/>
      <w:r w:rsidRPr="00447B3C">
        <w:rPr>
          <w:rFonts w:ascii="Arial" w:hAnsi="Arial" w:cs="Arial"/>
        </w:rPr>
        <w:t xml:space="preserve">, K.M., Abadi, M., Alizadeh, A., </w:t>
      </w:r>
      <w:proofErr w:type="spellStart"/>
      <w:r w:rsidRPr="00447B3C">
        <w:rPr>
          <w:rFonts w:ascii="Arial" w:hAnsi="Arial" w:cs="Arial"/>
        </w:rPr>
        <w:t>Barhate</w:t>
      </w:r>
      <w:proofErr w:type="spellEnd"/>
      <w:r w:rsidRPr="00447B3C">
        <w:rPr>
          <w:rFonts w:ascii="Arial" w:hAnsi="Arial" w:cs="Arial"/>
        </w:rPr>
        <w:t xml:space="preserve">, B., Garza, R.C., </w:t>
      </w:r>
      <w:proofErr w:type="spellStart"/>
      <w:r w:rsidRPr="00447B3C">
        <w:rPr>
          <w:rFonts w:ascii="Arial" w:hAnsi="Arial" w:cs="Arial"/>
        </w:rPr>
        <w:t>Gunasekara</w:t>
      </w:r>
      <w:proofErr w:type="spellEnd"/>
      <w:r w:rsidRPr="00447B3C">
        <w:rPr>
          <w:rFonts w:ascii="Arial" w:hAnsi="Arial" w:cs="Arial"/>
        </w:rPr>
        <w:t xml:space="preserve">, N., Ibrahim, </w:t>
      </w:r>
      <w:r>
        <w:rPr>
          <w:rFonts w:ascii="Arial" w:hAnsi="Arial" w:cs="Arial"/>
        </w:rPr>
        <w:tab/>
      </w:r>
      <w:r w:rsidRPr="00447B3C">
        <w:rPr>
          <w:rFonts w:ascii="Arial" w:hAnsi="Arial" w:cs="Arial"/>
        </w:rPr>
        <w:t xml:space="preserve">G. and </w:t>
      </w:r>
      <w:proofErr w:type="spellStart"/>
      <w:r w:rsidRPr="00447B3C">
        <w:rPr>
          <w:rFonts w:ascii="Arial" w:hAnsi="Arial" w:cs="Arial"/>
        </w:rPr>
        <w:t>Majzun</w:t>
      </w:r>
      <w:proofErr w:type="spellEnd"/>
      <w:r w:rsidRPr="00447B3C">
        <w:rPr>
          <w:rFonts w:ascii="Arial" w:hAnsi="Arial" w:cs="Arial"/>
        </w:rPr>
        <w:t xml:space="preserve">, Z., 2020. Leadership competencies and the essential role of </w:t>
      </w:r>
      <w:r>
        <w:rPr>
          <w:rFonts w:ascii="Arial" w:hAnsi="Arial" w:cs="Arial"/>
        </w:rPr>
        <w:tab/>
      </w:r>
      <w:r w:rsidRPr="00447B3C">
        <w:rPr>
          <w:rFonts w:ascii="Arial" w:hAnsi="Arial" w:cs="Arial"/>
        </w:rPr>
        <w:t xml:space="preserve">human resource development in times of crisis: a response to Covid-19 </w:t>
      </w:r>
      <w:r>
        <w:rPr>
          <w:rFonts w:ascii="Arial" w:hAnsi="Arial" w:cs="Arial"/>
        </w:rPr>
        <w:tab/>
      </w:r>
      <w:r w:rsidRPr="00447B3C">
        <w:rPr>
          <w:rFonts w:ascii="Arial" w:hAnsi="Arial" w:cs="Arial"/>
        </w:rPr>
        <w:t>pandemic. Human Resource Development International, 23(4), pp.380-394.</w:t>
      </w:r>
    </w:p>
    <w:p w14:paraId="64D5B01A" w14:textId="77777777" w:rsidR="0030307A" w:rsidRPr="00447B3C" w:rsidRDefault="0030307A" w:rsidP="0030307A">
      <w:pPr>
        <w:spacing w:line="360" w:lineRule="auto"/>
        <w:jc w:val="both"/>
        <w:rPr>
          <w:rFonts w:ascii="Arial" w:hAnsi="Arial" w:cs="Arial"/>
        </w:rPr>
      </w:pPr>
      <w:r w:rsidRPr="00447B3C">
        <w:rPr>
          <w:rFonts w:ascii="Arial" w:hAnsi="Arial" w:cs="Arial"/>
        </w:rPr>
        <w:t>Duong, T., 2020. Improving The Engagement Levels of Part-Timers.</w:t>
      </w:r>
      <w:r>
        <w:rPr>
          <w:rFonts w:ascii="Arial" w:hAnsi="Arial" w:cs="Arial"/>
        </w:rPr>
        <w:t xml:space="preserve"> </w:t>
      </w:r>
    </w:p>
    <w:p w14:paraId="74D1C948" w14:textId="77777777" w:rsidR="0030307A" w:rsidRPr="00447B3C" w:rsidRDefault="0030307A" w:rsidP="0030307A">
      <w:pPr>
        <w:spacing w:line="360" w:lineRule="auto"/>
        <w:jc w:val="both"/>
        <w:rPr>
          <w:rFonts w:ascii="Arial" w:hAnsi="Arial" w:cs="Arial"/>
        </w:rPr>
      </w:pPr>
      <w:r w:rsidRPr="00447B3C">
        <w:rPr>
          <w:rFonts w:ascii="Arial" w:hAnsi="Arial" w:cs="Arial"/>
        </w:rPr>
        <w:t xml:space="preserve">Fenech, R., </w:t>
      </w:r>
      <w:proofErr w:type="spellStart"/>
      <w:r w:rsidRPr="00447B3C">
        <w:rPr>
          <w:rFonts w:ascii="Arial" w:hAnsi="Arial" w:cs="Arial"/>
        </w:rPr>
        <w:t>Baguant</w:t>
      </w:r>
      <w:proofErr w:type="spellEnd"/>
      <w:r w:rsidRPr="00447B3C">
        <w:rPr>
          <w:rFonts w:ascii="Arial" w:hAnsi="Arial" w:cs="Arial"/>
        </w:rPr>
        <w:t xml:space="preserve">, P. and Ivanov, D., 2019. The changing role of human resource </w:t>
      </w:r>
      <w:r>
        <w:rPr>
          <w:rFonts w:ascii="Arial" w:hAnsi="Arial" w:cs="Arial"/>
        </w:rPr>
        <w:tab/>
      </w:r>
      <w:r w:rsidRPr="00447B3C">
        <w:rPr>
          <w:rFonts w:ascii="Arial" w:hAnsi="Arial" w:cs="Arial"/>
        </w:rPr>
        <w:t xml:space="preserve">management in an era of digital transformation. Journal of Management </w:t>
      </w:r>
      <w:r>
        <w:rPr>
          <w:rFonts w:ascii="Arial" w:hAnsi="Arial" w:cs="Arial"/>
        </w:rPr>
        <w:tab/>
      </w:r>
      <w:r w:rsidRPr="00447B3C">
        <w:rPr>
          <w:rFonts w:ascii="Arial" w:hAnsi="Arial" w:cs="Arial"/>
        </w:rPr>
        <w:t>Information &amp; Decision Sciences, 22(2).</w:t>
      </w:r>
      <w:r>
        <w:rPr>
          <w:rFonts w:ascii="Arial" w:hAnsi="Arial" w:cs="Arial"/>
        </w:rPr>
        <w:t xml:space="preserve"> </w:t>
      </w:r>
    </w:p>
    <w:p w14:paraId="2F23C851" w14:textId="77777777" w:rsidR="0030307A" w:rsidRPr="00220A48" w:rsidRDefault="0030307A" w:rsidP="0030307A">
      <w:pPr>
        <w:spacing w:line="360" w:lineRule="auto"/>
        <w:jc w:val="both"/>
        <w:rPr>
          <w:rFonts w:ascii="Arial" w:hAnsi="Arial" w:cs="Arial"/>
        </w:rPr>
      </w:pPr>
      <w:r w:rsidRPr="00447B3C">
        <w:rPr>
          <w:rFonts w:ascii="Arial" w:hAnsi="Arial" w:cs="Arial"/>
        </w:rPr>
        <w:t xml:space="preserve">Hashem, M., Sfeir, E., </w:t>
      </w:r>
      <w:proofErr w:type="spellStart"/>
      <w:r w:rsidRPr="00447B3C">
        <w:rPr>
          <w:rFonts w:ascii="Arial" w:hAnsi="Arial" w:cs="Arial"/>
        </w:rPr>
        <w:t>Hejase</w:t>
      </w:r>
      <w:proofErr w:type="spellEnd"/>
      <w:r w:rsidRPr="00447B3C">
        <w:rPr>
          <w:rFonts w:ascii="Arial" w:hAnsi="Arial" w:cs="Arial"/>
        </w:rPr>
        <w:t xml:space="preserve">, H.J. and </w:t>
      </w:r>
      <w:proofErr w:type="spellStart"/>
      <w:r w:rsidRPr="00447B3C">
        <w:rPr>
          <w:rFonts w:ascii="Arial" w:hAnsi="Arial" w:cs="Arial"/>
        </w:rPr>
        <w:t>Hejase</w:t>
      </w:r>
      <w:proofErr w:type="spellEnd"/>
      <w:r w:rsidRPr="00447B3C">
        <w:rPr>
          <w:rFonts w:ascii="Arial" w:hAnsi="Arial" w:cs="Arial"/>
        </w:rPr>
        <w:t xml:space="preserve">, A.J., 2022. Effect of online training on </w:t>
      </w:r>
      <w:r>
        <w:rPr>
          <w:rFonts w:ascii="Arial" w:hAnsi="Arial" w:cs="Arial"/>
        </w:rPr>
        <w:tab/>
      </w:r>
      <w:r w:rsidRPr="00447B3C">
        <w:rPr>
          <w:rFonts w:ascii="Arial" w:hAnsi="Arial" w:cs="Arial"/>
        </w:rPr>
        <w:t xml:space="preserve">employee engagement during the COVID-19 era. Asian Business </w:t>
      </w:r>
      <w:r>
        <w:rPr>
          <w:rFonts w:ascii="Arial" w:hAnsi="Arial" w:cs="Arial"/>
        </w:rPr>
        <w:tab/>
      </w:r>
      <w:r w:rsidRPr="00447B3C">
        <w:rPr>
          <w:rFonts w:ascii="Arial" w:hAnsi="Arial" w:cs="Arial"/>
        </w:rPr>
        <w:t>Research, 7(5), p.10.</w:t>
      </w:r>
      <w:r>
        <w:rPr>
          <w:rFonts w:ascii="Arial" w:hAnsi="Arial" w:cs="Arial"/>
        </w:rPr>
        <w:t xml:space="preserve"> </w:t>
      </w:r>
    </w:p>
    <w:p w14:paraId="0AC89A54" w14:textId="77777777" w:rsidR="0030307A" w:rsidRPr="00447B3C" w:rsidRDefault="0030307A" w:rsidP="0030307A">
      <w:pPr>
        <w:spacing w:line="360" w:lineRule="auto"/>
        <w:jc w:val="both"/>
        <w:rPr>
          <w:rFonts w:ascii="Arial" w:hAnsi="Arial" w:cs="Arial"/>
        </w:rPr>
      </w:pPr>
      <w:r w:rsidRPr="00447B3C">
        <w:rPr>
          <w:rFonts w:ascii="Arial" w:hAnsi="Arial" w:cs="Arial"/>
        </w:rPr>
        <w:t>He, J., Mao, Y., Morrison, A.M. and Coca-</w:t>
      </w:r>
      <w:proofErr w:type="spellStart"/>
      <w:r w:rsidRPr="00447B3C">
        <w:rPr>
          <w:rFonts w:ascii="Arial" w:hAnsi="Arial" w:cs="Arial"/>
        </w:rPr>
        <w:t>Stefaniak</w:t>
      </w:r>
      <w:proofErr w:type="spellEnd"/>
      <w:r w:rsidRPr="00447B3C">
        <w:rPr>
          <w:rFonts w:ascii="Arial" w:hAnsi="Arial" w:cs="Arial"/>
        </w:rPr>
        <w:t xml:space="preserve">, J.A., 2021. On being warm and </w:t>
      </w:r>
      <w:r>
        <w:rPr>
          <w:rFonts w:ascii="Arial" w:hAnsi="Arial" w:cs="Arial"/>
        </w:rPr>
        <w:tab/>
      </w:r>
      <w:r w:rsidRPr="00447B3C">
        <w:rPr>
          <w:rFonts w:ascii="Arial" w:hAnsi="Arial" w:cs="Arial"/>
        </w:rPr>
        <w:t xml:space="preserve">friendly: the effect of socially responsible human resource management on </w:t>
      </w:r>
      <w:r>
        <w:rPr>
          <w:rFonts w:ascii="Arial" w:hAnsi="Arial" w:cs="Arial"/>
        </w:rPr>
        <w:tab/>
      </w:r>
      <w:r w:rsidRPr="00447B3C">
        <w:rPr>
          <w:rFonts w:ascii="Arial" w:hAnsi="Arial" w:cs="Arial"/>
        </w:rPr>
        <w:t xml:space="preserve">employee fears of the threats of COVID-19. International Journal of </w:t>
      </w:r>
      <w:r>
        <w:rPr>
          <w:rFonts w:ascii="Arial" w:hAnsi="Arial" w:cs="Arial"/>
        </w:rPr>
        <w:tab/>
      </w:r>
      <w:r w:rsidRPr="00447B3C">
        <w:rPr>
          <w:rFonts w:ascii="Arial" w:hAnsi="Arial" w:cs="Arial"/>
        </w:rPr>
        <w:t>Contemporary Hospitality Management, 33(1), pp.346-366.</w:t>
      </w:r>
      <w:r>
        <w:rPr>
          <w:rFonts w:ascii="Arial" w:hAnsi="Arial" w:cs="Arial"/>
        </w:rPr>
        <w:t xml:space="preserve"> </w:t>
      </w:r>
    </w:p>
    <w:p w14:paraId="4CD54642" w14:textId="77777777" w:rsidR="0030307A" w:rsidRPr="00447B3C" w:rsidRDefault="0030307A" w:rsidP="0030307A">
      <w:pPr>
        <w:spacing w:line="360" w:lineRule="auto"/>
        <w:jc w:val="both"/>
        <w:rPr>
          <w:rFonts w:ascii="Arial" w:hAnsi="Arial" w:cs="Arial"/>
        </w:rPr>
      </w:pPr>
      <w:r w:rsidRPr="00447B3C">
        <w:rPr>
          <w:rFonts w:ascii="Arial" w:hAnsi="Arial" w:cs="Arial"/>
        </w:rPr>
        <w:t xml:space="preserve">Hung, L., Liu, C., </w:t>
      </w:r>
      <w:proofErr w:type="spellStart"/>
      <w:r w:rsidRPr="00447B3C">
        <w:rPr>
          <w:rFonts w:ascii="Arial" w:hAnsi="Arial" w:cs="Arial"/>
        </w:rPr>
        <w:t>Woldum</w:t>
      </w:r>
      <w:proofErr w:type="spellEnd"/>
      <w:r w:rsidRPr="00447B3C">
        <w:rPr>
          <w:rFonts w:ascii="Arial" w:hAnsi="Arial" w:cs="Arial"/>
        </w:rPr>
        <w:t xml:space="preserve">, E., Au-Yeung, A., Berndt, A., </w:t>
      </w:r>
      <w:proofErr w:type="spellStart"/>
      <w:r w:rsidRPr="00447B3C">
        <w:rPr>
          <w:rFonts w:ascii="Arial" w:hAnsi="Arial" w:cs="Arial"/>
        </w:rPr>
        <w:t>Wallsworth</w:t>
      </w:r>
      <w:proofErr w:type="spellEnd"/>
      <w:r w:rsidRPr="00447B3C">
        <w:rPr>
          <w:rFonts w:ascii="Arial" w:hAnsi="Arial" w:cs="Arial"/>
        </w:rPr>
        <w:t xml:space="preserve">, C., Horne, N., </w:t>
      </w:r>
      <w:r>
        <w:rPr>
          <w:rFonts w:ascii="Arial" w:hAnsi="Arial" w:cs="Arial"/>
        </w:rPr>
        <w:tab/>
      </w:r>
      <w:r w:rsidRPr="00447B3C">
        <w:rPr>
          <w:rFonts w:ascii="Arial" w:hAnsi="Arial" w:cs="Arial"/>
        </w:rPr>
        <w:t xml:space="preserve">Gregorio, M., Mann, J. and Chaudhury, H., 2019. The benefits of and barriers to </w:t>
      </w:r>
      <w:r>
        <w:rPr>
          <w:rFonts w:ascii="Arial" w:hAnsi="Arial" w:cs="Arial"/>
        </w:rPr>
        <w:tab/>
      </w:r>
      <w:r w:rsidRPr="00447B3C">
        <w:rPr>
          <w:rFonts w:ascii="Arial" w:hAnsi="Arial" w:cs="Arial"/>
        </w:rPr>
        <w:t xml:space="preserve">using a social robot PARO in care settings: a scoping review. BMC geriatrics, 19, </w:t>
      </w:r>
      <w:r>
        <w:rPr>
          <w:rFonts w:ascii="Arial" w:hAnsi="Arial" w:cs="Arial"/>
        </w:rPr>
        <w:tab/>
      </w:r>
      <w:r w:rsidRPr="00447B3C">
        <w:rPr>
          <w:rFonts w:ascii="Arial" w:hAnsi="Arial" w:cs="Arial"/>
        </w:rPr>
        <w:t>pp.1-10.</w:t>
      </w:r>
      <w:r>
        <w:rPr>
          <w:rFonts w:ascii="Arial" w:hAnsi="Arial" w:cs="Arial"/>
        </w:rPr>
        <w:t xml:space="preserve"> </w:t>
      </w:r>
    </w:p>
    <w:p w14:paraId="2CF51F3B" w14:textId="77777777" w:rsidR="0030307A" w:rsidRPr="00447B3C" w:rsidRDefault="0030307A" w:rsidP="0030307A">
      <w:pPr>
        <w:spacing w:line="360" w:lineRule="auto"/>
        <w:jc w:val="both"/>
        <w:rPr>
          <w:rFonts w:ascii="Arial" w:hAnsi="Arial" w:cs="Arial"/>
        </w:rPr>
      </w:pPr>
      <w:proofErr w:type="spellStart"/>
      <w:r w:rsidRPr="00447B3C">
        <w:rPr>
          <w:rFonts w:ascii="Arial" w:hAnsi="Arial" w:cs="Arial"/>
        </w:rPr>
        <w:t>Hussainy</w:t>
      </w:r>
      <w:proofErr w:type="spellEnd"/>
      <w:r w:rsidRPr="00447B3C">
        <w:rPr>
          <w:rFonts w:ascii="Arial" w:hAnsi="Arial" w:cs="Arial"/>
        </w:rPr>
        <w:t xml:space="preserve">, S.S., 2020. Review on motivational theories &amp; models: Its application for </w:t>
      </w:r>
      <w:r>
        <w:rPr>
          <w:rFonts w:ascii="Arial" w:hAnsi="Arial" w:cs="Arial"/>
        </w:rPr>
        <w:tab/>
      </w:r>
      <w:r w:rsidRPr="00447B3C">
        <w:rPr>
          <w:rFonts w:ascii="Arial" w:hAnsi="Arial" w:cs="Arial"/>
        </w:rPr>
        <w:t xml:space="preserve">employees’ retention in organizations. International Journal of Business and </w:t>
      </w:r>
      <w:r>
        <w:rPr>
          <w:rFonts w:ascii="Arial" w:hAnsi="Arial" w:cs="Arial"/>
        </w:rPr>
        <w:tab/>
      </w:r>
      <w:r w:rsidRPr="00447B3C">
        <w:rPr>
          <w:rFonts w:ascii="Arial" w:hAnsi="Arial" w:cs="Arial"/>
        </w:rPr>
        <w:t>Applied Social Science, 6(1), pp.40-46.</w:t>
      </w:r>
      <w:r>
        <w:rPr>
          <w:rFonts w:ascii="Arial" w:hAnsi="Arial" w:cs="Arial"/>
        </w:rPr>
        <w:t xml:space="preserve"> </w:t>
      </w:r>
    </w:p>
    <w:p w14:paraId="52BBD853" w14:textId="77777777" w:rsidR="0030307A" w:rsidRPr="00447B3C" w:rsidRDefault="0030307A" w:rsidP="0030307A">
      <w:pPr>
        <w:spacing w:line="360" w:lineRule="auto"/>
        <w:jc w:val="both"/>
        <w:rPr>
          <w:rFonts w:ascii="Arial" w:hAnsi="Arial" w:cs="Arial"/>
        </w:rPr>
      </w:pPr>
      <w:r w:rsidRPr="00447B3C">
        <w:rPr>
          <w:rFonts w:ascii="Arial" w:hAnsi="Arial" w:cs="Arial"/>
        </w:rPr>
        <w:lastRenderedPageBreak/>
        <w:t xml:space="preserve">Jha, N., Sareen, P. and </w:t>
      </w:r>
      <w:proofErr w:type="spellStart"/>
      <w:r w:rsidRPr="00447B3C">
        <w:rPr>
          <w:rFonts w:ascii="Arial" w:hAnsi="Arial" w:cs="Arial"/>
        </w:rPr>
        <w:t>Potnuru</w:t>
      </w:r>
      <w:proofErr w:type="spellEnd"/>
      <w:r w:rsidRPr="00447B3C">
        <w:rPr>
          <w:rFonts w:ascii="Arial" w:hAnsi="Arial" w:cs="Arial"/>
        </w:rPr>
        <w:t xml:space="preserve">, R.K.G., 2019. Employee engagement for millennials: </w:t>
      </w:r>
      <w:r>
        <w:rPr>
          <w:rFonts w:ascii="Arial" w:hAnsi="Arial" w:cs="Arial"/>
        </w:rPr>
        <w:tab/>
      </w:r>
      <w:r w:rsidRPr="00447B3C">
        <w:rPr>
          <w:rFonts w:ascii="Arial" w:hAnsi="Arial" w:cs="Arial"/>
        </w:rPr>
        <w:t xml:space="preserve">considering technology as an enabler. Development and learning in </w:t>
      </w:r>
      <w:r>
        <w:rPr>
          <w:rFonts w:ascii="Arial" w:hAnsi="Arial" w:cs="Arial"/>
        </w:rPr>
        <w:tab/>
      </w:r>
      <w:r w:rsidRPr="00447B3C">
        <w:rPr>
          <w:rFonts w:ascii="Arial" w:hAnsi="Arial" w:cs="Arial"/>
        </w:rPr>
        <w:t>organizations: An international journal, 33(1), pp.9-11.</w:t>
      </w:r>
      <w:r>
        <w:rPr>
          <w:rFonts w:ascii="Arial" w:hAnsi="Arial" w:cs="Arial"/>
        </w:rPr>
        <w:t xml:space="preserve"> </w:t>
      </w:r>
    </w:p>
    <w:p w14:paraId="0B66C358" w14:textId="77777777" w:rsidR="0030307A" w:rsidRPr="00447B3C" w:rsidRDefault="0030307A" w:rsidP="0030307A">
      <w:pPr>
        <w:spacing w:line="360" w:lineRule="auto"/>
        <w:jc w:val="both"/>
        <w:rPr>
          <w:rFonts w:ascii="Arial" w:hAnsi="Arial" w:cs="Arial"/>
        </w:rPr>
      </w:pPr>
      <w:r w:rsidRPr="00447B3C">
        <w:rPr>
          <w:rFonts w:ascii="Arial" w:hAnsi="Arial" w:cs="Arial"/>
        </w:rPr>
        <w:t xml:space="preserve">Kwon, K. and Park, J., 2019. The life cycle of employee engagement theory in HRD </w:t>
      </w:r>
      <w:r>
        <w:rPr>
          <w:rFonts w:ascii="Arial" w:hAnsi="Arial" w:cs="Arial"/>
        </w:rPr>
        <w:tab/>
      </w:r>
      <w:r w:rsidRPr="00447B3C">
        <w:rPr>
          <w:rFonts w:ascii="Arial" w:hAnsi="Arial" w:cs="Arial"/>
        </w:rPr>
        <w:t>research. Advances in Developing Human Resources, 21(3), pp.352-370.</w:t>
      </w:r>
      <w:r>
        <w:rPr>
          <w:rFonts w:ascii="Arial" w:hAnsi="Arial" w:cs="Arial"/>
        </w:rPr>
        <w:t xml:space="preserve"> </w:t>
      </w:r>
    </w:p>
    <w:p w14:paraId="0060BC9F" w14:textId="77777777" w:rsidR="0030307A" w:rsidRPr="00447B3C" w:rsidRDefault="0030307A" w:rsidP="0030307A">
      <w:pPr>
        <w:spacing w:line="360" w:lineRule="auto"/>
        <w:jc w:val="both"/>
        <w:rPr>
          <w:rFonts w:ascii="Arial" w:hAnsi="Arial" w:cs="Arial"/>
        </w:rPr>
      </w:pPr>
      <w:proofErr w:type="spellStart"/>
      <w:r w:rsidRPr="00447B3C">
        <w:rPr>
          <w:rFonts w:ascii="Arial" w:hAnsi="Arial" w:cs="Arial"/>
        </w:rPr>
        <w:t>Nasution</w:t>
      </w:r>
      <w:proofErr w:type="spellEnd"/>
      <w:r w:rsidRPr="00447B3C">
        <w:rPr>
          <w:rFonts w:ascii="Arial" w:hAnsi="Arial" w:cs="Arial"/>
        </w:rPr>
        <w:t xml:space="preserve">, H. and </w:t>
      </w:r>
      <w:proofErr w:type="spellStart"/>
      <w:r w:rsidRPr="00447B3C">
        <w:rPr>
          <w:rFonts w:ascii="Arial" w:hAnsi="Arial" w:cs="Arial"/>
        </w:rPr>
        <w:t>Absah</w:t>
      </w:r>
      <w:proofErr w:type="spellEnd"/>
      <w:r w:rsidRPr="00447B3C">
        <w:rPr>
          <w:rFonts w:ascii="Arial" w:hAnsi="Arial" w:cs="Arial"/>
        </w:rPr>
        <w:t xml:space="preserve">, Y., 2019, October. Effective Employee Engagement Using </w:t>
      </w:r>
      <w:r>
        <w:rPr>
          <w:rFonts w:ascii="Arial" w:hAnsi="Arial" w:cs="Arial"/>
        </w:rPr>
        <w:tab/>
      </w:r>
      <w:r w:rsidRPr="00447B3C">
        <w:rPr>
          <w:rFonts w:ascii="Arial" w:hAnsi="Arial" w:cs="Arial"/>
        </w:rPr>
        <w:t xml:space="preserve">SWOT Analysis. In 2019 International Conference on Organizational Innovation </w:t>
      </w:r>
      <w:r>
        <w:rPr>
          <w:rFonts w:ascii="Arial" w:hAnsi="Arial" w:cs="Arial"/>
        </w:rPr>
        <w:tab/>
      </w:r>
      <w:r w:rsidRPr="00447B3C">
        <w:rPr>
          <w:rFonts w:ascii="Arial" w:hAnsi="Arial" w:cs="Arial"/>
        </w:rPr>
        <w:t>(ICOI 2019) (pp. 336-340). Atlantis Press.</w:t>
      </w:r>
      <w:r>
        <w:rPr>
          <w:rFonts w:ascii="Arial" w:hAnsi="Arial" w:cs="Arial"/>
        </w:rPr>
        <w:t xml:space="preserve"> </w:t>
      </w:r>
    </w:p>
    <w:p w14:paraId="1A30D557" w14:textId="77777777" w:rsidR="0030307A" w:rsidRPr="00447B3C" w:rsidRDefault="0030307A" w:rsidP="0030307A">
      <w:pPr>
        <w:spacing w:line="360" w:lineRule="auto"/>
        <w:jc w:val="both"/>
        <w:rPr>
          <w:rFonts w:ascii="Arial" w:hAnsi="Arial" w:cs="Arial"/>
        </w:rPr>
      </w:pPr>
      <w:r w:rsidRPr="00447B3C">
        <w:rPr>
          <w:rFonts w:ascii="Arial" w:hAnsi="Arial" w:cs="Arial"/>
        </w:rPr>
        <w:t xml:space="preserve">Rachapalli, V.P., 2021. Open Innovation in Big 4's India–Study of Employee </w:t>
      </w:r>
      <w:r>
        <w:rPr>
          <w:rFonts w:ascii="Arial" w:hAnsi="Arial" w:cs="Arial"/>
        </w:rPr>
        <w:tab/>
      </w:r>
      <w:r w:rsidRPr="00447B3C">
        <w:rPr>
          <w:rFonts w:ascii="Arial" w:hAnsi="Arial" w:cs="Arial"/>
        </w:rPr>
        <w:t xml:space="preserve">Engagement strategies using Open Innovation (Doctoral dissertation, Dublin, </w:t>
      </w:r>
      <w:r>
        <w:rPr>
          <w:rFonts w:ascii="Arial" w:hAnsi="Arial" w:cs="Arial"/>
        </w:rPr>
        <w:tab/>
      </w:r>
      <w:r w:rsidRPr="00447B3C">
        <w:rPr>
          <w:rFonts w:ascii="Arial" w:hAnsi="Arial" w:cs="Arial"/>
        </w:rPr>
        <w:t>National College of Ireland).</w:t>
      </w:r>
      <w:r>
        <w:rPr>
          <w:rFonts w:ascii="Arial" w:hAnsi="Arial" w:cs="Arial"/>
        </w:rPr>
        <w:t xml:space="preserve"> </w:t>
      </w:r>
    </w:p>
    <w:p w14:paraId="5E751936" w14:textId="77777777" w:rsidR="0030307A" w:rsidRPr="00447B3C" w:rsidRDefault="0030307A" w:rsidP="0030307A">
      <w:pPr>
        <w:spacing w:line="360" w:lineRule="auto"/>
        <w:jc w:val="both"/>
        <w:rPr>
          <w:rFonts w:ascii="Arial" w:hAnsi="Arial" w:cs="Arial"/>
        </w:rPr>
      </w:pPr>
      <w:proofErr w:type="spellStart"/>
      <w:r w:rsidRPr="00447B3C">
        <w:rPr>
          <w:rFonts w:ascii="Arial" w:hAnsi="Arial" w:cs="Arial"/>
        </w:rPr>
        <w:t>Ramakumar</w:t>
      </w:r>
      <w:proofErr w:type="spellEnd"/>
      <w:r w:rsidRPr="00447B3C">
        <w:rPr>
          <w:rFonts w:ascii="Arial" w:hAnsi="Arial" w:cs="Arial"/>
        </w:rPr>
        <w:t xml:space="preserve">, K. and Priyadarshini, R.G., 2021. Employee Engagement during </w:t>
      </w:r>
      <w:r>
        <w:rPr>
          <w:rFonts w:ascii="Arial" w:hAnsi="Arial" w:cs="Arial"/>
        </w:rPr>
        <w:tab/>
      </w:r>
      <w:r w:rsidRPr="00447B3C">
        <w:rPr>
          <w:rFonts w:ascii="Arial" w:hAnsi="Arial" w:cs="Arial"/>
        </w:rPr>
        <w:t xml:space="preserve">Organizational Crisis–with special reference to the COVID </w:t>
      </w:r>
      <w:r>
        <w:rPr>
          <w:rFonts w:ascii="Arial" w:hAnsi="Arial" w:cs="Arial"/>
        </w:rPr>
        <w:tab/>
      </w:r>
      <w:r w:rsidRPr="00447B3C">
        <w:rPr>
          <w:rFonts w:ascii="Arial" w:hAnsi="Arial" w:cs="Arial"/>
        </w:rPr>
        <w:t xml:space="preserve">Scenario. PURUSHARTHA-A journal of Management, Ethics and </w:t>
      </w:r>
      <w:r>
        <w:rPr>
          <w:rFonts w:ascii="Arial" w:hAnsi="Arial" w:cs="Arial"/>
        </w:rPr>
        <w:tab/>
      </w:r>
      <w:r w:rsidRPr="00447B3C">
        <w:rPr>
          <w:rFonts w:ascii="Arial" w:hAnsi="Arial" w:cs="Arial"/>
        </w:rPr>
        <w:t>Spirituality, 14(1), pp.105-115.</w:t>
      </w:r>
      <w:r>
        <w:rPr>
          <w:rFonts w:ascii="Arial" w:hAnsi="Arial" w:cs="Arial"/>
        </w:rPr>
        <w:t xml:space="preserve"> </w:t>
      </w:r>
    </w:p>
    <w:p w14:paraId="4D551413" w14:textId="77777777" w:rsidR="0030307A" w:rsidRPr="00447B3C" w:rsidRDefault="0030307A" w:rsidP="0030307A">
      <w:pPr>
        <w:spacing w:line="360" w:lineRule="auto"/>
        <w:jc w:val="both"/>
        <w:rPr>
          <w:rFonts w:ascii="Arial" w:hAnsi="Arial" w:cs="Arial"/>
        </w:rPr>
      </w:pPr>
      <w:proofErr w:type="spellStart"/>
      <w:r w:rsidRPr="00447B3C">
        <w:rPr>
          <w:rFonts w:ascii="Arial" w:hAnsi="Arial" w:cs="Arial"/>
        </w:rPr>
        <w:t>Ranathunga</w:t>
      </w:r>
      <w:proofErr w:type="spellEnd"/>
      <w:r w:rsidRPr="00447B3C">
        <w:rPr>
          <w:rFonts w:ascii="Arial" w:hAnsi="Arial" w:cs="Arial"/>
        </w:rPr>
        <w:t xml:space="preserve">, R.A.A.K. and </w:t>
      </w:r>
      <w:proofErr w:type="spellStart"/>
      <w:r w:rsidRPr="00447B3C">
        <w:rPr>
          <w:rFonts w:ascii="Arial" w:hAnsi="Arial" w:cs="Arial"/>
        </w:rPr>
        <w:t>Jayawardane</w:t>
      </w:r>
      <w:proofErr w:type="spellEnd"/>
      <w:r w:rsidRPr="00447B3C">
        <w:rPr>
          <w:rFonts w:ascii="Arial" w:hAnsi="Arial" w:cs="Arial"/>
        </w:rPr>
        <w:t xml:space="preserve">, V.P.T., 2022. Employee well-being during </w:t>
      </w:r>
      <w:r>
        <w:rPr>
          <w:rFonts w:ascii="Arial" w:hAnsi="Arial" w:cs="Arial"/>
        </w:rPr>
        <w:tab/>
      </w:r>
      <w:r w:rsidRPr="00447B3C">
        <w:rPr>
          <w:rFonts w:ascii="Arial" w:hAnsi="Arial" w:cs="Arial"/>
        </w:rPr>
        <w:t>covid-19 pandemic in telecommunication industry in Sri Lanka.</w:t>
      </w:r>
      <w:r>
        <w:rPr>
          <w:rFonts w:ascii="Arial" w:hAnsi="Arial" w:cs="Arial"/>
        </w:rPr>
        <w:t xml:space="preserve"> </w:t>
      </w:r>
    </w:p>
    <w:p w14:paraId="53EFF8B0" w14:textId="77777777" w:rsidR="0030307A" w:rsidRPr="00447B3C" w:rsidRDefault="0030307A" w:rsidP="0030307A">
      <w:pPr>
        <w:spacing w:line="360" w:lineRule="auto"/>
        <w:jc w:val="both"/>
        <w:rPr>
          <w:rFonts w:ascii="Arial" w:hAnsi="Arial" w:cs="Arial"/>
        </w:rPr>
      </w:pPr>
      <w:r w:rsidRPr="00447B3C">
        <w:rPr>
          <w:rFonts w:ascii="Arial" w:hAnsi="Arial" w:cs="Arial"/>
        </w:rPr>
        <w:t xml:space="preserve">Saeed, B.B., </w:t>
      </w:r>
      <w:proofErr w:type="spellStart"/>
      <w:r w:rsidRPr="00447B3C">
        <w:rPr>
          <w:rFonts w:ascii="Arial" w:hAnsi="Arial" w:cs="Arial"/>
        </w:rPr>
        <w:t>Afsar</w:t>
      </w:r>
      <w:proofErr w:type="spellEnd"/>
      <w:r w:rsidRPr="00447B3C">
        <w:rPr>
          <w:rFonts w:ascii="Arial" w:hAnsi="Arial" w:cs="Arial"/>
        </w:rPr>
        <w:t xml:space="preserve">, B., Hafeez, S., Khan, I., Tahir, M. and Afridi, M.A., 2019. Promoting </w:t>
      </w:r>
      <w:r>
        <w:rPr>
          <w:rFonts w:ascii="Arial" w:hAnsi="Arial" w:cs="Arial"/>
        </w:rPr>
        <w:tab/>
      </w:r>
      <w:r w:rsidRPr="00447B3C">
        <w:rPr>
          <w:rFonts w:ascii="Arial" w:hAnsi="Arial" w:cs="Arial"/>
        </w:rPr>
        <w:t xml:space="preserve">employee's </w:t>
      </w:r>
      <w:proofErr w:type="spellStart"/>
      <w:r w:rsidRPr="00447B3C">
        <w:rPr>
          <w:rFonts w:ascii="Arial" w:hAnsi="Arial" w:cs="Arial"/>
        </w:rPr>
        <w:t>proenvironmental</w:t>
      </w:r>
      <w:proofErr w:type="spellEnd"/>
      <w:r w:rsidRPr="00447B3C">
        <w:rPr>
          <w:rFonts w:ascii="Arial" w:hAnsi="Arial" w:cs="Arial"/>
        </w:rPr>
        <w:t xml:space="preserve"> behavior through green human resource </w:t>
      </w:r>
      <w:r>
        <w:rPr>
          <w:rFonts w:ascii="Arial" w:hAnsi="Arial" w:cs="Arial"/>
        </w:rPr>
        <w:tab/>
      </w:r>
      <w:r w:rsidRPr="00447B3C">
        <w:rPr>
          <w:rFonts w:ascii="Arial" w:hAnsi="Arial" w:cs="Arial"/>
        </w:rPr>
        <w:t xml:space="preserve">management practices. Corporate Social Responsibility and Environmental </w:t>
      </w:r>
      <w:r>
        <w:rPr>
          <w:rFonts w:ascii="Arial" w:hAnsi="Arial" w:cs="Arial"/>
        </w:rPr>
        <w:tab/>
      </w:r>
      <w:r w:rsidRPr="00447B3C">
        <w:rPr>
          <w:rFonts w:ascii="Arial" w:hAnsi="Arial" w:cs="Arial"/>
        </w:rPr>
        <w:t>Management, 26(2), pp.424-438.</w:t>
      </w:r>
      <w:r>
        <w:rPr>
          <w:rFonts w:ascii="Arial" w:hAnsi="Arial" w:cs="Arial"/>
        </w:rPr>
        <w:t xml:space="preserve"> </w:t>
      </w:r>
    </w:p>
    <w:p w14:paraId="38246555" w14:textId="77777777" w:rsidR="0030307A" w:rsidRPr="00447B3C" w:rsidRDefault="0030307A" w:rsidP="0030307A">
      <w:pPr>
        <w:spacing w:line="360" w:lineRule="auto"/>
        <w:jc w:val="both"/>
        <w:rPr>
          <w:rFonts w:ascii="Arial" w:hAnsi="Arial" w:cs="Arial"/>
        </w:rPr>
      </w:pPr>
      <w:r w:rsidRPr="00447B3C">
        <w:rPr>
          <w:rFonts w:ascii="Arial" w:hAnsi="Arial" w:cs="Arial"/>
        </w:rPr>
        <w:t xml:space="preserve">Sato, Y., Kobayashi, N. and </w:t>
      </w:r>
      <w:proofErr w:type="spellStart"/>
      <w:r w:rsidRPr="00447B3C">
        <w:rPr>
          <w:rFonts w:ascii="Arial" w:hAnsi="Arial" w:cs="Arial"/>
        </w:rPr>
        <w:t>Shirasaka</w:t>
      </w:r>
      <w:proofErr w:type="spellEnd"/>
      <w:r w:rsidRPr="00447B3C">
        <w:rPr>
          <w:rFonts w:ascii="Arial" w:hAnsi="Arial" w:cs="Arial"/>
        </w:rPr>
        <w:t xml:space="preserve">, S., 2020. An analysis of human resource </w:t>
      </w:r>
      <w:r>
        <w:rPr>
          <w:rFonts w:ascii="Arial" w:hAnsi="Arial" w:cs="Arial"/>
        </w:rPr>
        <w:tab/>
      </w:r>
      <w:r w:rsidRPr="00447B3C">
        <w:rPr>
          <w:rFonts w:ascii="Arial" w:hAnsi="Arial" w:cs="Arial"/>
        </w:rPr>
        <w:t xml:space="preserve">management for knowledge workers: Using the three axes of target employee, </w:t>
      </w:r>
      <w:r>
        <w:rPr>
          <w:rFonts w:ascii="Arial" w:hAnsi="Arial" w:cs="Arial"/>
        </w:rPr>
        <w:tab/>
      </w:r>
      <w:r w:rsidRPr="00447B3C">
        <w:rPr>
          <w:rFonts w:ascii="Arial" w:hAnsi="Arial" w:cs="Arial"/>
        </w:rPr>
        <w:t xml:space="preserve">lifecycle stage, and human resource flow. Review of Integrative Business and </w:t>
      </w:r>
      <w:r>
        <w:rPr>
          <w:rFonts w:ascii="Arial" w:hAnsi="Arial" w:cs="Arial"/>
        </w:rPr>
        <w:tab/>
      </w:r>
      <w:r w:rsidRPr="00447B3C">
        <w:rPr>
          <w:rFonts w:ascii="Arial" w:hAnsi="Arial" w:cs="Arial"/>
        </w:rPr>
        <w:t>Economics Research, 9(1), pp.140-156.</w:t>
      </w:r>
      <w:r>
        <w:rPr>
          <w:rFonts w:ascii="Arial" w:hAnsi="Arial" w:cs="Arial"/>
        </w:rPr>
        <w:t xml:space="preserve"> </w:t>
      </w:r>
    </w:p>
    <w:p w14:paraId="67504F35" w14:textId="77777777" w:rsidR="0030307A" w:rsidRPr="00447B3C" w:rsidRDefault="0030307A" w:rsidP="0030307A">
      <w:pPr>
        <w:spacing w:line="360" w:lineRule="auto"/>
        <w:jc w:val="both"/>
        <w:rPr>
          <w:rFonts w:ascii="Arial" w:hAnsi="Arial" w:cs="Arial"/>
        </w:rPr>
      </w:pPr>
      <w:r w:rsidRPr="00447B3C">
        <w:rPr>
          <w:rFonts w:ascii="Arial" w:hAnsi="Arial" w:cs="Arial"/>
        </w:rPr>
        <w:t xml:space="preserve">Singh, D., 2019. A literature review on employee retention with focus on recent </w:t>
      </w:r>
      <w:r>
        <w:rPr>
          <w:rFonts w:ascii="Arial" w:hAnsi="Arial" w:cs="Arial"/>
        </w:rPr>
        <w:tab/>
      </w:r>
      <w:r w:rsidRPr="00447B3C">
        <w:rPr>
          <w:rFonts w:ascii="Arial" w:hAnsi="Arial" w:cs="Arial"/>
        </w:rPr>
        <w:t xml:space="preserve">trends. International Journal of Scientific Research in Science and </w:t>
      </w:r>
      <w:r>
        <w:rPr>
          <w:rFonts w:ascii="Arial" w:hAnsi="Arial" w:cs="Arial"/>
        </w:rPr>
        <w:tab/>
      </w:r>
      <w:r w:rsidRPr="00447B3C">
        <w:rPr>
          <w:rFonts w:ascii="Arial" w:hAnsi="Arial" w:cs="Arial"/>
        </w:rPr>
        <w:t>Technology, 6(1), pp.425-431.</w:t>
      </w:r>
      <w:r>
        <w:rPr>
          <w:rFonts w:ascii="Arial" w:hAnsi="Arial" w:cs="Arial"/>
        </w:rPr>
        <w:t xml:space="preserve"> </w:t>
      </w:r>
    </w:p>
    <w:p w14:paraId="0EFBA296" w14:textId="77777777" w:rsidR="0030307A" w:rsidRPr="00447B3C" w:rsidRDefault="0030307A" w:rsidP="0030307A">
      <w:pPr>
        <w:spacing w:line="360" w:lineRule="auto"/>
        <w:jc w:val="both"/>
        <w:rPr>
          <w:rFonts w:ascii="Arial" w:hAnsi="Arial" w:cs="Arial"/>
        </w:rPr>
      </w:pPr>
      <w:r w:rsidRPr="00447B3C">
        <w:rPr>
          <w:rFonts w:ascii="Arial" w:hAnsi="Arial" w:cs="Arial"/>
        </w:rPr>
        <w:lastRenderedPageBreak/>
        <w:t xml:space="preserve">Stahl, G.K., Brewster, C.J., Collings, D.G. and </w:t>
      </w:r>
      <w:proofErr w:type="spellStart"/>
      <w:r w:rsidRPr="00447B3C">
        <w:rPr>
          <w:rFonts w:ascii="Arial" w:hAnsi="Arial" w:cs="Arial"/>
        </w:rPr>
        <w:t>Hajro</w:t>
      </w:r>
      <w:proofErr w:type="spellEnd"/>
      <w:r w:rsidRPr="00447B3C">
        <w:rPr>
          <w:rFonts w:ascii="Arial" w:hAnsi="Arial" w:cs="Arial"/>
        </w:rPr>
        <w:t xml:space="preserve">, A., 2020. Enhancing the role of </w:t>
      </w:r>
      <w:r>
        <w:rPr>
          <w:rFonts w:ascii="Arial" w:hAnsi="Arial" w:cs="Arial"/>
        </w:rPr>
        <w:tab/>
      </w:r>
      <w:r w:rsidRPr="00447B3C">
        <w:rPr>
          <w:rFonts w:ascii="Arial" w:hAnsi="Arial" w:cs="Arial"/>
        </w:rPr>
        <w:t xml:space="preserve">human resource management in corporate sustainability and social </w:t>
      </w:r>
      <w:r>
        <w:rPr>
          <w:rFonts w:ascii="Arial" w:hAnsi="Arial" w:cs="Arial"/>
        </w:rPr>
        <w:tab/>
      </w:r>
      <w:r w:rsidRPr="00447B3C">
        <w:rPr>
          <w:rFonts w:ascii="Arial" w:hAnsi="Arial" w:cs="Arial"/>
        </w:rPr>
        <w:t xml:space="preserve">responsibility: A multi-stakeholder, multidimensional approach to HRM. Human </w:t>
      </w:r>
      <w:r>
        <w:rPr>
          <w:rFonts w:ascii="Arial" w:hAnsi="Arial" w:cs="Arial"/>
        </w:rPr>
        <w:tab/>
      </w:r>
      <w:r w:rsidRPr="00447B3C">
        <w:rPr>
          <w:rFonts w:ascii="Arial" w:hAnsi="Arial" w:cs="Arial"/>
        </w:rPr>
        <w:t>Resource Management Review, 30(3), p.100708.</w:t>
      </w:r>
      <w:r>
        <w:rPr>
          <w:rFonts w:ascii="Arial" w:hAnsi="Arial" w:cs="Arial"/>
        </w:rPr>
        <w:t xml:space="preserve"> </w:t>
      </w:r>
    </w:p>
    <w:p w14:paraId="66991168" w14:textId="77777777" w:rsidR="0030307A" w:rsidRPr="00447B3C" w:rsidRDefault="0030307A" w:rsidP="0030307A">
      <w:pPr>
        <w:spacing w:line="360" w:lineRule="auto"/>
        <w:jc w:val="both"/>
        <w:rPr>
          <w:rFonts w:ascii="Arial" w:hAnsi="Arial" w:cs="Arial"/>
        </w:rPr>
      </w:pPr>
      <w:proofErr w:type="spellStart"/>
      <w:r w:rsidRPr="00447B3C">
        <w:rPr>
          <w:rFonts w:ascii="Arial" w:hAnsi="Arial" w:cs="Arial"/>
        </w:rPr>
        <w:t>Vrontis</w:t>
      </w:r>
      <w:proofErr w:type="spellEnd"/>
      <w:r w:rsidRPr="00447B3C">
        <w:rPr>
          <w:rFonts w:ascii="Arial" w:hAnsi="Arial" w:cs="Arial"/>
        </w:rPr>
        <w:t xml:space="preserve">, D., </w:t>
      </w:r>
      <w:proofErr w:type="spellStart"/>
      <w:r w:rsidRPr="00447B3C">
        <w:rPr>
          <w:rFonts w:ascii="Arial" w:hAnsi="Arial" w:cs="Arial"/>
        </w:rPr>
        <w:t>Christofi</w:t>
      </w:r>
      <w:proofErr w:type="spellEnd"/>
      <w:r w:rsidRPr="00447B3C">
        <w:rPr>
          <w:rFonts w:ascii="Arial" w:hAnsi="Arial" w:cs="Arial"/>
        </w:rPr>
        <w:t xml:space="preserve">, M., Pereira, V., </w:t>
      </w:r>
      <w:proofErr w:type="spellStart"/>
      <w:r w:rsidRPr="00447B3C">
        <w:rPr>
          <w:rFonts w:ascii="Arial" w:hAnsi="Arial" w:cs="Arial"/>
        </w:rPr>
        <w:t>Tarba</w:t>
      </w:r>
      <w:proofErr w:type="spellEnd"/>
      <w:r w:rsidRPr="00447B3C">
        <w:rPr>
          <w:rFonts w:ascii="Arial" w:hAnsi="Arial" w:cs="Arial"/>
        </w:rPr>
        <w:t xml:space="preserve">, S., </w:t>
      </w:r>
      <w:proofErr w:type="spellStart"/>
      <w:r w:rsidRPr="00447B3C">
        <w:rPr>
          <w:rFonts w:ascii="Arial" w:hAnsi="Arial" w:cs="Arial"/>
        </w:rPr>
        <w:t>Makrides</w:t>
      </w:r>
      <w:proofErr w:type="spellEnd"/>
      <w:r w:rsidRPr="00447B3C">
        <w:rPr>
          <w:rFonts w:ascii="Arial" w:hAnsi="Arial" w:cs="Arial"/>
        </w:rPr>
        <w:t xml:space="preserve">, A. and Trichina, E., 2022. </w:t>
      </w:r>
      <w:r>
        <w:rPr>
          <w:rFonts w:ascii="Arial" w:hAnsi="Arial" w:cs="Arial"/>
        </w:rPr>
        <w:tab/>
      </w:r>
      <w:r w:rsidRPr="00447B3C">
        <w:rPr>
          <w:rFonts w:ascii="Arial" w:hAnsi="Arial" w:cs="Arial"/>
        </w:rPr>
        <w:t xml:space="preserve">Artificial intelligence, robotics, advanced technologies and human resource </w:t>
      </w:r>
      <w:r>
        <w:rPr>
          <w:rFonts w:ascii="Arial" w:hAnsi="Arial" w:cs="Arial"/>
        </w:rPr>
        <w:tab/>
      </w:r>
      <w:r w:rsidRPr="00447B3C">
        <w:rPr>
          <w:rFonts w:ascii="Arial" w:hAnsi="Arial" w:cs="Arial"/>
        </w:rPr>
        <w:t xml:space="preserve">management: a systematic review. The International Journal of Human Resource </w:t>
      </w:r>
      <w:r>
        <w:rPr>
          <w:rFonts w:ascii="Arial" w:hAnsi="Arial" w:cs="Arial"/>
        </w:rPr>
        <w:tab/>
      </w:r>
      <w:r w:rsidRPr="00447B3C">
        <w:rPr>
          <w:rFonts w:ascii="Arial" w:hAnsi="Arial" w:cs="Arial"/>
        </w:rPr>
        <w:t>Management, 33(6), pp.1237-1266.</w:t>
      </w:r>
      <w:r>
        <w:rPr>
          <w:rFonts w:ascii="Arial" w:hAnsi="Arial" w:cs="Arial"/>
        </w:rPr>
        <w:t xml:space="preserve"> </w:t>
      </w:r>
    </w:p>
    <w:p w14:paraId="193DB679" w14:textId="77777777" w:rsidR="0030307A" w:rsidRPr="00447B3C" w:rsidRDefault="0030307A" w:rsidP="0030307A">
      <w:pPr>
        <w:spacing w:line="360" w:lineRule="auto"/>
        <w:jc w:val="both"/>
        <w:rPr>
          <w:rFonts w:ascii="Arial" w:hAnsi="Arial" w:cs="Arial"/>
        </w:rPr>
      </w:pPr>
      <w:r w:rsidRPr="00447B3C">
        <w:rPr>
          <w:rFonts w:ascii="Arial" w:hAnsi="Arial" w:cs="Arial"/>
        </w:rPr>
        <w:t xml:space="preserve">Zhang, Y., Luo, Y., Zhang, X. and Zhao, J., 2019. How green human resource </w:t>
      </w:r>
      <w:r>
        <w:rPr>
          <w:rFonts w:ascii="Arial" w:hAnsi="Arial" w:cs="Arial"/>
        </w:rPr>
        <w:tab/>
      </w:r>
      <w:r w:rsidRPr="00447B3C">
        <w:rPr>
          <w:rFonts w:ascii="Arial" w:hAnsi="Arial" w:cs="Arial"/>
        </w:rPr>
        <w:t xml:space="preserve">management can promote green employee behavior in China: A technology </w:t>
      </w:r>
      <w:r>
        <w:rPr>
          <w:rFonts w:ascii="Arial" w:hAnsi="Arial" w:cs="Arial"/>
        </w:rPr>
        <w:tab/>
      </w:r>
      <w:r w:rsidRPr="00447B3C">
        <w:rPr>
          <w:rFonts w:ascii="Arial" w:hAnsi="Arial" w:cs="Arial"/>
        </w:rPr>
        <w:t>acceptance model perspective. Sustainability, 11(19), p.5408.</w:t>
      </w:r>
      <w:r>
        <w:rPr>
          <w:rFonts w:ascii="Arial" w:hAnsi="Arial" w:cs="Arial"/>
        </w:rPr>
        <w:t xml:space="preserve"> </w:t>
      </w:r>
    </w:p>
    <w:p w14:paraId="7CA578BC" w14:textId="77777777" w:rsidR="00447B3C" w:rsidRDefault="00447B3C" w:rsidP="009A02D8">
      <w:pPr>
        <w:spacing w:line="360" w:lineRule="auto"/>
        <w:rPr>
          <w:rFonts w:ascii="Arial" w:hAnsi="Arial" w:cs="Arial"/>
          <w:color w:val="222222"/>
          <w:sz w:val="20"/>
          <w:szCs w:val="20"/>
          <w:shd w:val="clear" w:color="auto" w:fill="FFFFFF"/>
        </w:rPr>
      </w:pPr>
    </w:p>
    <w:p w14:paraId="2F683D8C" w14:textId="77777777" w:rsidR="00447B3C" w:rsidRDefault="00447B3C" w:rsidP="009A02D8">
      <w:pPr>
        <w:spacing w:line="360" w:lineRule="auto"/>
        <w:rPr>
          <w:rFonts w:ascii="Arial" w:hAnsi="Arial" w:cs="Arial"/>
          <w:color w:val="222222"/>
          <w:sz w:val="20"/>
          <w:szCs w:val="20"/>
          <w:shd w:val="clear" w:color="auto" w:fill="FFFFFF"/>
        </w:rPr>
      </w:pPr>
    </w:p>
    <w:p w14:paraId="3D3AEC9E" w14:textId="77777777" w:rsidR="00447B3C" w:rsidRPr="009A02D8" w:rsidRDefault="00447B3C" w:rsidP="009A02D8">
      <w:pPr>
        <w:spacing w:line="360" w:lineRule="auto"/>
        <w:rPr>
          <w:rFonts w:ascii="Arial" w:hAnsi="Arial" w:cs="Arial"/>
        </w:rPr>
      </w:pPr>
    </w:p>
    <w:sectPr w:rsidR="00447B3C" w:rsidRPr="009A02D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63A33" w14:textId="77777777" w:rsidR="00C8794C" w:rsidRDefault="00C8794C">
      <w:pPr>
        <w:spacing w:after="0" w:line="240" w:lineRule="auto"/>
      </w:pPr>
      <w:r>
        <w:separator/>
      </w:r>
    </w:p>
  </w:endnote>
  <w:endnote w:type="continuationSeparator" w:id="0">
    <w:p w14:paraId="42714FBB" w14:textId="77777777" w:rsidR="00C8794C" w:rsidRDefault="00C87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52D92" w14:textId="77777777" w:rsidR="00C8794C" w:rsidRDefault="00C8794C">
      <w:pPr>
        <w:spacing w:after="0" w:line="240" w:lineRule="auto"/>
      </w:pPr>
      <w:r>
        <w:separator/>
      </w:r>
    </w:p>
  </w:footnote>
  <w:footnote w:type="continuationSeparator" w:id="0">
    <w:p w14:paraId="588563FE" w14:textId="77777777" w:rsidR="00C8794C" w:rsidRDefault="00C879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9586696"/>
      <w:docPartObj>
        <w:docPartGallery w:val="Page Numbers (Top of Page)"/>
        <w:docPartUnique/>
      </w:docPartObj>
    </w:sdtPr>
    <w:sdtEndPr>
      <w:rPr>
        <w:noProof/>
      </w:rPr>
    </w:sdtEndPr>
    <w:sdtContent>
      <w:p w14:paraId="5C2D8425" w14:textId="165E2B20" w:rsidR="009A02D8" w:rsidRDefault="0083460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942FAD0" w14:textId="77777777" w:rsidR="009A02D8" w:rsidRDefault="009A02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EE6C2A"/>
    <w:multiLevelType w:val="hybridMultilevel"/>
    <w:tmpl w:val="83666CE4"/>
    <w:lvl w:ilvl="0" w:tplc="43C8DFAA">
      <w:start w:val="1"/>
      <w:numFmt w:val="lowerLetter"/>
      <w:lvlText w:val="%1."/>
      <w:lvlJc w:val="left"/>
      <w:pPr>
        <w:ind w:left="1080" w:hanging="360"/>
      </w:pPr>
      <w:rPr>
        <w:rFonts w:hint="default"/>
      </w:rPr>
    </w:lvl>
    <w:lvl w:ilvl="1" w:tplc="F93ABE0A" w:tentative="1">
      <w:start w:val="1"/>
      <w:numFmt w:val="lowerLetter"/>
      <w:lvlText w:val="%2."/>
      <w:lvlJc w:val="left"/>
      <w:pPr>
        <w:ind w:left="1800" w:hanging="360"/>
      </w:pPr>
    </w:lvl>
    <w:lvl w:ilvl="2" w:tplc="0838C396" w:tentative="1">
      <w:start w:val="1"/>
      <w:numFmt w:val="lowerRoman"/>
      <w:lvlText w:val="%3."/>
      <w:lvlJc w:val="right"/>
      <w:pPr>
        <w:ind w:left="2520" w:hanging="180"/>
      </w:pPr>
    </w:lvl>
    <w:lvl w:ilvl="3" w:tplc="066EE2CA" w:tentative="1">
      <w:start w:val="1"/>
      <w:numFmt w:val="decimal"/>
      <w:lvlText w:val="%4."/>
      <w:lvlJc w:val="left"/>
      <w:pPr>
        <w:ind w:left="3240" w:hanging="360"/>
      </w:pPr>
    </w:lvl>
    <w:lvl w:ilvl="4" w:tplc="1D14E9B8" w:tentative="1">
      <w:start w:val="1"/>
      <w:numFmt w:val="lowerLetter"/>
      <w:lvlText w:val="%5."/>
      <w:lvlJc w:val="left"/>
      <w:pPr>
        <w:ind w:left="3960" w:hanging="360"/>
      </w:pPr>
    </w:lvl>
    <w:lvl w:ilvl="5" w:tplc="FC12F0BA" w:tentative="1">
      <w:start w:val="1"/>
      <w:numFmt w:val="lowerRoman"/>
      <w:lvlText w:val="%6."/>
      <w:lvlJc w:val="right"/>
      <w:pPr>
        <w:ind w:left="4680" w:hanging="180"/>
      </w:pPr>
    </w:lvl>
    <w:lvl w:ilvl="6" w:tplc="D6A27D94" w:tentative="1">
      <w:start w:val="1"/>
      <w:numFmt w:val="decimal"/>
      <w:lvlText w:val="%7."/>
      <w:lvlJc w:val="left"/>
      <w:pPr>
        <w:ind w:left="5400" w:hanging="360"/>
      </w:pPr>
    </w:lvl>
    <w:lvl w:ilvl="7" w:tplc="2E6418DA" w:tentative="1">
      <w:start w:val="1"/>
      <w:numFmt w:val="lowerLetter"/>
      <w:lvlText w:val="%8."/>
      <w:lvlJc w:val="left"/>
      <w:pPr>
        <w:ind w:left="6120" w:hanging="360"/>
      </w:pPr>
    </w:lvl>
    <w:lvl w:ilvl="8" w:tplc="E02EC1B8" w:tentative="1">
      <w:start w:val="1"/>
      <w:numFmt w:val="lowerRoman"/>
      <w:lvlText w:val="%9."/>
      <w:lvlJc w:val="right"/>
      <w:pPr>
        <w:ind w:left="6840" w:hanging="180"/>
      </w:pPr>
    </w:lvl>
  </w:abstractNum>
  <w:abstractNum w:abstractNumId="1" w15:restartNumberingAfterBreak="0">
    <w:nsid w:val="7CFD3DBD"/>
    <w:multiLevelType w:val="hybridMultilevel"/>
    <w:tmpl w:val="6EC263A6"/>
    <w:lvl w:ilvl="0" w:tplc="F2880A02">
      <w:start w:val="1"/>
      <w:numFmt w:val="decimal"/>
      <w:lvlText w:val="%1."/>
      <w:lvlJc w:val="left"/>
      <w:pPr>
        <w:ind w:left="720" w:hanging="360"/>
      </w:pPr>
      <w:rPr>
        <w:rFonts w:hint="default"/>
      </w:rPr>
    </w:lvl>
    <w:lvl w:ilvl="1" w:tplc="7032AD5C" w:tentative="1">
      <w:start w:val="1"/>
      <w:numFmt w:val="lowerLetter"/>
      <w:lvlText w:val="%2."/>
      <w:lvlJc w:val="left"/>
      <w:pPr>
        <w:ind w:left="1440" w:hanging="360"/>
      </w:pPr>
    </w:lvl>
    <w:lvl w:ilvl="2" w:tplc="154204AE" w:tentative="1">
      <w:start w:val="1"/>
      <w:numFmt w:val="lowerRoman"/>
      <w:lvlText w:val="%3."/>
      <w:lvlJc w:val="right"/>
      <w:pPr>
        <w:ind w:left="2160" w:hanging="180"/>
      </w:pPr>
    </w:lvl>
    <w:lvl w:ilvl="3" w:tplc="D5D275C6" w:tentative="1">
      <w:start w:val="1"/>
      <w:numFmt w:val="decimal"/>
      <w:lvlText w:val="%4."/>
      <w:lvlJc w:val="left"/>
      <w:pPr>
        <w:ind w:left="2880" w:hanging="360"/>
      </w:pPr>
    </w:lvl>
    <w:lvl w:ilvl="4" w:tplc="A5308C06" w:tentative="1">
      <w:start w:val="1"/>
      <w:numFmt w:val="lowerLetter"/>
      <w:lvlText w:val="%5."/>
      <w:lvlJc w:val="left"/>
      <w:pPr>
        <w:ind w:left="3600" w:hanging="360"/>
      </w:pPr>
    </w:lvl>
    <w:lvl w:ilvl="5" w:tplc="432E97B2" w:tentative="1">
      <w:start w:val="1"/>
      <w:numFmt w:val="lowerRoman"/>
      <w:lvlText w:val="%6."/>
      <w:lvlJc w:val="right"/>
      <w:pPr>
        <w:ind w:left="4320" w:hanging="180"/>
      </w:pPr>
    </w:lvl>
    <w:lvl w:ilvl="6" w:tplc="EF205CFC" w:tentative="1">
      <w:start w:val="1"/>
      <w:numFmt w:val="decimal"/>
      <w:lvlText w:val="%7."/>
      <w:lvlJc w:val="left"/>
      <w:pPr>
        <w:ind w:left="5040" w:hanging="360"/>
      </w:pPr>
    </w:lvl>
    <w:lvl w:ilvl="7" w:tplc="88E084B6" w:tentative="1">
      <w:start w:val="1"/>
      <w:numFmt w:val="lowerLetter"/>
      <w:lvlText w:val="%8."/>
      <w:lvlJc w:val="left"/>
      <w:pPr>
        <w:ind w:left="5760" w:hanging="360"/>
      </w:pPr>
    </w:lvl>
    <w:lvl w:ilvl="8" w:tplc="A49440D4" w:tentative="1">
      <w:start w:val="1"/>
      <w:numFmt w:val="lowerRoman"/>
      <w:lvlText w:val="%9."/>
      <w:lvlJc w:val="right"/>
      <w:pPr>
        <w:ind w:left="6480" w:hanging="180"/>
      </w:pPr>
    </w:lvl>
  </w:abstractNum>
  <w:num w:numId="1" w16cid:durableId="1215000044">
    <w:abstractNumId w:val="1"/>
  </w:num>
  <w:num w:numId="2" w16cid:durableId="953175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848"/>
    <w:rsid w:val="000844C3"/>
    <w:rsid w:val="000E7C87"/>
    <w:rsid w:val="001367BC"/>
    <w:rsid w:val="001B616F"/>
    <w:rsid w:val="00220A48"/>
    <w:rsid w:val="0030307A"/>
    <w:rsid w:val="003E2D7E"/>
    <w:rsid w:val="004348D4"/>
    <w:rsid w:val="0044785F"/>
    <w:rsid w:val="00447B3C"/>
    <w:rsid w:val="00585944"/>
    <w:rsid w:val="005A3B52"/>
    <w:rsid w:val="00756B2D"/>
    <w:rsid w:val="007E6249"/>
    <w:rsid w:val="00854A3E"/>
    <w:rsid w:val="00924848"/>
    <w:rsid w:val="00983993"/>
    <w:rsid w:val="00987B25"/>
    <w:rsid w:val="009A02D8"/>
    <w:rsid w:val="00AF245C"/>
    <w:rsid w:val="00B15945"/>
    <w:rsid w:val="00B50BA2"/>
    <w:rsid w:val="00BE6A01"/>
    <w:rsid w:val="00C13746"/>
    <w:rsid w:val="00C8794C"/>
    <w:rsid w:val="00DF0D29"/>
    <w:rsid w:val="00E13192"/>
    <w:rsid w:val="00ED36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8A7A3"/>
  <w15:chartTrackingRefBased/>
  <w15:docId w15:val="{4B264FE6-D201-40DD-B6C1-CE4965952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4848"/>
    <w:pPr>
      <w:ind w:left="720"/>
      <w:contextualSpacing/>
    </w:pPr>
  </w:style>
  <w:style w:type="paragraph" w:styleId="Header">
    <w:name w:val="header"/>
    <w:basedOn w:val="Normal"/>
    <w:link w:val="HeaderChar"/>
    <w:uiPriority w:val="99"/>
    <w:unhideWhenUsed/>
    <w:rsid w:val="009A02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02D8"/>
  </w:style>
  <w:style w:type="paragraph" w:styleId="Footer">
    <w:name w:val="footer"/>
    <w:basedOn w:val="Normal"/>
    <w:link w:val="FooterChar"/>
    <w:uiPriority w:val="99"/>
    <w:unhideWhenUsed/>
    <w:rsid w:val="009A02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02D8"/>
  </w:style>
  <w:style w:type="paragraph" w:styleId="NormalWeb">
    <w:name w:val="Normal (Web)"/>
    <w:basedOn w:val="Normal"/>
    <w:uiPriority w:val="99"/>
    <w:unhideWhenUsed/>
    <w:rsid w:val="003E2D7E"/>
    <w:pPr>
      <w:spacing w:before="100" w:beforeAutospacing="1" w:after="100" w:afterAutospacing="1" w:line="240" w:lineRule="auto"/>
    </w:pPr>
    <w:rPr>
      <w:rFonts w:eastAsia="Times New Roman" w:cs="Times New Roman"/>
      <w:kern w:val="0"/>
      <w:szCs w:val="24"/>
      <w14:ligatures w14:val="none"/>
    </w:rPr>
  </w:style>
  <w:style w:type="character" w:styleId="Strong">
    <w:name w:val="Strong"/>
    <w:basedOn w:val="DefaultParagraphFont"/>
    <w:uiPriority w:val="22"/>
    <w:qFormat/>
    <w:rsid w:val="003E2D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353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3174</Words>
  <Characters>18096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pawl3t@gmail.com</cp:lastModifiedBy>
  <cp:revision>6</cp:revision>
  <dcterms:created xsi:type="dcterms:W3CDTF">2023-02-04T17:19:00Z</dcterms:created>
  <dcterms:modified xsi:type="dcterms:W3CDTF">2023-02-04T17:21:00Z</dcterms:modified>
</cp:coreProperties>
</file>