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0ADCB" w14:textId="77777777" w:rsidR="00C733A5" w:rsidRPr="0017667F" w:rsidRDefault="00C733A5" w:rsidP="00C733A5">
      <w:pPr>
        <w:spacing w:after="240" w:line="360" w:lineRule="auto"/>
        <w:jc w:val="center"/>
        <w:rPr>
          <w:rFonts w:ascii="Times New Roman" w:eastAsia="Times New Roman" w:hAnsi="Times New Roman" w:cs="Times New Roman"/>
          <w:b/>
          <w:bCs/>
          <w:sz w:val="32"/>
          <w:szCs w:val="32"/>
        </w:rPr>
      </w:pPr>
    </w:p>
    <w:p w14:paraId="79C81657" w14:textId="77777777" w:rsidR="00C733A5" w:rsidRPr="0017667F" w:rsidRDefault="00C733A5" w:rsidP="00C733A5">
      <w:pPr>
        <w:spacing w:after="240" w:line="360" w:lineRule="auto"/>
        <w:jc w:val="center"/>
        <w:rPr>
          <w:rFonts w:ascii="Times New Roman" w:eastAsia="Times New Roman" w:hAnsi="Times New Roman" w:cs="Times New Roman"/>
          <w:b/>
          <w:bCs/>
          <w:sz w:val="32"/>
          <w:szCs w:val="32"/>
        </w:rPr>
      </w:pPr>
    </w:p>
    <w:p w14:paraId="0C0E0065" w14:textId="77777777" w:rsidR="00C733A5" w:rsidRPr="0017667F" w:rsidRDefault="00C733A5" w:rsidP="00C733A5">
      <w:pPr>
        <w:spacing w:after="240" w:line="360" w:lineRule="auto"/>
        <w:jc w:val="center"/>
        <w:rPr>
          <w:rFonts w:ascii="Times New Roman" w:eastAsia="Times New Roman" w:hAnsi="Times New Roman" w:cs="Times New Roman"/>
          <w:b/>
          <w:bCs/>
          <w:sz w:val="32"/>
          <w:szCs w:val="32"/>
        </w:rPr>
      </w:pPr>
      <w:r w:rsidRPr="0017667F">
        <w:rPr>
          <w:rFonts w:ascii="Times New Roman" w:eastAsia="Times New Roman" w:hAnsi="Times New Roman" w:cs="Times New Roman"/>
          <w:b/>
          <w:bCs/>
          <w:sz w:val="32"/>
          <w:szCs w:val="32"/>
        </w:rPr>
        <w:t>LEVEL 7 ASSESSMENT SPECIFICATION</w:t>
      </w:r>
    </w:p>
    <w:p w14:paraId="1031CEAD" w14:textId="77777777" w:rsidR="00C733A5" w:rsidRPr="0009446D" w:rsidRDefault="00C733A5" w:rsidP="00C733A5">
      <w:pPr>
        <w:spacing w:after="240" w:line="360" w:lineRule="auto"/>
        <w:jc w:val="center"/>
        <w:rPr>
          <w:rFonts w:ascii="Times New Roman" w:eastAsia="Times New Roman" w:hAnsi="Times New Roman" w:cs="Times New Roman"/>
          <w:b/>
          <w:bCs/>
          <w:sz w:val="32"/>
          <w:szCs w:val="32"/>
        </w:rPr>
      </w:pPr>
      <w:proofErr w:type="spellStart"/>
      <w:r w:rsidRPr="0009446D">
        <w:rPr>
          <w:rFonts w:ascii="Times New Roman" w:eastAsia="Times New Roman" w:hAnsi="Times New Roman" w:cs="Times New Roman"/>
          <w:b/>
          <w:bCs/>
          <w:sz w:val="32"/>
          <w:szCs w:val="32"/>
        </w:rPr>
        <w:t>Programme</w:t>
      </w:r>
      <w:proofErr w:type="spellEnd"/>
      <w:r w:rsidR="0009446D" w:rsidRPr="0009446D">
        <w:rPr>
          <w:rFonts w:ascii="Times New Roman" w:eastAsia="Times New Roman" w:hAnsi="Times New Roman" w:cs="Times New Roman"/>
          <w:b/>
          <w:bCs/>
          <w:sz w:val="32"/>
          <w:szCs w:val="32"/>
        </w:rPr>
        <w:t xml:space="preserve">: </w:t>
      </w:r>
      <w:proofErr w:type="spellStart"/>
      <w:r w:rsidR="0009446D" w:rsidRPr="0009446D">
        <w:rPr>
          <w:rFonts w:ascii="Times New Roman" w:eastAsia="Times New Roman" w:hAnsi="Times New Roman" w:cs="Times New Roman"/>
          <w:b/>
          <w:bCs/>
          <w:sz w:val="32"/>
          <w:szCs w:val="32"/>
        </w:rPr>
        <w:t>Msc</w:t>
      </w:r>
      <w:proofErr w:type="spellEnd"/>
      <w:r w:rsidR="0009446D" w:rsidRPr="0009446D">
        <w:rPr>
          <w:rFonts w:ascii="Times New Roman" w:eastAsia="Times New Roman" w:hAnsi="Times New Roman" w:cs="Times New Roman"/>
          <w:b/>
          <w:bCs/>
          <w:sz w:val="32"/>
          <w:szCs w:val="32"/>
        </w:rPr>
        <w:t xml:space="preserve"> </w:t>
      </w:r>
      <w:r w:rsidRPr="0009446D">
        <w:rPr>
          <w:rFonts w:ascii="Times New Roman" w:eastAsia="Times New Roman" w:hAnsi="Times New Roman" w:cs="Times New Roman"/>
          <w:b/>
          <w:bCs/>
          <w:sz w:val="32"/>
          <w:szCs w:val="32"/>
        </w:rPr>
        <w:t xml:space="preserve">Cybersecurity </w:t>
      </w:r>
      <w:r w:rsidR="0009446D" w:rsidRPr="0009446D">
        <w:rPr>
          <w:rFonts w:ascii="Times New Roman" w:eastAsia="Times New Roman" w:hAnsi="Times New Roman" w:cs="Times New Roman"/>
          <w:b/>
          <w:bCs/>
          <w:sz w:val="32"/>
          <w:szCs w:val="32"/>
        </w:rPr>
        <w:t xml:space="preserve">and </w:t>
      </w:r>
      <w:r w:rsidRPr="0009446D">
        <w:rPr>
          <w:rFonts w:ascii="Times New Roman" w:eastAsia="Times New Roman" w:hAnsi="Times New Roman" w:cs="Times New Roman"/>
          <w:b/>
          <w:bCs/>
          <w:sz w:val="32"/>
          <w:szCs w:val="32"/>
        </w:rPr>
        <w:t>Digital Forensics</w:t>
      </w:r>
    </w:p>
    <w:p w14:paraId="61D28E39" w14:textId="77777777" w:rsidR="00C733A5" w:rsidRPr="0009446D" w:rsidRDefault="00C733A5" w:rsidP="00C733A5">
      <w:pPr>
        <w:spacing w:after="240" w:line="360" w:lineRule="auto"/>
        <w:jc w:val="center"/>
        <w:rPr>
          <w:rFonts w:ascii="Times New Roman" w:eastAsia="Times New Roman" w:hAnsi="Times New Roman" w:cs="Times New Roman"/>
          <w:b/>
          <w:bCs/>
          <w:sz w:val="32"/>
          <w:szCs w:val="32"/>
        </w:rPr>
      </w:pPr>
      <w:r w:rsidRPr="0009446D">
        <w:rPr>
          <w:rFonts w:ascii="Times New Roman" w:eastAsia="Times New Roman" w:hAnsi="Times New Roman" w:cs="Times New Roman"/>
          <w:b/>
          <w:bCs/>
          <w:sz w:val="32"/>
          <w:szCs w:val="32"/>
        </w:rPr>
        <w:t>Module</w:t>
      </w:r>
      <w:r w:rsidR="0009446D" w:rsidRPr="0009446D">
        <w:rPr>
          <w:rFonts w:ascii="Times New Roman" w:eastAsia="Times New Roman" w:hAnsi="Times New Roman" w:cs="Times New Roman"/>
          <w:b/>
          <w:bCs/>
          <w:sz w:val="32"/>
          <w:szCs w:val="32"/>
        </w:rPr>
        <w:t xml:space="preserve">: </w:t>
      </w:r>
      <w:r w:rsidRPr="0009446D">
        <w:rPr>
          <w:rFonts w:ascii="Times New Roman" w:eastAsia="Times New Roman" w:hAnsi="Times New Roman" w:cs="Times New Roman"/>
          <w:b/>
          <w:bCs/>
          <w:sz w:val="32"/>
          <w:szCs w:val="32"/>
        </w:rPr>
        <w:t>Data Security</w:t>
      </w:r>
      <w:r w:rsidR="0009446D" w:rsidRPr="0009446D">
        <w:rPr>
          <w:rFonts w:ascii="Times New Roman" w:eastAsia="Times New Roman" w:hAnsi="Times New Roman" w:cs="Times New Roman"/>
          <w:b/>
          <w:bCs/>
          <w:sz w:val="32"/>
          <w:szCs w:val="32"/>
        </w:rPr>
        <w:t xml:space="preserve">, </w:t>
      </w:r>
      <w:r w:rsidRPr="0009446D">
        <w:rPr>
          <w:rFonts w:ascii="Times New Roman" w:eastAsia="Times New Roman" w:hAnsi="Times New Roman" w:cs="Times New Roman"/>
          <w:b/>
          <w:bCs/>
          <w:sz w:val="32"/>
          <w:szCs w:val="32"/>
        </w:rPr>
        <w:t xml:space="preserve">Governance </w:t>
      </w:r>
      <w:r w:rsidR="0009446D" w:rsidRPr="0009446D">
        <w:rPr>
          <w:rFonts w:ascii="Times New Roman" w:eastAsia="Times New Roman" w:hAnsi="Times New Roman" w:cs="Times New Roman"/>
          <w:b/>
          <w:bCs/>
          <w:sz w:val="32"/>
          <w:szCs w:val="32"/>
        </w:rPr>
        <w:t xml:space="preserve">and </w:t>
      </w:r>
      <w:r w:rsidRPr="0009446D">
        <w:rPr>
          <w:rFonts w:ascii="Times New Roman" w:eastAsia="Times New Roman" w:hAnsi="Times New Roman" w:cs="Times New Roman"/>
          <w:b/>
          <w:bCs/>
          <w:sz w:val="32"/>
          <w:szCs w:val="32"/>
        </w:rPr>
        <w:t>Compliance</w:t>
      </w:r>
    </w:p>
    <w:p w14:paraId="65A71691" w14:textId="77777777" w:rsidR="00C733A5" w:rsidRPr="00C733A5" w:rsidRDefault="00C733A5" w:rsidP="00C733A5">
      <w:pPr>
        <w:spacing w:after="240" w:line="360" w:lineRule="auto"/>
        <w:jc w:val="center"/>
        <w:rPr>
          <w:rFonts w:ascii="Times New Roman" w:eastAsia="Times New Roman" w:hAnsi="Times New Roman" w:cs="Times New Roman"/>
          <w:b/>
          <w:bCs/>
          <w:i/>
          <w:sz w:val="32"/>
          <w:szCs w:val="32"/>
        </w:rPr>
      </w:pPr>
      <w:r w:rsidRPr="0009446D">
        <w:rPr>
          <w:rFonts w:ascii="Times New Roman" w:eastAsia="Times New Roman" w:hAnsi="Times New Roman" w:cs="Times New Roman"/>
          <w:b/>
          <w:bCs/>
          <w:sz w:val="32"/>
          <w:szCs w:val="32"/>
        </w:rPr>
        <w:t xml:space="preserve">Module </w:t>
      </w:r>
      <w:r w:rsidR="0009446D" w:rsidRPr="0009446D">
        <w:rPr>
          <w:rFonts w:ascii="Times New Roman" w:eastAsia="Times New Roman" w:hAnsi="Times New Roman" w:cs="Times New Roman"/>
          <w:b/>
          <w:bCs/>
          <w:sz w:val="32"/>
          <w:szCs w:val="32"/>
        </w:rPr>
        <w:t>Code:</w:t>
      </w:r>
      <w:r w:rsidR="0009446D" w:rsidRPr="00C733A5">
        <w:rPr>
          <w:rFonts w:ascii="Times New Roman" w:eastAsia="Times New Roman" w:hAnsi="Times New Roman" w:cs="Times New Roman"/>
          <w:b/>
          <w:bCs/>
          <w:i/>
          <w:sz w:val="32"/>
          <w:szCs w:val="32"/>
        </w:rPr>
        <w:t xml:space="preserve"> </w:t>
      </w:r>
      <w:r w:rsidRPr="0009446D">
        <w:rPr>
          <w:rFonts w:ascii="Times New Roman" w:eastAsia="Times New Roman" w:hAnsi="Times New Roman" w:cs="Times New Roman"/>
          <w:b/>
          <w:bCs/>
          <w:sz w:val="32"/>
          <w:szCs w:val="32"/>
        </w:rPr>
        <w:t>ACCA7028</w:t>
      </w:r>
    </w:p>
    <w:p w14:paraId="5619AE2A" w14:textId="77777777" w:rsidR="00C733A5" w:rsidRPr="0009446D" w:rsidRDefault="00C733A5" w:rsidP="00C733A5">
      <w:pPr>
        <w:spacing w:after="240" w:line="360" w:lineRule="auto"/>
        <w:jc w:val="center"/>
        <w:rPr>
          <w:rFonts w:ascii="Times New Roman" w:eastAsia="Times New Roman" w:hAnsi="Times New Roman" w:cs="Times New Roman"/>
          <w:b/>
          <w:bCs/>
          <w:sz w:val="32"/>
          <w:szCs w:val="32"/>
        </w:rPr>
      </w:pPr>
      <w:r w:rsidRPr="0009446D">
        <w:rPr>
          <w:rFonts w:ascii="Times New Roman" w:eastAsia="Times New Roman" w:hAnsi="Times New Roman" w:cs="Times New Roman"/>
          <w:b/>
          <w:bCs/>
          <w:sz w:val="32"/>
          <w:szCs w:val="32"/>
        </w:rPr>
        <w:t>Lecturer: Dr Ayman El Hajjar</w:t>
      </w:r>
    </w:p>
    <w:p w14:paraId="323B53E8" w14:textId="2C41B915" w:rsidR="00C733A5" w:rsidRDefault="0009446D" w:rsidP="00C733A5">
      <w:pPr>
        <w:spacing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w:t>
      </w:r>
      <w:r w:rsidR="009D76AC">
        <w:rPr>
          <w:rFonts w:ascii="Times New Roman" w:eastAsia="Times New Roman" w:hAnsi="Times New Roman" w:cs="Times New Roman"/>
          <w:b/>
          <w:bCs/>
          <w:sz w:val="32"/>
          <w:szCs w:val="32"/>
        </w:rPr>
        <w:t xml:space="preserve">Harsh </w:t>
      </w:r>
      <w:proofErr w:type="spellStart"/>
      <w:r w:rsidR="009D76AC">
        <w:rPr>
          <w:rFonts w:ascii="Times New Roman" w:eastAsia="Times New Roman" w:hAnsi="Times New Roman" w:cs="Times New Roman"/>
          <w:b/>
          <w:bCs/>
          <w:sz w:val="32"/>
          <w:szCs w:val="32"/>
        </w:rPr>
        <w:t>Shaileshbhai</w:t>
      </w:r>
      <w:proofErr w:type="spellEnd"/>
      <w:r w:rsidR="009D76AC">
        <w:rPr>
          <w:rFonts w:ascii="Times New Roman" w:eastAsia="Times New Roman" w:hAnsi="Times New Roman" w:cs="Times New Roman"/>
          <w:b/>
          <w:bCs/>
          <w:sz w:val="32"/>
          <w:szCs w:val="32"/>
        </w:rPr>
        <w:t xml:space="preserve"> </w:t>
      </w:r>
      <w:proofErr w:type="spellStart"/>
      <w:r w:rsidR="009D76AC">
        <w:rPr>
          <w:rFonts w:ascii="Times New Roman" w:eastAsia="Times New Roman" w:hAnsi="Times New Roman" w:cs="Times New Roman"/>
          <w:b/>
          <w:bCs/>
          <w:sz w:val="32"/>
          <w:szCs w:val="32"/>
        </w:rPr>
        <w:t>Dhokiya</w:t>
      </w:r>
      <w:proofErr w:type="spellEnd"/>
    </w:p>
    <w:p w14:paraId="290EAC2C" w14:textId="576E1DC5" w:rsidR="00C733A5" w:rsidRPr="0017667F" w:rsidRDefault="0009446D" w:rsidP="00C733A5">
      <w:pPr>
        <w:spacing w:after="240" w:line="360" w:lineRule="auto"/>
        <w:jc w:val="center"/>
        <w:rPr>
          <w:rFonts w:ascii="Times New Roman" w:eastAsia="Times New Roman" w:hAnsi="Times New Roman" w:cs="Times New Roman"/>
          <w:b/>
          <w:bCs/>
          <w:sz w:val="32"/>
          <w:szCs w:val="32"/>
        </w:rPr>
      </w:pPr>
      <w:proofErr w:type="spellStart"/>
      <w:r>
        <w:rPr>
          <w:rFonts w:ascii="Times New Roman" w:eastAsia="Times New Roman" w:hAnsi="Times New Roman" w:cs="Times New Roman"/>
          <w:b/>
          <w:bCs/>
          <w:sz w:val="32"/>
          <w:szCs w:val="32"/>
        </w:rPr>
        <w:t>Studnt</w:t>
      </w:r>
      <w:proofErr w:type="spellEnd"/>
      <w:r>
        <w:rPr>
          <w:rFonts w:ascii="Times New Roman" w:eastAsia="Times New Roman" w:hAnsi="Times New Roman" w:cs="Times New Roman"/>
          <w:b/>
          <w:bCs/>
          <w:sz w:val="32"/>
          <w:szCs w:val="32"/>
        </w:rPr>
        <w:t xml:space="preserve"> Id: </w:t>
      </w:r>
      <w:r w:rsidR="009D76AC">
        <w:rPr>
          <w:rFonts w:ascii="Times New Roman" w:eastAsia="Times New Roman" w:hAnsi="Times New Roman" w:cs="Times New Roman"/>
          <w:b/>
          <w:bCs/>
          <w:sz w:val="32"/>
          <w:szCs w:val="32"/>
        </w:rPr>
        <w:t>2545109</w:t>
      </w:r>
    </w:p>
    <w:p w14:paraId="32EFD300" w14:textId="77777777" w:rsidR="00237D24" w:rsidRPr="00DF7D4C" w:rsidRDefault="00DF7D4C" w:rsidP="0009446D">
      <w:pP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br w:type="page"/>
      </w:r>
    </w:p>
    <w:p w14:paraId="357E77A0" w14:textId="77777777" w:rsidR="00237D24" w:rsidRPr="0009446D" w:rsidRDefault="00AF5F20" w:rsidP="009C7926">
      <w:pPr>
        <w:spacing w:after="200" w:line="360" w:lineRule="auto"/>
        <w:jc w:val="center"/>
        <w:rPr>
          <w:rFonts w:ascii="Times New Roman" w:eastAsia="Times New Roman" w:hAnsi="Times New Roman" w:cs="Times New Roman"/>
          <w:b/>
          <w:bCs/>
          <w:sz w:val="28"/>
          <w:szCs w:val="24"/>
          <w:lang w:val="en-GB"/>
        </w:rPr>
      </w:pPr>
      <w:r w:rsidRPr="0009446D">
        <w:rPr>
          <w:rFonts w:ascii="Times New Roman" w:eastAsia="Times New Roman" w:hAnsi="Times New Roman" w:cs="Times New Roman"/>
          <w:b/>
          <w:bCs/>
          <w:sz w:val="28"/>
          <w:szCs w:val="24"/>
          <w:lang w:val="en-GB"/>
        </w:rPr>
        <w:lastRenderedPageBreak/>
        <w:t>Abstract</w:t>
      </w:r>
    </w:p>
    <w:p w14:paraId="4FBFF9AF" w14:textId="77777777" w:rsidR="00C733A5"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This report critically analyses the information security governance, risk and compliance challenges within </w:t>
      </w:r>
      <w:proofErr w:type="spellStart"/>
      <w:r w:rsidRPr="00DF7D4C">
        <w:rPr>
          <w:rFonts w:ascii="Times New Roman" w:eastAsia="Times New Roman" w:hAnsi="Times New Roman" w:cs="Times New Roman"/>
          <w:sz w:val="24"/>
          <w:szCs w:val="24"/>
          <w:lang w:val="en-GB"/>
        </w:rPr>
        <w:t>AeroLink</w:t>
      </w:r>
      <w:proofErr w:type="spellEnd"/>
      <w:r w:rsidRPr="00DF7D4C">
        <w:rPr>
          <w:rFonts w:ascii="Times New Roman" w:eastAsia="Times New Roman" w:hAnsi="Times New Roman" w:cs="Times New Roman"/>
          <w:sz w:val="24"/>
          <w:szCs w:val="24"/>
          <w:lang w:val="en-GB"/>
        </w:rPr>
        <w:t xml:space="preserve"> Logistics (ALL), through concentrating on its cloud-based, IoT-powered, remote and outsourced technology environment. It profoundly examines the NIST CSF 2.0, ISO/IEC 27001, COBIT 2019, ITIL 4 and Zero Trust in order to determine their relevance towards the security requirements of this firm. Moreover, an integrated governance model has been proposed to address the fragmented accountability, third-party exposure, access risks, compliance gaps and ultimately the operational disruptions.  The report further </w:t>
      </w:r>
      <w:r w:rsidR="003262FB" w:rsidRPr="00DF7D4C">
        <w:rPr>
          <w:rFonts w:ascii="Times New Roman" w:eastAsia="Times New Roman" w:hAnsi="Times New Roman" w:cs="Times New Roman"/>
          <w:sz w:val="24"/>
          <w:szCs w:val="24"/>
          <w:lang w:val="en-GB"/>
        </w:rPr>
        <w:t>investigates</w:t>
      </w:r>
      <w:r w:rsidRPr="00DF7D4C">
        <w:rPr>
          <w:rFonts w:ascii="Times New Roman" w:eastAsia="Times New Roman" w:hAnsi="Times New Roman" w:cs="Times New Roman"/>
          <w:sz w:val="24"/>
          <w:szCs w:val="24"/>
          <w:lang w:val="en-GB"/>
        </w:rPr>
        <w:t xml:space="preserve"> why security standards and regulations need to continually evolve in response to emerging technologies, cyber threats, and the global regulatory challenges as well.  In addition, the strategic recommendations offer a sense of phased actions to fortify governance, adaptability, compliance and continual security enhancement as well. </w:t>
      </w:r>
    </w:p>
    <w:p w14:paraId="12DA9022" w14:textId="77777777" w:rsidR="00C733A5" w:rsidRDefault="00C733A5">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Times New Roman" w:eastAsia="Arial" w:hAnsi="Times New Roman" w:cs="Times New Roman"/>
          <w:color w:val="auto"/>
          <w:sz w:val="24"/>
          <w:szCs w:val="24"/>
        </w:rPr>
        <w:id w:val="1395698724"/>
        <w:docPartObj>
          <w:docPartGallery w:val="Table of Contents"/>
          <w:docPartUnique/>
        </w:docPartObj>
      </w:sdtPr>
      <w:sdtEndPr>
        <w:rPr>
          <w:rFonts w:ascii="Arial" w:hAnsi="Arial" w:cs="Arial"/>
          <w:b/>
          <w:bCs/>
          <w:noProof/>
          <w:sz w:val="22"/>
          <w:szCs w:val="22"/>
        </w:rPr>
      </w:sdtEndPr>
      <w:sdtContent>
        <w:p w14:paraId="65D82EDB" w14:textId="77777777" w:rsidR="00C733A5" w:rsidRPr="00A71036" w:rsidRDefault="00C733A5" w:rsidP="0009446D">
          <w:pPr>
            <w:pStyle w:val="TOCHeading"/>
            <w:spacing w:before="0" w:line="360" w:lineRule="auto"/>
            <w:jc w:val="center"/>
            <w:rPr>
              <w:rFonts w:ascii="Times New Roman" w:hAnsi="Times New Roman" w:cs="Times New Roman"/>
              <w:b/>
              <w:color w:val="auto"/>
              <w:sz w:val="24"/>
              <w:szCs w:val="24"/>
            </w:rPr>
          </w:pPr>
          <w:r w:rsidRPr="00A71036">
            <w:rPr>
              <w:rFonts w:ascii="Times New Roman" w:hAnsi="Times New Roman" w:cs="Times New Roman"/>
              <w:b/>
              <w:color w:val="auto"/>
              <w:sz w:val="24"/>
              <w:szCs w:val="24"/>
            </w:rPr>
            <w:t>Table of Contents</w:t>
          </w:r>
        </w:p>
        <w:p w14:paraId="318A84D7" w14:textId="77777777" w:rsidR="0009446D" w:rsidRPr="0009446D" w:rsidRDefault="00C733A5" w:rsidP="0009446D">
          <w:pPr>
            <w:pStyle w:val="TOC1"/>
            <w:tabs>
              <w:tab w:val="right" w:leader="dot" w:pos="9019"/>
            </w:tabs>
            <w:spacing w:after="0" w:line="240" w:lineRule="auto"/>
            <w:jc w:val="both"/>
            <w:rPr>
              <w:rFonts w:ascii="Times New Roman" w:eastAsiaTheme="minorEastAsia" w:hAnsi="Times New Roman" w:cs="Times New Roman"/>
              <w:noProof/>
              <w:sz w:val="24"/>
              <w:szCs w:val="24"/>
            </w:rPr>
          </w:pPr>
          <w:r w:rsidRPr="0009446D">
            <w:rPr>
              <w:rFonts w:ascii="Times New Roman" w:hAnsi="Times New Roman" w:cs="Times New Roman"/>
              <w:sz w:val="24"/>
              <w:szCs w:val="24"/>
            </w:rPr>
            <w:fldChar w:fldCharType="begin"/>
          </w:r>
          <w:r w:rsidRPr="0009446D">
            <w:rPr>
              <w:rFonts w:ascii="Times New Roman" w:hAnsi="Times New Roman" w:cs="Times New Roman"/>
              <w:sz w:val="24"/>
              <w:szCs w:val="24"/>
            </w:rPr>
            <w:instrText xml:space="preserve"> TOC \o "1-3" \h \z \u </w:instrText>
          </w:r>
          <w:r w:rsidRPr="0009446D">
            <w:rPr>
              <w:rFonts w:ascii="Times New Roman" w:hAnsi="Times New Roman" w:cs="Times New Roman"/>
              <w:sz w:val="24"/>
              <w:szCs w:val="24"/>
            </w:rPr>
            <w:fldChar w:fldCharType="separate"/>
          </w:r>
          <w:hyperlink w:anchor="_Toc237108106" w:history="1">
            <w:r w:rsidR="0009446D" w:rsidRPr="0009446D">
              <w:rPr>
                <w:rStyle w:val="Hyperlink"/>
                <w:rFonts w:ascii="Times New Roman" w:hAnsi="Times New Roman" w:cs="Times New Roman"/>
                <w:noProof/>
                <w:sz w:val="24"/>
                <w:szCs w:val="24"/>
                <w:lang w:val="en-GB"/>
              </w:rPr>
              <w:t>1. Introduction</w:t>
            </w:r>
            <w:r w:rsidR="0009446D" w:rsidRPr="0009446D">
              <w:rPr>
                <w:rFonts w:ascii="Times New Roman" w:hAnsi="Times New Roman" w:cs="Times New Roman"/>
                <w:noProof/>
                <w:webHidden/>
                <w:sz w:val="24"/>
                <w:szCs w:val="24"/>
              </w:rPr>
              <w:tab/>
            </w:r>
            <w:r w:rsidR="0009446D" w:rsidRPr="0009446D">
              <w:rPr>
                <w:rFonts w:ascii="Times New Roman" w:hAnsi="Times New Roman" w:cs="Times New Roman"/>
                <w:noProof/>
                <w:webHidden/>
                <w:sz w:val="24"/>
                <w:szCs w:val="24"/>
              </w:rPr>
              <w:fldChar w:fldCharType="begin"/>
            </w:r>
            <w:r w:rsidR="0009446D" w:rsidRPr="0009446D">
              <w:rPr>
                <w:rFonts w:ascii="Times New Roman" w:hAnsi="Times New Roman" w:cs="Times New Roman"/>
                <w:noProof/>
                <w:webHidden/>
                <w:sz w:val="24"/>
                <w:szCs w:val="24"/>
              </w:rPr>
              <w:instrText xml:space="preserve"> PAGEREF _Toc237108106 \h </w:instrText>
            </w:r>
            <w:r w:rsidR="0009446D" w:rsidRPr="0009446D">
              <w:rPr>
                <w:rFonts w:ascii="Times New Roman" w:hAnsi="Times New Roman" w:cs="Times New Roman"/>
                <w:noProof/>
                <w:webHidden/>
                <w:sz w:val="24"/>
                <w:szCs w:val="24"/>
              </w:rPr>
            </w:r>
            <w:r w:rsidR="0009446D" w:rsidRPr="0009446D">
              <w:rPr>
                <w:rFonts w:ascii="Times New Roman" w:hAnsi="Times New Roman" w:cs="Times New Roman"/>
                <w:noProof/>
                <w:webHidden/>
                <w:sz w:val="24"/>
                <w:szCs w:val="24"/>
              </w:rPr>
              <w:fldChar w:fldCharType="separate"/>
            </w:r>
            <w:r w:rsidR="0009446D" w:rsidRPr="0009446D">
              <w:rPr>
                <w:rFonts w:ascii="Times New Roman" w:hAnsi="Times New Roman" w:cs="Times New Roman"/>
                <w:noProof/>
                <w:webHidden/>
                <w:sz w:val="24"/>
                <w:szCs w:val="24"/>
              </w:rPr>
              <w:t>4</w:t>
            </w:r>
            <w:r w:rsidR="0009446D" w:rsidRPr="0009446D">
              <w:rPr>
                <w:rFonts w:ascii="Times New Roman" w:hAnsi="Times New Roman" w:cs="Times New Roman"/>
                <w:noProof/>
                <w:webHidden/>
                <w:sz w:val="24"/>
                <w:szCs w:val="24"/>
              </w:rPr>
              <w:fldChar w:fldCharType="end"/>
            </w:r>
          </w:hyperlink>
        </w:p>
        <w:p w14:paraId="2A16FA8F"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07" w:history="1">
            <w:r w:rsidRPr="0009446D">
              <w:rPr>
                <w:rStyle w:val="Hyperlink"/>
                <w:rFonts w:ascii="Times New Roman" w:hAnsi="Times New Roman" w:cs="Times New Roman"/>
                <w:noProof/>
                <w:sz w:val="24"/>
                <w:szCs w:val="24"/>
                <w:lang w:val="en-GB"/>
              </w:rPr>
              <w:t>1.1 Digital and Security Context</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_Toc237108107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4</w:t>
            </w:r>
            <w:r w:rsidRPr="0009446D">
              <w:rPr>
                <w:rFonts w:ascii="Times New Roman" w:hAnsi="Times New Roman" w:cs="Times New Roman"/>
                <w:noProof/>
                <w:webHidden/>
                <w:sz w:val="24"/>
                <w:szCs w:val="24"/>
              </w:rPr>
              <w:fldChar w:fldCharType="end"/>
            </w:r>
          </w:hyperlink>
        </w:p>
        <w:p w14:paraId="4E96FA3E"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08" w:history="1">
            <w:r w:rsidRPr="0009446D">
              <w:rPr>
                <w:rStyle w:val="Hyperlink"/>
                <w:rFonts w:ascii="Times New Roman" w:hAnsi="Times New Roman" w:cs="Times New Roman"/>
                <w:noProof/>
                <w:sz w:val="24"/>
                <w:szCs w:val="24"/>
                <w:lang w:val="en-GB"/>
              </w:rPr>
              <w:t>1.2 Organisational Security Problem</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_Toc237108108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5</w:t>
            </w:r>
            <w:r w:rsidRPr="0009446D">
              <w:rPr>
                <w:rFonts w:ascii="Times New Roman" w:hAnsi="Times New Roman" w:cs="Times New Roman"/>
                <w:noProof/>
                <w:webHidden/>
                <w:sz w:val="24"/>
                <w:szCs w:val="24"/>
              </w:rPr>
              <w:fldChar w:fldCharType="end"/>
            </w:r>
          </w:hyperlink>
        </w:p>
        <w:p w14:paraId="110B0281"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09" w:history="1">
            <w:r w:rsidRPr="0009446D">
              <w:rPr>
                <w:rStyle w:val="Hyperlink"/>
                <w:rFonts w:ascii="Times New Roman" w:hAnsi="Times New Roman" w:cs="Times New Roman"/>
                <w:noProof/>
                <w:sz w:val="24"/>
                <w:szCs w:val="24"/>
                <w:lang w:val="en-GB"/>
              </w:rPr>
              <w:t>1.3 Aim and Report Direction</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_Toc237108109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5</w:t>
            </w:r>
            <w:r w:rsidRPr="0009446D">
              <w:rPr>
                <w:rFonts w:ascii="Times New Roman" w:hAnsi="Times New Roman" w:cs="Times New Roman"/>
                <w:noProof/>
                <w:webHidden/>
                <w:sz w:val="24"/>
                <w:szCs w:val="24"/>
              </w:rPr>
              <w:fldChar w:fldCharType="end"/>
            </w:r>
          </w:hyperlink>
        </w:p>
        <w:p w14:paraId="6E6BCA81" w14:textId="77777777" w:rsidR="0009446D" w:rsidRPr="0009446D" w:rsidRDefault="0009446D" w:rsidP="0009446D">
          <w:pPr>
            <w:pStyle w:val="TOC1"/>
            <w:tabs>
              <w:tab w:val="right" w:leader="dot" w:pos="9019"/>
            </w:tabs>
            <w:spacing w:after="0" w:line="240" w:lineRule="auto"/>
            <w:jc w:val="both"/>
            <w:rPr>
              <w:rFonts w:ascii="Times New Roman" w:eastAsiaTheme="minorEastAsia" w:hAnsi="Times New Roman" w:cs="Times New Roman"/>
              <w:noProof/>
              <w:sz w:val="24"/>
              <w:szCs w:val="24"/>
            </w:rPr>
          </w:pPr>
          <w:hyperlink w:anchor="_Toc237108110" w:history="1">
            <w:r w:rsidRPr="0009446D">
              <w:rPr>
                <w:rStyle w:val="Hyperlink"/>
                <w:rFonts w:ascii="Times New Roman" w:hAnsi="Times New Roman" w:cs="Times New Roman"/>
                <w:noProof/>
                <w:sz w:val="24"/>
                <w:szCs w:val="24"/>
                <w:lang w:val="en-GB"/>
              </w:rPr>
              <w:t>2. AeroLink Logistics: Organisational and Security Assessment</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_Toc237108110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5</w:t>
            </w:r>
            <w:r w:rsidRPr="0009446D">
              <w:rPr>
                <w:rFonts w:ascii="Times New Roman" w:hAnsi="Times New Roman" w:cs="Times New Roman"/>
                <w:noProof/>
                <w:webHidden/>
                <w:sz w:val="24"/>
                <w:szCs w:val="24"/>
              </w:rPr>
              <w:fldChar w:fldCharType="end"/>
            </w:r>
          </w:hyperlink>
        </w:p>
        <w:p w14:paraId="3844A72E"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11" w:history="1">
            <w:r w:rsidRPr="0009446D">
              <w:rPr>
                <w:rStyle w:val="Hyperlink"/>
                <w:rFonts w:ascii="Times New Roman" w:hAnsi="Times New Roman" w:cs="Times New Roman"/>
                <w:noProof/>
                <w:sz w:val="24"/>
                <w:szCs w:val="24"/>
                <w:lang w:val="en-GB"/>
              </w:rPr>
              <w:t xml:space="preserve">2.1 Operational and </w:t>
            </w:r>
            <w:r w:rsidRPr="0009446D">
              <w:rPr>
                <w:rStyle w:val="Hyperlink"/>
                <w:rFonts w:ascii="Times New Roman" w:hAnsi="Times New Roman" w:cs="Times New Roman"/>
                <w:noProof/>
                <w:sz w:val="24"/>
                <w:szCs w:val="24"/>
              </w:rPr>
              <w:t>Technology</w:t>
            </w:r>
            <w:r w:rsidRPr="0009446D">
              <w:rPr>
                <w:rStyle w:val="Hyperlink"/>
                <w:rFonts w:ascii="Times New Roman" w:hAnsi="Times New Roman" w:cs="Times New Roman"/>
                <w:noProof/>
                <w:sz w:val="24"/>
                <w:szCs w:val="24"/>
                <w:lang w:val="en-GB"/>
              </w:rPr>
              <w:t xml:space="preserve"> Profile</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_Toc237108111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5</w:t>
            </w:r>
            <w:r w:rsidRPr="0009446D">
              <w:rPr>
                <w:rFonts w:ascii="Times New Roman" w:hAnsi="Times New Roman" w:cs="Times New Roman"/>
                <w:noProof/>
                <w:webHidden/>
                <w:sz w:val="24"/>
                <w:szCs w:val="24"/>
              </w:rPr>
              <w:fldChar w:fldCharType="end"/>
            </w:r>
          </w:hyperlink>
        </w:p>
        <w:p w14:paraId="3CCE7457"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12" w:history="1">
            <w:r w:rsidRPr="0009446D">
              <w:rPr>
                <w:rStyle w:val="Hyperlink"/>
                <w:rFonts w:ascii="Times New Roman" w:eastAsia="Times New Roman" w:hAnsi="Times New Roman" w:cs="Times New Roman"/>
                <w:bCs/>
                <w:noProof/>
                <w:sz w:val="24"/>
                <w:szCs w:val="24"/>
                <w:lang w:val="en-GB"/>
              </w:rPr>
              <w:t>2.2 Evaluation of Existing Security Exposure</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_Toc237108112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6</w:t>
            </w:r>
            <w:r w:rsidRPr="0009446D">
              <w:rPr>
                <w:rFonts w:ascii="Times New Roman" w:hAnsi="Times New Roman" w:cs="Times New Roman"/>
                <w:noProof/>
                <w:webHidden/>
                <w:sz w:val="24"/>
                <w:szCs w:val="24"/>
              </w:rPr>
              <w:fldChar w:fldCharType="end"/>
            </w:r>
          </w:hyperlink>
        </w:p>
        <w:p w14:paraId="57520545"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13" w:history="1">
            <w:r w:rsidRPr="0009446D">
              <w:rPr>
                <w:rStyle w:val="Hyperlink"/>
                <w:rFonts w:ascii="Times New Roman" w:hAnsi="Times New Roman" w:cs="Times New Roman"/>
                <w:noProof/>
                <w:sz w:val="24"/>
                <w:szCs w:val="24"/>
                <w:lang w:val="en-GB"/>
              </w:rPr>
              <w:t xml:space="preserve">2.3 Case </w:t>
            </w:r>
            <w:r w:rsidRPr="0009446D">
              <w:rPr>
                <w:rStyle w:val="Hyperlink"/>
                <w:rFonts w:ascii="Times New Roman" w:hAnsi="Times New Roman" w:cs="Times New Roman"/>
                <w:noProof/>
                <w:sz w:val="24"/>
                <w:szCs w:val="24"/>
              </w:rPr>
              <w:t>Assumptions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_Toc237108113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7</w:t>
            </w:r>
            <w:r w:rsidRPr="0009446D">
              <w:rPr>
                <w:rFonts w:ascii="Times New Roman" w:hAnsi="Times New Roman" w:cs="Times New Roman"/>
                <w:noProof/>
                <w:webHidden/>
                <w:sz w:val="24"/>
                <w:szCs w:val="24"/>
              </w:rPr>
              <w:fldChar w:fldCharType="end"/>
            </w:r>
          </w:hyperlink>
        </w:p>
        <w:p w14:paraId="00A115D7" w14:textId="77777777" w:rsidR="0009446D" w:rsidRPr="0009446D" w:rsidRDefault="0009446D" w:rsidP="0009446D">
          <w:pPr>
            <w:pStyle w:val="TOC1"/>
            <w:tabs>
              <w:tab w:val="right" w:leader="dot" w:pos="9019"/>
            </w:tabs>
            <w:spacing w:after="0" w:line="240" w:lineRule="auto"/>
            <w:jc w:val="both"/>
            <w:rPr>
              <w:rFonts w:ascii="Times New Roman" w:eastAsiaTheme="minorEastAsia" w:hAnsi="Times New Roman" w:cs="Times New Roman"/>
              <w:noProof/>
              <w:sz w:val="24"/>
              <w:szCs w:val="24"/>
            </w:rPr>
          </w:pPr>
          <w:hyperlink w:anchor="_Toc237108114" w:history="1">
            <w:r w:rsidRPr="0009446D">
              <w:rPr>
                <w:rStyle w:val="Hyperlink"/>
                <w:rFonts w:ascii="Times New Roman" w:hAnsi="Times New Roman" w:cs="Times New Roman"/>
                <w:noProof/>
                <w:sz w:val="24"/>
                <w:szCs w:val="24"/>
                <w:lang w:val="en-GB"/>
              </w:rPr>
              <w:t>3. Critical Review of Information Security Frameworks and Models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_Toc237108114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8</w:t>
            </w:r>
            <w:r w:rsidRPr="0009446D">
              <w:rPr>
                <w:rFonts w:ascii="Times New Roman" w:hAnsi="Times New Roman" w:cs="Times New Roman"/>
                <w:noProof/>
                <w:webHidden/>
                <w:sz w:val="24"/>
                <w:szCs w:val="24"/>
              </w:rPr>
              <w:fldChar w:fldCharType="end"/>
            </w:r>
          </w:hyperlink>
        </w:p>
        <w:p w14:paraId="3ECF908E"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15" w:history="1">
            <w:r w:rsidRPr="0009446D">
              <w:rPr>
                <w:rStyle w:val="Hyperlink"/>
                <w:rFonts w:ascii="Times New Roman" w:hAnsi="Times New Roman" w:cs="Times New Roman"/>
                <w:noProof/>
                <w:sz w:val="24"/>
                <w:szCs w:val="24"/>
                <w:lang w:val="en-GB"/>
              </w:rPr>
              <w:t xml:space="preserve">3.1 Security Governance and GRC </w:t>
            </w:r>
            <w:r w:rsidRPr="0009446D">
              <w:rPr>
                <w:rStyle w:val="Hyperlink"/>
                <w:rFonts w:ascii="Times New Roman" w:hAnsi="Times New Roman" w:cs="Times New Roman"/>
                <w:noProof/>
                <w:sz w:val="24"/>
                <w:szCs w:val="24"/>
              </w:rPr>
              <w:t>Foundations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_Toc237108115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8</w:t>
            </w:r>
            <w:r w:rsidRPr="0009446D">
              <w:rPr>
                <w:rFonts w:ascii="Times New Roman" w:hAnsi="Times New Roman" w:cs="Times New Roman"/>
                <w:noProof/>
                <w:webHidden/>
                <w:sz w:val="24"/>
                <w:szCs w:val="24"/>
              </w:rPr>
              <w:fldChar w:fldCharType="end"/>
            </w:r>
          </w:hyperlink>
        </w:p>
        <w:p w14:paraId="3BE95AF3"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16" w:history="1">
            <w:r w:rsidRPr="0009446D">
              <w:rPr>
                <w:rStyle w:val="Hyperlink"/>
                <w:rFonts w:ascii="Times New Roman" w:hAnsi="Times New Roman" w:cs="Times New Roman"/>
                <w:noProof/>
                <w:sz w:val="24"/>
                <w:szCs w:val="24"/>
                <w:lang w:val="en-GB"/>
              </w:rPr>
              <w:t xml:space="preserve">3.2 NIST </w:t>
            </w:r>
            <w:r w:rsidRPr="0009446D">
              <w:rPr>
                <w:rStyle w:val="Hyperlink"/>
                <w:rFonts w:ascii="Times New Roman" w:hAnsi="Times New Roman" w:cs="Times New Roman"/>
                <w:noProof/>
                <w:sz w:val="24"/>
                <w:szCs w:val="24"/>
              </w:rPr>
              <w:t>Cybersecurity</w:t>
            </w:r>
            <w:r w:rsidRPr="0009446D">
              <w:rPr>
                <w:rStyle w:val="Hyperlink"/>
                <w:rFonts w:ascii="Times New Roman" w:hAnsi="Times New Roman" w:cs="Times New Roman"/>
                <w:noProof/>
                <w:sz w:val="24"/>
                <w:szCs w:val="24"/>
                <w:lang w:val="en-GB"/>
              </w:rPr>
              <w:t xml:space="preserve"> Framework 2.0</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_Toc237108116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9</w:t>
            </w:r>
            <w:r w:rsidRPr="0009446D">
              <w:rPr>
                <w:rFonts w:ascii="Times New Roman" w:hAnsi="Times New Roman" w:cs="Times New Roman"/>
                <w:noProof/>
                <w:webHidden/>
                <w:sz w:val="24"/>
                <w:szCs w:val="24"/>
              </w:rPr>
              <w:fldChar w:fldCharType="end"/>
            </w:r>
          </w:hyperlink>
        </w:p>
        <w:p w14:paraId="0252E689"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17" w:history="1">
            <w:r w:rsidRPr="0009446D">
              <w:rPr>
                <w:rStyle w:val="Hyperlink"/>
                <w:rFonts w:ascii="Times New Roman" w:hAnsi="Times New Roman" w:cs="Times New Roman"/>
                <w:noProof/>
                <w:sz w:val="24"/>
                <w:szCs w:val="24"/>
                <w:lang w:val="en-GB"/>
              </w:rPr>
              <w:t>3.3 ISO/IEC 27001 and ISO/IEC 27002</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_Toc237108117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10</w:t>
            </w:r>
            <w:r w:rsidRPr="0009446D">
              <w:rPr>
                <w:rFonts w:ascii="Times New Roman" w:hAnsi="Times New Roman" w:cs="Times New Roman"/>
                <w:noProof/>
                <w:webHidden/>
                <w:sz w:val="24"/>
                <w:szCs w:val="24"/>
              </w:rPr>
              <w:fldChar w:fldCharType="end"/>
            </w:r>
          </w:hyperlink>
        </w:p>
        <w:p w14:paraId="4162C978"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18" w:history="1">
            <w:r w:rsidRPr="0009446D">
              <w:rPr>
                <w:rStyle w:val="Hyperlink"/>
                <w:rFonts w:ascii="Times New Roman" w:hAnsi="Times New Roman" w:cs="Times New Roman"/>
                <w:noProof/>
                <w:sz w:val="24"/>
                <w:szCs w:val="24"/>
                <w:lang w:val="en-GB"/>
              </w:rPr>
              <w:t>3.4 COBIT 2019</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_Toc237108118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11</w:t>
            </w:r>
            <w:r w:rsidRPr="0009446D">
              <w:rPr>
                <w:rFonts w:ascii="Times New Roman" w:hAnsi="Times New Roman" w:cs="Times New Roman"/>
                <w:noProof/>
                <w:webHidden/>
                <w:sz w:val="24"/>
                <w:szCs w:val="24"/>
              </w:rPr>
              <w:fldChar w:fldCharType="end"/>
            </w:r>
          </w:hyperlink>
        </w:p>
        <w:p w14:paraId="05D7E72D"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19" w:history="1">
            <w:r w:rsidRPr="0009446D">
              <w:rPr>
                <w:rStyle w:val="Hyperlink"/>
                <w:rFonts w:ascii="Times New Roman" w:hAnsi="Times New Roman" w:cs="Times New Roman"/>
                <w:noProof/>
                <w:sz w:val="24"/>
                <w:szCs w:val="24"/>
                <w:lang w:val="en-GB"/>
              </w:rPr>
              <w:t xml:space="preserve">3.5 </w:t>
            </w:r>
            <w:r w:rsidRPr="0009446D">
              <w:rPr>
                <w:rStyle w:val="Hyperlink"/>
                <w:rFonts w:ascii="Times New Roman" w:hAnsi="Times New Roman" w:cs="Times New Roman"/>
                <w:noProof/>
                <w:sz w:val="24"/>
                <w:szCs w:val="24"/>
              </w:rPr>
              <w:t>ITIL</w:t>
            </w:r>
            <w:r w:rsidRPr="0009446D">
              <w:rPr>
                <w:rStyle w:val="Hyperlink"/>
                <w:rFonts w:ascii="Times New Roman" w:hAnsi="Times New Roman" w:cs="Times New Roman"/>
                <w:noProof/>
                <w:sz w:val="24"/>
                <w:szCs w:val="24"/>
                <w:lang w:val="en-GB"/>
              </w:rPr>
              <w:t xml:space="preserve"> 4</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_Toc237108119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12</w:t>
            </w:r>
            <w:r w:rsidRPr="0009446D">
              <w:rPr>
                <w:rFonts w:ascii="Times New Roman" w:hAnsi="Times New Roman" w:cs="Times New Roman"/>
                <w:noProof/>
                <w:webHidden/>
                <w:sz w:val="24"/>
                <w:szCs w:val="24"/>
              </w:rPr>
              <w:fldChar w:fldCharType="end"/>
            </w:r>
          </w:hyperlink>
        </w:p>
        <w:p w14:paraId="46CC6703"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0" w:history="1">
            <w:r w:rsidRPr="0009446D">
              <w:rPr>
                <w:rStyle w:val="Hyperlink"/>
                <w:rFonts w:ascii="Times New Roman" w:hAnsi="Times New Roman" w:cs="Times New Roman"/>
                <w:noProof/>
                <w:sz w:val="24"/>
                <w:szCs w:val="24"/>
                <w:lang w:val="en-GB"/>
              </w:rPr>
              <w:t xml:space="preserve">3.6 Zero Trust </w:t>
            </w:r>
            <w:r w:rsidRPr="0009446D">
              <w:rPr>
                <w:rStyle w:val="Hyperlink"/>
                <w:rFonts w:ascii="Times New Roman" w:hAnsi="Times New Roman" w:cs="Times New Roman"/>
                <w:noProof/>
                <w:sz w:val="24"/>
                <w:szCs w:val="24"/>
              </w:rPr>
              <w:t>Security</w:t>
            </w:r>
            <w:r w:rsidRPr="0009446D">
              <w:rPr>
                <w:rStyle w:val="Hyperlink"/>
                <w:rFonts w:ascii="Times New Roman" w:hAnsi="Times New Roman" w:cs="Times New Roman"/>
                <w:noProof/>
                <w:sz w:val="24"/>
                <w:szCs w:val="24"/>
                <w:lang w:val="en-GB"/>
              </w:rPr>
              <w:t xml:space="preserve"> Model</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_Toc237108120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13</w:t>
            </w:r>
            <w:r w:rsidRPr="0009446D">
              <w:rPr>
                <w:rFonts w:ascii="Times New Roman" w:hAnsi="Times New Roman" w:cs="Times New Roman"/>
                <w:noProof/>
                <w:webHidden/>
                <w:sz w:val="24"/>
                <w:szCs w:val="24"/>
              </w:rPr>
              <w:fldChar w:fldCharType="end"/>
            </w:r>
          </w:hyperlink>
        </w:p>
        <w:p w14:paraId="2A98CABD"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1" w:history="1">
            <w:r w:rsidRPr="0009446D">
              <w:rPr>
                <w:rStyle w:val="Hyperlink"/>
                <w:rFonts w:ascii="Times New Roman" w:hAnsi="Times New Roman" w:cs="Times New Roman"/>
                <w:noProof/>
                <w:sz w:val="24"/>
                <w:szCs w:val="24"/>
                <w:lang w:val="en-GB"/>
              </w:rPr>
              <w:t xml:space="preserve">3.7 Comparative </w:t>
            </w:r>
            <w:r w:rsidRPr="0009446D">
              <w:rPr>
                <w:rStyle w:val="Hyperlink"/>
                <w:rFonts w:ascii="Times New Roman" w:hAnsi="Times New Roman" w:cs="Times New Roman"/>
                <w:noProof/>
                <w:sz w:val="24"/>
                <w:szCs w:val="24"/>
              </w:rPr>
              <w:t>Evaluation</w:t>
            </w:r>
            <w:r w:rsidRPr="0009446D">
              <w:rPr>
                <w:rStyle w:val="Hyperlink"/>
                <w:rFonts w:ascii="Times New Roman" w:hAnsi="Times New Roman" w:cs="Times New Roman"/>
                <w:noProof/>
                <w:sz w:val="24"/>
                <w:szCs w:val="24"/>
                <w:lang w:val="en-GB"/>
              </w:rPr>
              <w:t xml:space="preserve"> and Selection</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_Toc237108121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14</w:t>
            </w:r>
            <w:r w:rsidRPr="0009446D">
              <w:rPr>
                <w:rFonts w:ascii="Times New Roman" w:hAnsi="Times New Roman" w:cs="Times New Roman"/>
                <w:noProof/>
                <w:webHidden/>
                <w:sz w:val="24"/>
                <w:szCs w:val="24"/>
              </w:rPr>
              <w:fldChar w:fldCharType="end"/>
            </w:r>
          </w:hyperlink>
        </w:p>
        <w:p w14:paraId="42A676AC" w14:textId="77777777" w:rsidR="0009446D" w:rsidRPr="0009446D" w:rsidRDefault="0009446D" w:rsidP="0009446D">
          <w:pPr>
            <w:pStyle w:val="TOC1"/>
            <w:tabs>
              <w:tab w:val="right" w:leader="dot" w:pos="9019"/>
            </w:tabs>
            <w:spacing w:after="0" w:line="240" w:lineRule="auto"/>
            <w:jc w:val="both"/>
            <w:rPr>
              <w:rFonts w:ascii="Times New Roman" w:eastAsiaTheme="minorEastAsia" w:hAnsi="Times New Roman" w:cs="Times New Roman"/>
              <w:noProof/>
              <w:sz w:val="24"/>
              <w:szCs w:val="24"/>
            </w:rPr>
          </w:pPr>
          <w:hyperlink w:anchor="_Toc237108122" w:history="1">
            <w:r w:rsidRPr="0009446D">
              <w:rPr>
                <w:rStyle w:val="Hyperlink"/>
                <w:rFonts w:ascii="Times New Roman" w:hAnsi="Times New Roman" w:cs="Times New Roman"/>
                <w:noProof/>
                <w:sz w:val="24"/>
                <w:szCs w:val="24"/>
                <w:lang w:val="en-GB"/>
              </w:rPr>
              <w:t xml:space="preserve">4. Proposed Integrated Security </w:t>
            </w:r>
            <w:r w:rsidRPr="0009446D">
              <w:rPr>
                <w:rStyle w:val="Hyperlink"/>
                <w:rFonts w:ascii="Times New Roman" w:hAnsi="Times New Roman" w:cs="Times New Roman"/>
                <w:noProof/>
                <w:sz w:val="24"/>
                <w:szCs w:val="24"/>
              </w:rPr>
              <w:t>Governance</w:t>
            </w:r>
            <w:r w:rsidRPr="0009446D">
              <w:rPr>
                <w:rStyle w:val="Hyperlink"/>
                <w:rFonts w:ascii="Times New Roman" w:hAnsi="Times New Roman" w:cs="Times New Roman"/>
                <w:noProof/>
                <w:sz w:val="24"/>
                <w:szCs w:val="24"/>
                <w:lang w:val="en-GB"/>
              </w:rPr>
              <w:t xml:space="preserve"> and Compliance Model for ALL</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_Toc237108122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15</w:t>
            </w:r>
            <w:r w:rsidRPr="0009446D">
              <w:rPr>
                <w:rFonts w:ascii="Times New Roman" w:hAnsi="Times New Roman" w:cs="Times New Roman"/>
                <w:noProof/>
                <w:webHidden/>
                <w:sz w:val="24"/>
                <w:szCs w:val="24"/>
              </w:rPr>
              <w:fldChar w:fldCharType="end"/>
            </w:r>
          </w:hyperlink>
        </w:p>
        <w:p w14:paraId="07237F4D"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3" w:history="1">
            <w:r w:rsidRPr="0009446D">
              <w:rPr>
                <w:rStyle w:val="Hyperlink"/>
                <w:rFonts w:ascii="Times New Roman" w:hAnsi="Times New Roman" w:cs="Times New Roman"/>
                <w:noProof/>
                <w:sz w:val="24"/>
                <w:szCs w:val="24"/>
                <w:lang w:val="en-GB"/>
              </w:rPr>
              <w:t>4.1 Design Rationale and Strategic Principles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_Toc237108123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15</w:t>
            </w:r>
            <w:r w:rsidRPr="0009446D">
              <w:rPr>
                <w:rFonts w:ascii="Times New Roman" w:hAnsi="Times New Roman" w:cs="Times New Roman"/>
                <w:noProof/>
                <w:webHidden/>
                <w:sz w:val="24"/>
                <w:szCs w:val="24"/>
              </w:rPr>
              <w:fldChar w:fldCharType="end"/>
            </w:r>
          </w:hyperlink>
        </w:p>
        <w:p w14:paraId="77D76624"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4" w:history="1">
            <w:r w:rsidRPr="0009446D">
              <w:rPr>
                <w:rStyle w:val="Hyperlink"/>
                <w:rFonts w:ascii="Times New Roman" w:hAnsi="Times New Roman" w:cs="Times New Roman"/>
                <w:noProof/>
                <w:sz w:val="24"/>
                <w:szCs w:val="24"/>
                <w:lang w:val="en-GB"/>
              </w:rPr>
              <w:t xml:space="preserve">4.2 Integrated Security </w:t>
            </w:r>
            <w:r w:rsidRPr="0009446D">
              <w:rPr>
                <w:rStyle w:val="Hyperlink"/>
                <w:rFonts w:ascii="Times New Roman" w:hAnsi="Times New Roman" w:cs="Times New Roman"/>
                <w:noProof/>
                <w:sz w:val="24"/>
                <w:szCs w:val="24"/>
              </w:rPr>
              <w:t>Governance</w:t>
            </w:r>
            <w:r w:rsidRPr="0009446D">
              <w:rPr>
                <w:rStyle w:val="Hyperlink"/>
                <w:rFonts w:ascii="Times New Roman" w:hAnsi="Times New Roman" w:cs="Times New Roman"/>
                <w:noProof/>
                <w:sz w:val="24"/>
                <w:szCs w:val="24"/>
                <w:lang w:val="en-GB"/>
              </w:rPr>
              <w:t xml:space="preserve"> Model</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_Toc237108124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15</w:t>
            </w:r>
            <w:r w:rsidRPr="0009446D">
              <w:rPr>
                <w:rFonts w:ascii="Times New Roman" w:hAnsi="Times New Roman" w:cs="Times New Roman"/>
                <w:noProof/>
                <w:webHidden/>
                <w:sz w:val="24"/>
                <w:szCs w:val="24"/>
              </w:rPr>
              <w:fldChar w:fldCharType="end"/>
            </w:r>
          </w:hyperlink>
        </w:p>
        <w:p w14:paraId="1D76639F"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5" w:history="1">
            <w:r w:rsidRPr="0009446D">
              <w:rPr>
                <w:rStyle w:val="Hyperlink"/>
                <w:rFonts w:ascii="Times New Roman" w:eastAsia="Times New Roman" w:hAnsi="Times New Roman" w:cs="Times New Roman"/>
                <w:bCs/>
                <w:noProof/>
                <w:sz w:val="24"/>
                <w:szCs w:val="24"/>
                <w:lang w:val="en-GB"/>
              </w:rPr>
              <w:t>4.3 Accountability and Governan</w:t>
            </w:r>
            <w:r w:rsidRPr="0009446D">
              <w:rPr>
                <w:rStyle w:val="Hyperlink"/>
                <w:rFonts w:ascii="Times New Roman" w:hAnsi="Times New Roman" w:cs="Times New Roman"/>
                <w:noProof/>
                <w:sz w:val="24"/>
                <w:szCs w:val="24"/>
                <w:lang w:val="en-GB"/>
              </w:rPr>
              <w:t>c</w:t>
            </w:r>
            <w:r w:rsidRPr="0009446D">
              <w:rPr>
                <w:rStyle w:val="Hyperlink"/>
                <w:rFonts w:ascii="Times New Roman" w:eastAsia="Times New Roman" w:hAnsi="Times New Roman" w:cs="Times New Roman"/>
                <w:bCs/>
                <w:noProof/>
                <w:sz w:val="24"/>
                <w:szCs w:val="24"/>
                <w:lang w:val="en-GB"/>
              </w:rPr>
              <w:t>e Arrangement</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_Toc237108125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16</w:t>
            </w:r>
            <w:r w:rsidRPr="0009446D">
              <w:rPr>
                <w:rFonts w:ascii="Times New Roman" w:hAnsi="Times New Roman" w:cs="Times New Roman"/>
                <w:noProof/>
                <w:webHidden/>
                <w:sz w:val="24"/>
                <w:szCs w:val="24"/>
              </w:rPr>
              <w:fldChar w:fldCharType="end"/>
            </w:r>
          </w:hyperlink>
        </w:p>
        <w:p w14:paraId="61D89E01"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6" w:history="1">
            <w:r w:rsidRPr="0009446D">
              <w:rPr>
                <w:rStyle w:val="Hyperlink"/>
                <w:rFonts w:ascii="Times New Roman" w:hAnsi="Times New Roman" w:cs="Times New Roman"/>
                <w:noProof/>
                <w:sz w:val="24"/>
                <w:szCs w:val="24"/>
                <w:lang w:val="en-GB"/>
              </w:rPr>
              <w:t xml:space="preserve">4.4 Risk Identification, </w:t>
            </w:r>
            <w:r w:rsidRPr="0009446D">
              <w:rPr>
                <w:rStyle w:val="Hyperlink"/>
                <w:rFonts w:ascii="Times New Roman" w:hAnsi="Times New Roman" w:cs="Times New Roman"/>
                <w:noProof/>
                <w:sz w:val="24"/>
                <w:szCs w:val="24"/>
              </w:rPr>
              <w:t>Treatment</w:t>
            </w:r>
            <w:r w:rsidRPr="0009446D">
              <w:rPr>
                <w:rStyle w:val="Hyperlink"/>
                <w:rFonts w:ascii="Times New Roman" w:hAnsi="Times New Roman" w:cs="Times New Roman"/>
                <w:noProof/>
                <w:sz w:val="24"/>
                <w:szCs w:val="24"/>
                <w:lang w:val="en-GB"/>
              </w:rPr>
              <w:t xml:space="preserve"> and Monitoring</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_Toc237108126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17</w:t>
            </w:r>
            <w:r w:rsidRPr="0009446D">
              <w:rPr>
                <w:rFonts w:ascii="Times New Roman" w:hAnsi="Times New Roman" w:cs="Times New Roman"/>
                <w:noProof/>
                <w:webHidden/>
                <w:sz w:val="24"/>
                <w:szCs w:val="24"/>
              </w:rPr>
              <w:fldChar w:fldCharType="end"/>
            </w:r>
          </w:hyperlink>
        </w:p>
        <w:p w14:paraId="4E3284FF"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7" w:history="1">
            <w:r w:rsidRPr="0009446D">
              <w:rPr>
                <w:rStyle w:val="Hyperlink"/>
                <w:rFonts w:ascii="Times New Roman" w:hAnsi="Times New Roman" w:cs="Times New Roman"/>
                <w:noProof/>
                <w:sz w:val="24"/>
                <w:szCs w:val="24"/>
                <w:lang w:val="en-GB"/>
              </w:rPr>
              <w:t xml:space="preserve">4.5 Compliance, Legal </w:t>
            </w:r>
            <w:r w:rsidRPr="0009446D">
              <w:rPr>
                <w:rStyle w:val="Hyperlink"/>
                <w:rFonts w:ascii="Times New Roman" w:hAnsi="Times New Roman" w:cs="Times New Roman"/>
                <w:noProof/>
                <w:sz w:val="24"/>
                <w:szCs w:val="24"/>
              </w:rPr>
              <w:t>and</w:t>
            </w:r>
            <w:r w:rsidRPr="0009446D">
              <w:rPr>
                <w:rStyle w:val="Hyperlink"/>
                <w:rFonts w:ascii="Times New Roman" w:hAnsi="Times New Roman" w:cs="Times New Roman"/>
                <w:noProof/>
                <w:sz w:val="24"/>
                <w:szCs w:val="24"/>
                <w:lang w:val="en-GB"/>
              </w:rPr>
              <w:t xml:space="preserve"> Ethical Considerations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_Toc237108127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17</w:t>
            </w:r>
            <w:r w:rsidRPr="0009446D">
              <w:rPr>
                <w:rFonts w:ascii="Times New Roman" w:hAnsi="Times New Roman" w:cs="Times New Roman"/>
                <w:noProof/>
                <w:webHidden/>
                <w:sz w:val="24"/>
                <w:szCs w:val="24"/>
              </w:rPr>
              <w:fldChar w:fldCharType="end"/>
            </w:r>
          </w:hyperlink>
        </w:p>
        <w:p w14:paraId="0325156A"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8" w:history="1">
            <w:r w:rsidRPr="0009446D">
              <w:rPr>
                <w:rStyle w:val="Hyperlink"/>
                <w:rFonts w:ascii="Times New Roman" w:hAnsi="Times New Roman" w:cs="Times New Roman"/>
                <w:noProof/>
                <w:sz w:val="24"/>
                <w:szCs w:val="24"/>
                <w:lang w:val="en-GB"/>
              </w:rPr>
              <w:t xml:space="preserve">4.6 Vendor </w:t>
            </w:r>
            <w:r w:rsidRPr="0009446D">
              <w:rPr>
                <w:rStyle w:val="Hyperlink"/>
                <w:rFonts w:ascii="Times New Roman" w:hAnsi="Times New Roman" w:cs="Times New Roman"/>
                <w:noProof/>
                <w:sz w:val="24"/>
                <w:szCs w:val="24"/>
              </w:rPr>
              <w:t>Security</w:t>
            </w:r>
            <w:r w:rsidRPr="0009446D">
              <w:rPr>
                <w:rStyle w:val="Hyperlink"/>
                <w:rFonts w:ascii="Times New Roman" w:hAnsi="Times New Roman" w:cs="Times New Roman"/>
                <w:noProof/>
                <w:sz w:val="24"/>
                <w:szCs w:val="24"/>
                <w:lang w:val="en-GB"/>
              </w:rPr>
              <w:t xml:space="preserve"> Management</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_Toc237108128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18</w:t>
            </w:r>
            <w:r w:rsidRPr="0009446D">
              <w:rPr>
                <w:rFonts w:ascii="Times New Roman" w:hAnsi="Times New Roman" w:cs="Times New Roman"/>
                <w:noProof/>
                <w:webHidden/>
                <w:sz w:val="24"/>
                <w:szCs w:val="24"/>
              </w:rPr>
              <w:fldChar w:fldCharType="end"/>
            </w:r>
          </w:hyperlink>
        </w:p>
        <w:p w14:paraId="40B330C4"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29" w:history="1">
            <w:r w:rsidRPr="0009446D">
              <w:rPr>
                <w:rStyle w:val="Hyperlink"/>
                <w:rFonts w:ascii="Times New Roman" w:hAnsi="Times New Roman" w:cs="Times New Roman"/>
                <w:noProof/>
                <w:sz w:val="24"/>
                <w:szCs w:val="24"/>
                <w:lang w:val="en-GB"/>
              </w:rPr>
              <w:t xml:space="preserve">4.7 Resilience, Continuity and </w:t>
            </w:r>
            <w:r w:rsidRPr="0009446D">
              <w:rPr>
                <w:rStyle w:val="Hyperlink"/>
                <w:rFonts w:ascii="Times New Roman" w:hAnsi="Times New Roman" w:cs="Times New Roman"/>
                <w:noProof/>
                <w:sz w:val="24"/>
                <w:szCs w:val="24"/>
              </w:rPr>
              <w:t>Incident</w:t>
            </w:r>
            <w:r w:rsidRPr="0009446D">
              <w:rPr>
                <w:rStyle w:val="Hyperlink"/>
                <w:rFonts w:ascii="Times New Roman" w:hAnsi="Times New Roman" w:cs="Times New Roman"/>
                <w:noProof/>
                <w:sz w:val="24"/>
                <w:szCs w:val="24"/>
                <w:lang w:val="en-GB"/>
              </w:rPr>
              <w:t xml:space="preserve"> Handling</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_Toc237108129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18</w:t>
            </w:r>
            <w:r w:rsidRPr="0009446D">
              <w:rPr>
                <w:rFonts w:ascii="Times New Roman" w:hAnsi="Times New Roman" w:cs="Times New Roman"/>
                <w:noProof/>
                <w:webHidden/>
                <w:sz w:val="24"/>
                <w:szCs w:val="24"/>
              </w:rPr>
              <w:fldChar w:fldCharType="end"/>
            </w:r>
          </w:hyperlink>
        </w:p>
        <w:p w14:paraId="35629DF5"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30" w:history="1">
            <w:r w:rsidRPr="0009446D">
              <w:rPr>
                <w:rStyle w:val="Hyperlink"/>
                <w:rFonts w:ascii="Times New Roman" w:hAnsi="Times New Roman" w:cs="Times New Roman"/>
                <w:noProof/>
                <w:sz w:val="24"/>
                <w:szCs w:val="24"/>
                <w:lang w:val="en-GB"/>
              </w:rPr>
              <w:t xml:space="preserve">4.8 Business Continuity and </w:t>
            </w:r>
            <w:r w:rsidRPr="0009446D">
              <w:rPr>
                <w:rStyle w:val="Hyperlink"/>
                <w:rFonts w:ascii="Times New Roman" w:hAnsi="Times New Roman" w:cs="Times New Roman"/>
                <w:noProof/>
                <w:sz w:val="24"/>
                <w:szCs w:val="24"/>
              </w:rPr>
              <w:t>Disaster</w:t>
            </w:r>
            <w:r w:rsidRPr="0009446D">
              <w:rPr>
                <w:rStyle w:val="Hyperlink"/>
                <w:rFonts w:ascii="Times New Roman" w:hAnsi="Times New Roman" w:cs="Times New Roman"/>
                <w:noProof/>
                <w:sz w:val="24"/>
                <w:szCs w:val="24"/>
                <w:lang w:val="en-GB"/>
              </w:rPr>
              <w:t xml:space="preserve"> Recovery</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_Toc237108130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19</w:t>
            </w:r>
            <w:r w:rsidRPr="0009446D">
              <w:rPr>
                <w:rFonts w:ascii="Times New Roman" w:hAnsi="Times New Roman" w:cs="Times New Roman"/>
                <w:noProof/>
                <w:webHidden/>
                <w:sz w:val="24"/>
                <w:szCs w:val="24"/>
              </w:rPr>
              <w:fldChar w:fldCharType="end"/>
            </w:r>
          </w:hyperlink>
        </w:p>
        <w:p w14:paraId="235286D0" w14:textId="77777777" w:rsidR="0009446D" w:rsidRPr="0009446D" w:rsidRDefault="0009446D" w:rsidP="0009446D">
          <w:pPr>
            <w:pStyle w:val="TOC1"/>
            <w:tabs>
              <w:tab w:val="right" w:leader="dot" w:pos="9019"/>
            </w:tabs>
            <w:spacing w:after="0" w:line="240" w:lineRule="auto"/>
            <w:jc w:val="both"/>
            <w:rPr>
              <w:rFonts w:ascii="Times New Roman" w:eastAsiaTheme="minorEastAsia" w:hAnsi="Times New Roman" w:cs="Times New Roman"/>
              <w:noProof/>
              <w:sz w:val="24"/>
              <w:szCs w:val="24"/>
            </w:rPr>
          </w:pPr>
          <w:hyperlink w:anchor="_Toc237108131" w:history="1">
            <w:r w:rsidRPr="0009446D">
              <w:rPr>
                <w:rStyle w:val="Hyperlink"/>
                <w:rFonts w:ascii="Times New Roman" w:hAnsi="Times New Roman" w:cs="Times New Roman"/>
                <w:noProof/>
                <w:sz w:val="24"/>
                <w:szCs w:val="24"/>
                <w:lang w:val="en-GB"/>
              </w:rPr>
              <w:t xml:space="preserve">5. </w:t>
            </w:r>
            <w:r w:rsidRPr="0009446D">
              <w:rPr>
                <w:rStyle w:val="Hyperlink"/>
                <w:rFonts w:ascii="Times New Roman" w:hAnsi="Times New Roman" w:cs="Times New Roman"/>
                <w:noProof/>
                <w:sz w:val="24"/>
                <w:szCs w:val="24"/>
              </w:rPr>
              <w:t>Critical</w:t>
            </w:r>
            <w:r w:rsidRPr="0009446D">
              <w:rPr>
                <w:rStyle w:val="Hyperlink"/>
                <w:rFonts w:ascii="Times New Roman" w:hAnsi="Times New Roman" w:cs="Times New Roman"/>
                <w:noProof/>
                <w:sz w:val="24"/>
                <w:szCs w:val="24"/>
                <w:lang w:val="en-GB"/>
              </w:rPr>
              <w:t xml:space="preserve"> Evaluation: Why Security Standards and Regulations Must Evolve.</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_Toc237108131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19</w:t>
            </w:r>
            <w:r w:rsidRPr="0009446D">
              <w:rPr>
                <w:rFonts w:ascii="Times New Roman" w:hAnsi="Times New Roman" w:cs="Times New Roman"/>
                <w:noProof/>
                <w:webHidden/>
                <w:sz w:val="24"/>
                <w:szCs w:val="24"/>
              </w:rPr>
              <w:fldChar w:fldCharType="end"/>
            </w:r>
          </w:hyperlink>
        </w:p>
        <w:p w14:paraId="300AA5FE" w14:textId="77777777" w:rsidR="0009446D" w:rsidRPr="0009446D" w:rsidRDefault="0009446D" w:rsidP="0009446D">
          <w:pPr>
            <w:pStyle w:val="TOC1"/>
            <w:tabs>
              <w:tab w:val="right" w:leader="dot" w:pos="9019"/>
            </w:tabs>
            <w:spacing w:after="0" w:line="240" w:lineRule="auto"/>
            <w:jc w:val="both"/>
            <w:rPr>
              <w:rFonts w:ascii="Times New Roman" w:eastAsiaTheme="minorEastAsia" w:hAnsi="Times New Roman" w:cs="Times New Roman"/>
              <w:noProof/>
              <w:sz w:val="24"/>
              <w:szCs w:val="24"/>
            </w:rPr>
          </w:pPr>
          <w:hyperlink w:anchor="_Toc237108132" w:history="1">
            <w:r w:rsidRPr="0009446D">
              <w:rPr>
                <w:rStyle w:val="Hyperlink"/>
                <w:rFonts w:ascii="Times New Roman" w:hAnsi="Times New Roman" w:cs="Times New Roman"/>
                <w:noProof/>
                <w:sz w:val="24"/>
                <w:szCs w:val="24"/>
                <w:lang w:val="en-GB"/>
              </w:rPr>
              <w:t>6. Conclusion and Strategic Recommendations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_Toc237108132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21</w:t>
            </w:r>
            <w:r w:rsidRPr="0009446D">
              <w:rPr>
                <w:rFonts w:ascii="Times New Roman" w:hAnsi="Times New Roman" w:cs="Times New Roman"/>
                <w:noProof/>
                <w:webHidden/>
                <w:sz w:val="24"/>
                <w:szCs w:val="24"/>
              </w:rPr>
              <w:fldChar w:fldCharType="end"/>
            </w:r>
          </w:hyperlink>
        </w:p>
        <w:p w14:paraId="238EBF3E"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33" w:history="1">
            <w:r w:rsidRPr="0009446D">
              <w:rPr>
                <w:rStyle w:val="Hyperlink"/>
                <w:rFonts w:ascii="Times New Roman" w:hAnsi="Times New Roman" w:cs="Times New Roman"/>
                <w:noProof/>
                <w:sz w:val="24"/>
                <w:szCs w:val="24"/>
                <w:lang w:val="en-GB"/>
              </w:rPr>
              <w:t>6.1 Conclusion</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_Toc237108133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21</w:t>
            </w:r>
            <w:r w:rsidRPr="0009446D">
              <w:rPr>
                <w:rFonts w:ascii="Times New Roman" w:hAnsi="Times New Roman" w:cs="Times New Roman"/>
                <w:noProof/>
                <w:webHidden/>
                <w:sz w:val="24"/>
                <w:szCs w:val="24"/>
              </w:rPr>
              <w:fldChar w:fldCharType="end"/>
            </w:r>
          </w:hyperlink>
        </w:p>
        <w:p w14:paraId="364B6951"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34" w:history="1">
            <w:r w:rsidRPr="0009446D">
              <w:rPr>
                <w:rStyle w:val="Hyperlink"/>
                <w:rFonts w:ascii="Times New Roman" w:hAnsi="Times New Roman" w:cs="Times New Roman"/>
                <w:noProof/>
                <w:sz w:val="24"/>
                <w:szCs w:val="24"/>
                <w:lang w:val="en-GB"/>
              </w:rPr>
              <w:t>6.2 Strategic Recommendations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_Toc237108134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21</w:t>
            </w:r>
            <w:r w:rsidRPr="0009446D">
              <w:rPr>
                <w:rFonts w:ascii="Times New Roman" w:hAnsi="Times New Roman" w:cs="Times New Roman"/>
                <w:noProof/>
                <w:webHidden/>
                <w:sz w:val="24"/>
                <w:szCs w:val="24"/>
              </w:rPr>
              <w:fldChar w:fldCharType="end"/>
            </w:r>
          </w:hyperlink>
        </w:p>
        <w:p w14:paraId="06142052" w14:textId="77777777" w:rsidR="0009446D" w:rsidRPr="0009446D" w:rsidRDefault="0009446D" w:rsidP="0009446D">
          <w:pPr>
            <w:pStyle w:val="TOC1"/>
            <w:tabs>
              <w:tab w:val="right" w:leader="dot" w:pos="9019"/>
            </w:tabs>
            <w:spacing w:after="0" w:line="240" w:lineRule="auto"/>
            <w:jc w:val="both"/>
            <w:rPr>
              <w:rFonts w:ascii="Times New Roman" w:eastAsiaTheme="minorEastAsia" w:hAnsi="Times New Roman" w:cs="Times New Roman"/>
              <w:noProof/>
              <w:sz w:val="24"/>
              <w:szCs w:val="24"/>
            </w:rPr>
          </w:pPr>
          <w:hyperlink w:anchor="_Toc237108135" w:history="1">
            <w:r w:rsidRPr="0009446D">
              <w:rPr>
                <w:rStyle w:val="Hyperlink"/>
                <w:rFonts w:ascii="Times New Roman" w:hAnsi="Times New Roman" w:cs="Times New Roman"/>
                <w:noProof/>
                <w:sz w:val="24"/>
                <w:szCs w:val="24"/>
                <w:lang w:val="en-GB"/>
              </w:rPr>
              <w:t>References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_Toc237108135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23</w:t>
            </w:r>
            <w:r w:rsidRPr="0009446D">
              <w:rPr>
                <w:rFonts w:ascii="Times New Roman" w:hAnsi="Times New Roman" w:cs="Times New Roman"/>
                <w:noProof/>
                <w:webHidden/>
                <w:sz w:val="24"/>
                <w:szCs w:val="24"/>
              </w:rPr>
              <w:fldChar w:fldCharType="end"/>
            </w:r>
          </w:hyperlink>
        </w:p>
        <w:p w14:paraId="4D289FBD" w14:textId="77777777" w:rsidR="0009446D" w:rsidRPr="0009446D" w:rsidRDefault="0009446D" w:rsidP="0009446D">
          <w:pPr>
            <w:pStyle w:val="TOC1"/>
            <w:tabs>
              <w:tab w:val="right" w:leader="dot" w:pos="9019"/>
            </w:tabs>
            <w:spacing w:after="0" w:line="240" w:lineRule="auto"/>
            <w:jc w:val="both"/>
            <w:rPr>
              <w:rFonts w:ascii="Times New Roman" w:eastAsiaTheme="minorEastAsia" w:hAnsi="Times New Roman" w:cs="Times New Roman"/>
              <w:noProof/>
              <w:sz w:val="24"/>
              <w:szCs w:val="24"/>
            </w:rPr>
          </w:pPr>
          <w:hyperlink w:anchor="_Toc237108136" w:history="1">
            <w:r w:rsidRPr="0009446D">
              <w:rPr>
                <w:rStyle w:val="Hyperlink"/>
                <w:rFonts w:ascii="Times New Roman" w:hAnsi="Times New Roman" w:cs="Times New Roman"/>
                <w:noProof/>
                <w:sz w:val="24"/>
                <w:szCs w:val="24"/>
              </w:rPr>
              <w:t>Appendices</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_Toc237108136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30</w:t>
            </w:r>
            <w:r w:rsidRPr="0009446D">
              <w:rPr>
                <w:rFonts w:ascii="Times New Roman" w:hAnsi="Times New Roman" w:cs="Times New Roman"/>
                <w:noProof/>
                <w:webHidden/>
                <w:sz w:val="24"/>
                <w:szCs w:val="24"/>
              </w:rPr>
              <w:fldChar w:fldCharType="end"/>
            </w:r>
          </w:hyperlink>
        </w:p>
        <w:p w14:paraId="2A84E71C"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37" w:history="1">
            <w:r w:rsidRPr="0009446D">
              <w:rPr>
                <w:rStyle w:val="Hyperlink"/>
                <w:rFonts w:ascii="Times New Roman" w:hAnsi="Times New Roman" w:cs="Times New Roman"/>
                <w:noProof/>
                <w:sz w:val="24"/>
                <w:szCs w:val="24"/>
              </w:rPr>
              <w:t>Appendix 1: RACI Matrix</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_Toc237108137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30</w:t>
            </w:r>
            <w:r w:rsidRPr="0009446D">
              <w:rPr>
                <w:rFonts w:ascii="Times New Roman" w:hAnsi="Times New Roman" w:cs="Times New Roman"/>
                <w:noProof/>
                <w:webHidden/>
                <w:sz w:val="24"/>
                <w:szCs w:val="24"/>
              </w:rPr>
              <w:fldChar w:fldCharType="end"/>
            </w:r>
          </w:hyperlink>
        </w:p>
        <w:p w14:paraId="47A2E1A8"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38" w:history="1">
            <w:r w:rsidRPr="0009446D">
              <w:rPr>
                <w:rStyle w:val="Hyperlink"/>
                <w:rFonts w:ascii="Times New Roman" w:hAnsi="Times New Roman" w:cs="Times New Roman"/>
                <w:noProof/>
                <w:sz w:val="24"/>
                <w:szCs w:val="24"/>
              </w:rPr>
              <w:t>Appendix 2: ALL Cybersecurity Risk Register</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_Toc237108138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32</w:t>
            </w:r>
            <w:r w:rsidRPr="0009446D">
              <w:rPr>
                <w:rFonts w:ascii="Times New Roman" w:hAnsi="Times New Roman" w:cs="Times New Roman"/>
                <w:noProof/>
                <w:webHidden/>
                <w:sz w:val="24"/>
                <w:szCs w:val="24"/>
              </w:rPr>
              <w:fldChar w:fldCharType="end"/>
            </w:r>
          </w:hyperlink>
        </w:p>
        <w:p w14:paraId="4EB7C49E" w14:textId="77777777" w:rsidR="0009446D" w:rsidRPr="0009446D" w:rsidRDefault="0009446D" w:rsidP="0009446D">
          <w:pPr>
            <w:pStyle w:val="TOC2"/>
            <w:tabs>
              <w:tab w:val="right" w:leader="dot" w:pos="9019"/>
            </w:tabs>
            <w:spacing w:after="0" w:line="240" w:lineRule="auto"/>
            <w:jc w:val="both"/>
            <w:rPr>
              <w:rFonts w:ascii="Times New Roman" w:eastAsiaTheme="minorEastAsia" w:hAnsi="Times New Roman" w:cs="Times New Roman"/>
              <w:noProof/>
              <w:sz w:val="24"/>
              <w:szCs w:val="24"/>
            </w:rPr>
          </w:pPr>
          <w:hyperlink w:anchor="_Toc237108139" w:history="1">
            <w:r w:rsidRPr="0009446D">
              <w:rPr>
                <w:rStyle w:val="Hyperlink"/>
                <w:rFonts w:ascii="Times New Roman" w:hAnsi="Times New Roman" w:cs="Times New Roman"/>
                <w:noProof/>
                <w:sz w:val="24"/>
                <w:szCs w:val="24"/>
              </w:rPr>
              <w:t>Appendix 3: Strategic Recommendations Implementation Gantt Chart</w:t>
            </w:r>
            <w:r w:rsidRPr="0009446D">
              <w:rPr>
                <w:rFonts w:ascii="Times New Roman" w:hAnsi="Times New Roman" w:cs="Times New Roman"/>
                <w:noProof/>
                <w:webHidden/>
                <w:sz w:val="24"/>
                <w:szCs w:val="24"/>
              </w:rPr>
              <w:tab/>
            </w:r>
            <w:r w:rsidRPr="0009446D">
              <w:rPr>
                <w:rFonts w:ascii="Times New Roman" w:hAnsi="Times New Roman" w:cs="Times New Roman"/>
                <w:noProof/>
                <w:webHidden/>
                <w:sz w:val="24"/>
                <w:szCs w:val="24"/>
              </w:rPr>
              <w:fldChar w:fldCharType="begin"/>
            </w:r>
            <w:r w:rsidRPr="0009446D">
              <w:rPr>
                <w:rFonts w:ascii="Times New Roman" w:hAnsi="Times New Roman" w:cs="Times New Roman"/>
                <w:noProof/>
                <w:webHidden/>
                <w:sz w:val="24"/>
                <w:szCs w:val="24"/>
              </w:rPr>
              <w:instrText xml:space="preserve"> PAGEREF _Toc237108139 \h </w:instrText>
            </w:r>
            <w:r w:rsidRPr="0009446D">
              <w:rPr>
                <w:rFonts w:ascii="Times New Roman" w:hAnsi="Times New Roman" w:cs="Times New Roman"/>
                <w:noProof/>
                <w:webHidden/>
                <w:sz w:val="24"/>
                <w:szCs w:val="24"/>
              </w:rPr>
            </w:r>
            <w:r w:rsidRPr="0009446D">
              <w:rPr>
                <w:rFonts w:ascii="Times New Roman" w:hAnsi="Times New Roman" w:cs="Times New Roman"/>
                <w:noProof/>
                <w:webHidden/>
                <w:sz w:val="24"/>
                <w:szCs w:val="24"/>
              </w:rPr>
              <w:fldChar w:fldCharType="separate"/>
            </w:r>
            <w:r w:rsidRPr="0009446D">
              <w:rPr>
                <w:rFonts w:ascii="Times New Roman" w:hAnsi="Times New Roman" w:cs="Times New Roman"/>
                <w:noProof/>
                <w:webHidden/>
                <w:sz w:val="24"/>
                <w:szCs w:val="24"/>
              </w:rPr>
              <w:t>33</w:t>
            </w:r>
            <w:r w:rsidRPr="0009446D">
              <w:rPr>
                <w:rFonts w:ascii="Times New Roman" w:hAnsi="Times New Roman" w:cs="Times New Roman"/>
                <w:noProof/>
                <w:webHidden/>
                <w:sz w:val="24"/>
                <w:szCs w:val="24"/>
              </w:rPr>
              <w:fldChar w:fldCharType="end"/>
            </w:r>
          </w:hyperlink>
        </w:p>
        <w:p w14:paraId="7AFED263" w14:textId="77777777" w:rsidR="00C733A5" w:rsidRDefault="00C733A5" w:rsidP="0009446D">
          <w:pPr>
            <w:spacing w:line="240" w:lineRule="auto"/>
            <w:jc w:val="both"/>
          </w:pPr>
          <w:r w:rsidRPr="0009446D">
            <w:rPr>
              <w:rFonts w:ascii="Times New Roman" w:hAnsi="Times New Roman" w:cs="Times New Roman"/>
              <w:b/>
              <w:bCs/>
              <w:noProof/>
              <w:sz w:val="24"/>
              <w:szCs w:val="24"/>
            </w:rPr>
            <w:fldChar w:fldCharType="end"/>
          </w:r>
        </w:p>
      </w:sdtContent>
    </w:sdt>
    <w:p w14:paraId="1CDA1CDF" w14:textId="77777777" w:rsidR="00237D24" w:rsidRPr="00DF7D4C" w:rsidRDefault="00237D24">
      <w:pPr>
        <w:spacing w:after="200" w:line="360" w:lineRule="auto"/>
        <w:jc w:val="both"/>
        <w:rPr>
          <w:rFonts w:ascii="Times New Roman" w:eastAsia="Times New Roman" w:hAnsi="Times New Roman" w:cs="Times New Roman"/>
          <w:sz w:val="24"/>
          <w:szCs w:val="24"/>
          <w:lang w:val="en-GB"/>
        </w:rPr>
      </w:pPr>
    </w:p>
    <w:p w14:paraId="7692690E" w14:textId="77777777" w:rsidR="0009446D" w:rsidRDefault="0009446D">
      <w:pPr>
        <w:rPr>
          <w:rFonts w:ascii="Times New Roman" w:hAnsi="Times New Roman"/>
          <w:b/>
          <w:sz w:val="28"/>
          <w:szCs w:val="40"/>
          <w:lang w:val="en-GB"/>
        </w:rPr>
      </w:pPr>
      <w:bookmarkStart w:id="0" w:name="_Toc237108106"/>
      <w:r>
        <w:rPr>
          <w:lang w:val="en-GB"/>
        </w:rPr>
        <w:br w:type="page"/>
      </w:r>
    </w:p>
    <w:p w14:paraId="69D53A51" w14:textId="77777777" w:rsidR="00237D24" w:rsidRPr="00DF7D4C" w:rsidRDefault="00AF5F20" w:rsidP="003262FB">
      <w:pPr>
        <w:pStyle w:val="Heading1"/>
        <w:rPr>
          <w:lang w:val="en-GB"/>
        </w:rPr>
      </w:pPr>
      <w:r w:rsidRPr="00DF7D4C">
        <w:rPr>
          <w:lang w:val="en-GB"/>
        </w:rPr>
        <w:lastRenderedPageBreak/>
        <w:t>1</w:t>
      </w:r>
      <w:r w:rsidR="0009446D">
        <w:rPr>
          <w:lang w:val="en-GB"/>
        </w:rPr>
        <w:t>.</w:t>
      </w:r>
      <w:r w:rsidRPr="00DF7D4C">
        <w:rPr>
          <w:lang w:val="en-GB"/>
        </w:rPr>
        <w:t xml:space="preserve"> Introduction</w:t>
      </w:r>
      <w:bookmarkEnd w:id="0"/>
      <w:r w:rsidRPr="00DF7D4C">
        <w:rPr>
          <w:lang w:val="en-GB"/>
        </w:rPr>
        <w:t xml:space="preserve"> </w:t>
      </w:r>
    </w:p>
    <w:p w14:paraId="342B158F" w14:textId="77777777" w:rsidR="00237D24" w:rsidRPr="00DF7D4C" w:rsidRDefault="00AF5F20" w:rsidP="003262FB">
      <w:pPr>
        <w:pStyle w:val="Heading2"/>
        <w:rPr>
          <w:lang w:val="en-GB"/>
        </w:rPr>
      </w:pPr>
      <w:bookmarkStart w:id="1" w:name="_khu775tssrtn" w:colFirst="0" w:colLast="0"/>
      <w:bookmarkStart w:id="2" w:name="_Toc237108107"/>
      <w:bookmarkEnd w:id="1"/>
      <w:r w:rsidRPr="00DF7D4C">
        <w:rPr>
          <w:lang w:val="en-GB"/>
        </w:rPr>
        <w:t>1.1 Digital and Security Context</w:t>
      </w:r>
      <w:bookmarkEnd w:id="2"/>
      <w:r w:rsidRPr="00DF7D4C">
        <w:rPr>
          <w:lang w:val="en-GB"/>
        </w:rPr>
        <w:t xml:space="preserve"> </w:t>
      </w:r>
    </w:p>
    <w:p w14:paraId="73E6EA82"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Rapid adoption of cloud computing, artificial intelligence (AI), Internet of Things (IoT) and remote working has expanded the organisational attack surfaces and thus maximised the reliance on i</w:t>
      </w:r>
      <w:r w:rsidR="00374D5E">
        <w:rPr>
          <w:rFonts w:ascii="Times New Roman" w:eastAsia="Times New Roman" w:hAnsi="Times New Roman" w:cs="Times New Roman"/>
          <w:sz w:val="24"/>
          <w:szCs w:val="24"/>
          <w:lang w:val="en-GB"/>
        </w:rPr>
        <w:t>nterconnected digital services [1]</w:t>
      </w:r>
      <w:r w:rsidRPr="00DF7D4C">
        <w:rPr>
          <w:rFonts w:ascii="Times New Roman" w:eastAsia="Times New Roman" w:hAnsi="Times New Roman" w:cs="Times New Roman"/>
          <w:sz w:val="24"/>
          <w:szCs w:val="24"/>
          <w:lang w:val="en-GB"/>
        </w:rPr>
        <w:t xml:space="preserve">. UK government data showcases that </w:t>
      </w:r>
      <w:r w:rsidR="0009446D">
        <w:rPr>
          <w:rFonts w:ascii="Times New Roman" w:eastAsia="Times New Roman" w:hAnsi="Times New Roman" w:cs="Times New Roman"/>
          <w:sz w:val="24"/>
          <w:szCs w:val="24"/>
          <w:lang w:val="en-GB"/>
        </w:rPr>
        <w:t>approximately</w:t>
      </w:r>
      <w:r w:rsidR="000B0884">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43% of businesses</w:t>
      </w:r>
      <w:r w:rsidR="000B0884">
        <w:rPr>
          <w:rFonts w:ascii="Times New Roman" w:eastAsia="Times New Roman" w:hAnsi="Times New Roman" w:cs="Times New Roman"/>
          <w:sz w:val="24"/>
          <w:szCs w:val="24"/>
          <w:lang w:val="en-GB"/>
        </w:rPr>
        <w:t xml:space="preserve"> within the country has</w:t>
      </w:r>
      <w:r w:rsidRPr="00DF7D4C">
        <w:rPr>
          <w:rFonts w:ascii="Times New Roman" w:eastAsia="Times New Roman" w:hAnsi="Times New Roman" w:cs="Times New Roman"/>
          <w:sz w:val="24"/>
          <w:szCs w:val="24"/>
          <w:lang w:val="en-GB"/>
        </w:rPr>
        <w:t xml:space="preserve"> experienced a </w:t>
      </w:r>
      <w:r w:rsidR="003262FB" w:rsidRPr="00DF7D4C">
        <w:rPr>
          <w:rFonts w:ascii="Times New Roman" w:eastAsia="Times New Roman" w:hAnsi="Times New Roman" w:cs="Times New Roman"/>
          <w:sz w:val="24"/>
          <w:szCs w:val="24"/>
          <w:lang w:val="en-GB"/>
        </w:rPr>
        <w:t>cyber-breach</w:t>
      </w:r>
      <w:r w:rsidR="000B0884">
        <w:rPr>
          <w:rFonts w:ascii="Times New Roman" w:eastAsia="Times New Roman" w:hAnsi="Times New Roman" w:cs="Times New Roman"/>
          <w:sz w:val="24"/>
          <w:szCs w:val="24"/>
          <w:lang w:val="en-GB"/>
        </w:rPr>
        <w:t xml:space="preserve"> or attack in the FY</w:t>
      </w:r>
      <w:r w:rsidRPr="00DF7D4C">
        <w:rPr>
          <w:rFonts w:ascii="Times New Roman" w:eastAsia="Times New Roman" w:hAnsi="Times New Roman" w:cs="Times New Roman"/>
          <w:sz w:val="24"/>
          <w:szCs w:val="24"/>
          <w:lang w:val="en-GB"/>
        </w:rPr>
        <w:t xml:space="preserve"> 2025/2026, which showcases th</w:t>
      </w:r>
      <w:r w:rsidR="000B0884">
        <w:rPr>
          <w:rFonts w:ascii="Times New Roman" w:eastAsia="Times New Roman" w:hAnsi="Times New Roman" w:cs="Times New Roman"/>
          <w:sz w:val="24"/>
          <w:szCs w:val="24"/>
          <w:lang w:val="en-GB"/>
        </w:rPr>
        <w:t xml:space="preserve">e continuing exposure created through </w:t>
      </w:r>
      <w:proofErr w:type="gramStart"/>
      <w:r w:rsidR="000B0884">
        <w:rPr>
          <w:rFonts w:ascii="Times New Roman" w:eastAsia="Times New Roman" w:hAnsi="Times New Roman" w:cs="Times New Roman"/>
          <w:sz w:val="24"/>
          <w:szCs w:val="24"/>
          <w:lang w:val="en-GB"/>
        </w:rPr>
        <w:t xml:space="preserve">the </w:t>
      </w:r>
      <w:r w:rsidRPr="00DF7D4C">
        <w:rPr>
          <w:rFonts w:ascii="Times New Roman" w:eastAsia="Times New Roman" w:hAnsi="Times New Roman" w:cs="Times New Roman"/>
          <w:sz w:val="24"/>
          <w:szCs w:val="24"/>
          <w:lang w:val="en-GB"/>
        </w:rPr>
        <w:t xml:space="preserve"> digital</w:t>
      </w:r>
      <w:proofErr w:type="gramEnd"/>
      <w:r w:rsidRPr="00DF7D4C">
        <w:rPr>
          <w:rFonts w:ascii="Times New Roman" w:eastAsia="Times New Roman" w:hAnsi="Times New Roman" w:cs="Times New Roman"/>
          <w:sz w:val="24"/>
          <w:szCs w:val="24"/>
          <w:lang w:val="en-GB"/>
        </w:rPr>
        <w:t xml:space="preserve"> information </w:t>
      </w:r>
      <w:r w:rsidR="00374D5E">
        <w:rPr>
          <w:rFonts w:ascii="Times New Roman" w:eastAsia="Times New Roman" w:hAnsi="Times New Roman" w:cs="Times New Roman"/>
          <w:sz w:val="24"/>
          <w:szCs w:val="24"/>
          <w:lang w:val="en-GB"/>
        </w:rPr>
        <w:t>[2]</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As a result, strong security governance is pivotal for effectively managing the evolving risks.</w:t>
      </w:r>
    </w:p>
    <w:p w14:paraId="7CBF7C14"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drawing>
          <wp:inline distT="114300" distB="114300" distL="114300" distR="114300" wp14:anchorId="6694AA62" wp14:editId="7059698F">
            <wp:extent cx="4933950" cy="4505325"/>
            <wp:effectExtent l="76200" t="76200" r="133350" b="14287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933950" cy="4505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07F909" w14:textId="77777777" w:rsidR="00237D24" w:rsidRPr="00DF7D4C" w:rsidRDefault="00AF5F20" w:rsidP="003262FB">
      <w:pPr>
        <w:pStyle w:val="Heading4"/>
        <w:rPr>
          <w:lang w:val="en-GB"/>
        </w:rPr>
      </w:pPr>
      <w:r w:rsidRPr="00DF7D4C">
        <w:rPr>
          <w:lang w:val="en-GB"/>
        </w:rPr>
        <w:t>Figure 1: Statistics of cybersecurity breaches</w:t>
      </w:r>
    </w:p>
    <w:p w14:paraId="21E9AC28" w14:textId="77777777" w:rsidR="00237D24" w:rsidRPr="00DF7D4C" w:rsidRDefault="00AF5F20" w:rsidP="00374D5E">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w:t>
      </w:r>
      <w:proofErr w:type="gramStart"/>
      <w:r w:rsidRPr="00DF7D4C">
        <w:rPr>
          <w:rFonts w:ascii="Times New Roman" w:eastAsia="Times New Roman" w:hAnsi="Times New Roman" w:cs="Times New Roman"/>
          <w:sz w:val="24"/>
          <w:szCs w:val="24"/>
          <w:lang w:val="en-GB"/>
        </w:rPr>
        <w:t xml:space="preserve">:  </w:t>
      </w:r>
      <w:r w:rsidR="00374D5E">
        <w:rPr>
          <w:rFonts w:ascii="Times New Roman" w:eastAsia="Times New Roman" w:hAnsi="Times New Roman" w:cs="Times New Roman"/>
          <w:sz w:val="24"/>
          <w:szCs w:val="24"/>
          <w:lang w:val="en-GB"/>
        </w:rPr>
        <w:t>[</w:t>
      </w:r>
      <w:proofErr w:type="gramEnd"/>
      <w:r w:rsidR="00374D5E">
        <w:rPr>
          <w:rFonts w:ascii="Times New Roman" w:eastAsia="Times New Roman" w:hAnsi="Times New Roman" w:cs="Times New Roman"/>
          <w:sz w:val="24"/>
          <w:szCs w:val="24"/>
          <w:lang w:val="en-GB"/>
        </w:rPr>
        <w:t>2])</w:t>
      </w:r>
    </w:p>
    <w:p w14:paraId="1C7E44DD" w14:textId="77777777" w:rsidR="00237D24" w:rsidRPr="00DF7D4C" w:rsidRDefault="00AF5F20" w:rsidP="003262FB">
      <w:pPr>
        <w:pStyle w:val="Heading2"/>
        <w:rPr>
          <w:lang w:val="en-GB"/>
        </w:rPr>
      </w:pPr>
      <w:bookmarkStart w:id="3" w:name="_pmcgbet9fguo" w:colFirst="0" w:colLast="0"/>
      <w:bookmarkStart w:id="4" w:name="_Toc237108108"/>
      <w:bookmarkEnd w:id="3"/>
      <w:r w:rsidRPr="00DF7D4C">
        <w:rPr>
          <w:lang w:val="en-GB"/>
        </w:rPr>
        <w:lastRenderedPageBreak/>
        <w:t>1.2 Organisational Security Problem</w:t>
      </w:r>
      <w:bookmarkEnd w:id="4"/>
      <w:r w:rsidRPr="00DF7D4C">
        <w:rPr>
          <w:lang w:val="en-GB"/>
        </w:rPr>
        <w:t xml:space="preserve"> </w:t>
      </w:r>
    </w:p>
    <w:p w14:paraId="33248CF5"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proofErr w:type="spellStart"/>
      <w:r w:rsidRPr="00DF7D4C">
        <w:rPr>
          <w:rFonts w:ascii="Times New Roman" w:eastAsia="Times New Roman" w:hAnsi="Times New Roman" w:cs="Times New Roman"/>
          <w:sz w:val="24"/>
          <w:szCs w:val="24"/>
          <w:lang w:val="en-GB"/>
        </w:rPr>
        <w:t>Aerolink</w:t>
      </w:r>
      <w:proofErr w:type="spellEnd"/>
      <w:r w:rsidRPr="00DF7D4C">
        <w:rPr>
          <w:rFonts w:ascii="Times New Roman" w:eastAsia="Times New Roman" w:hAnsi="Times New Roman" w:cs="Times New Roman"/>
          <w:sz w:val="24"/>
          <w:szCs w:val="24"/>
          <w:lang w:val="en-GB"/>
        </w:rPr>
        <w:t xml:space="preserve"> Logistics (ALL) is a multinational supply chain and logistics organisation operating within an increasingly technology-dependent environment. However, its current security position is affected through aspects like data breaches, fragmented governance, unclear security responsibilities, third-party dependency, inadequate compliance oversight, and finally the weakness across security as well as continuity arrangements </w:t>
      </w:r>
      <w:r w:rsidR="00374D5E">
        <w:rPr>
          <w:rFonts w:ascii="Times New Roman" w:eastAsia="Times New Roman" w:hAnsi="Times New Roman" w:cs="Times New Roman"/>
          <w:sz w:val="24"/>
          <w:szCs w:val="24"/>
          <w:lang w:val="en-GB"/>
        </w:rPr>
        <w:t>[3]</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These issues create notable information security risks along with operational threats, which emphasise the drastic need for a coordinated governance approach. </w:t>
      </w:r>
    </w:p>
    <w:p w14:paraId="1C404F19" w14:textId="77777777" w:rsidR="00237D24" w:rsidRPr="00DF7D4C" w:rsidRDefault="00AF5F20" w:rsidP="003262FB">
      <w:pPr>
        <w:pStyle w:val="Heading2"/>
        <w:rPr>
          <w:lang w:val="en-GB"/>
        </w:rPr>
      </w:pPr>
      <w:bookmarkStart w:id="5" w:name="_ltm0asy7tkzd" w:colFirst="0" w:colLast="0"/>
      <w:bookmarkStart w:id="6" w:name="_Toc237108109"/>
      <w:bookmarkEnd w:id="5"/>
      <w:r w:rsidRPr="00DF7D4C">
        <w:rPr>
          <w:lang w:val="en-GB"/>
        </w:rPr>
        <w:t>1.3 Aim and Report Direction</w:t>
      </w:r>
      <w:bookmarkEnd w:id="6"/>
      <w:r w:rsidRPr="00DF7D4C">
        <w:rPr>
          <w:lang w:val="en-GB"/>
        </w:rPr>
        <w:t xml:space="preserve"> </w:t>
      </w:r>
    </w:p>
    <w:p w14:paraId="6A273F7B"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This report aims to critically analyse the established information security frameworks and develop an integrated governance approach which will address security, risk, adherence and adaptability as well. It first examines the organisational context along with security challenges, then it investigates the relevant frameworks, proposes a tailored governance model and critically discusses the continual regulatory as well as standards updates before presenting the recommendations and conclusions. </w:t>
      </w:r>
    </w:p>
    <w:p w14:paraId="7EBB43DF" w14:textId="77777777" w:rsidR="00237D24" w:rsidRPr="00DF7D4C" w:rsidRDefault="00AF5F20" w:rsidP="003262FB">
      <w:pPr>
        <w:pStyle w:val="Heading1"/>
        <w:rPr>
          <w:lang w:val="en-GB"/>
        </w:rPr>
      </w:pPr>
      <w:bookmarkStart w:id="7" w:name="_5shstsqhxvuk" w:colFirst="0" w:colLast="0"/>
      <w:bookmarkStart w:id="8" w:name="_Toc237108110"/>
      <w:bookmarkEnd w:id="7"/>
      <w:r w:rsidRPr="00DF7D4C">
        <w:rPr>
          <w:lang w:val="en-GB"/>
        </w:rPr>
        <w:t xml:space="preserve">2. </w:t>
      </w:r>
      <w:proofErr w:type="spellStart"/>
      <w:r w:rsidRPr="00DF7D4C">
        <w:rPr>
          <w:lang w:val="en-GB"/>
        </w:rPr>
        <w:t>AeroLink</w:t>
      </w:r>
      <w:proofErr w:type="spellEnd"/>
      <w:r w:rsidRPr="00DF7D4C">
        <w:rPr>
          <w:lang w:val="en-GB"/>
        </w:rPr>
        <w:t xml:space="preserve"> Logistics: Organisational and Security Assessment</w:t>
      </w:r>
      <w:bookmarkEnd w:id="8"/>
      <w:r w:rsidRPr="00DF7D4C">
        <w:rPr>
          <w:lang w:val="en-GB"/>
        </w:rPr>
        <w:t xml:space="preserve"> </w:t>
      </w:r>
    </w:p>
    <w:p w14:paraId="7127BB51" w14:textId="77777777" w:rsidR="00237D24" w:rsidRPr="00DF7D4C" w:rsidRDefault="00AF5F20" w:rsidP="003262FB">
      <w:pPr>
        <w:pStyle w:val="Heading2"/>
        <w:rPr>
          <w:b w:val="0"/>
          <w:lang w:val="en-GB"/>
        </w:rPr>
      </w:pPr>
      <w:bookmarkStart w:id="9" w:name="_my485cn6mmp4" w:colFirst="0" w:colLast="0"/>
      <w:bookmarkStart w:id="10" w:name="_Toc237108111"/>
      <w:bookmarkEnd w:id="9"/>
      <w:r w:rsidRPr="00DF7D4C">
        <w:rPr>
          <w:lang w:val="en-GB"/>
        </w:rPr>
        <w:t xml:space="preserve">2.1 Operational and </w:t>
      </w:r>
      <w:r w:rsidRPr="003262FB">
        <w:t>Technology</w:t>
      </w:r>
      <w:r w:rsidRPr="00DF7D4C">
        <w:rPr>
          <w:lang w:val="en-GB"/>
        </w:rPr>
        <w:t xml:space="preserve"> Profile</w:t>
      </w:r>
      <w:bookmarkEnd w:id="10"/>
      <w:r w:rsidRPr="00DF7D4C">
        <w:rPr>
          <w:lang w:val="en-GB"/>
        </w:rPr>
        <w:t xml:space="preserve"> </w:t>
      </w:r>
    </w:p>
    <w:p w14:paraId="1C4A15A1"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proofErr w:type="spellStart"/>
      <w:r w:rsidRPr="00DF7D4C">
        <w:rPr>
          <w:rFonts w:ascii="Times New Roman" w:eastAsia="Times New Roman" w:hAnsi="Times New Roman" w:cs="Times New Roman"/>
          <w:sz w:val="24"/>
          <w:szCs w:val="24"/>
          <w:lang w:val="en-GB"/>
        </w:rPr>
        <w:t>Aerolink</w:t>
      </w:r>
      <w:proofErr w:type="spellEnd"/>
      <w:r w:rsidRPr="00DF7D4C">
        <w:rPr>
          <w:rFonts w:ascii="Times New Roman" w:eastAsia="Times New Roman" w:hAnsi="Times New Roman" w:cs="Times New Roman"/>
          <w:sz w:val="24"/>
          <w:szCs w:val="24"/>
          <w:lang w:val="en-GB"/>
        </w:rPr>
        <w:t xml:space="preserve"> Logistics (ALL) is a multinational supply chain as well as logistics organisation delivering real-time tracking, warehousing and distribution services towards the international clients.  Its operations heavily rely on cloud platforms, IoT-powered tracking as well as AI powered analytics, while remote working supports easy access across geographically dispersed locations </w:t>
      </w:r>
      <w:r w:rsidR="00374D5E">
        <w:rPr>
          <w:rFonts w:ascii="Times New Roman" w:eastAsia="Times New Roman" w:hAnsi="Times New Roman" w:cs="Times New Roman"/>
          <w:sz w:val="24"/>
          <w:szCs w:val="24"/>
          <w:lang w:val="en-GB"/>
        </w:rPr>
        <w:t>[4]</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Approximately 88% of its IT infrastructure is outsourced, which makes both the technology and third-party service dependencies strategically significant </w:t>
      </w:r>
      <w:r w:rsidR="00374D5E">
        <w:rPr>
          <w:rFonts w:ascii="Times New Roman" w:eastAsia="Times New Roman" w:hAnsi="Times New Roman" w:cs="Times New Roman"/>
          <w:sz w:val="24"/>
          <w:szCs w:val="24"/>
          <w:lang w:val="en-GB"/>
        </w:rPr>
        <w:t>[5]</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These characteristics develop a complicated environment which requires a sense of coordinated security, governance and operational adaptability. </w:t>
      </w:r>
    </w:p>
    <w:p w14:paraId="612C770F"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lastRenderedPageBreak/>
        <w:drawing>
          <wp:inline distT="114300" distB="114300" distL="114300" distR="114300" wp14:anchorId="31338BBC" wp14:editId="21847DA5">
            <wp:extent cx="5731200" cy="3517900"/>
            <wp:effectExtent l="76200" t="76200" r="136525" b="139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3517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E075C9" w14:textId="77777777" w:rsidR="00237D24" w:rsidRPr="00DF7D4C" w:rsidRDefault="00AF5F20" w:rsidP="003262FB">
      <w:pPr>
        <w:pStyle w:val="Heading4"/>
        <w:rPr>
          <w:lang w:val="en-GB"/>
        </w:rPr>
      </w:pPr>
      <w:r w:rsidRPr="00DF7D4C">
        <w:rPr>
          <w:lang w:val="en-GB"/>
        </w:rPr>
        <w:t xml:space="preserve">Figure 2: </w:t>
      </w:r>
      <w:r w:rsidR="0009446D" w:rsidRPr="00DF7D4C">
        <w:rPr>
          <w:lang w:val="en-GB"/>
        </w:rPr>
        <w:t xml:space="preserve">All </w:t>
      </w:r>
      <w:r w:rsidRPr="00DF7D4C">
        <w:rPr>
          <w:lang w:val="en-GB"/>
        </w:rPr>
        <w:t xml:space="preserve">Operational and Technology Ecosystem </w:t>
      </w:r>
    </w:p>
    <w:p w14:paraId="1B1352C0"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4F5A421B" w14:textId="77777777" w:rsidR="00237D24" w:rsidRPr="00DF7D4C" w:rsidRDefault="00AF5F20">
      <w:pPr>
        <w:pStyle w:val="Heading2"/>
        <w:keepNext w:val="0"/>
        <w:keepLines w:val="0"/>
        <w:spacing w:after="200"/>
        <w:rPr>
          <w:rFonts w:eastAsia="Times New Roman" w:cs="Times New Roman"/>
          <w:b w:val="0"/>
          <w:bCs/>
          <w:sz w:val="24"/>
          <w:szCs w:val="24"/>
          <w:lang w:val="en-GB"/>
        </w:rPr>
      </w:pPr>
      <w:bookmarkStart w:id="11" w:name="_gej0gwarrm3q" w:colFirst="0" w:colLast="0"/>
      <w:bookmarkStart w:id="12" w:name="_Toc237108112"/>
      <w:bookmarkEnd w:id="11"/>
      <w:r w:rsidRPr="00DF7D4C">
        <w:rPr>
          <w:rFonts w:eastAsia="Times New Roman" w:cs="Times New Roman"/>
          <w:bCs/>
          <w:sz w:val="24"/>
          <w:szCs w:val="24"/>
          <w:lang w:val="en-GB"/>
        </w:rPr>
        <w:t>2.2 Evaluation of Existing Security Exposure</w:t>
      </w:r>
      <w:bookmarkEnd w:id="12"/>
      <w:r w:rsidRPr="00DF7D4C">
        <w:rPr>
          <w:rFonts w:eastAsia="Times New Roman" w:cs="Times New Roman"/>
          <w:bCs/>
          <w:sz w:val="24"/>
          <w:szCs w:val="24"/>
          <w:lang w:val="en-GB"/>
        </w:rPr>
        <w:t xml:space="preserve"> </w:t>
      </w:r>
    </w:p>
    <w:p w14:paraId="54A6D2AF"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The high cloud dependence of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enhances scalability; however, it also maximises the exposure towards the misconfiguration and shared responsibility failures, which requires both cloud governance as well as consistent configuration monitoring </w:t>
      </w:r>
      <w:r w:rsidR="00374D5E">
        <w:rPr>
          <w:rFonts w:ascii="Times New Roman" w:eastAsia="Times New Roman" w:hAnsi="Times New Roman" w:cs="Times New Roman"/>
          <w:sz w:val="24"/>
          <w:szCs w:val="24"/>
          <w:lang w:val="en-GB"/>
        </w:rPr>
        <w:t>[6]</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IoT also enhances the effectiveness of the tracking </w:t>
      </w:r>
      <w:r w:rsidR="00374D5E">
        <w:rPr>
          <w:rFonts w:ascii="Times New Roman" w:eastAsia="Times New Roman" w:hAnsi="Times New Roman" w:cs="Times New Roman"/>
          <w:sz w:val="24"/>
          <w:szCs w:val="24"/>
          <w:lang w:val="en-GB"/>
        </w:rPr>
        <w:t>[7]</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However, poor device security in combination with limited monitoring can develop entry points for attackers and thus make authentication, patching, as well as network segmentation necessary </w:t>
      </w:r>
      <w:r w:rsidR="00374D5E">
        <w:rPr>
          <w:rFonts w:ascii="Times New Roman" w:eastAsia="Times New Roman" w:hAnsi="Times New Roman" w:cs="Times New Roman"/>
          <w:sz w:val="24"/>
          <w:szCs w:val="24"/>
          <w:lang w:val="en-GB"/>
        </w:rPr>
        <w:t>[8,9]</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On the flip </w:t>
      </w:r>
      <w:r w:rsidR="000B0884">
        <w:rPr>
          <w:rFonts w:ascii="Times New Roman" w:eastAsia="Times New Roman" w:hAnsi="Times New Roman" w:cs="Times New Roman"/>
          <w:sz w:val="24"/>
          <w:szCs w:val="24"/>
          <w:lang w:val="en-GB"/>
        </w:rPr>
        <w:t>side, remote access also helps across</w:t>
      </w:r>
      <w:r w:rsidRPr="00DF7D4C">
        <w:rPr>
          <w:rFonts w:ascii="Times New Roman" w:eastAsia="Times New Roman" w:hAnsi="Times New Roman" w:cs="Times New Roman"/>
          <w:sz w:val="24"/>
          <w:szCs w:val="24"/>
          <w:lang w:val="en-GB"/>
        </w:rPr>
        <w:t xml:space="preserve"> </w:t>
      </w:r>
      <w:r w:rsidR="000B0884">
        <w:rPr>
          <w:rFonts w:ascii="Times New Roman" w:eastAsia="Times New Roman" w:hAnsi="Times New Roman" w:cs="Times New Roman"/>
          <w:sz w:val="24"/>
          <w:szCs w:val="24"/>
          <w:lang w:val="en-GB"/>
        </w:rPr>
        <w:t xml:space="preserve">boosting the overall flexibility of the business operation, </w:t>
      </w:r>
      <w:r w:rsidR="00EB78CE">
        <w:rPr>
          <w:rFonts w:ascii="Times New Roman" w:eastAsia="Times New Roman" w:hAnsi="Times New Roman" w:cs="Times New Roman"/>
          <w:sz w:val="24"/>
          <w:szCs w:val="24"/>
          <w:lang w:val="en-GB"/>
        </w:rPr>
        <w:t xml:space="preserve">however </w:t>
      </w:r>
      <w:r w:rsidR="00EB78CE" w:rsidRPr="00DF7D4C">
        <w:rPr>
          <w:rFonts w:ascii="Times New Roman" w:eastAsia="Times New Roman" w:hAnsi="Times New Roman" w:cs="Times New Roman"/>
          <w:sz w:val="24"/>
          <w:szCs w:val="24"/>
          <w:lang w:val="en-GB"/>
        </w:rPr>
        <w:t>unmanaged</w:t>
      </w:r>
      <w:r w:rsidRPr="00DF7D4C">
        <w:rPr>
          <w:rFonts w:ascii="Times New Roman" w:eastAsia="Times New Roman" w:hAnsi="Times New Roman" w:cs="Times New Roman"/>
          <w:sz w:val="24"/>
          <w:szCs w:val="24"/>
          <w:lang w:val="en-GB"/>
        </w:rPr>
        <w:t xml:space="preserve"> devices often weaken </w:t>
      </w:r>
      <w:r w:rsidR="000B0884">
        <w:rPr>
          <w:rFonts w:ascii="Times New Roman" w:eastAsia="Times New Roman" w:hAnsi="Times New Roman" w:cs="Times New Roman"/>
          <w:sz w:val="24"/>
          <w:szCs w:val="24"/>
          <w:lang w:val="en-GB"/>
        </w:rPr>
        <w:t xml:space="preserve">the </w:t>
      </w:r>
      <w:r w:rsidRPr="00DF7D4C">
        <w:rPr>
          <w:rFonts w:ascii="Times New Roman" w:eastAsia="Times New Roman" w:hAnsi="Times New Roman" w:cs="Times New Roman"/>
          <w:sz w:val="24"/>
          <w:szCs w:val="24"/>
          <w:lang w:val="en-GB"/>
        </w:rPr>
        <w:t>identity as well as endpoint assurance, which require MFA, along with device verification and least-privilege access</w:t>
      </w:r>
      <w:r w:rsidR="000B0884">
        <w:rPr>
          <w:rFonts w:ascii="Times New Roman" w:eastAsia="Times New Roman" w:hAnsi="Times New Roman" w:cs="Times New Roman"/>
          <w:sz w:val="24"/>
          <w:szCs w:val="24"/>
          <w:lang w:val="en-GB"/>
        </w:rPr>
        <w:t xml:space="preserve"> as well</w:t>
      </w:r>
      <w:r w:rsidRPr="00DF7D4C">
        <w:rPr>
          <w:rFonts w:ascii="Times New Roman" w:eastAsia="Times New Roman" w:hAnsi="Times New Roman" w:cs="Times New Roman"/>
          <w:sz w:val="24"/>
          <w:szCs w:val="24"/>
          <w:lang w:val="en-GB"/>
        </w:rPr>
        <w:t xml:space="preserve">. Compared with internal systems, extensive third-party reliance reduces direct security control while maximising supply chain exposure </w:t>
      </w:r>
      <w:r w:rsidR="00374D5E">
        <w:rPr>
          <w:rFonts w:ascii="Times New Roman" w:eastAsia="Times New Roman" w:hAnsi="Times New Roman" w:cs="Times New Roman"/>
          <w:sz w:val="24"/>
          <w:szCs w:val="24"/>
          <w:lang w:val="en-GB"/>
        </w:rPr>
        <w:t>[10]</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As a result, vendor due diligence, enforceable SLAs, along with a sense of continuous assurance are pivotal. Collectively, these weaknesses require centralised governance, adherence oversight, and finally reliable continuity planning.</w:t>
      </w:r>
    </w:p>
    <w:p w14:paraId="1EED6B5A"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lastRenderedPageBreak/>
        <w:drawing>
          <wp:inline distT="114300" distB="114300" distL="114300" distR="114300" wp14:anchorId="72D4EE51" wp14:editId="6DC78F49">
            <wp:extent cx="5676900" cy="4762500"/>
            <wp:effectExtent l="76200" t="76200" r="133350" b="13335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676900" cy="4762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3C2521" w14:textId="77777777" w:rsidR="00237D24" w:rsidRPr="00DF7D4C" w:rsidRDefault="00AF5F20" w:rsidP="003262FB">
      <w:pPr>
        <w:pStyle w:val="Heading4"/>
        <w:rPr>
          <w:lang w:val="en-GB"/>
        </w:rPr>
      </w:pPr>
      <w:r w:rsidRPr="00DF7D4C">
        <w:rPr>
          <w:lang w:val="en-GB"/>
        </w:rPr>
        <w:t xml:space="preserve">Figure 3: Digital Technology Adoption and Increasing Cybersecurity Exposure </w:t>
      </w:r>
    </w:p>
    <w:p w14:paraId="3F6916C4"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3D9B2463" w14:textId="77777777" w:rsidR="00237D24" w:rsidRPr="00DF7D4C" w:rsidRDefault="00AF5F20" w:rsidP="003262FB">
      <w:pPr>
        <w:pStyle w:val="Heading2"/>
        <w:rPr>
          <w:lang w:val="en-GB"/>
        </w:rPr>
      </w:pPr>
      <w:bookmarkStart w:id="13" w:name="_6d12ry2wfp6k" w:colFirst="0" w:colLast="0"/>
      <w:bookmarkStart w:id="14" w:name="_Toc237108113"/>
      <w:bookmarkEnd w:id="13"/>
      <w:r w:rsidRPr="00DF7D4C">
        <w:rPr>
          <w:lang w:val="en-GB"/>
        </w:rPr>
        <w:t xml:space="preserve">2.3 Case </w:t>
      </w:r>
      <w:r w:rsidRPr="003262FB">
        <w:t>Assumptions</w:t>
      </w:r>
      <w:bookmarkEnd w:id="14"/>
      <w:r w:rsidRPr="00DF7D4C">
        <w:rPr>
          <w:lang w:val="en-GB"/>
        </w:rPr>
        <w:t xml:space="preserve"> </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1842"/>
        <w:gridCol w:w="2694"/>
        <w:gridCol w:w="4475"/>
      </w:tblGrid>
      <w:tr w:rsidR="00237D24" w:rsidRPr="00DF7D4C" w14:paraId="5BA030CC" w14:textId="77777777" w:rsidTr="0009446D">
        <w:trPr>
          <w:trHeight w:val="270"/>
        </w:trPr>
        <w:tc>
          <w:tcPr>
            <w:tcW w:w="1022" w:type="pct"/>
            <w:tcBorders>
              <w:top w:val="single" w:sz="7" w:space="0" w:color="000000"/>
              <w:left w:val="single" w:sz="7" w:space="0" w:color="000000"/>
              <w:bottom w:val="single" w:sz="7" w:space="0" w:color="000000"/>
              <w:right w:val="single" w:sz="7" w:space="0" w:color="000000"/>
            </w:tcBorders>
            <w:shd w:val="clear" w:color="auto" w:fill="C2D69B" w:themeFill="accent3" w:themeFillTint="99"/>
            <w:tcMar>
              <w:top w:w="0" w:type="dxa"/>
              <w:left w:w="100" w:type="dxa"/>
              <w:bottom w:w="0" w:type="dxa"/>
              <w:right w:w="100" w:type="dxa"/>
            </w:tcMar>
          </w:tcPr>
          <w:p w14:paraId="03CFB2E0"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Area</w:t>
            </w:r>
          </w:p>
        </w:tc>
        <w:tc>
          <w:tcPr>
            <w:tcW w:w="1495" w:type="pct"/>
            <w:tcBorders>
              <w:top w:val="single" w:sz="7" w:space="0" w:color="000000"/>
              <w:left w:val="nil"/>
              <w:bottom w:val="single" w:sz="7" w:space="0" w:color="000000"/>
              <w:right w:val="single" w:sz="7" w:space="0" w:color="000000"/>
            </w:tcBorders>
            <w:shd w:val="clear" w:color="auto" w:fill="C2D69B" w:themeFill="accent3" w:themeFillTint="99"/>
            <w:tcMar>
              <w:top w:w="0" w:type="dxa"/>
              <w:left w:w="100" w:type="dxa"/>
              <w:bottom w:w="0" w:type="dxa"/>
              <w:right w:w="100" w:type="dxa"/>
            </w:tcMar>
          </w:tcPr>
          <w:p w14:paraId="520DE4BC"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Assumption</w:t>
            </w:r>
          </w:p>
        </w:tc>
        <w:tc>
          <w:tcPr>
            <w:tcW w:w="2483" w:type="pct"/>
            <w:tcBorders>
              <w:top w:val="single" w:sz="7" w:space="0" w:color="000000"/>
              <w:left w:val="nil"/>
              <w:bottom w:val="single" w:sz="7" w:space="0" w:color="000000"/>
              <w:right w:val="single" w:sz="7" w:space="0" w:color="000000"/>
            </w:tcBorders>
            <w:shd w:val="clear" w:color="auto" w:fill="C2D69B" w:themeFill="accent3" w:themeFillTint="99"/>
            <w:tcMar>
              <w:top w:w="0" w:type="dxa"/>
              <w:left w:w="100" w:type="dxa"/>
              <w:bottom w:w="0" w:type="dxa"/>
              <w:right w:w="100" w:type="dxa"/>
            </w:tcMar>
          </w:tcPr>
          <w:p w14:paraId="7A0CE453"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Purpose</w:t>
            </w:r>
          </w:p>
        </w:tc>
      </w:tr>
      <w:tr w:rsidR="00237D24" w:rsidRPr="00DF7D4C" w14:paraId="6F29C729" w14:textId="77777777" w:rsidTr="0009446D">
        <w:trPr>
          <w:trHeight w:val="270"/>
        </w:trPr>
        <w:tc>
          <w:tcPr>
            <w:tcW w:w="1022" w:type="pct"/>
            <w:tcBorders>
              <w:top w:val="nil"/>
              <w:left w:val="single" w:sz="7" w:space="0" w:color="000000"/>
              <w:bottom w:val="single" w:sz="7" w:space="0" w:color="000000"/>
              <w:right w:val="single" w:sz="7" w:space="0" w:color="000000"/>
            </w:tcBorders>
            <w:shd w:val="clear" w:color="auto" w:fill="92CDDC" w:themeFill="accent5" w:themeFillTint="99"/>
            <w:tcMar>
              <w:top w:w="0" w:type="dxa"/>
              <w:left w:w="100" w:type="dxa"/>
              <w:bottom w:w="0" w:type="dxa"/>
              <w:right w:w="100" w:type="dxa"/>
            </w:tcMar>
          </w:tcPr>
          <w:p w14:paraId="2B7CEAA3" w14:textId="77777777" w:rsidR="00237D24" w:rsidRPr="00DF7D4C" w:rsidRDefault="00AF5F20">
            <w:pPr>
              <w:spacing w:after="200" w:line="360" w:lineRule="auto"/>
              <w:jc w:val="both"/>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Organisation</w:t>
            </w:r>
          </w:p>
        </w:tc>
        <w:tc>
          <w:tcPr>
            <w:tcW w:w="1495" w:type="pct"/>
            <w:tcBorders>
              <w:top w:val="nil"/>
              <w:left w:val="nil"/>
              <w:bottom w:val="single" w:sz="7" w:space="0" w:color="000000"/>
              <w:right w:val="single" w:sz="7" w:space="0" w:color="000000"/>
            </w:tcBorders>
            <w:tcMar>
              <w:top w:w="0" w:type="dxa"/>
              <w:left w:w="100" w:type="dxa"/>
              <w:bottom w:w="0" w:type="dxa"/>
              <w:right w:w="100" w:type="dxa"/>
            </w:tcMar>
          </w:tcPr>
          <w:p w14:paraId="72423199"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UK-based multinational</w:t>
            </w:r>
          </w:p>
        </w:tc>
        <w:tc>
          <w:tcPr>
            <w:tcW w:w="2483" w:type="pct"/>
            <w:tcBorders>
              <w:top w:val="nil"/>
              <w:left w:val="nil"/>
              <w:bottom w:val="single" w:sz="7" w:space="0" w:color="000000"/>
              <w:right w:val="single" w:sz="7" w:space="0" w:color="000000"/>
            </w:tcBorders>
            <w:tcMar>
              <w:top w:w="0" w:type="dxa"/>
              <w:left w:w="100" w:type="dxa"/>
              <w:bottom w:w="0" w:type="dxa"/>
              <w:right w:w="100" w:type="dxa"/>
            </w:tcMar>
          </w:tcPr>
          <w:p w14:paraId="7075B83C"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To establish the regulatory context</w:t>
            </w:r>
          </w:p>
        </w:tc>
      </w:tr>
      <w:tr w:rsidR="00237D24" w:rsidRPr="00DF7D4C" w14:paraId="47C22BBB" w14:textId="77777777" w:rsidTr="0009446D">
        <w:trPr>
          <w:trHeight w:val="510"/>
        </w:trPr>
        <w:tc>
          <w:tcPr>
            <w:tcW w:w="1022" w:type="pct"/>
            <w:tcBorders>
              <w:top w:val="nil"/>
              <w:left w:val="single" w:sz="7" w:space="0" w:color="000000"/>
              <w:bottom w:val="single" w:sz="7" w:space="0" w:color="000000"/>
              <w:right w:val="single" w:sz="7" w:space="0" w:color="000000"/>
            </w:tcBorders>
            <w:shd w:val="clear" w:color="auto" w:fill="92CDDC" w:themeFill="accent5" w:themeFillTint="99"/>
            <w:tcMar>
              <w:top w:w="0" w:type="dxa"/>
              <w:left w:w="100" w:type="dxa"/>
              <w:bottom w:w="0" w:type="dxa"/>
              <w:right w:w="100" w:type="dxa"/>
            </w:tcMar>
          </w:tcPr>
          <w:p w14:paraId="30CA695B" w14:textId="77777777" w:rsidR="00237D24" w:rsidRPr="00DF7D4C" w:rsidRDefault="00AF5F20">
            <w:pPr>
              <w:spacing w:after="200" w:line="360" w:lineRule="auto"/>
              <w:jc w:val="both"/>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Technology</w:t>
            </w:r>
          </w:p>
        </w:tc>
        <w:tc>
          <w:tcPr>
            <w:tcW w:w="1495" w:type="pct"/>
            <w:tcBorders>
              <w:top w:val="nil"/>
              <w:left w:val="nil"/>
              <w:bottom w:val="single" w:sz="7" w:space="0" w:color="000000"/>
              <w:right w:val="single" w:sz="7" w:space="0" w:color="000000"/>
            </w:tcBorders>
            <w:tcMar>
              <w:top w:w="0" w:type="dxa"/>
              <w:left w:w="100" w:type="dxa"/>
              <w:bottom w:w="0" w:type="dxa"/>
              <w:right w:w="100" w:type="dxa"/>
            </w:tcMar>
          </w:tcPr>
          <w:p w14:paraId="60388C77"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Cloud, IoT and AI-enabled.</w:t>
            </w:r>
          </w:p>
        </w:tc>
        <w:tc>
          <w:tcPr>
            <w:tcW w:w="2483" w:type="pct"/>
            <w:tcBorders>
              <w:top w:val="nil"/>
              <w:left w:val="nil"/>
              <w:bottom w:val="single" w:sz="7" w:space="0" w:color="000000"/>
              <w:right w:val="single" w:sz="7" w:space="0" w:color="000000"/>
            </w:tcBorders>
            <w:tcMar>
              <w:top w:w="0" w:type="dxa"/>
              <w:left w:w="100" w:type="dxa"/>
              <w:bottom w:w="0" w:type="dxa"/>
              <w:right w:w="100" w:type="dxa"/>
            </w:tcMar>
          </w:tcPr>
          <w:p w14:paraId="7471AB36"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To guide the technology-risk assessment</w:t>
            </w:r>
          </w:p>
        </w:tc>
      </w:tr>
      <w:tr w:rsidR="00237D24" w:rsidRPr="00DF7D4C" w14:paraId="7B871B79" w14:textId="77777777" w:rsidTr="0009446D">
        <w:trPr>
          <w:trHeight w:val="270"/>
        </w:trPr>
        <w:tc>
          <w:tcPr>
            <w:tcW w:w="1022" w:type="pct"/>
            <w:tcBorders>
              <w:top w:val="nil"/>
              <w:left w:val="single" w:sz="7" w:space="0" w:color="000000"/>
              <w:bottom w:val="single" w:sz="7" w:space="0" w:color="000000"/>
              <w:right w:val="single" w:sz="7" w:space="0" w:color="000000"/>
            </w:tcBorders>
            <w:shd w:val="clear" w:color="auto" w:fill="92CDDC" w:themeFill="accent5" w:themeFillTint="99"/>
            <w:tcMar>
              <w:top w:w="0" w:type="dxa"/>
              <w:left w:w="100" w:type="dxa"/>
              <w:bottom w:w="0" w:type="dxa"/>
              <w:right w:w="100" w:type="dxa"/>
            </w:tcMar>
          </w:tcPr>
          <w:p w14:paraId="7F147B2C" w14:textId="77777777" w:rsidR="00237D24" w:rsidRPr="00DF7D4C" w:rsidRDefault="00AF5F20">
            <w:pPr>
              <w:spacing w:after="200" w:line="360" w:lineRule="auto"/>
              <w:jc w:val="both"/>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Workforce</w:t>
            </w:r>
          </w:p>
        </w:tc>
        <w:tc>
          <w:tcPr>
            <w:tcW w:w="1495" w:type="pct"/>
            <w:tcBorders>
              <w:top w:val="nil"/>
              <w:left w:val="nil"/>
              <w:bottom w:val="single" w:sz="7" w:space="0" w:color="000000"/>
              <w:right w:val="single" w:sz="7" w:space="0" w:color="000000"/>
            </w:tcBorders>
            <w:tcMar>
              <w:top w:w="0" w:type="dxa"/>
              <w:left w:w="100" w:type="dxa"/>
              <w:bottom w:w="0" w:type="dxa"/>
              <w:right w:w="100" w:type="dxa"/>
            </w:tcMar>
          </w:tcPr>
          <w:p w14:paraId="4FC649CF"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Hybrid and remote</w:t>
            </w:r>
          </w:p>
        </w:tc>
        <w:tc>
          <w:tcPr>
            <w:tcW w:w="2483" w:type="pct"/>
            <w:tcBorders>
              <w:top w:val="nil"/>
              <w:left w:val="nil"/>
              <w:bottom w:val="single" w:sz="7" w:space="0" w:color="000000"/>
              <w:right w:val="single" w:sz="7" w:space="0" w:color="000000"/>
            </w:tcBorders>
            <w:tcMar>
              <w:top w:w="0" w:type="dxa"/>
              <w:left w:w="100" w:type="dxa"/>
              <w:bottom w:w="0" w:type="dxa"/>
              <w:right w:w="100" w:type="dxa"/>
            </w:tcMar>
          </w:tcPr>
          <w:p w14:paraId="050A69BD"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For justifying </w:t>
            </w:r>
            <w:proofErr w:type="gramStart"/>
            <w:r w:rsidRPr="00DF7D4C">
              <w:rPr>
                <w:rFonts w:ascii="Times New Roman" w:eastAsia="Times New Roman" w:hAnsi="Times New Roman" w:cs="Times New Roman"/>
                <w:sz w:val="24"/>
                <w:szCs w:val="24"/>
                <w:lang w:val="en-GB"/>
              </w:rPr>
              <w:t>the  zero</w:t>
            </w:r>
            <w:proofErr w:type="gramEnd"/>
            <w:r w:rsidRPr="00DF7D4C">
              <w:rPr>
                <w:rFonts w:ascii="Times New Roman" w:eastAsia="Times New Roman" w:hAnsi="Times New Roman" w:cs="Times New Roman"/>
                <w:sz w:val="24"/>
                <w:szCs w:val="24"/>
                <w:lang w:val="en-GB"/>
              </w:rPr>
              <w:t xml:space="preserve"> Trust controls</w:t>
            </w:r>
          </w:p>
        </w:tc>
      </w:tr>
      <w:tr w:rsidR="00237D24" w:rsidRPr="00DF7D4C" w14:paraId="1EE0310C" w14:textId="77777777" w:rsidTr="0009446D">
        <w:trPr>
          <w:trHeight w:val="510"/>
        </w:trPr>
        <w:tc>
          <w:tcPr>
            <w:tcW w:w="1022" w:type="pct"/>
            <w:tcBorders>
              <w:top w:val="nil"/>
              <w:left w:val="single" w:sz="7" w:space="0" w:color="000000"/>
              <w:bottom w:val="single" w:sz="7" w:space="0" w:color="000000"/>
              <w:right w:val="single" w:sz="7" w:space="0" w:color="000000"/>
            </w:tcBorders>
            <w:shd w:val="clear" w:color="auto" w:fill="92CDDC" w:themeFill="accent5" w:themeFillTint="99"/>
            <w:tcMar>
              <w:top w:w="0" w:type="dxa"/>
              <w:left w:w="100" w:type="dxa"/>
              <w:bottom w:w="0" w:type="dxa"/>
              <w:right w:w="100" w:type="dxa"/>
            </w:tcMar>
          </w:tcPr>
          <w:p w14:paraId="0935EA6B" w14:textId="77777777" w:rsidR="00237D24" w:rsidRPr="00DF7D4C" w:rsidRDefault="00AF5F20">
            <w:pPr>
              <w:spacing w:after="200" w:line="360" w:lineRule="auto"/>
              <w:jc w:val="both"/>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Security maturity</w:t>
            </w:r>
          </w:p>
        </w:tc>
        <w:tc>
          <w:tcPr>
            <w:tcW w:w="1495" w:type="pct"/>
            <w:tcBorders>
              <w:top w:val="nil"/>
              <w:left w:val="nil"/>
              <w:bottom w:val="single" w:sz="7" w:space="0" w:color="000000"/>
              <w:right w:val="single" w:sz="7" w:space="0" w:color="000000"/>
            </w:tcBorders>
            <w:tcMar>
              <w:top w:w="0" w:type="dxa"/>
              <w:left w:w="100" w:type="dxa"/>
              <w:bottom w:w="0" w:type="dxa"/>
              <w:right w:w="100" w:type="dxa"/>
            </w:tcMar>
          </w:tcPr>
          <w:p w14:paraId="746ECF47"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Developing</w:t>
            </w:r>
          </w:p>
        </w:tc>
        <w:tc>
          <w:tcPr>
            <w:tcW w:w="2483" w:type="pct"/>
            <w:tcBorders>
              <w:top w:val="nil"/>
              <w:left w:val="nil"/>
              <w:bottom w:val="single" w:sz="7" w:space="0" w:color="000000"/>
              <w:right w:val="single" w:sz="7" w:space="0" w:color="000000"/>
            </w:tcBorders>
            <w:tcMar>
              <w:top w:w="0" w:type="dxa"/>
              <w:left w:w="100" w:type="dxa"/>
              <w:bottom w:w="0" w:type="dxa"/>
              <w:right w:w="100" w:type="dxa"/>
            </w:tcMar>
          </w:tcPr>
          <w:p w14:paraId="5A12D0C6"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Requires formal governance</w:t>
            </w:r>
          </w:p>
        </w:tc>
      </w:tr>
      <w:tr w:rsidR="00237D24" w:rsidRPr="00DF7D4C" w14:paraId="7DDA91D7" w14:textId="77777777" w:rsidTr="0009446D">
        <w:trPr>
          <w:trHeight w:val="510"/>
        </w:trPr>
        <w:tc>
          <w:tcPr>
            <w:tcW w:w="1022" w:type="pct"/>
            <w:tcBorders>
              <w:top w:val="nil"/>
              <w:left w:val="single" w:sz="7" w:space="0" w:color="000000"/>
              <w:bottom w:val="single" w:sz="7" w:space="0" w:color="000000"/>
              <w:right w:val="single" w:sz="7" w:space="0" w:color="000000"/>
            </w:tcBorders>
            <w:shd w:val="clear" w:color="auto" w:fill="92CDDC" w:themeFill="accent5" w:themeFillTint="99"/>
            <w:tcMar>
              <w:top w:w="0" w:type="dxa"/>
              <w:left w:w="100" w:type="dxa"/>
              <w:bottom w:w="0" w:type="dxa"/>
              <w:right w:w="100" w:type="dxa"/>
            </w:tcMar>
          </w:tcPr>
          <w:p w14:paraId="19C6492B" w14:textId="77777777" w:rsidR="00237D24" w:rsidRPr="00DF7D4C" w:rsidRDefault="00AF5F20">
            <w:pPr>
              <w:spacing w:after="200" w:line="360" w:lineRule="auto"/>
              <w:jc w:val="both"/>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lastRenderedPageBreak/>
              <w:t>Compliance</w:t>
            </w:r>
          </w:p>
        </w:tc>
        <w:tc>
          <w:tcPr>
            <w:tcW w:w="1495" w:type="pct"/>
            <w:tcBorders>
              <w:top w:val="nil"/>
              <w:left w:val="nil"/>
              <w:bottom w:val="single" w:sz="7" w:space="0" w:color="000000"/>
              <w:right w:val="single" w:sz="7" w:space="0" w:color="000000"/>
            </w:tcBorders>
            <w:tcMar>
              <w:top w:w="0" w:type="dxa"/>
              <w:left w:w="100" w:type="dxa"/>
              <w:bottom w:w="0" w:type="dxa"/>
              <w:right w:w="100" w:type="dxa"/>
            </w:tcMar>
          </w:tcPr>
          <w:p w14:paraId="66F1A5C0"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UK GDPR applicable</w:t>
            </w:r>
          </w:p>
        </w:tc>
        <w:tc>
          <w:tcPr>
            <w:tcW w:w="2483" w:type="pct"/>
            <w:tcBorders>
              <w:top w:val="nil"/>
              <w:left w:val="nil"/>
              <w:bottom w:val="single" w:sz="7" w:space="0" w:color="000000"/>
              <w:right w:val="single" w:sz="7" w:space="0" w:color="000000"/>
            </w:tcBorders>
            <w:tcMar>
              <w:top w:w="0" w:type="dxa"/>
              <w:left w:w="100" w:type="dxa"/>
              <w:bottom w:w="0" w:type="dxa"/>
              <w:right w:w="100" w:type="dxa"/>
            </w:tcMar>
          </w:tcPr>
          <w:p w14:paraId="5F709A41"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To support the proper compliance assessment</w:t>
            </w:r>
          </w:p>
        </w:tc>
      </w:tr>
      <w:tr w:rsidR="00237D24" w:rsidRPr="00DF7D4C" w14:paraId="58773F82" w14:textId="77777777" w:rsidTr="0009446D">
        <w:trPr>
          <w:trHeight w:val="510"/>
        </w:trPr>
        <w:tc>
          <w:tcPr>
            <w:tcW w:w="1022" w:type="pct"/>
            <w:tcBorders>
              <w:top w:val="nil"/>
              <w:left w:val="single" w:sz="7" w:space="0" w:color="000000"/>
              <w:bottom w:val="single" w:sz="7" w:space="0" w:color="000000"/>
              <w:right w:val="single" w:sz="7" w:space="0" w:color="000000"/>
            </w:tcBorders>
            <w:shd w:val="clear" w:color="auto" w:fill="92CDDC" w:themeFill="accent5" w:themeFillTint="99"/>
            <w:tcMar>
              <w:top w:w="0" w:type="dxa"/>
              <w:left w:w="100" w:type="dxa"/>
              <w:bottom w:w="0" w:type="dxa"/>
              <w:right w:w="100" w:type="dxa"/>
            </w:tcMar>
          </w:tcPr>
          <w:p w14:paraId="4519EA54" w14:textId="77777777" w:rsidR="00237D24" w:rsidRPr="00DF7D4C" w:rsidRDefault="00AF5F20">
            <w:pPr>
              <w:spacing w:after="200" w:line="360" w:lineRule="auto"/>
              <w:jc w:val="both"/>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Certification</w:t>
            </w:r>
          </w:p>
        </w:tc>
        <w:tc>
          <w:tcPr>
            <w:tcW w:w="1495" w:type="pct"/>
            <w:tcBorders>
              <w:top w:val="nil"/>
              <w:left w:val="nil"/>
              <w:bottom w:val="single" w:sz="7" w:space="0" w:color="000000"/>
              <w:right w:val="single" w:sz="7" w:space="0" w:color="000000"/>
            </w:tcBorders>
            <w:tcMar>
              <w:top w:w="0" w:type="dxa"/>
              <w:left w:w="100" w:type="dxa"/>
              <w:bottom w:w="0" w:type="dxa"/>
              <w:right w:w="100" w:type="dxa"/>
            </w:tcMar>
          </w:tcPr>
          <w:p w14:paraId="0E3F70DC"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ISO 27001 not established</w:t>
            </w:r>
          </w:p>
        </w:tc>
        <w:tc>
          <w:tcPr>
            <w:tcW w:w="2483" w:type="pct"/>
            <w:tcBorders>
              <w:top w:val="nil"/>
              <w:left w:val="nil"/>
              <w:bottom w:val="single" w:sz="7" w:space="0" w:color="000000"/>
              <w:right w:val="single" w:sz="7" w:space="0" w:color="000000"/>
            </w:tcBorders>
            <w:tcMar>
              <w:top w:w="0" w:type="dxa"/>
              <w:left w:w="100" w:type="dxa"/>
              <w:bottom w:w="0" w:type="dxa"/>
              <w:right w:w="100" w:type="dxa"/>
            </w:tcMar>
          </w:tcPr>
          <w:p w14:paraId="32D96151"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To identify the need for ISMS development</w:t>
            </w:r>
          </w:p>
        </w:tc>
      </w:tr>
      <w:tr w:rsidR="00237D24" w:rsidRPr="00DF7D4C" w14:paraId="6C99FFE9" w14:textId="77777777" w:rsidTr="0009446D">
        <w:trPr>
          <w:trHeight w:val="510"/>
        </w:trPr>
        <w:tc>
          <w:tcPr>
            <w:tcW w:w="1022" w:type="pct"/>
            <w:tcBorders>
              <w:top w:val="nil"/>
              <w:left w:val="single" w:sz="7" w:space="0" w:color="000000"/>
              <w:bottom w:val="single" w:sz="7" w:space="0" w:color="000000"/>
              <w:right w:val="single" w:sz="7" w:space="0" w:color="000000"/>
            </w:tcBorders>
            <w:shd w:val="clear" w:color="auto" w:fill="92CDDC" w:themeFill="accent5" w:themeFillTint="99"/>
            <w:tcMar>
              <w:top w:w="0" w:type="dxa"/>
              <w:left w:w="100" w:type="dxa"/>
              <w:bottom w:w="0" w:type="dxa"/>
              <w:right w:w="100" w:type="dxa"/>
            </w:tcMar>
          </w:tcPr>
          <w:p w14:paraId="71CC4B52" w14:textId="77777777" w:rsidR="00237D24" w:rsidRPr="00DF7D4C" w:rsidRDefault="00AF5F20">
            <w:pPr>
              <w:spacing w:after="200" w:line="360" w:lineRule="auto"/>
              <w:jc w:val="both"/>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Resources</w:t>
            </w:r>
          </w:p>
        </w:tc>
        <w:tc>
          <w:tcPr>
            <w:tcW w:w="1495" w:type="pct"/>
            <w:tcBorders>
              <w:top w:val="nil"/>
              <w:left w:val="nil"/>
              <w:bottom w:val="single" w:sz="7" w:space="0" w:color="000000"/>
              <w:right w:val="single" w:sz="7" w:space="0" w:color="000000"/>
            </w:tcBorders>
            <w:tcMar>
              <w:top w:w="0" w:type="dxa"/>
              <w:left w:w="100" w:type="dxa"/>
              <w:bottom w:w="0" w:type="dxa"/>
              <w:right w:w="100" w:type="dxa"/>
            </w:tcMar>
          </w:tcPr>
          <w:p w14:paraId="4572749C"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Moderate budget</w:t>
            </w:r>
          </w:p>
        </w:tc>
        <w:tc>
          <w:tcPr>
            <w:tcW w:w="2483" w:type="pct"/>
            <w:tcBorders>
              <w:top w:val="nil"/>
              <w:left w:val="nil"/>
              <w:bottom w:val="single" w:sz="7" w:space="0" w:color="000000"/>
              <w:right w:val="single" w:sz="7" w:space="0" w:color="000000"/>
            </w:tcBorders>
            <w:tcMar>
              <w:top w:w="0" w:type="dxa"/>
              <w:left w:w="100" w:type="dxa"/>
              <w:bottom w:w="0" w:type="dxa"/>
              <w:right w:w="100" w:type="dxa"/>
            </w:tcMar>
          </w:tcPr>
          <w:p w14:paraId="52F06D32"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To allow </w:t>
            </w:r>
            <w:proofErr w:type="gramStart"/>
            <w:r w:rsidRPr="00DF7D4C">
              <w:rPr>
                <w:rFonts w:ascii="Times New Roman" w:eastAsia="Times New Roman" w:hAnsi="Times New Roman" w:cs="Times New Roman"/>
                <w:sz w:val="24"/>
                <w:szCs w:val="24"/>
                <w:lang w:val="en-GB"/>
              </w:rPr>
              <w:t>the  prioritised</w:t>
            </w:r>
            <w:proofErr w:type="gramEnd"/>
            <w:r w:rsidRPr="00DF7D4C">
              <w:rPr>
                <w:rFonts w:ascii="Times New Roman" w:eastAsia="Times New Roman" w:hAnsi="Times New Roman" w:cs="Times New Roman"/>
                <w:sz w:val="24"/>
                <w:szCs w:val="24"/>
                <w:lang w:val="en-GB"/>
              </w:rPr>
              <w:t>, proportionate controls</w:t>
            </w:r>
          </w:p>
        </w:tc>
      </w:tr>
    </w:tbl>
    <w:p w14:paraId="6AFB8B4C" w14:textId="77777777" w:rsidR="00237D24" w:rsidRPr="00DF7D4C" w:rsidRDefault="00AF5F20" w:rsidP="003262FB">
      <w:pPr>
        <w:pStyle w:val="Heading5"/>
        <w:rPr>
          <w:lang w:val="en-GB"/>
        </w:rPr>
      </w:pPr>
      <w:r w:rsidRPr="00DF7D4C">
        <w:rPr>
          <w:lang w:val="en-GB"/>
        </w:rPr>
        <w:t>Table 1: Case assumptions</w:t>
      </w:r>
    </w:p>
    <w:p w14:paraId="4F1BD3FA"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799FF0EA" w14:textId="77777777" w:rsidR="00237D24" w:rsidRPr="00DF7D4C" w:rsidRDefault="00AF5F20" w:rsidP="003262FB">
      <w:pPr>
        <w:pStyle w:val="Heading1"/>
        <w:rPr>
          <w:lang w:val="en-GB"/>
        </w:rPr>
      </w:pPr>
      <w:bookmarkStart w:id="15" w:name="_Toc237108114"/>
      <w:r w:rsidRPr="00DF7D4C">
        <w:rPr>
          <w:lang w:val="en-GB"/>
        </w:rPr>
        <w:t>3. Critical Review of Information Security Frameworks and Models</w:t>
      </w:r>
      <w:bookmarkEnd w:id="15"/>
      <w:r w:rsidRPr="00DF7D4C">
        <w:rPr>
          <w:lang w:val="en-GB"/>
        </w:rPr>
        <w:t xml:space="preserve"> </w:t>
      </w:r>
    </w:p>
    <w:p w14:paraId="07EA2BB6" w14:textId="77777777" w:rsidR="00237D24" w:rsidRPr="00DF7D4C" w:rsidRDefault="00AF5F20" w:rsidP="003262FB">
      <w:pPr>
        <w:pStyle w:val="Heading2"/>
        <w:rPr>
          <w:b w:val="0"/>
          <w:lang w:val="en-GB"/>
        </w:rPr>
      </w:pPr>
      <w:bookmarkStart w:id="16" w:name="_256f8oyouec6" w:colFirst="0" w:colLast="0"/>
      <w:bookmarkStart w:id="17" w:name="_Toc237108115"/>
      <w:bookmarkEnd w:id="16"/>
      <w:r w:rsidRPr="00DF7D4C">
        <w:rPr>
          <w:lang w:val="en-GB"/>
        </w:rPr>
        <w:t xml:space="preserve">3.1 Security Governance and GRC </w:t>
      </w:r>
      <w:r w:rsidRPr="003262FB">
        <w:t>Foundations</w:t>
      </w:r>
      <w:bookmarkEnd w:id="17"/>
      <w:r w:rsidRPr="00DF7D4C">
        <w:rPr>
          <w:lang w:val="en-GB"/>
        </w:rPr>
        <w:t xml:space="preserve"> </w:t>
      </w:r>
    </w:p>
    <w:p w14:paraId="3D9B8B68"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Information and security governance establishes the organisational direction through closely aligning the governance, risk and compliance (GRC) with strategic decision-making </w:t>
      </w:r>
      <w:r w:rsidR="00374D5E">
        <w:rPr>
          <w:rFonts w:ascii="Times New Roman" w:eastAsia="Times New Roman" w:hAnsi="Times New Roman" w:cs="Times New Roman"/>
          <w:sz w:val="24"/>
          <w:szCs w:val="24"/>
          <w:lang w:val="en-GB"/>
        </w:rPr>
        <w:t>[11, 12]</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 The GRC model connects the security objectives with a sense of risk ownership, regulatory obligations, as well as management accountability, which allows organisations to move beyond isolated technical controls </w:t>
      </w:r>
      <w:r w:rsidR="00374D5E">
        <w:rPr>
          <w:rFonts w:ascii="Times New Roman" w:eastAsia="Times New Roman" w:hAnsi="Times New Roman" w:cs="Times New Roman"/>
          <w:sz w:val="24"/>
          <w:szCs w:val="24"/>
          <w:lang w:val="en-GB"/>
        </w:rPr>
        <w:t>[13]</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Its value lies within effectively coordinating the policies, responsibilities and assurance mechanisms, while the </w:t>
      </w:r>
      <w:r w:rsidR="003262FB" w:rsidRPr="00DF7D4C">
        <w:rPr>
          <w:rFonts w:ascii="Times New Roman" w:eastAsia="Times New Roman" w:hAnsi="Times New Roman" w:cs="Times New Roman"/>
          <w:sz w:val="24"/>
          <w:szCs w:val="24"/>
          <w:lang w:val="en-GB"/>
        </w:rPr>
        <w:t>contains</w:t>
      </w:r>
      <w:r w:rsidRPr="00DF7D4C">
        <w:rPr>
          <w:rFonts w:ascii="Times New Roman" w:eastAsia="Times New Roman" w:hAnsi="Times New Roman" w:cs="Times New Roman"/>
          <w:sz w:val="24"/>
          <w:szCs w:val="24"/>
          <w:lang w:val="en-GB"/>
        </w:rPr>
        <w:t xml:space="preserve"> oversights supports the informed decision making along with stronger organisational adaptability. </w:t>
      </w:r>
    </w:p>
    <w:p w14:paraId="133FE7A8"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lastRenderedPageBreak/>
        <w:drawing>
          <wp:inline distT="114300" distB="114300" distL="114300" distR="114300" wp14:anchorId="1BD0D916" wp14:editId="3624D452">
            <wp:extent cx="4500563" cy="4132095"/>
            <wp:effectExtent l="76200" t="76200" r="128905" b="135255"/>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00563" cy="41320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A6C777" w14:textId="77777777" w:rsidR="00237D24" w:rsidRPr="00DF7D4C" w:rsidRDefault="00AF5F20" w:rsidP="003262FB">
      <w:pPr>
        <w:pStyle w:val="Heading4"/>
        <w:rPr>
          <w:lang w:val="en-GB"/>
        </w:rPr>
      </w:pPr>
      <w:bookmarkStart w:id="18" w:name="_h6bxuocq3s59" w:colFirst="0" w:colLast="0"/>
      <w:bookmarkEnd w:id="18"/>
      <w:r w:rsidRPr="00DF7D4C">
        <w:rPr>
          <w:bCs/>
          <w:lang w:val="en-GB"/>
        </w:rPr>
        <w:t xml:space="preserve">Figure </w:t>
      </w:r>
      <w:proofErr w:type="gramStart"/>
      <w:r w:rsidRPr="00DF7D4C">
        <w:rPr>
          <w:bCs/>
          <w:lang w:val="en-GB"/>
        </w:rPr>
        <w:t>4 :</w:t>
      </w:r>
      <w:r w:rsidRPr="00DF7D4C">
        <w:rPr>
          <w:lang w:val="en-GB"/>
        </w:rPr>
        <w:t>Security</w:t>
      </w:r>
      <w:proofErr w:type="gramEnd"/>
      <w:r w:rsidRPr="00DF7D4C">
        <w:rPr>
          <w:lang w:val="en-GB"/>
        </w:rPr>
        <w:t xml:space="preserve"> Governance Hierarchy</w:t>
      </w:r>
    </w:p>
    <w:p w14:paraId="3A3ED2E2"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172CF9DA" w14:textId="77777777" w:rsidR="00237D24" w:rsidRPr="00DF7D4C" w:rsidRDefault="00AF5F20" w:rsidP="003262FB">
      <w:pPr>
        <w:pStyle w:val="Heading2"/>
        <w:rPr>
          <w:b w:val="0"/>
          <w:lang w:val="en-GB"/>
        </w:rPr>
      </w:pPr>
      <w:bookmarkStart w:id="19" w:name="_nbd0rfazry0t" w:colFirst="0" w:colLast="0"/>
      <w:bookmarkStart w:id="20" w:name="_Toc237108116"/>
      <w:bookmarkEnd w:id="19"/>
      <w:r w:rsidRPr="00DF7D4C">
        <w:rPr>
          <w:lang w:val="en-GB"/>
        </w:rPr>
        <w:t xml:space="preserve">3.2 NIST </w:t>
      </w:r>
      <w:r w:rsidRPr="003262FB">
        <w:t>Cybersecurity</w:t>
      </w:r>
      <w:r w:rsidRPr="00DF7D4C">
        <w:rPr>
          <w:lang w:val="en-GB"/>
        </w:rPr>
        <w:t xml:space="preserve"> Framework 2.0</w:t>
      </w:r>
      <w:bookmarkEnd w:id="20"/>
      <w:r w:rsidRPr="00DF7D4C">
        <w:rPr>
          <w:lang w:val="en-GB"/>
        </w:rPr>
        <w:t xml:space="preserve"> </w:t>
      </w:r>
    </w:p>
    <w:p w14:paraId="3379DA31" w14:textId="77777777" w:rsidR="00237D24" w:rsidRPr="00DF7D4C" w:rsidRDefault="00AF5F20" w:rsidP="00374D5E">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NIST CSF 2.0 presents a risk-based structure through the help of Govern, Identify, Protect, Detect, Respond and Recover </w:t>
      </w:r>
      <w:r w:rsidR="00374D5E">
        <w:rPr>
          <w:rFonts w:ascii="Times New Roman" w:eastAsia="Times New Roman" w:hAnsi="Times New Roman" w:cs="Times New Roman"/>
          <w:sz w:val="24"/>
          <w:szCs w:val="24"/>
          <w:lang w:val="en-GB"/>
        </w:rPr>
        <w:t>[14]</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With respect to ALL, it can assist in effectively organising the security risks which arise from cloud services, IoT devices, remote access and ultimately third-party </w:t>
      </w:r>
      <w:r w:rsidR="00374D5E">
        <w:rPr>
          <w:rFonts w:ascii="Times New Roman" w:eastAsia="Times New Roman" w:hAnsi="Times New Roman" w:cs="Times New Roman"/>
          <w:sz w:val="24"/>
          <w:szCs w:val="24"/>
          <w:lang w:val="en-GB"/>
        </w:rPr>
        <w:t>[15]</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Besides that, its flexible approach also guides the changing operational needs, but it does not offer adequate detailed controls for every security requirement. Therefore, NIST can help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in enhancing their risk management approaches; however, it requires a sense of additional controls for effective implementation </w:t>
      </w:r>
      <w:r w:rsidR="00374D5E">
        <w:rPr>
          <w:rFonts w:ascii="Times New Roman" w:eastAsia="Times New Roman" w:hAnsi="Times New Roman" w:cs="Times New Roman"/>
          <w:sz w:val="24"/>
          <w:szCs w:val="24"/>
          <w:lang w:val="en-GB"/>
        </w:rPr>
        <w:t>[16]</w:t>
      </w:r>
      <w:r w:rsidR="00374D5E" w:rsidRPr="00DF7D4C">
        <w:rPr>
          <w:rFonts w:ascii="Times New Roman" w:eastAsia="Times New Roman" w:hAnsi="Times New Roman" w:cs="Times New Roman"/>
          <w:sz w:val="24"/>
          <w:szCs w:val="24"/>
          <w:lang w:val="en-GB"/>
        </w:rPr>
        <w:t>.</w:t>
      </w:r>
    </w:p>
    <w:p w14:paraId="64B453E7"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lastRenderedPageBreak/>
        <w:drawing>
          <wp:inline distT="114300" distB="114300" distL="114300" distR="114300" wp14:anchorId="3DF21186" wp14:editId="0A972351">
            <wp:extent cx="5731200" cy="4292600"/>
            <wp:effectExtent l="76200" t="76200" r="136525" b="12700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731200" cy="4292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03B768" w14:textId="77777777" w:rsidR="00237D24" w:rsidRPr="00DF7D4C" w:rsidRDefault="00AF5F20" w:rsidP="003262FB">
      <w:pPr>
        <w:pStyle w:val="Heading4"/>
        <w:rPr>
          <w:lang w:val="en-GB"/>
        </w:rPr>
      </w:pPr>
      <w:bookmarkStart w:id="21" w:name="_ifuqcmdct0la" w:colFirst="0" w:colLast="0"/>
      <w:bookmarkEnd w:id="21"/>
      <w:r w:rsidRPr="00DF7D4C">
        <w:rPr>
          <w:lang w:val="en-GB"/>
        </w:rPr>
        <w:t>Figure 5: NIST CSF 2.0 Lifecycle</w:t>
      </w:r>
    </w:p>
    <w:p w14:paraId="2A9FFF9A"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571D834C" w14:textId="77777777" w:rsidR="00237D24" w:rsidRPr="00DF7D4C" w:rsidRDefault="00AF5F20" w:rsidP="003262FB">
      <w:pPr>
        <w:pStyle w:val="Heading2"/>
        <w:rPr>
          <w:b w:val="0"/>
          <w:lang w:val="en-GB"/>
        </w:rPr>
      </w:pPr>
      <w:bookmarkStart w:id="22" w:name="_dyxwpn6uzhfc" w:colFirst="0" w:colLast="0"/>
      <w:bookmarkStart w:id="23" w:name="_Toc237108117"/>
      <w:bookmarkEnd w:id="22"/>
      <w:r w:rsidRPr="00DF7D4C">
        <w:rPr>
          <w:lang w:val="en-GB"/>
        </w:rPr>
        <w:t>3.3 ISO/IEC 27001 and ISO/IEC 27002</w:t>
      </w:r>
      <w:bookmarkEnd w:id="23"/>
      <w:r w:rsidRPr="00DF7D4C">
        <w:rPr>
          <w:lang w:val="en-GB"/>
        </w:rPr>
        <w:t xml:space="preserve"> </w:t>
      </w:r>
    </w:p>
    <w:p w14:paraId="2242D7F9"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ISO/IEC 27001 helps in establishing an Information Security Management System (ISMS) while ISO/IEC 27002 supports the practical implementation of the security controls </w:t>
      </w:r>
      <w:r w:rsidR="00374D5E">
        <w:rPr>
          <w:rFonts w:ascii="Times New Roman" w:eastAsia="Times New Roman" w:hAnsi="Times New Roman" w:cs="Times New Roman"/>
          <w:sz w:val="24"/>
          <w:szCs w:val="24"/>
          <w:lang w:val="en-GB"/>
        </w:rPr>
        <w:t>[17]</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With respect to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fragmented governance and the absence of the formal security assurance often maximise the exposure towards the data breaches, along with adherence gaps. Therefore, successfully implementing an ISMS can help in formalising the risk assessments, responsibilities and finally the control monitoring </w:t>
      </w:r>
      <w:r w:rsidR="00374D5E">
        <w:rPr>
          <w:rFonts w:ascii="Times New Roman" w:eastAsia="Times New Roman" w:hAnsi="Times New Roman" w:cs="Times New Roman"/>
          <w:sz w:val="24"/>
          <w:szCs w:val="24"/>
          <w:lang w:val="en-GB"/>
        </w:rPr>
        <w:t>[18]</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However, its resource requirements mean that the company needs to prioritise controls as per its most critical operations and information risks. </w:t>
      </w:r>
    </w:p>
    <w:p w14:paraId="79642B5E"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lastRenderedPageBreak/>
        <w:drawing>
          <wp:inline distT="114300" distB="114300" distL="114300" distR="114300" wp14:anchorId="63328189" wp14:editId="23A05DEE">
            <wp:extent cx="5731200" cy="3771900"/>
            <wp:effectExtent l="76200" t="76200" r="136525" b="13335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3771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E0B308" w14:textId="77777777" w:rsidR="00237D24" w:rsidRPr="00DF7D4C" w:rsidRDefault="00AF5F20" w:rsidP="003262FB">
      <w:pPr>
        <w:pStyle w:val="Heading4"/>
        <w:rPr>
          <w:lang w:val="en-GB"/>
        </w:rPr>
      </w:pPr>
      <w:bookmarkStart w:id="24" w:name="_ieiqhvq70qoc" w:colFirst="0" w:colLast="0"/>
      <w:bookmarkEnd w:id="24"/>
      <w:r w:rsidRPr="00DF7D4C">
        <w:rPr>
          <w:bCs/>
          <w:lang w:val="en-GB"/>
        </w:rPr>
        <w:t xml:space="preserve">Figure </w:t>
      </w:r>
      <w:r w:rsidR="0009446D" w:rsidRPr="00DF7D4C">
        <w:rPr>
          <w:bCs/>
          <w:lang w:val="en-GB"/>
        </w:rPr>
        <w:t>6:</w:t>
      </w:r>
      <w:r w:rsidR="003262FB">
        <w:rPr>
          <w:bCs/>
          <w:lang w:val="en-GB"/>
        </w:rPr>
        <w:t xml:space="preserve"> </w:t>
      </w:r>
      <w:r w:rsidRPr="00DF7D4C">
        <w:rPr>
          <w:lang w:val="en-GB"/>
        </w:rPr>
        <w:t>ISMS Continual Improvement Cycle</w:t>
      </w:r>
    </w:p>
    <w:p w14:paraId="5140F360"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43C58FED" w14:textId="77777777" w:rsidR="00237D24" w:rsidRPr="00DF7D4C" w:rsidRDefault="00AF5F20" w:rsidP="003262FB">
      <w:pPr>
        <w:pStyle w:val="Heading2"/>
        <w:rPr>
          <w:lang w:val="en-GB"/>
        </w:rPr>
      </w:pPr>
      <w:bookmarkStart w:id="25" w:name="_6ppe51s5h5y0" w:colFirst="0" w:colLast="0"/>
      <w:bookmarkStart w:id="26" w:name="_Toc237108118"/>
      <w:bookmarkEnd w:id="25"/>
      <w:r w:rsidRPr="00DF7D4C">
        <w:rPr>
          <w:lang w:val="en-GB"/>
        </w:rPr>
        <w:t>3.4 COBIT 2019</w:t>
      </w:r>
      <w:bookmarkEnd w:id="26"/>
      <w:r w:rsidRPr="00DF7D4C">
        <w:rPr>
          <w:lang w:val="en-GB"/>
        </w:rPr>
        <w:t xml:space="preserve"> </w:t>
      </w:r>
    </w:p>
    <w:p w14:paraId="0D2F6013"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COBIT 2019 focuses on governance, accountability, decision-making and performance, and thus extends the security management focused which has been previously established through the ISO/IEC 27001 </w:t>
      </w:r>
      <w:r w:rsidR="00374D5E">
        <w:rPr>
          <w:rFonts w:ascii="Times New Roman" w:eastAsia="Times New Roman" w:hAnsi="Times New Roman" w:cs="Times New Roman"/>
          <w:sz w:val="24"/>
          <w:szCs w:val="24"/>
          <w:lang w:val="en-GB"/>
        </w:rPr>
        <w:t>[19]</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With respect to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unclear responsibilities along with fragmented oversight can hinder control over both technology as well as external providers. In this context, COBIT can address this through the help of defined governance roles which closely align with the objectives and performance monitoring of the </w:t>
      </w:r>
      <w:r w:rsidR="00374D5E">
        <w:rPr>
          <w:rFonts w:ascii="Times New Roman" w:eastAsia="Times New Roman" w:hAnsi="Times New Roman" w:cs="Times New Roman"/>
          <w:sz w:val="24"/>
          <w:szCs w:val="24"/>
          <w:lang w:val="en-GB"/>
        </w:rPr>
        <w:t>[20, 21]</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However, unlike the ISO 27001’s comprehensive ISMS orientation, COBIT is broader. As a result, the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company is required to utilise this model to fortify its governance instead of replacing the operational security controls. </w:t>
      </w:r>
    </w:p>
    <w:p w14:paraId="6D857EBC"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lastRenderedPageBreak/>
        <w:drawing>
          <wp:inline distT="114300" distB="114300" distL="114300" distR="114300" wp14:anchorId="5A404249" wp14:editId="6E3BC7A7">
            <wp:extent cx="5731200" cy="3784600"/>
            <wp:effectExtent l="76200" t="76200" r="136525" b="139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784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5BD73A" w14:textId="77777777" w:rsidR="00237D24" w:rsidRPr="00DF7D4C" w:rsidRDefault="00AF5F20" w:rsidP="003262FB">
      <w:pPr>
        <w:pStyle w:val="Heading4"/>
        <w:rPr>
          <w:lang w:val="en-GB"/>
        </w:rPr>
      </w:pPr>
      <w:bookmarkStart w:id="27" w:name="_l7ou6vl7oiv7" w:colFirst="0" w:colLast="0"/>
      <w:bookmarkEnd w:id="27"/>
      <w:r w:rsidRPr="00DF7D4C">
        <w:rPr>
          <w:bCs/>
          <w:lang w:val="en-GB"/>
        </w:rPr>
        <w:t xml:space="preserve">Figure 7: </w:t>
      </w:r>
      <w:r w:rsidRPr="00DF7D4C">
        <w:rPr>
          <w:lang w:val="en-GB"/>
        </w:rPr>
        <w:t>COBIT Governance and Management Relationship</w:t>
      </w:r>
    </w:p>
    <w:p w14:paraId="1F5C9953"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3E72C30B" w14:textId="77777777" w:rsidR="00237D24" w:rsidRPr="00DF7D4C" w:rsidRDefault="00AF5F20" w:rsidP="003262FB">
      <w:pPr>
        <w:pStyle w:val="Heading2"/>
        <w:rPr>
          <w:b w:val="0"/>
          <w:lang w:val="en-GB"/>
        </w:rPr>
      </w:pPr>
      <w:bookmarkStart w:id="28" w:name="_getgarw6n0v4" w:colFirst="0" w:colLast="0"/>
      <w:bookmarkStart w:id="29" w:name="_Toc237108119"/>
      <w:bookmarkEnd w:id="28"/>
      <w:r w:rsidRPr="00DF7D4C">
        <w:rPr>
          <w:lang w:val="en-GB"/>
        </w:rPr>
        <w:t xml:space="preserve">3.5 </w:t>
      </w:r>
      <w:r w:rsidRPr="003262FB">
        <w:t>ITIL</w:t>
      </w:r>
      <w:r w:rsidRPr="00DF7D4C">
        <w:rPr>
          <w:lang w:val="en-GB"/>
        </w:rPr>
        <w:t xml:space="preserve"> 4</w:t>
      </w:r>
      <w:bookmarkEnd w:id="29"/>
    </w:p>
    <w:p w14:paraId="53B1582F" w14:textId="77777777" w:rsidR="00237D24"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ITIL 4 effectively supports IT service management through perfectly linking the service value, value streams, incident management and finally the continual </w:t>
      </w:r>
      <w:r w:rsidR="00374D5E">
        <w:rPr>
          <w:rFonts w:ascii="Times New Roman" w:eastAsia="Times New Roman" w:hAnsi="Times New Roman" w:cs="Times New Roman"/>
          <w:sz w:val="24"/>
          <w:szCs w:val="24"/>
          <w:lang w:val="en-GB"/>
        </w:rPr>
        <w:t>[22, 23]</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With respect to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this matters because disruptions towards the cloud-based tracking, warehousing and distribution services can quickly interrupt the continuity of logistics alongside client commitments. Besides that, its value-stream approach can assist in identifying where service weaknesses take place and thus enhance the delivery services, while incident management supports faster restoration.  As a result, ITIL can help in fortifying the service availability of this logistics firm while maintaining operational consistency through the help of continual enhancements. </w:t>
      </w:r>
    </w:p>
    <w:p w14:paraId="5590DF16" w14:textId="77777777" w:rsidR="00F82E87" w:rsidRPr="00DF7D4C" w:rsidRDefault="00F82E87" w:rsidP="00F82E87">
      <w:pPr>
        <w:spacing w:after="200" w:line="360" w:lineRule="auto"/>
        <w:jc w:val="center"/>
        <w:rPr>
          <w:rFonts w:ascii="Times New Roman" w:eastAsia="Times New Roman" w:hAnsi="Times New Roman" w:cs="Times New Roman"/>
          <w:sz w:val="24"/>
          <w:szCs w:val="24"/>
          <w:lang w:val="en-GB"/>
        </w:rPr>
      </w:pPr>
      <w:r>
        <w:rPr>
          <w:noProof/>
        </w:rPr>
        <w:lastRenderedPageBreak/>
        <w:drawing>
          <wp:inline distT="0" distB="0" distL="0" distR="0" wp14:anchorId="06674968" wp14:editId="4377D873">
            <wp:extent cx="4895850" cy="4610100"/>
            <wp:effectExtent l="76200" t="76200" r="133350" b="133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5850" cy="4610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CB2AEE" w14:textId="77777777" w:rsidR="00237D24" w:rsidRPr="00DF7D4C" w:rsidRDefault="00AF5F20" w:rsidP="00F82E87">
      <w:pPr>
        <w:pStyle w:val="Heading4"/>
        <w:rPr>
          <w:lang w:val="en-GB"/>
        </w:rPr>
      </w:pPr>
      <w:bookmarkStart w:id="30" w:name="_hls29nfqqf0d" w:colFirst="0" w:colLast="0"/>
      <w:bookmarkEnd w:id="30"/>
      <w:r w:rsidRPr="00DF7D4C">
        <w:rPr>
          <w:bCs/>
          <w:lang w:val="en-GB"/>
        </w:rPr>
        <w:t xml:space="preserve">Figure 8: </w:t>
      </w:r>
      <w:r w:rsidRPr="00DF7D4C">
        <w:rPr>
          <w:lang w:val="en-GB"/>
        </w:rPr>
        <w:t xml:space="preserve">ITIL 4 Service Value </w:t>
      </w:r>
      <w:r w:rsidRPr="00F82E87">
        <w:t>System</w:t>
      </w:r>
    </w:p>
    <w:p w14:paraId="5A3AC16E" w14:textId="77777777" w:rsidR="00237D24" w:rsidRPr="003262FB" w:rsidRDefault="00AF5F20" w:rsidP="003262FB">
      <w:pPr>
        <w:spacing w:after="200" w:line="360" w:lineRule="auto"/>
        <w:jc w:val="center"/>
        <w:rPr>
          <w:rFonts w:ascii="Times New Roman" w:eastAsia="Times New Roman" w:hAnsi="Times New Roman" w:cs="Times New Roman"/>
          <w:bCs/>
          <w:sz w:val="24"/>
          <w:szCs w:val="24"/>
          <w:lang w:val="en-GB"/>
        </w:rPr>
      </w:pPr>
      <w:r w:rsidRPr="003262FB">
        <w:rPr>
          <w:rFonts w:ascii="Times New Roman" w:eastAsia="Times New Roman" w:hAnsi="Times New Roman" w:cs="Times New Roman"/>
          <w:bCs/>
          <w:sz w:val="24"/>
          <w:szCs w:val="24"/>
          <w:lang w:val="en-GB"/>
        </w:rPr>
        <w:t>(Source: Self-developed)</w:t>
      </w:r>
    </w:p>
    <w:p w14:paraId="1B1B720E" w14:textId="77777777" w:rsidR="00237D24" w:rsidRPr="00DF7D4C" w:rsidRDefault="00AF5F20" w:rsidP="003262FB">
      <w:pPr>
        <w:pStyle w:val="Heading2"/>
        <w:rPr>
          <w:b w:val="0"/>
          <w:lang w:val="en-GB"/>
        </w:rPr>
      </w:pPr>
      <w:bookmarkStart w:id="31" w:name="_g201ktourtv0" w:colFirst="0" w:colLast="0"/>
      <w:bookmarkStart w:id="32" w:name="_Toc237108120"/>
      <w:bookmarkEnd w:id="31"/>
      <w:r w:rsidRPr="00DF7D4C">
        <w:rPr>
          <w:lang w:val="en-GB"/>
        </w:rPr>
        <w:t xml:space="preserve">3.6 Zero Trust </w:t>
      </w:r>
      <w:r w:rsidRPr="003262FB">
        <w:t>Security</w:t>
      </w:r>
      <w:r w:rsidRPr="00DF7D4C">
        <w:rPr>
          <w:lang w:val="en-GB"/>
        </w:rPr>
        <w:t xml:space="preserve"> Model</w:t>
      </w:r>
      <w:bookmarkEnd w:id="32"/>
      <w:r w:rsidRPr="00DF7D4C">
        <w:rPr>
          <w:lang w:val="en-GB"/>
        </w:rPr>
        <w:t xml:space="preserve"> </w:t>
      </w:r>
    </w:p>
    <w:p w14:paraId="06F33571"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Zero Trust assist in replacing implicit trust with continuous verification, least-privilege access, MFA and the micro segmentation and, thus making it specifically relevant to the remote workforce of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in combination with the unmanaged devices and third-party connections as well </w:t>
      </w:r>
      <w:r w:rsidR="00374D5E">
        <w:rPr>
          <w:rFonts w:ascii="Times New Roman" w:eastAsia="Times New Roman" w:hAnsi="Times New Roman" w:cs="Times New Roman"/>
          <w:sz w:val="24"/>
          <w:szCs w:val="24"/>
          <w:lang w:val="en-GB"/>
        </w:rPr>
        <w:t>[24]</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Though NIST CSF 2.0 presents the greater cybersecurity risk management procedures and COBIT 2019 assists in addressing the governance, Zero Trust solely concentrates on effectively controlling access towards resources </w:t>
      </w:r>
      <w:r w:rsidR="00374D5E">
        <w:rPr>
          <w:rFonts w:ascii="Times New Roman" w:eastAsia="Times New Roman" w:hAnsi="Times New Roman" w:cs="Times New Roman"/>
          <w:sz w:val="24"/>
          <w:szCs w:val="24"/>
          <w:lang w:val="en-GB"/>
        </w:rPr>
        <w:t>[25]</w:t>
      </w:r>
      <w:r w:rsidR="00374D5E"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With respect to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embracing the </w:t>
      </w:r>
      <w:proofErr w:type="gramStart"/>
      <w:r w:rsidRPr="00DF7D4C">
        <w:rPr>
          <w:rFonts w:ascii="Times New Roman" w:eastAsia="Times New Roman" w:hAnsi="Times New Roman" w:cs="Times New Roman"/>
          <w:sz w:val="24"/>
          <w:szCs w:val="24"/>
          <w:lang w:val="en-GB"/>
        </w:rPr>
        <w:t>zero trust</w:t>
      </w:r>
      <w:proofErr w:type="gramEnd"/>
      <w:r w:rsidRPr="00DF7D4C">
        <w:rPr>
          <w:rFonts w:ascii="Times New Roman" w:eastAsia="Times New Roman" w:hAnsi="Times New Roman" w:cs="Times New Roman"/>
          <w:sz w:val="24"/>
          <w:szCs w:val="24"/>
          <w:lang w:val="en-GB"/>
        </w:rPr>
        <w:t xml:space="preserve"> model will assist in lowering unauthorised access while restricting the impact of compromised identities or devices. </w:t>
      </w:r>
    </w:p>
    <w:p w14:paraId="3B55E5ED"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lastRenderedPageBreak/>
        <w:drawing>
          <wp:inline distT="114300" distB="114300" distL="114300" distR="114300" wp14:anchorId="67B77A0F" wp14:editId="04D279D4">
            <wp:extent cx="5171082" cy="2695575"/>
            <wp:effectExtent l="76200" t="76200" r="125095" b="123825"/>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185526" cy="27031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627F93" w14:textId="77777777" w:rsidR="00237D24" w:rsidRPr="00DF7D4C" w:rsidRDefault="00AF5F20" w:rsidP="003262FB">
      <w:pPr>
        <w:pStyle w:val="Heading4"/>
        <w:rPr>
          <w:b w:val="0"/>
          <w:lang w:val="en-GB"/>
        </w:rPr>
      </w:pPr>
      <w:bookmarkStart w:id="33" w:name="_tcxn8ort2iq6" w:colFirst="0" w:colLast="0"/>
      <w:bookmarkEnd w:id="33"/>
      <w:r w:rsidRPr="00DF7D4C">
        <w:rPr>
          <w:lang w:val="en-GB"/>
        </w:rPr>
        <w:t xml:space="preserve">Figure 9: Zero </w:t>
      </w:r>
      <w:r w:rsidRPr="003262FB">
        <w:t>Trust</w:t>
      </w:r>
      <w:r w:rsidRPr="00DF7D4C">
        <w:rPr>
          <w:lang w:val="en-GB"/>
        </w:rPr>
        <w:t xml:space="preserve"> </w:t>
      </w:r>
      <w:r w:rsidRPr="003262FB">
        <w:rPr>
          <w:lang w:val="en-GB"/>
        </w:rPr>
        <w:t>M</w:t>
      </w:r>
      <w:r w:rsidRPr="00DF7D4C">
        <w:rPr>
          <w:lang w:val="en-GB"/>
        </w:rPr>
        <w:t>odel</w:t>
      </w:r>
    </w:p>
    <w:p w14:paraId="02C51960"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5E6B2BB9" w14:textId="77777777" w:rsidR="00237D24" w:rsidRPr="00DF7D4C" w:rsidRDefault="00AF5F20" w:rsidP="003262FB">
      <w:pPr>
        <w:pStyle w:val="Heading2"/>
        <w:rPr>
          <w:lang w:val="en-GB"/>
        </w:rPr>
      </w:pPr>
      <w:bookmarkStart w:id="34" w:name="_d0txbgdm6bcd" w:colFirst="0" w:colLast="0"/>
      <w:bookmarkStart w:id="35" w:name="_Toc237108121"/>
      <w:bookmarkEnd w:id="34"/>
      <w:r w:rsidRPr="00DF7D4C">
        <w:rPr>
          <w:lang w:val="en-GB"/>
        </w:rPr>
        <w:t xml:space="preserve">3.7 Comparative </w:t>
      </w:r>
      <w:r w:rsidRPr="003262FB">
        <w:t>Evaluation</w:t>
      </w:r>
      <w:r w:rsidRPr="00DF7D4C">
        <w:rPr>
          <w:lang w:val="en-GB"/>
        </w:rPr>
        <w:t xml:space="preserve"> and Selection</w:t>
      </w:r>
      <w:bookmarkEnd w:id="35"/>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1329"/>
        <w:gridCol w:w="1454"/>
        <w:gridCol w:w="1529"/>
        <w:gridCol w:w="1616"/>
        <w:gridCol w:w="1467"/>
        <w:gridCol w:w="1616"/>
      </w:tblGrid>
      <w:tr w:rsidR="00237D24" w:rsidRPr="00DF7D4C" w14:paraId="7A528892" w14:textId="77777777" w:rsidTr="0009446D">
        <w:trPr>
          <w:trHeight w:val="510"/>
        </w:trPr>
        <w:tc>
          <w:tcPr>
            <w:tcW w:w="732" w:type="pct"/>
            <w:tcBorders>
              <w:top w:val="single" w:sz="7" w:space="0" w:color="000000"/>
              <w:left w:val="single" w:sz="7" w:space="0" w:color="000000"/>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50794CB9"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Framework</w:t>
            </w:r>
          </w:p>
        </w:tc>
        <w:tc>
          <w:tcPr>
            <w:tcW w:w="803" w:type="pct"/>
            <w:tcBorders>
              <w:top w:val="single" w:sz="7" w:space="0" w:color="000000"/>
              <w:left w:val="nil"/>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588130FE"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Primary Contribution</w:t>
            </w:r>
          </w:p>
        </w:tc>
        <w:tc>
          <w:tcPr>
            <w:tcW w:w="825" w:type="pct"/>
            <w:tcBorders>
              <w:top w:val="single" w:sz="7" w:space="0" w:color="000000"/>
              <w:left w:val="nil"/>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6F416DAB"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Key Strength</w:t>
            </w:r>
          </w:p>
        </w:tc>
        <w:tc>
          <w:tcPr>
            <w:tcW w:w="903" w:type="pct"/>
            <w:tcBorders>
              <w:top w:val="single" w:sz="7" w:space="0" w:color="000000"/>
              <w:left w:val="nil"/>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3C191A74"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Main Limitation</w:t>
            </w:r>
          </w:p>
        </w:tc>
        <w:tc>
          <w:tcPr>
            <w:tcW w:w="794" w:type="pct"/>
            <w:tcBorders>
              <w:top w:val="single" w:sz="7" w:space="0" w:color="000000"/>
              <w:left w:val="nil"/>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2A18AC2F"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Relevance to ALL</w:t>
            </w:r>
          </w:p>
        </w:tc>
        <w:tc>
          <w:tcPr>
            <w:tcW w:w="942" w:type="pct"/>
            <w:tcBorders>
              <w:top w:val="single" w:sz="7" w:space="0" w:color="000000"/>
              <w:left w:val="nil"/>
              <w:bottom w:val="single" w:sz="7" w:space="0" w:color="000000"/>
              <w:right w:val="single" w:sz="7" w:space="0" w:color="000000"/>
            </w:tcBorders>
            <w:shd w:val="clear" w:color="auto" w:fill="DAEEF3" w:themeFill="accent5" w:themeFillTint="33"/>
            <w:tcMar>
              <w:top w:w="0" w:type="dxa"/>
              <w:left w:w="100" w:type="dxa"/>
              <w:bottom w:w="0" w:type="dxa"/>
              <w:right w:w="100" w:type="dxa"/>
            </w:tcMar>
          </w:tcPr>
          <w:p w14:paraId="0F924AF6" w14:textId="77777777" w:rsidR="00237D24" w:rsidRPr="00DF7D4C" w:rsidRDefault="00AF5F20" w:rsidP="0009446D">
            <w:pPr>
              <w:spacing w:after="200" w:line="360" w:lineRule="auto"/>
              <w:jc w:val="center"/>
              <w:rPr>
                <w:rFonts w:ascii="Times New Roman" w:eastAsia="Times New Roman" w:hAnsi="Times New Roman" w:cs="Times New Roman"/>
                <w:b/>
                <w:bCs/>
                <w:sz w:val="24"/>
                <w:szCs w:val="24"/>
                <w:lang w:val="en-GB"/>
              </w:rPr>
            </w:pPr>
            <w:r w:rsidRPr="00DF7D4C">
              <w:rPr>
                <w:rFonts w:ascii="Times New Roman" w:eastAsia="Times New Roman" w:hAnsi="Times New Roman" w:cs="Times New Roman"/>
                <w:b/>
                <w:bCs/>
                <w:sz w:val="24"/>
                <w:szCs w:val="24"/>
                <w:lang w:val="en-GB"/>
              </w:rPr>
              <w:t>Recommended Role</w:t>
            </w:r>
          </w:p>
        </w:tc>
      </w:tr>
      <w:tr w:rsidR="00237D24" w:rsidRPr="00DF7D4C" w14:paraId="5FE624D3" w14:textId="77777777" w:rsidTr="0009446D">
        <w:trPr>
          <w:trHeight w:val="510"/>
        </w:trPr>
        <w:tc>
          <w:tcPr>
            <w:tcW w:w="73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B4E34A3"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NIST CSF</w:t>
            </w:r>
          </w:p>
        </w:tc>
        <w:tc>
          <w:tcPr>
            <w:tcW w:w="803" w:type="pct"/>
            <w:tcBorders>
              <w:top w:val="nil"/>
              <w:left w:val="nil"/>
              <w:bottom w:val="single" w:sz="7" w:space="0" w:color="000000"/>
              <w:right w:val="single" w:sz="7" w:space="0" w:color="000000"/>
            </w:tcBorders>
            <w:tcMar>
              <w:top w:w="0" w:type="dxa"/>
              <w:left w:w="100" w:type="dxa"/>
              <w:bottom w:w="0" w:type="dxa"/>
              <w:right w:w="100" w:type="dxa"/>
            </w:tcMar>
          </w:tcPr>
          <w:p w14:paraId="124624C3"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Cyber risk lifecycle</w:t>
            </w:r>
          </w:p>
        </w:tc>
        <w:tc>
          <w:tcPr>
            <w:tcW w:w="825" w:type="pct"/>
            <w:tcBorders>
              <w:top w:val="nil"/>
              <w:left w:val="nil"/>
              <w:bottom w:val="single" w:sz="7" w:space="0" w:color="000000"/>
              <w:right w:val="single" w:sz="7" w:space="0" w:color="000000"/>
            </w:tcBorders>
            <w:tcMar>
              <w:top w:w="0" w:type="dxa"/>
              <w:left w:w="100" w:type="dxa"/>
              <w:bottom w:w="0" w:type="dxa"/>
              <w:right w:w="100" w:type="dxa"/>
            </w:tcMar>
          </w:tcPr>
          <w:p w14:paraId="27FD149F"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Flexible</w:t>
            </w:r>
          </w:p>
        </w:tc>
        <w:tc>
          <w:tcPr>
            <w:tcW w:w="903" w:type="pct"/>
            <w:tcBorders>
              <w:top w:val="nil"/>
              <w:left w:val="nil"/>
              <w:bottom w:val="single" w:sz="7" w:space="0" w:color="000000"/>
              <w:right w:val="single" w:sz="7" w:space="0" w:color="000000"/>
            </w:tcBorders>
            <w:tcMar>
              <w:top w:w="0" w:type="dxa"/>
              <w:left w:w="100" w:type="dxa"/>
              <w:bottom w:w="0" w:type="dxa"/>
              <w:right w:w="100" w:type="dxa"/>
            </w:tcMar>
          </w:tcPr>
          <w:p w14:paraId="330CF20D"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Less prescriptive</w:t>
            </w:r>
          </w:p>
        </w:tc>
        <w:tc>
          <w:tcPr>
            <w:tcW w:w="794" w:type="pct"/>
            <w:tcBorders>
              <w:top w:val="nil"/>
              <w:left w:val="nil"/>
              <w:bottom w:val="single" w:sz="7" w:space="0" w:color="000000"/>
              <w:right w:val="single" w:sz="7" w:space="0" w:color="000000"/>
            </w:tcBorders>
            <w:tcMar>
              <w:top w:w="0" w:type="dxa"/>
              <w:left w:w="100" w:type="dxa"/>
              <w:bottom w:w="0" w:type="dxa"/>
              <w:right w:w="100" w:type="dxa"/>
            </w:tcMar>
          </w:tcPr>
          <w:p w14:paraId="12AEB1D8"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High</w:t>
            </w:r>
          </w:p>
        </w:tc>
        <w:tc>
          <w:tcPr>
            <w:tcW w:w="942" w:type="pct"/>
            <w:tcBorders>
              <w:top w:val="nil"/>
              <w:left w:val="nil"/>
              <w:bottom w:val="single" w:sz="7" w:space="0" w:color="000000"/>
              <w:right w:val="single" w:sz="7" w:space="0" w:color="000000"/>
            </w:tcBorders>
            <w:tcMar>
              <w:top w:w="0" w:type="dxa"/>
              <w:left w:w="100" w:type="dxa"/>
              <w:bottom w:w="0" w:type="dxa"/>
              <w:right w:w="100" w:type="dxa"/>
            </w:tcMar>
          </w:tcPr>
          <w:p w14:paraId="52E96C22"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Operational security </w:t>
            </w:r>
            <w:r w:rsidR="00324DA0">
              <w:rPr>
                <w:rFonts w:ascii="Times New Roman" w:eastAsia="Times New Roman" w:hAnsi="Times New Roman" w:cs="Times New Roman"/>
                <w:sz w:val="24"/>
                <w:szCs w:val="24"/>
                <w:lang w:val="en-GB"/>
              </w:rPr>
              <w:t>[26]</w:t>
            </w:r>
            <w:r w:rsidR="00324DA0" w:rsidRPr="00DF7D4C">
              <w:rPr>
                <w:rFonts w:ascii="Times New Roman" w:eastAsia="Times New Roman" w:hAnsi="Times New Roman" w:cs="Times New Roman"/>
                <w:sz w:val="24"/>
                <w:szCs w:val="24"/>
                <w:lang w:val="en-GB"/>
              </w:rPr>
              <w:t>.</w:t>
            </w:r>
          </w:p>
        </w:tc>
      </w:tr>
      <w:tr w:rsidR="00237D24" w:rsidRPr="00DF7D4C" w14:paraId="0AEBA70A" w14:textId="77777777" w:rsidTr="0009446D">
        <w:trPr>
          <w:trHeight w:val="510"/>
        </w:trPr>
        <w:tc>
          <w:tcPr>
            <w:tcW w:w="73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B1F8FA4"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ISO 27001</w:t>
            </w:r>
          </w:p>
        </w:tc>
        <w:tc>
          <w:tcPr>
            <w:tcW w:w="803" w:type="pct"/>
            <w:tcBorders>
              <w:top w:val="nil"/>
              <w:left w:val="nil"/>
              <w:bottom w:val="single" w:sz="7" w:space="0" w:color="000000"/>
              <w:right w:val="single" w:sz="7" w:space="0" w:color="000000"/>
            </w:tcBorders>
            <w:tcMar>
              <w:top w:w="0" w:type="dxa"/>
              <w:left w:w="100" w:type="dxa"/>
              <w:bottom w:w="0" w:type="dxa"/>
              <w:right w:w="100" w:type="dxa"/>
            </w:tcMar>
          </w:tcPr>
          <w:p w14:paraId="24D64A04"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ISMS</w:t>
            </w:r>
          </w:p>
        </w:tc>
        <w:tc>
          <w:tcPr>
            <w:tcW w:w="825" w:type="pct"/>
            <w:tcBorders>
              <w:top w:val="nil"/>
              <w:left w:val="nil"/>
              <w:bottom w:val="single" w:sz="7" w:space="0" w:color="000000"/>
              <w:right w:val="single" w:sz="7" w:space="0" w:color="000000"/>
            </w:tcBorders>
            <w:tcMar>
              <w:top w:w="0" w:type="dxa"/>
              <w:left w:w="100" w:type="dxa"/>
              <w:bottom w:w="0" w:type="dxa"/>
              <w:right w:w="100" w:type="dxa"/>
            </w:tcMar>
          </w:tcPr>
          <w:p w14:paraId="4BE24136"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Formal governance</w:t>
            </w:r>
          </w:p>
        </w:tc>
        <w:tc>
          <w:tcPr>
            <w:tcW w:w="903" w:type="pct"/>
            <w:tcBorders>
              <w:top w:val="nil"/>
              <w:left w:val="nil"/>
              <w:bottom w:val="single" w:sz="7" w:space="0" w:color="000000"/>
              <w:right w:val="single" w:sz="7" w:space="0" w:color="000000"/>
            </w:tcBorders>
            <w:tcMar>
              <w:top w:w="0" w:type="dxa"/>
              <w:left w:w="100" w:type="dxa"/>
              <w:bottom w:w="0" w:type="dxa"/>
              <w:right w:w="100" w:type="dxa"/>
            </w:tcMar>
          </w:tcPr>
          <w:p w14:paraId="41EC9294"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Resource intensive</w:t>
            </w:r>
          </w:p>
        </w:tc>
        <w:tc>
          <w:tcPr>
            <w:tcW w:w="794" w:type="pct"/>
            <w:tcBorders>
              <w:top w:val="nil"/>
              <w:left w:val="nil"/>
              <w:bottom w:val="single" w:sz="7" w:space="0" w:color="000000"/>
              <w:right w:val="single" w:sz="7" w:space="0" w:color="000000"/>
            </w:tcBorders>
            <w:tcMar>
              <w:top w:w="0" w:type="dxa"/>
              <w:left w:w="100" w:type="dxa"/>
              <w:bottom w:w="0" w:type="dxa"/>
              <w:right w:w="100" w:type="dxa"/>
            </w:tcMar>
          </w:tcPr>
          <w:p w14:paraId="2BC00910"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High</w:t>
            </w:r>
          </w:p>
        </w:tc>
        <w:tc>
          <w:tcPr>
            <w:tcW w:w="942" w:type="pct"/>
            <w:tcBorders>
              <w:top w:val="nil"/>
              <w:left w:val="nil"/>
              <w:bottom w:val="single" w:sz="7" w:space="0" w:color="000000"/>
              <w:right w:val="single" w:sz="7" w:space="0" w:color="000000"/>
            </w:tcBorders>
            <w:tcMar>
              <w:top w:w="0" w:type="dxa"/>
              <w:left w:w="100" w:type="dxa"/>
              <w:bottom w:w="0" w:type="dxa"/>
              <w:right w:w="100" w:type="dxa"/>
            </w:tcMar>
          </w:tcPr>
          <w:p w14:paraId="012887BA"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Security management</w:t>
            </w:r>
          </w:p>
        </w:tc>
      </w:tr>
      <w:tr w:rsidR="00237D24" w:rsidRPr="00DF7D4C" w14:paraId="01702153" w14:textId="77777777" w:rsidTr="0009446D">
        <w:trPr>
          <w:trHeight w:val="510"/>
        </w:trPr>
        <w:tc>
          <w:tcPr>
            <w:tcW w:w="73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D73F484"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COBIT</w:t>
            </w:r>
          </w:p>
        </w:tc>
        <w:tc>
          <w:tcPr>
            <w:tcW w:w="803" w:type="pct"/>
            <w:tcBorders>
              <w:top w:val="nil"/>
              <w:left w:val="nil"/>
              <w:bottom w:val="single" w:sz="7" w:space="0" w:color="000000"/>
              <w:right w:val="single" w:sz="7" w:space="0" w:color="000000"/>
            </w:tcBorders>
            <w:tcMar>
              <w:top w:w="0" w:type="dxa"/>
              <w:left w:w="100" w:type="dxa"/>
              <w:bottom w:w="0" w:type="dxa"/>
              <w:right w:w="100" w:type="dxa"/>
            </w:tcMar>
          </w:tcPr>
          <w:p w14:paraId="34782EAE"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IT governance</w:t>
            </w:r>
          </w:p>
        </w:tc>
        <w:tc>
          <w:tcPr>
            <w:tcW w:w="825" w:type="pct"/>
            <w:tcBorders>
              <w:top w:val="nil"/>
              <w:left w:val="nil"/>
              <w:bottom w:val="single" w:sz="7" w:space="0" w:color="000000"/>
              <w:right w:val="single" w:sz="7" w:space="0" w:color="000000"/>
            </w:tcBorders>
            <w:tcMar>
              <w:top w:w="0" w:type="dxa"/>
              <w:left w:w="100" w:type="dxa"/>
              <w:bottom w:w="0" w:type="dxa"/>
              <w:right w:w="100" w:type="dxa"/>
            </w:tcMar>
          </w:tcPr>
          <w:p w14:paraId="01A38652"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Accountability</w:t>
            </w:r>
          </w:p>
        </w:tc>
        <w:tc>
          <w:tcPr>
            <w:tcW w:w="903" w:type="pct"/>
            <w:tcBorders>
              <w:top w:val="nil"/>
              <w:left w:val="nil"/>
              <w:bottom w:val="single" w:sz="7" w:space="0" w:color="000000"/>
              <w:right w:val="single" w:sz="7" w:space="0" w:color="000000"/>
            </w:tcBorders>
            <w:tcMar>
              <w:top w:w="0" w:type="dxa"/>
              <w:left w:w="100" w:type="dxa"/>
              <w:bottom w:w="0" w:type="dxa"/>
              <w:right w:w="100" w:type="dxa"/>
            </w:tcMar>
          </w:tcPr>
          <w:p w14:paraId="79649CFD"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Can be complex</w:t>
            </w:r>
          </w:p>
        </w:tc>
        <w:tc>
          <w:tcPr>
            <w:tcW w:w="794" w:type="pct"/>
            <w:tcBorders>
              <w:top w:val="nil"/>
              <w:left w:val="nil"/>
              <w:bottom w:val="single" w:sz="7" w:space="0" w:color="000000"/>
              <w:right w:val="single" w:sz="7" w:space="0" w:color="000000"/>
            </w:tcBorders>
            <w:tcMar>
              <w:top w:w="0" w:type="dxa"/>
              <w:left w:w="100" w:type="dxa"/>
              <w:bottom w:w="0" w:type="dxa"/>
              <w:right w:w="100" w:type="dxa"/>
            </w:tcMar>
          </w:tcPr>
          <w:p w14:paraId="23E78A04"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High</w:t>
            </w:r>
          </w:p>
        </w:tc>
        <w:tc>
          <w:tcPr>
            <w:tcW w:w="942" w:type="pct"/>
            <w:tcBorders>
              <w:top w:val="nil"/>
              <w:left w:val="nil"/>
              <w:bottom w:val="single" w:sz="7" w:space="0" w:color="000000"/>
              <w:right w:val="single" w:sz="7" w:space="0" w:color="000000"/>
            </w:tcBorders>
            <w:tcMar>
              <w:top w:w="0" w:type="dxa"/>
              <w:left w:w="100" w:type="dxa"/>
              <w:bottom w:w="0" w:type="dxa"/>
              <w:right w:w="100" w:type="dxa"/>
            </w:tcMar>
          </w:tcPr>
          <w:p w14:paraId="04A678AC"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Strategic governance</w:t>
            </w:r>
          </w:p>
        </w:tc>
      </w:tr>
      <w:tr w:rsidR="00237D24" w:rsidRPr="00DF7D4C" w14:paraId="005AC148" w14:textId="77777777" w:rsidTr="0009446D">
        <w:trPr>
          <w:trHeight w:val="510"/>
        </w:trPr>
        <w:tc>
          <w:tcPr>
            <w:tcW w:w="73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5BB2187"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ITIL 4</w:t>
            </w:r>
          </w:p>
        </w:tc>
        <w:tc>
          <w:tcPr>
            <w:tcW w:w="803" w:type="pct"/>
            <w:tcBorders>
              <w:top w:val="nil"/>
              <w:left w:val="nil"/>
              <w:bottom w:val="single" w:sz="7" w:space="0" w:color="000000"/>
              <w:right w:val="single" w:sz="7" w:space="0" w:color="000000"/>
            </w:tcBorders>
            <w:tcMar>
              <w:top w:w="0" w:type="dxa"/>
              <w:left w:w="100" w:type="dxa"/>
              <w:bottom w:w="0" w:type="dxa"/>
              <w:right w:w="100" w:type="dxa"/>
            </w:tcMar>
          </w:tcPr>
          <w:p w14:paraId="3702109C"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IT service management</w:t>
            </w:r>
          </w:p>
        </w:tc>
        <w:tc>
          <w:tcPr>
            <w:tcW w:w="825" w:type="pct"/>
            <w:tcBorders>
              <w:top w:val="nil"/>
              <w:left w:val="nil"/>
              <w:bottom w:val="single" w:sz="7" w:space="0" w:color="000000"/>
              <w:right w:val="single" w:sz="7" w:space="0" w:color="000000"/>
            </w:tcBorders>
            <w:tcMar>
              <w:top w:w="0" w:type="dxa"/>
              <w:left w:w="100" w:type="dxa"/>
              <w:bottom w:w="0" w:type="dxa"/>
              <w:right w:w="100" w:type="dxa"/>
            </w:tcMar>
          </w:tcPr>
          <w:p w14:paraId="65440A6F"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Service resilience</w:t>
            </w:r>
          </w:p>
        </w:tc>
        <w:tc>
          <w:tcPr>
            <w:tcW w:w="903" w:type="pct"/>
            <w:tcBorders>
              <w:top w:val="nil"/>
              <w:left w:val="nil"/>
              <w:bottom w:val="single" w:sz="7" w:space="0" w:color="000000"/>
              <w:right w:val="single" w:sz="7" w:space="0" w:color="000000"/>
            </w:tcBorders>
            <w:tcMar>
              <w:top w:w="0" w:type="dxa"/>
              <w:left w:w="100" w:type="dxa"/>
              <w:bottom w:w="0" w:type="dxa"/>
              <w:right w:w="100" w:type="dxa"/>
            </w:tcMar>
          </w:tcPr>
          <w:p w14:paraId="7E513563"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Not security-specific</w:t>
            </w:r>
          </w:p>
        </w:tc>
        <w:tc>
          <w:tcPr>
            <w:tcW w:w="794" w:type="pct"/>
            <w:tcBorders>
              <w:top w:val="nil"/>
              <w:left w:val="nil"/>
              <w:bottom w:val="single" w:sz="7" w:space="0" w:color="000000"/>
              <w:right w:val="single" w:sz="7" w:space="0" w:color="000000"/>
            </w:tcBorders>
            <w:tcMar>
              <w:top w:w="0" w:type="dxa"/>
              <w:left w:w="100" w:type="dxa"/>
              <w:bottom w:w="0" w:type="dxa"/>
              <w:right w:w="100" w:type="dxa"/>
            </w:tcMar>
          </w:tcPr>
          <w:p w14:paraId="0C7A1AD8"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Medium/High</w:t>
            </w:r>
          </w:p>
        </w:tc>
        <w:tc>
          <w:tcPr>
            <w:tcW w:w="942" w:type="pct"/>
            <w:tcBorders>
              <w:top w:val="nil"/>
              <w:left w:val="nil"/>
              <w:bottom w:val="single" w:sz="7" w:space="0" w:color="000000"/>
              <w:right w:val="single" w:sz="7" w:space="0" w:color="000000"/>
            </w:tcBorders>
            <w:tcMar>
              <w:top w:w="0" w:type="dxa"/>
              <w:left w:w="100" w:type="dxa"/>
              <w:bottom w:w="0" w:type="dxa"/>
              <w:right w:w="100" w:type="dxa"/>
            </w:tcMar>
          </w:tcPr>
          <w:p w14:paraId="436477F5"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Service operations</w:t>
            </w:r>
          </w:p>
        </w:tc>
      </w:tr>
      <w:tr w:rsidR="00237D24" w:rsidRPr="00DF7D4C" w14:paraId="0B4CB6B0" w14:textId="77777777" w:rsidTr="0009446D">
        <w:trPr>
          <w:trHeight w:val="765"/>
        </w:trPr>
        <w:tc>
          <w:tcPr>
            <w:tcW w:w="732" w:type="pct"/>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4B5A160"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Zero Trust</w:t>
            </w:r>
          </w:p>
        </w:tc>
        <w:tc>
          <w:tcPr>
            <w:tcW w:w="803" w:type="pct"/>
            <w:tcBorders>
              <w:top w:val="nil"/>
              <w:left w:val="nil"/>
              <w:bottom w:val="single" w:sz="7" w:space="0" w:color="000000"/>
              <w:right w:val="single" w:sz="7" w:space="0" w:color="000000"/>
            </w:tcBorders>
            <w:tcMar>
              <w:top w:w="0" w:type="dxa"/>
              <w:left w:w="100" w:type="dxa"/>
              <w:bottom w:w="0" w:type="dxa"/>
              <w:right w:w="100" w:type="dxa"/>
            </w:tcMar>
          </w:tcPr>
          <w:p w14:paraId="36FCBEE3"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Access security</w:t>
            </w:r>
          </w:p>
        </w:tc>
        <w:tc>
          <w:tcPr>
            <w:tcW w:w="825" w:type="pct"/>
            <w:tcBorders>
              <w:top w:val="nil"/>
              <w:left w:val="nil"/>
              <w:bottom w:val="single" w:sz="7" w:space="0" w:color="000000"/>
              <w:right w:val="single" w:sz="7" w:space="0" w:color="000000"/>
            </w:tcBorders>
            <w:tcMar>
              <w:top w:w="0" w:type="dxa"/>
              <w:left w:w="100" w:type="dxa"/>
              <w:bottom w:w="0" w:type="dxa"/>
              <w:right w:w="100" w:type="dxa"/>
            </w:tcMar>
          </w:tcPr>
          <w:p w14:paraId="1933D89E"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Strong remote-access model</w:t>
            </w:r>
          </w:p>
        </w:tc>
        <w:tc>
          <w:tcPr>
            <w:tcW w:w="903" w:type="pct"/>
            <w:tcBorders>
              <w:top w:val="nil"/>
              <w:left w:val="nil"/>
              <w:bottom w:val="single" w:sz="7" w:space="0" w:color="000000"/>
              <w:right w:val="single" w:sz="7" w:space="0" w:color="000000"/>
            </w:tcBorders>
            <w:tcMar>
              <w:top w:w="0" w:type="dxa"/>
              <w:left w:w="100" w:type="dxa"/>
              <w:bottom w:w="0" w:type="dxa"/>
              <w:right w:w="100" w:type="dxa"/>
            </w:tcMar>
          </w:tcPr>
          <w:p w14:paraId="7509EA2E"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Implementation complexity</w:t>
            </w:r>
          </w:p>
        </w:tc>
        <w:tc>
          <w:tcPr>
            <w:tcW w:w="794" w:type="pct"/>
            <w:tcBorders>
              <w:top w:val="nil"/>
              <w:left w:val="nil"/>
              <w:bottom w:val="single" w:sz="7" w:space="0" w:color="000000"/>
              <w:right w:val="single" w:sz="7" w:space="0" w:color="000000"/>
            </w:tcBorders>
            <w:tcMar>
              <w:top w:w="0" w:type="dxa"/>
              <w:left w:w="100" w:type="dxa"/>
              <w:bottom w:w="0" w:type="dxa"/>
              <w:right w:w="100" w:type="dxa"/>
            </w:tcMar>
          </w:tcPr>
          <w:p w14:paraId="1869DD2D"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Very High</w:t>
            </w:r>
          </w:p>
        </w:tc>
        <w:tc>
          <w:tcPr>
            <w:tcW w:w="942" w:type="pct"/>
            <w:tcBorders>
              <w:top w:val="nil"/>
              <w:left w:val="nil"/>
              <w:bottom w:val="single" w:sz="7" w:space="0" w:color="000000"/>
              <w:right w:val="single" w:sz="7" w:space="0" w:color="000000"/>
            </w:tcBorders>
            <w:tcMar>
              <w:top w:w="0" w:type="dxa"/>
              <w:left w:w="100" w:type="dxa"/>
              <w:bottom w:w="0" w:type="dxa"/>
              <w:right w:w="100" w:type="dxa"/>
            </w:tcMar>
          </w:tcPr>
          <w:p w14:paraId="3056C191"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Access architecture </w:t>
            </w:r>
            <w:r w:rsidR="00324DA0">
              <w:rPr>
                <w:rFonts w:ascii="Times New Roman" w:eastAsia="Times New Roman" w:hAnsi="Times New Roman" w:cs="Times New Roman"/>
                <w:sz w:val="24"/>
                <w:szCs w:val="24"/>
                <w:lang w:val="en-GB"/>
              </w:rPr>
              <w:t>[27]</w:t>
            </w:r>
            <w:r w:rsidR="00324DA0" w:rsidRPr="00DF7D4C">
              <w:rPr>
                <w:rFonts w:ascii="Times New Roman" w:eastAsia="Times New Roman" w:hAnsi="Times New Roman" w:cs="Times New Roman"/>
                <w:sz w:val="24"/>
                <w:szCs w:val="24"/>
                <w:lang w:val="en-GB"/>
              </w:rPr>
              <w:t>.</w:t>
            </w:r>
          </w:p>
        </w:tc>
      </w:tr>
    </w:tbl>
    <w:p w14:paraId="19093DB4" w14:textId="77777777" w:rsidR="00237D24" w:rsidRPr="00DF7D4C" w:rsidRDefault="00AF5F20" w:rsidP="003262FB">
      <w:pPr>
        <w:pStyle w:val="Heading4"/>
        <w:rPr>
          <w:lang w:val="en-GB"/>
        </w:rPr>
      </w:pPr>
      <w:r w:rsidRPr="00DF7D4C">
        <w:rPr>
          <w:lang w:val="en-GB"/>
        </w:rPr>
        <w:lastRenderedPageBreak/>
        <w:t xml:space="preserve">Table </w:t>
      </w:r>
      <w:r w:rsidR="00BD5673" w:rsidRPr="00DF7D4C">
        <w:rPr>
          <w:lang w:val="en-GB"/>
        </w:rPr>
        <w:t>2:</w:t>
      </w:r>
      <w:r w:rsidRPr="00DF7D4C">
        <w:rPr>
          <w:lang w:val="en-GB"/>
        </w:rPr>
        <w:t xml:space="preserve"> Comparative analysis</w:t>
      </w:r>
    </w:p>
    <w:p w14:paraId="1290EBF9"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5CB9712B" w14:textId="77777777" w:rsidR="00237D24" w:rsidRPr="00DF7D4C" w:rsidRDefault="00AF5F20" w:rsidP="003262FB">
      <w:pPr>
        <w:pStyle w:val="Heading1"/>
        <w:rPr>
          <w:b w:val="0"/>
          <w:lang w:val="en-GB"/>
        </w:rPr>
      </w:pPr>
      <w:bookmarkStart w:id="36" w:name="_i4dz2vliozyz" w:colFirst="0" w:colLast="0"/>
      <w:bookmarkStart w:id="37" w:name="_Toc237108122"/>
      <w:bookmarkEnd w:id="36"/>
      <w:r w:rsidRPr="00DF7D4C">
        <w:rPr>
          <w:lang w:val="en-GB"/>
        </w:rPr>
        <w:t xml:space="preserve">4. Proposed Integrated Security </w:t>
      </w:r>
      <w:r w:rsidRPr="003262FB">
        <w:t>Governance</w:t>
      </w:r>
      <w:r w:rsidRPr="00DF7D4C">
        <w:rPr>
          <w:lang w:val="en-GB"/>
        </w:rPr>
        <w:t xml:space="preserve"> and Compliance Model for ALL</w:t>
      </w:r>
      <w:bookmarkEnd w:id="37"/>
    </w:p>
    <w:p w14:paraId="513763EC" w14:textId="77777777" w:rsidR="00237D24" w:rsidRPr="00DF7D4C" w:rsidRDefault="00AF5F20" w:rsidP="003262FB">
      <w:pPr>
        <w:pStyle w:val="Heading2"/>
        <w:rPr>
          <w:lang w:val="en-GB"/>
        </w:rPr>
      </w:pPr>
      <w:bookmarkStart w:id="38" w:name="_uxs9ed9r15m9" w:colFirst="0" w:colLast="0"/>
      <w:bookmarkStart w:id="39" w:name="_Toc237108123"/>
      <w:bookmarkEnd w:id="38"/>
      <w:r w:rsidRPr="00DF7D4C">
        <w:rPr>
          <w:lang w:val="en-GB"/>
        </w:rPr>
        <w:t>4.1 Design Rationale and Strategic Principles</w:t>
      </w:r>
      <w:bookmarkEnd w:id="39"/>
    </w:p>
    <w:p w14:paraId="550144C0"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The model prioritises business-security alignment, as fragmented responsibilities can disconnect the protection from the logistics objectives.  Besides that, the risk-based decisions help in addressing the cloud, IoT and finally the third-party exposures of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through concentrating resources on critical threats </w:t>
      </w:r>
      <w:r w:rsidR="00324DA0">
        <w:rPr>
          <w:rFonts w:ascii="Times New Roman" w:eastAsia="Times New Roman" w:hAnsi="Times New Roman" w:cs="Times New Roman"/>
          <w:sz w:val="24"/>
          <w:szCs w:val="24"/>
          <w:lang w:val="en-GB"/>
        </w:rPr>
        <w:t>[28]</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Moreover, regulatory compliance also lowers the existing data-protection gaps. Not only this, Zero Trust restricts crucial risks from remote and unmanaged access, while defence in depth presents layer</w:t>
      </w:r>
      <w:r w:rsidR="00324DA0">
        <w:rPr>
          <w:rFonts w:ascii="Times New Roman" w:eastAsia="Times New Roman" w:hAnsi="Times New Roman" w:cs="Times New Roman"/>
          <w:sz w:val="24"/>
          <w:szCs w:val="24"/>
          <w:lang w:val="en-GB"/>
        </w:rPr>
        <w:t>ed protection against breaches [29]</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Ultimately, continuous monitoring identifies suspicious activity within the interconnected environments, while continual enhancements ensure the controls evolve with incidents, emerging technologies or changing threats. </w:t>
      </w:r>
    </w:p>
    <w:p w14:paraId="2CB768CC" w14:textId="77777777" w:rsidR="00237D24" w:rsidRPr="00DF7D4C" w:rsidRDefault="00AF5F20" w:rsidP="003262FB">
      <w:pPr>
        <w:pStyle w:val="Heading2"/>
        <w:rPr>
          <w:b w:val="0"/>
          <w:lang w:val="en-GB"/>
        </w:rPr>
      </w:pPr>
      <w:bookmarkStart w:id="40" w:name="_15ygl03taxj" w:colFirst="0" w:colLast="0"/>
      <w:bookmarkStart w:id="41" w:name="_Toc237108124"/>
      <w:bookmarkEnd w:id="40"/>
      <w:r w:rsidRPr="00DF7D4C">
        <w:rPr>
          <w:lang w:val="en-GB"/>
        </w:rPr>
        <w:t xml:space="preserve">4.2 Integrated Security </w:t>
      </w:r>
      <w:r w:rsidRPr="003262FB">
        <w:t>Governance</w:t>
      </w:r>
      <w:r w:rsidRPr="00DF7D4C">
        <w:rPr>
          <w:lang w:val="en-GB"/>
        </w:rPr>
        <w:t xml:space="preserve"> Model</w:t>
      </w:r>
      <w:bookmarkEnd w:id="41"/>
      <w:r w:rsidRPr="00DF7D4C">
        <w:rPr>
          <w:lang w:val="en-GB"/>
        </w:rPr>
        <w:t xml:space="preserve"> </w:t>
      </w:r>
    </w:p>
    <w:p w14:paraId="133C14EE"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The model operates as a layered governance architecture with each approach effectively performing a distinct function. COBIT 2019 establishes the governance direction along with the accountability, while ISO 27001 </w:t>
      </w:r>
      <w:proofErr w:type="gramStart"/>
      <w:r w:rsidRPr="00DF7D4C">
        <w:rPr>
          <w:rFonts w:ascii="Times New Roman" w:eastAsia="Times New Roman" w:hAnsi="Times New Roman" w:cs="Times New Roman"/>
          <w:sz w:val="24"/>
          <w:szCs w:val="24"/>
          <w:lang w:val="en-GB"/>
        </w:rPr>
        <w:t>translate</w:t>
      </w:r>
      <w:proofErr w:type="gramEnd"/>
      <w:r w:rsidRPr="00DF7D4C">
        <w:rPr>
          <w:rFonts w:ascii="Times New Roman" w:eastAsia="Times New Roman" w:hAnsi="Times New Roman" w:cs="Times New Roman"/>
          <w:sz w:val="24"/>
          <w:szCs w:val="24"/>
          <w:lang w:val="en-GB"/>
        </w:rPr>
        <w:t xml:space="preserve"> this direction into an ISMS and a formal control environment </w:t>
      </w:r>
      <w:r w:rsidR="00324DA0">
        <w:rPr>
          <w:rFonts w:ascii="Times New Roman" w:eastAsia="Times New Roman" w:hAnsi="Times New Roman" w:cs="Times New Roman"/>
          <w:sz w:val="24"/>
          <w:szCs w:val="24"/>
          <w:lang w:val="en-GB"/>
        </w:rPr>
        <w:t>[30]</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On the flip side, the NIST CSF2.0 structures the overall activities of cybersecurity within the risk lifecycle, while ITIL 4 effectively embeds security within service delivery, incidents, as well as operational procedures </w:t>
      </w:r>
      <w:r w:rsidR="00324DA0">
        <w:rPr>
          <w:rFonts w:ascii="Times New Roman" w:eastAsia="Times New Roman" w:hAnsi="Times New Roman" w:cs="Times New Roman"/>
          <w:sz w:val="24"/>
          <w:szCs w:val="24"/>
          <w:lang w:val="en-GB"/>
        </w:rPr>
        <w:t>[31]</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Moreover, the Zero Trust model operates within these layers through consistently verifying identities, devices and finally access requests. At the implementation level, the Board, in combination with the Security Committee, provides oversight, whereas the CISO coordinates risk and security functions profoundly and ultimately the operational teams help in executing the controls, vendor management, incident response, as well as continuity activities</w:t>
      </w:r>
      <w:r w:rsidR="00427231">
        <w:rPr>
          <w:rFonts w:ascii="Times New Roman" w:eastAsia="Times New Roman" w:hAnsi="Times New Roman" w:cs="Times New Roman"/>
          <w:sz w:val="24"/>
          <w:szCs w:val="24"/>
          <w:lang w:val="en-GB"/>
        </w:rPr>
        <w:t xml:space="preserve"> </w:t>
      </w:r>
      <w:r w:rsidR="00427231" w:rsidRPr="00427231">
        <w:rPr>
          <w:rFonts w:ascii="Times New Roman" w:eastAsia="Times New Roman" w:hAnsi="Times New Roman" w:cs="Times New Roman"/>
          <w:b/>
          <w:i/>
          <w:sz w:val="24"/>
          <w:szCs w:val="24"/>
          <w:lang w:val="en-GB"/>
        </w:rPr>
        <w:t>[refer to A</w:t>
      </w:r>
      <w:r w:rsidR="00427231">
        <w:rPr>
          <w:rFonts w:ascii="Times New Roman" w:eastAsia="Times New Roman" w:hAnsi="Times New Roman" w:cs="Times New Roman"/>
          <w:b/>
          <w:i/>
          <w:sz w:val="24"/>
          <w:szCs w:val="24"/>
          <w:lang w:val="en-GB"/>
        </w:rPr>
        <w:t>ppendix 1</w:t>
      </w:r>
      <w:r w:rsidR="00374D5E">
        <w:rPr>
          <w:rFonts w:ascii="Times New Roman" w:eastAsia="Times New Roman" w:hAnsi="Times New Roman" w:cs="Times New Roman"/>
          <w:b/>
          <w:i/>
          <w:sz w:val="24"/>
          <w:szCs w:val="24"/>
          <w:lang w:val="en-GB"/>
        </w:rPr>
        <w:t>]</w:t>
      </w:r>
    </w:p>
    <w:p w14:paraId="02FBB87F"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noProof/>
          <w:sz w:val="24"/>
          <w:szCs w:val="24"/>
        </w:rPr>
        <w:lastRenderedPageBreak/>
        <w:drawing>
          <wp:inline distT="114300" distB="114300" distL="114300" distR="114300" wp14:anchorId="19986E78" wp14:editId="07D2AAC5">
            <wp:extent cx="4962525" cy="4752975"/>
            <wp:effectExtent l="76200" t="76200" r="142875" b="142875"/>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962525" cy="4752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E17EF0" w14:textId="77777777" w:rsidR="00237D24" w:rsidRPr="00DF7D4C" w:rsidRDefault="00AF5F20" w:rsidP="003262FB">
      <w:pPr>
        <w:pStyle w:val="Heading4"/>
        <w:rPr>
          <w:lang w:val="en-GB"/>
        </w:rPr>
      </w:pPr>
      <w:bookmarkStart w:id="42" w:name="_62rm65hsz7mp" w:colFirst="0" w:colLast="0"/>
      <w:bookmarkEnd w:id="42"/>
      <w:r w:rsidRPr="00DF7D4C">
        <w:rPr>
          <w:bCs/>
          <w:lang w:val="en-GB"/>
        </w:rPr>
        <w:t xml:space="preserve">Figure 10:  </w:t>
      </w:r>
      <w:r w:rsidRPr="00DF7D4C">
        <w:rPr>
          <w:lang w:val="en-GB"/>
        </w:rPr>
        <w:t>ALL Integrated Security Governance Model</w:t>
      </w:r>
    </w:p>
    <w:p w14:paraId="1ECF6368"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15254954" w14:textId="77777777" w:rsidR="00237D24" w:rsidRPr="00DF7D4C" w:rsidRDefault="00AF5F20">
      <w:pPr>
        <w:pStyle w:val="Heading2"/>
        <w:keepNext w:val="0"/>
        <w:keepLines w:val="0"/>
        <w:spacing w:after="200"/>
        <w:rPr>
          <w:rFonts w:eastAsia="Times New Roman" w:cs="Times New Roman"/>
          <w:b w:val="0"/>
          <w:bCs/>
          <w:sz w:val="24"/>
          <w:szCs w:val="24"/>
          <w:lang w:val="en-GB"/>
        </w:rPr>
      </w:pPr>
      <w:bookmarkStart w:id="43" w:name="_91h2m7qq28wj" w:colFirst="0" w:colLast="0"/>
      <w:bookmarkStart w:id="44" w:name="_Toc237108125"/>
      <w:bookmarkEnd w:id="43"/>
      <w:r w:rsidRPr="00DF7D4C">
        <w:rPr>
          <w:rFonts w:eastAsia="Times New Roman" w:cs="Times New Roman"/>
          <w:bCs/>
          <w:sz w:val="24"/>
          <w:szCs w:val="24"/>
          <w:lang w:val="en-GB"/>
        </w:rPr>
        <w:t>4.3 Accountability and Governan</w:t>
      </w:r>
      <w:r w:rsidRPr="003262FB">
        <w:rPr>
          <w:lang w:val="en-GB"/>
        </w:rPr>
        <w:t>c</w:t>
      </w:r>
      <w:r w:rsidRPr="00DF7D4C">
        <w:rPr>
          <w:rFonts w:eastAsia="Times New Roman" w:cs="Times New Roman"/>
          <w:bCs/>
          <w:sz w:val="24"/>
          <w:szCs w:val="24"/>
          <w:lang w:val="en-GB"/>
        </w:rPr>
        <w:t>e Arrangement</w:t>
      </w:r>
      <w:bookmarkEnd w:id="44"/>
      <w:r w:rsidRPr="00DF7D4C">
        <w:rPr>
          <w:rFonts w:eastAsia="Times New Roman" w:cs="Times New Roman"/>
          <w:bCs/>
          <w:sz w:val="24"/>
          <w:szCs w:val="24"/>
          <w:lang w:val="en-GB"/>
        </w:rPr>
        <w:t xml:space="preserve"> </w:t>
      </w:r>
    </w:p>
    <w:p w14:paraId="527AC600"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requires clearly separating the security responsibilities because its existing governance is fragmented, while the accountability is unclear as well. The Board is required to approve the security strategy along with the risk appetite, while the Security Governance Committee effectively coordinates the priorities across the business functions </w:t>
      </w:r>
      <w:r w:rsidR="00324DA0">
        <w:rPr>
          <w:rFonts w:ascii="Times New Roman" w:eastAsia="Times New Roman" w:hAnsi="Times New Roman" w:cs="Times New Roman"/>
          <w:sz w:val="24"/>
          <w:szCs w:val="24"/>
          <w:lang w:val="en-GB"/>
        </w:rPr>
        <w:t>[32]</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 Moreover, the CISO needs to profoundly supervise the overall implementation procedures supported through risk, compliance/DPO, SOC and ultimately </w:t>
      </w:r>
      <w:r w:rsidR="003262FB" w:rsidRPr="00DF7D4C">
        <w:rPr>
          <w:rFonts w:ascii="Times New Roman" w:eastAsia="Times New Roman" w:hAnsi="Times New Roman" w:cs="Times New Roman"/>
          <w:sz w:val="24"/>
          <w:szCs w:val="24"/>
          <w:lang w:val="en-GB"/>
        </w:rPr>
        <w:t>the IT</w:t>
      </w:r>
      <w:r w:rsidRPr="00DF7D4C">
        <w:rPr>
          <w:rFonts w:ascii="Times New Roman" w:eastAsia="Times New Roman" w:hAnsi="Times New Roman" w:cs="Times New Roman"/>
          <w:sz w:val="24"/>
          <w:szCs w:val="24"/>
          <w:lang w:val="en-GB"/>
        </w:rPr>
        <w:t xml:space="preserve"> operations teams </w:t>
      </w:r>
      <w:r w:rsidR="00324DA0">
        <w:rPr>
          <w:rFonts w:ascii="Times New Roman" w:eastAsia="Times New Roman" w:hAnsi="Times New Roman" w:cs="Times New Roman"/>
          <w:sz w:val="24"/>
          <w:szCs w:val="24"/>
          <w:lang w:val="en-GB"/>
        </w:rPr>
        <w:t>[33]</w:t>
      </w:r>
      <w:r w:rsidR="00324DA0" w:rsidRPr="00DF7D4C">
        <w:rPr>
          <w:rFonts w:ascii="Times New Roman" w:eastAsia="Times New Roman" w:hAnsi="Times New Roman" w:cs="Times New Roman"/>
          <w:sz w:val="24"/>
          <w:szCs w:val="24"/>
          <w:lang w:val="en-GB"/>
        </w:rPr>
        <w:t>.</w:t>
      </w:r>
      <w:r w:rsidRPr="00DF7D4C">
        <w:rPr>
          <w:rFonts w:ascii="Times New Roman" w:eastAsia="Times New Roman" w:hAnsi="Times New Roman" w:cs="Times New Roman"/>
          <w:sz w:val="24"/>
          <w:szCs w:val="24"/>
          <w:lang w:val="en-GB"/>
        </w:rPr>
        <w:t xml:space="preserve"> Moreover, the vendor manager is required to enforce the security requirements through the help of both SLAs and assurance reviews.  This structure helps to develop a sense of clear ownership from </w:t>
      </w:r>
      <w:r w:rsidRPr="00DF7D4C">
        <w:rPr>
          <w:rFonts w:ascii="Times New Roman" w:eastAsia="Times New Roman" w:hAnsi="Times New Roman" w:cs="Times New Roman"/>
          <w:sz w:val="24"/>
          <w:szCs w:val="24"/>
          <w:lang w:val="en-GB"/>
        </w:rPr>
        <w:lastRenderedPageBreak/>
        <w:t xml:space="preserve">the strategic oversight to the operational execution and thus enhances accountability, adherence, and finally coordinated responses towards security incidents. </w:t>
      </w:r>
    </w:p>
    <w:p w14:paraId="4B0AC777" w14:textId="77777777" w:rsidR="00237D24" w:rsidRPr="00DF7D4C" w:rsidRDefault="00AF5F20" w:rsidP="003262FB">
      <w:pPr>
        <w:pStyle w:val="Heading2"/>
        <w:rPr>
          <w:b w:val="0"/>
          <w:lang w:val="en-GB"/>
        </w:rPr>
      </w:pPr>
      <w:bookmarkStart w:id="45" w:name="_d6lk7dus1l63" w:colFirst="0" w:colLast="0"/>
      <w:bookmarkStart w:id="46" w:name="_Toc237108126"/>
      <w:bookmarkEnd w:id="45"/>
      <w:r w:rsidRPr="00DF7D4C">
        <w:rPr>
          <w:lang w:val="en-GB"/>
        </w:rPr>
        <w:t xml:space="preserve">4.4 Risk Identification, </w:t>
      </w:r>
      <w:r w:rsidRPr="003262FB">
        <w:t>Treatment</w:t>
      </w:r>
      <w:r w:rsidRPr="00DF7D4C">
        <w:rPr>
          <w:lang w:val="en-GB"/>
        </w:rPr>
        <w:t xml:space="preserve"> and Monitoring</w:t>
      </w:r>
      <w:bookmarkEnd w:id="46"/>
      <w:r w:rsidRPr="00DF7D4C">
        <w:rPr>
          <w:lang w:val="en-GB"/>
        </w:rPr>
        <w:t xml:space="preserve"> </w:t>
      </w:r>
    </w:p>
    <w:p w14:paraId="7792F56C"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requires a structured procedure as the cloud platforms, IoT devices, remote access and ultimately the extensive third-party reliance also create different forms of security exposure. Drawing on both ISO/IEC 27005 and the NIST risk management </w:t>
      </w:r>
      <w:r w:rsidR="003262FB" w:rsidRPr="00DF7D4C">
        <w:rPr>
          <w:rFonts w:ascii="Times New Roman" w:eastAsia="Times New Roman" w:hAnsi="Times New Roman" w:cs="Times New Roman"/>
          <w:sz w:val="24"/>
          <w:szCs w:val="24"/>
          <w:lang w:val="en-GB"/>
        </w:rPr>
        <w:t>approach, first</w:t>
      </w:r>
      <w:r w:rsidRPr="00DF7D4C">
        <w:rPr>
          <w:rFonts w:ascii="Times New Roman" w:eastAsia="Times New Roman" w:hAnsi="Times New Roman" w:cs="Times New Roman"/>
          <w:sz w:val="24"/>
          <w:szCs w:val="24"/>
          <w:lang w:val="en-GB"/>
        </w:rPr>
        <w:t xml:space="preserve"> the crucial risks need to be identified across different critical assets, information and services before critically analysing their likelihood as well as business influence</w:t>
      </w:r>
      <w:r w:rsidR="00324DA0">
        <w:rPr>
          <w:rFonts w:ascii="Times New Roman" w:eastAsia="Times New Roman" w:hAnsi="Times New Roman" w:cs="Times New Roman"/>
          <w:sz w:val="24"/>
          <w:szCs w:val="24"/>
          <w:lang w:val="en-GB"/>
        </w:rPr>
        <w:t xml:space="preserve"> [34]</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Moreover, prioritisation also needs to direct the resources towards the high-impact risks, specifically those influencing both the customer PII and logistics continuity as well. In addition, appropriate treatment might incorporate reducing, transferring, avoiding or accepting risks as per the defined risk appetite</w:t>
      </w:r>
      <w:r w:rsidR="00427231">
        <w:rPr>
          <w:rFonts w:ascii="Times New Roman" w:eastAsia="Times New Roman" w:hAnsi="Times New Roman" w:cs="Times New Roman"/>
          <w:sz w:val="24"/>
          <w:szCs w:val="24"/>
          <w:lang w:val="en-GB"/>
        </w:rPr>
        <w:t xml:space="preserve"> </w:t>
      </w:r>
      <w:r w:rsidR="00427231" w:rsidRPr="00427231">
        <w:rPr>
          <w:rFonts w:ascii="Times New Roman" w:eastAsia="Times New Roman" w:hAnsi="Times New Roman" w:cs="Times New Roman"/>
          <w:b/>
          <w:i/>
          <w:sz w:val="24"/>
          <w:szCs w:val="24"/>
          <w:lang w:val="en-GB"/>
        </w:rPr>
        <w:t>[refer to A</w:t>
      </w:r>
      <w:r w:rsidR="00427231">
        <w:rPr>
          <w:rFonts w:ascii="Times New Roman" w:eastAsia="Times New Roman" w:hAnsi="Times New Roman" w:cs="Times New Roman"/>
          <w:b/>
          <w:i/>
          <w:sz w:val="24"/>
          <w:szCs w:val="24"/>
          <w:lang w:val="en-GB"/>
        </w:rPr>
        <w:t>ppendix 2</w:t>
      </w:r>
      <w:r w:rsidR="00427231" w:rsidRPr="00427231">
        <w:rPr>
          <w:rFonts w:ascii="Times New Roman" w:eastAsia="Times New Roman" w:hAnsi="Times New Roman" w:cs="Times New Roman"/>
          <w:b/>
          <w:i/>
          <w:sz w:val="24"/>
          <w:szCs w:val="24"/>
          <w:lang w:val="en-GB"/>
        </w:rPr>
        <w:t>]</w:t>
      </w:r>
      <w:r w:rsidRPr="00DF7D4C">
        <w:rPr>
          <w:rFonts w:ascii="Times New Roman" w:eastAsia="Times New Roman" w:hAnsi="Times New Roman" w:cs="Times New Roman"/>
          <w:sz w:val="24"/>
          <w:szCs w:val="24"/>
          <w:lang w:val="en-GB"/>
        </w:rPr>
        <w:t xml:space="preserve">. Furthermore, the continuous monitoring needs to track control effectiveness, incidents, supplier performance, and finally the emerging threats </w:t>
      </w:r>
      <w:r w:rsidR="00324DA0">
        <w:rPr>
          <w:rFonts w:ascii="Times New Roman" w:eastAsia="Times New Roman" w:hAnsi="Times New Roman" w:cs="Times New Roman"/>
          <w:sz w:val="24"/>
          <w:szCs w:val="24"/>
          <w:lang w:val="en-GB"/>
        </w:rPr>
        <w:t>[35]</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Moreover, regular review is also required as the technology, vulnerabilities, and finally the regulatory requirements change consistently. Therefore, this cycle will allow ALL to move from fragmented risk handling toward evidence-based, continuously reviewed security decisions. </w:t>
      </w:r>
    </w:p>
    <w:p w14:paraId="5BDE1E3A" w14:textId="77777777" w:rsidR="00237D24" w:rsidRPr="00DF7D4C" w:rsidRDefault="00AF5F20" w:rsidP="003262FB">
      <w:pPr>
        <w:pStyle w:val="Heading2"/>
        <w:rPr>
          <w:b w:val="0"/>
          <w:lang w:val="en-GB"/>
        </w:rPr>
      </w:pPr>
      <w:bookmarkStart w:id="47" w:name="_qxw69u7pwdh4" w:colFirst="0" w:colLast="0"/>
      <w:bookmarkStart w:id="48" w:name="_Toc237108127"/>
      <w:bookmarkEnd w:id="47"/>
      <w:r w:rsidRPr="00DF7D4C">
        <w:rPr>
          <w:lang w:val="en-GB"/>
        </w:rPr>
        <w:t xml:space="preserve">4.5 Compliance, Legal </w:t>
      </w:r>
      <w:r w:rsidRPr="003262FB">
        <w:t>and</w:t>
      </w:r>
      <w:r w:rsidRPr="00DF7D4C">
        <w:rPr>
          <w:lang w:val="en-GB"/>
        </w:rPr>
        <w:t xml:space="preserve"> Ethical Considerations</w:t>
      </w:r>
      <w:bookmarkEnd w:id="48"/>
    </w:p>
    <w:p w14:paraId="733A89C8"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ALL is required to closely align its security governance with the </w:t>
      </w:r>
      <w:r w:rsidR="003262FB" w:rsidRPr="00DF7D4C">
        <w:rPr>
          <w:rFonts w:ascii="Times New Roman" w:eastAsia="Times New Roman" w:hAnsi="Times New Roman" w:cs="Times New Roman"/>
          <w:sz w:val="24"/>
          <w:szCs w:val="24"/>
          <w:lang w:val="en-GB"/>
        </w:rPr>
        <w:t>UK GDPR and</w:t>
      </w:r>
      <w:r w:rsidRPr="00DF7D4C">
        <w:rPr>
          <w:rFonts w:ascii="Times New Roman" w:eastAsia="Times New Roman" w:hAnsi="Times New Roman" w:cs="Times New Roman"/>
          <w:sz w:val="24"/>
          <w:szCs w:val="24"/>
          <w:lang w:val="en-GB"/>
        </w:rPr>
        <w:t xml:space="preserve"> the Data Protection Act 2018, supported through the relevant NIS obligations, along with the ISO/IEC 27001, Cyber Essentials Plus and NCSC guidance as well. However, adherence requires showing a sense of effective protection instead of simply attaining the certification </w:t>
      </w:r>
      <w:r w:rsidR="00324DA0">
        <w:rPr>
          <w:rFonts w:ascii="Times New Roman" w:eastAsia="Times New Roman" w:hAnsi="Times New Roman" w:cs="Times New Roman"/>
          <w:sz w:val="24"/>
          <w:szCs w:val="24"/>
          <w:lang w:val="en-GB"/>
        </w:rPr>
        <w:t>[36]</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 Moreover, the ethical practices also require proportionate employee monitoring in combination with the responsible utilisation of data and AI, data minimisation, transparency and a sense of clear accountability </w:t>
      </w:r>
      <w:r w:rsidR="00324DA0">
        <w:rPr>
          <w:rFonts w:ascii="Times New Roman" w:eastAsia="Times New Roman" w:hAnsi="Times New Roman" w:cs="Times New Roman"/>
          <w:sz w:val="24"/>
          <w:szCs w:val="24"/>
          <w:lang w:val="en-GB"/>
        </w:rPr>
        <w:t>[37]</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This is specifically significant because the cloud, remote-working and the third-party agreements of the ALL incorporate both the organisational as well as personal information. Therefore, regular audits need to check compliance and whether security practices are fair and necessary. </w:t>
      </w:r>
    </w:p>
    <w:p w14:paraId="27C4C162" w14:textId="77777777" w:rsidR="00237D24" w:rsidRPr="00DF7D4C" w:rsidRDefault="003262FB">
      <w:pPr>
        <w:spacing w:after="200" w:line="360" w:lineRule="auto"/>
        <w:jc w:val="both"/>
        <w:rPr>
          <w:rFonts w:ascii="Times New Roman" w:eastAsia="Times New Roman" w:hAnsi="Times New Roman" w:cs="Times New Roman"/>
          <w:sz w:val="24"/>
          <w:szCs w:val="24"/>
          <w:lang w:val="en-GB"/>
        </w:rPr>
      </w:pPr>
      <w:r w:rsidRPr="00D461FE">
        <w:rPr>
          <w:noProof/>
          <w:shd w:val="clear" w:color="auto" w:fill="FBD4B4" w:themeFill="accent6" w:themeFillTint="66"/>
        </w:rPr>
        <w:lastRenderedPageBreak/>
        <w:drawing>
          <wp:inline distT="0" distB="0" distL="0" distR="0" wp14:anchorId="37EDEB62" wp14:editId="3D6BE1B3">
            <wp:extent cx="5486400" cy="3200400"/>
            <wp:effectExtent l="0" t="57150" r="0" b="952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23B8CAA" w14:textId="77777777" w:rsidR="00237D24" w:rsidRPr="00DF7D4C" w:rsidRDefault="003262FB" w:rsidP="003262FB">
      <w:pPr>
        <w:pStyle w:val="Heading4"/>
        <w:rPr>
          <w:lang w:val="en-GB"/>
        </w:rPr>
      </w:pPr>
      <w:bookmarkStart w:id="49" w:name="_7i8y51isqmgp" w:colFirst="0" w:colLast="0"/>
      <w:bookmarkEnd w:id="49"/>
      <w:r>
        <w:rPr>
          <w:bCs/>
          <w:lang w:val="en-GB"/>
        </w:rPr>
        <w:t>Figure 11</w:t>
      </w:r>
      <w:r w:rsidR="00AF5F20" w:rsidRPr="00DF7D4C">
        <w:rPr>
          <w:bCs/>
          <w:lang w:val="en-GB"/>
        </w:rPr>
        <w:t xml:space="preserve">: </w:t>
      </w:r>
      <w:r w:rsidR="00AF5F20" w:rsidRPr="00DF7D4C">
        <w:rPr>
          <w:lang w:val="en-GB"/>
        </w:rPr>
        <w:t>Compliance Mapping Lifecycle</w:t>
      </w:r>
    </w:p>
    <w:p w14:paraId="01903B37" w14:textId="77777777" w:rsidR="00237D24" w:rsidRPr="00DF7D4C" w:rsidRDefault="00AF5F20" w:rsidP="003262FB">
      <w:pPr>
        <w:spacing w:after="200" w:line="360" w:lineRule="auto"/>
        <w:jc w:val="center"/>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(Source: Self-developed)</w:t>
      </w:r>
    </w:p>
    <w:p w14:paraId="153C5E36" w14:textId="77777777" w:rsidR="00237D24" w:rsidRPr="00DF7D4C" w:rsidRDefault="00AF5F20" w:rsidP="003262FB">
      <w:pPr>
        <w:pStyle w:val="Heading2"/>
        <w:rPr>
          <w:b w:val="0"/>
          <w:lang w:val="en-GB"/>
        </w:rPr>
      </w:pPr>
      <w:bookmarkStart w:id="50" w:name="_xswub0mjlvl7" w:colFirst="0" w:colLast="0"/>
      <w:bookmarkStart w:id="51" w:name="_Toc237108128"/>
      <w:bookmarkEnd w:id="50"/>
      <w:r w:rsidRPr="00DF7D4C">
        <w:rPr>
          <w:lang w:val="en-GB"/>
        </w:rPr>
        <w:t xml:space="preserve">4.6 Vendor </w:t>
      </w:r>
      <w:r w:rsidRPr="003262FB">
        <w:t>Security</w:t>
      </w:r>
      <w:r w:rsidRPr="00DF7D4C">
        <w:rPr>
          <w:lang w:val="en-GB"/>
        </w:rPr>
        <w:t xml:space="preserve"> Management</w:t>
      </w:r>
      <w:bookmarkEnd w:id="51"/>
      <w:r w:rsidRPr="00DF7D4C">
        <w:rPr>
          <w:lang w:val="en-GB"/>
        </w:rPr>
        <w:t xml:space="preserve">  </w:t>
      </w:r>
    </w:p>
    <w:p w14:paraId="47F6FE0E"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The 88% outsourced IT infrastructure of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makes vendor security a major governance concern, as weaknesses within the suppliers can not only hinder the cloud services but also directly affect sensitive information. Therefore, vendor management requires starting with security due diligence through critically investigating the suppliers before engagement and periodically thereafter </w:t>
      </w:r>
      <w:r w:rsidR="00324DA0">
        <w:rPr>
          <w:rFonts w:ascii="Times New Roman" w:eastAsia="Times New Roman" w:hAnsi="Times New Roman" w:cs="Times New Roman"/>
          <w:sz w:val="24"/>
          <w:szCs w:val="24"/>
          <w:lang w:val="en-GB"/>
        </w:rPr>
        <w:t>[38]</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Moreover, the SLAs also require specifying the requirements for data protection along with encryption, access control, incident reporting, availability, recovery and finally breach notifications. Unlike the simple contractual monitoring, continuous supplier assurance needs to incorporate audits, performance reviews and ultimately the evidence of control </w:t>
      </w:r>
      <w:hyperlink r:id="rId22">
        <w:r w:rsidRPr="00DF7D4C">
          <w:rPr>
            <w:rFonts w:ascii="Times New Roman" w:eastAsia="Times New Roman" w:hAnsi="Times New Roman" w:cs="Times New Roman"/>
            <w:sz w:val="24"/>
            <w:szCs w:val="24"/>
            <w:lang w:val="en-GB"/>
          </w:rPr>
          <w:t xml:space="preserve">effectiveness </w:t>
        </w:r>
        <w:r w:rsidR="00324DA0">
          <w:rPr>
            <w:rFonts w:ascii="Times New Roman" w:eastAsia="Times New Roman" w:hAnsi="Times New Roman" w:cs="Times New Roman"/>
            <w:sz w:val="24"/>
            <w:szCs w:val="24"/>
            <w:lang w:val="en-GB"/>
          </w:rPr>
          <w:t>[39]</w:t>
        </w:r>
        <w:r w:rsidR="00324DA0" w:rsidRPr="00DF7D4C">
          <w:rPr>
            <w:rFonts w:ascii="Times New Roman" w:eastAsia="Times New Roman" w:hAnsi="Times New Roman" w:cs="Times New Roman"/>
            <w:sz w:val="24"/>
            <w:szCs w:val="24"/>
            <w:lang w:val="en-GB"/>
          </w:rPr>
          <w:t xml:space="preserve">. </w:t>
        </w:r>
      </w:hyperlink>
      <w:r w:rsidRPr="00DF7D4C">
        <w:rPr>
          <w:rFonts w:ascii="Times New Roman" w:eastAsia="Times New Roman" w:hAnsi="Times New Roman" w:cs="Times New Roman"/>
          <w:sz w:val="24"/>
          <w:szCs w:val="24"/>
          <w:lang w:val="en-GB"/>
        </w:rPr>
        <w:t xml:space="preserve"> Moreover, the clear responsibilities and escalation procedures are required to be established for the security failures. This approach allows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to diminish third-party risks while effectively managing reliable as well as secure logistics services. </w:t>
      </w:r>
    </w:p>
    <w:p w14:paraId="697D4C84" w14:textId="77777777" w:rsidR="00237D24" w:rsidRPr="00DF7D4C" w:rsidRDefault="00AF5F20" w:rsidP="003262FB">
      <w:pPr>
        <w:pStyle w:val="Heading2"/>
        <w:rPr>
          <w:b w:val="0"/>
          <w:lang w:val="en-GB"/>
        </w:rPr>
      </w:pPr>
      <w:bookmarkStart w:id="52" w:name="_lj6873wm01ka" w:colFirst="0" w:colLast="0"/>
      <w:bookmarkStart w:id="53" w:name="_Toc237108129"/>
      <w:bookmarkEnd w:id="52"/>
      <w:r w:rsidRPr="00DF7D4C">
        <w:rPr>
          <w:lang w:val="en-GB"/>
        </w:rPr>
        <w:t xml:space="preserve">4.7 Resilience, Continuity and </w:t>
      </w:r>
      <w:r w:rsidRPr="003262FB">
        <w:t>Incident</w:t>
      </w:r>
      <w:r w:rsidRPr="00DF7D4C">
        <w:rPr>
          <w:lang w:val="en-GB"/>
        </w:rPr>
        <w:t xml:space="preserve"> Handling</w:t>
      </w:r>
      <w:bookmarkEnd w:id="53"/>
      <w:r w:rsidRPr="00DF7D4C">
        <w:rPr>
          <w:lang w:val="en-GB"/>
        </w:rPr>
        <w:t xml:space="preserve"> </w:t>
      </w:r>
    </w:p>
    <w:p w14:paraId="06ED5BFE"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The resilience strategy of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requires prioritising the availability of the critical logistics services instead of solely concentrating only on preventing cyberattacks </w:t>
      </w:r>
      <w:r w:rsidR="00324DA0">
        <w:rPr>
          <w:rFonts w:ascii="Times New Roman" w:eastAsia="Times New Roman" w:hAnsi="Times New Roman" w:cs="Times New Roman"/>
          <w:sz w:val="24"/>
          <w:szCs w:val="24"/>
          <w:lang w:val="en-GB"/>
        </w:rPr>
        <w:t>[40]</w:t>
      </w:r>
      <w:r w:rsidR="00324DA0"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Besides that, the Business Impact Analysis (BIA) needs to identify the pivotal functions while establishing both </w:t>
      </w:r>
      <w:r w:rsidRPr="00DF7D4C">
        <w:rPr>
          <w:rFonts w:ascii="Times New Roman" w:eastAsia="Times New Roman" w:hAnsi="Times New Roman" w:cs="Times New Roman"/>
          <w:sz w:val="24"/>
          <w:szCs w:val="24"/>
          <w:lang w:val="en-GB"/>
        </w:rPr>
        <w:lastRenderedPageBreak/>
        <w:t xml:space="preserve">the Recovery Time Objectives (RTOs) and Recovery Point Objectives (RPOs) for tracking, warehousing and ultimately distribution </w:t>
      </w:r>
      <w:r w:rsidR="00342511">
        <w:rPr>
          <w:rFonts w:ascii="Times New Roman" w:eastAsia="Times New Roman" w:hAnsi="Times New Roman" w:cs="Times New Roman"/>
          <w:sz w:val="24"/>
          <w:szCs w:val="24"/>
          <w:lang w:val="en-GB"/>
        </w:rPr>
        <w:t>[41]</w:t>
      </w:r>
      <w:r w:rsidR="00342511"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Moreover, incident handling also requires defining the escalation, in combination with the communication and recovery priorities as well. In essence, it can be asserted that regular simulation exercises can disclose weaknesses within these arrangements, while the post-incident review requires converting the operational lessons into enhanced continuity planning. </w:t>
      </w:r>
    </w:p>
    <w:p w14:paraId="5AEED24C" w14:textId="77777777" w:rsidR="00237D24" w:rsidRPr="00DF7D4C" w:rsidRDefault="00AF5F20" w:rsidP="003262FB">
      <w:pPr>
        <w:pStyle w:val="Heading2"/>
        <w:rPr>
          <w:b w:val="0"/>
          <w:lang w:val="en-GB"/>
        </w:rPr>
      </w:pPr>
      <w:bookmarkStart w:id="54" w:name="_e3muhxdqfw4f" w:colFirst="0" w:colLast="0"/>
      <w:bookmarkStart w:id="55" w:name="_Toc237108130"/>
      <w:bookmarkEnd w:id="54"/>
      <w:r w:rsidRPr="00DF7D4C">
        <w:rPr>
          <w:lang w:val="en-GB"/>
        </w:rPr>
        <w:t xml:space="preserve">4.8 Business Continuity and </w:t>
      </w:r>
      <w:r w:rsidRPr="003262FB">
        <w:t>Disaster</w:t>
      </w:r>
      <w:r w:rsidRPr="00DF7D4C">
        <w:rPr>
          <w:lang w:val="en-GB"/>
        </w:rPr>
        <w:t xml:space="preserve"> Recovery</w:t>
      </w:r>
      <w:bookmarkEnd w:id="55"/>
    </w:p>
    <w:p w14:paraId="1706A233" w14:textId="77777777" w:rsidR="00237D24" w:rsidRPr="00DF7D4C" w:rsidRDefault="00AF5F20">
      <w:pPr>
        <w:spacing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ALL requires both Business Continuity Planning (BCP) and a Disaster Recovery Plan (DRP) because disruptions to the cloud platforms, IoT tracking, and outsourced services can hamper the overall supply chain and logistics operations of the firm. BCP needs to profoundly manage the essential business functions during the disruption, while DRP needs to restore the critical systems as well as data within the defined recovery requirements. Moreover, regular testing needs to verify whether the recovery procedures work under realistic disruption scenarios or not.  In addition, the results from both testing as well as actual incidents need to be reviewed and used to enhance the recovery arrangements and thus ensure that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can not only prepare but also respond, recover, resume and improve consistently, keeping pace with the volatile business market. </w:t>
      </w:r>
    </w:p>
    <w:p w14:paraId="74894A47" w14:textId="77777777" w:rsidR="003262FB" w:rsidRDefault="00AF5F20" w:rsidP="003262FB">
      <w:pPr>
        <w:pStyle w:val="Heading1"/>
        <w:rPr>
          <w:lang w:val="en-GB"/>
        </w:rPr>
      </w:pPr>
      <w:bookmarkStart w:id="56" w:name="_q7zt313m059x" w:colFirst="0" w:colLast="0"/>
      <w:bookmarkStart w:id="57" w:name="_Toc237108131"/>
      <w:bookmarkEnd w:id="56"/>
      <w:r w:rsidRPr="00DF7D4C">
        <w:rPr>
          <w:lang w:val="en-GB"/>
        </w:rPr>
        <w:t xml:space="preserve">5. </w:t>
      </w:r>
      <w:r w:rsidRPr="003262FB">
        <w:t>Critical</w:t>
      </w:r>
      <w:r w:rsidRPr="00DF7D4C">
        <w:rPr>
          <w:lang w:val="en-GB"/>
        </w:rPr>
        <w:t xml:space="preserve"> Evaluation: Why Security Standards and Regulations Must Evolve.</w:t>
      </w:r>
      <w:bookmarkEnd w:id="57"/>
      <w:r w:rsidRPr="00DF7D4C">
        <w:rPr>
          <w:lang w:val="en-GB"/>
        </w:rPr>
        <w:t xml:space="preserve"> </w:t>
      </w:r>
    </w:p>
    <w:p w14:paraId="51F37822" w14:textId="77777777" w:rsidR="00237D24" w:rsidRPr="003262FB" w:rsidRDefault="00AF5F20" w:rsidP="00845411">
      <w:pPr>
        <w:spacing w:line="360" w:lineRule="auto"/>
        <w:jc w:val="both"/>
        <w:rPr>
          <w:rFonts w:ascii="Times New Roman" w:hAnsi="Times New Roman" w:cs="Times New Roman"/>
          <w:sz w:val="24"/>
          <w:szCs w:val="24"/>
        </w:rPr>
      </w:pPr>
      <w:r w:rsidRPr="003262FB">
        <w:rPr>
          <w:rFonts w:ascii="Times New Roman" w:hAnsi="Times New Roman" w:cs="Times New Roman"/>
          <w:sz w:val="24"/>
          <w:szCs w:val="24"/>
        </w:rPr>
        <w:t xml:space="preserve">Continuous updating of the security standards is required as the technology, threats, and finally the regulatory expectations develop faster than the static controls. Besides that, AI, generative AI, cloud and the IoT help in expanding both automation and connectivity, while quantum computing might eventually weaken the existing cryptographic protections </w:t>
      </w:r>
      <w:r w:rsidR="00342511">
        <w:rPr>
          <w:rFonts w:ascii="Times New Roman" w:eastAsia="Times New Roman" w:hAnsi="Times New Roman" w:cs="Times New Roman"/>
          <w:sz w:val="24"/>
          <w:szCs w:val="24"/>
          <w:lang w:val="en-GB"/>
        </w:rPr>
        <w:t>[42]</w:t>
      </w:r>
      <w:r w:rsidR="00342511" w:rsidRPr="00DF7D4C">
        <w:rPr>
          <w:rFonts w:ascii="Times New Roman" w:eastAsia="Times New Roman" w:hAnsi="Times New Roman" w:cs="Times New Roman"/>
          <w:sz w:val="24"/>
          <w:szCs w:val="24"/>
          <w:lang w:val="en-GB"/>
        </w:rPr>
        <w:t xml:space="preserve">. </w:t>
      </w:r>
      <w:r w:rsidRPr="003262FB">
        <w:rPr>
          <w:rFonts w:ascii="Times New Roman" w:hAnsi="Times New Roman" w:cs="Times New Roman"/>
          <w:sz w:val="24"/>
          <w:szCs w:val="24"/>
        </w:rPr>
        <w:t xml:space="preserve">Therefore, </w:t>
      </w:r>
      <w:proofErr w:type="spellStart"/>
      <w:r w:rsidRPr="003262FB">
        <w:rPr>
          <w:rFonts w:ascii="Times New Roman" w:hAnsi="Times New Roman" w:cs="Times New Roman"/>
          <w:sz w:val="24"/>
          <w:szCs w:val="24"/>
        </w:rPr>
        <w:t>Aerolinks</w:t>
      </w:r>
      <w:proofErr w:type="spellEnd"/>
      <w:r w:rsidRPr="003262FB">
        <w:rPr>
          <w:rFonts w:ascii="Times New Roman" w:hAnsi="Times New Roman" w:cs="Times New Roman"/>
          <w:sz w:val="24"/>
          <w:szCs w:val="24"/>
        </w:rPr>
        <w:t xml:space="preserve"> requires </w:t>
      </w:r>
      <w:proofErr w:type="spellStart"/>
      <w:r w:rsidRPr="003262FB">
        <w:rPr>
          <w:rFonts w:ascii="Times New Roman" w:hAnsi="Times New Roman" w:cs="Times New Roman"/>
          <w:sz w:val="24"/>
          <w:szCs w:val="24"/>
        </w:rPr>
        <w:t>prioritising</w:t>
      </w:r>
      <w:proofErr w:type="spellEnd"/>
      <w:r w:rsidRPr="003262FB">
        <w:rPr>
          <w:rFonts w:ascii="Times New Roman" w:hAnsi="Times New Roman" w:cs="Times New Roman"/>
          <w:sz w:val="24"/>
          <w:szCs w:val="24"/>
        </w:rPr>
        <w:t xml:space="preserve"> adaptive risk assessment in combination with stronger identity controls, encryption reviews and ultimately continuous monitoring instead of heavily depending on established safeguards indefinitely. In a similar way, different significant incidents like </w:t>
      </w:r>
      <w:proofErr w:type="spellStart"/>
      <w:r w:rsidRPr="003262FB">
        <w:rPr>
          <w:rFonts w:ascii="Times New Roman" w:hAnsi="Times New Roman" w:cs="Times New Roman"/>
          <w:sz w:val="24"/>
          <w:szCs w:val="24"/>
        </w:rPr>
        <w:t>MOVEit</w:t>
      </w:r>
      <w:proofErr w:type="spellEnd"/>
      <w:r w:rsidRPr="003262FB">
        <w:rPr>
          <w:rFonts w:ascii="Times New Roman" w:hAnsi="Times New Roman" w:cs="Times New Roman"/>
          <w:sz w:val="24"/>
          <w:szCs w:val="24"/>
        </w:rPr>
        <w:t xml:space="preserve">, SolarWinds and the CrowdStrike-related disruption exemplified different weaknesses: supply chain exposure, trusted software compromise and finally the dependency on critical technology can bypass the assumptions underlying traditional security governance.  </w:t>
      </w:r>
    </w:p>
    <w:p w14:paraId="04549163" w14:textId="77777777" w:rsidR="00237D24" w:rsidRPr="003262FB" w:rsidRDefault="00AF5F20" w:rsidP="00845411">
      <w:pPr>
        <w:spacing w:line="360" w:lineRule="auto"/>
        <w:jc w:val="center"/>
        <w:rPr>
          <w:rFonts w:ascii="Times New Roman" w:hAnsi="Times New Roman" w:cs="Times New Roman"/>
          <w:sz w:val="24"/>
          <w:szCs w:val="24"/>
        </w:rPr>
      </w:pPr>
      <w:r w:rsidRPr="003262FB">
        <w:rPr>
          <w:rFonts w:ascii="Times New Roman" w:hAnsi="Times New Roman" w:cs="Times New Roman"/>
          <w:noProof/>
          <w:sz w:val="24"/>
          <w:szCs w:val="24"/>
        </w:rPr>
        <w:lastRenderedPageBreak/>
        <w:drawing>
          <wp:inline distT="114300" distB="114300" distL="114300" distR="114300" wp14:anchorId="6EBE545C" wp14:editId="16B74071">
            <wp:extent cx="5731200" cy="4229100"/>
            <wp:effectExtent l="76200" t="76200" r="136525" b="13335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5731200" cy="4229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5A3F0F" w14:textId="77777777" w:rsidR="00237D24" w:rsidRPr="003262FB" w:rsidRDefault="00845411" w:rsidP="00845411">
      <w:pPr>
        <w:pStyle w:val="Heading4"/>
      </w:pPr>
      <w:bookmarkStart w:id="58" w:name="_hxodnuxtzxsk" w:colFirst="0" w:colLast="0"/>
      <w:bookmarkEnd w:id="58"/>
      <w:r>
        <w:t>Figure 13</w:t>
      </w:r>
      <w:r w:rsidR="00AF5F20" w:rsidRPr="003262FB">
        <w:t>: Continuous Security and Compliance Improvement Loop</w:t>
      </w:r>
    </w:p>
    <w:p w14:paraId="1031EFDA" w14:textId="77777777" w:rsidR="00237D24" w:rsidRPr="003262FB" w:rsidRDefault="00AF5F20" w:rsidP="00845411">
      <w:pPr>
        <w:spacing w:line="360" w:lineRule="auto"/>
        <w:jc w:val="center"/>
        <w:rPr>
          <w:rFonts w:ascii="Times New Roman" w:hAnsi="Times New Roman" w:cs="Times New Roman"/>
          <w:sz w:val="24"/>
          <w:szCs w:val="24"/>
        </w:rPr>
      </w:pPr>
      <w:r w:rsidRPr="003262FB">
        <w:rPr>
          <w:rFonts w:ascii="Times New Roman" w:hAnsi="Times New Roman" w:cs="Times New Roman"/>
          <w:sz w:val="24"/>
          <w:szCs w:val="24"/>
        </w:rPr>
        <w:t>(Source: Self-developed)</w:t>
      </w:r>
    </w:p>
    <w:p w14:paraId="66CB4A05" w14:textId="77777777" w:rsidR="00237D24" w:rsidRPr="00DF7D4C" w:rsidRDefault="00237D24">
      <w:pPr>
        <w:rPr>
          <w:lang w:val="en-GB"/>
        </w:rPr>
      </w:pPr>
    </w:p>
    <w:p w14:paraId="1FE39B21" w14:textId="77777777" w:rsidR="00237D24" w:rsidRPr="00DF7D4C" w:rsidRDefault="00AF5F20" w:rsidP="00845411">
      <w:pPr>
        <w:spacing w:before="240"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Compared with periodic reviews, continuous threat intelligence as well as reassessment will allow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to identify zero-day vulnerabilities, ransomware techniques and ultimately credential attacks earlier and thus adjust the controls accordingly. Regulatory pressures also develop a similar need for change. Moreover, the UK GDPR, NIS/NIS2 developments, the EU AI Act, Cyber Essentials, ISO revisions and NIST updates increasingly require organisations to showcase current as well as risk-based security practices. Furthermore, updating the standards can enhance adaptability, regulatory alignment, risk visibility and finally stakeholder confidence. However, continual change can also create several issues like cost constraints, skill shortages, implementation demands, vendor dependencies and finally compliance fatigue </w:t>
      </w:r>
      <w:r w:rsidR="00342511">
        <w:rPr>
          <w:rFonts w:ascii="Times New Roman" w:eastAsia="Times New Roman" w:hAnsi="Times New Roman" w:cs="Times New Roman"/>
          <w:sz w:val="24"/>
          <w:szCs w:val="24"/>
          <w:lang w:val="en-GB"/>
        </w:rPr>
        <w:t>[43]</w:t>
      </w:r>
      <w:r w:rsidR="00342511"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With respect to </w:t>
      </w:r>
      <w:proofErr w:type="spellStart"/>
      <w:r w:rsidR="00845411" w:rsidRPr="00DF7D4C">
        <w:rPr>
          <w:rFonts w:ascii="Times New Roman" w:eastAsia="Times New Roman" w:hAnsi="Times New Roman" w:cs="Times New Roman"/>
          <w:sz w:val="24"/>
          <w:szCs w:val="24"/>
          <w:lang w:val="en-GB"/>
        </w:rPr>
        <w:t>Aerolinks</w:t>
      </w:r>
      <w:proofErr w:type="spellEnd"/>
      <w:r w:rsidR="00845411" w:rsidRPr="00DF7D4C">
        <w:rPr>
          <w:rFonts w:ascii="Times New Roman" w:eastAsia="Times New Roman" w:hAnsi="Times New Roman" w:cs="Times New Roman"/>
          <w:sz w:val="24"/>
          <w:szCs w:val="24"/>
          <w:lang w:val="en-GB"/>
        </w:rPr>
        <w:t>, the</w:t>
      </w:r>
      <w:r w:rsidRPr="00DF7D4C">
        <w:rPr>
          <w:rFonts w:ascii="Times New Roman" w:eastAsia="Times New Roman" w:hAnsi="Times New Roman" w:cs="Times New Roman"/>
          <w:sz w:val="24"/>
          <w:szCs w:val="24"/>
          <w:lang w:val="en-GB"/>
        </w:rPr>
        <w:t xml:space="preserve"> solution is not to update the controls indiscriminately but also to </w:t>
      </w:r>
      <w:r w:rsidR="00845411" w:rsidRPr="00DF7D4C">
        <w:rPr>
          <w:rFonts w:ascii="Times New Roman" w:eastAsia="Times New Roman" w:hAnsi="Times New Roman" w:cs="Times New Roman"/>
          <w:sz w:val="24"/>
          <w:szCs w:val="24"/>
          <w:lang w:val="en-GB"/>
        </w:rPr>
        <w:t>prioritise</w:t>
      </w:r>
      <w:r w:rsidRPr="00DF7D4C">
        <w:rPr>
          <w:rFonts w:ascii="Times New Roman" w:eastAsia="Times New Roman" w:hAnsi="Times New Roman" w:cs="Times New Roman"/>
          <w:sz w:val="24"/>
          <w:szCs w:val="24"/>
          <w:lang w:val="en-GB"/>
        </w:rPr>
        <w:t xml:space="preserve"> the changes as per the emerging risk, regulatory significance as well as supplier </w:t>
      </w:r>
      <w:r w:rsidRPr="00DF7D4C">
        <w:rPr>
          <w:rFonts w:ascii="Times New Roman" w:eastAsia="Times New Roman" w:hAnsi="Times New Roman" w:cs="Times New Roman"/>
          <w:sz w:val="24"/>
          <w:szCs w:val="24"/>
          <w:lang w:val="en-GB"/>
        </w:rPr>
        <w:lastRenderedPageBreak/>
        <w:t>exposure of the logistics business. This makes the security governance adaptive rather than merely compliant.</w:t>
      </w:r>
    </w:p>
    <w:p w14:paraId="79C2F762" w14:textId="77777777" w:rsidR="00237D24" w:rsidRPr="00DF7D4C" w:rsidRDefault="00AF5F20" w:rsidP="00845411">
      <w:pPr>
        <w:pStyle w:val="Heading1"/>
        <w:rPr>
          <w:lang w:val="en-GB"/>
        </w:rPr>
      </w:pPr>
      <w:bookmarkStart w:id="59" w:name="_Toc237108132"/>
      <w:r w:rsidRPr="00DF7D4C">
        <w:rPr>
          <w:lang w:val="en-GB"/>
        </w:rPr>
        <w:t>6. Conclusion and Strategic Recommendations</w:t>
      </w:r>
      <w:bookmarkEnd w:id="59"/>
      <w:r w:rsidRPr="00DF7D4C">
        <w:rPr>
          <w:lang w:val="en-GB"/>
        </w:rPr>
        <w:t xml:space="preserve"> </w:t>
      </w:r>
    </w:p>
    <w:p w14:paraId="479965DC" w14:textId="77777777" w:rsidR="00237D24" w:rsidRPr="00DF7D4C" w:rsidRDefault="00AF5F20" w:rsidP="00845411">
      <w:pPr>
        <w:pStyle w:val="Heading2"/>
        <w:rPr>
          <w:lang w:val="en-GB"/>
        </w:rPr>
      </w:pPr>
      <w:bookmarkStart w:id="60" w:name="_Toc237108133"/>
      <w:r w:rsidRPr="00DF7D4C">
        <w:rPr>
          <w:lang w:val="en-GB"/>
        </w:rPr>
        <w:t>6.1 Conclusion</w:t>
      </w:r>
      <w:bookmarkEnd w:id="60"/>
    </w:p>
    <w:p w14:paraId="62E57B1E" w14:textId="77777777" w:rsidR="00237D24" w:rsidRPr="00DF7D4C" w:rsidRDefault="00AF5F20" w:rsidP="00845411">
      <w:pPr>
        <w:spacing w:before="240"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The analysis found that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cannot address its interconnected security weakness through the help of single framework. In these circumstances, amalgamation the COBIT 2019, ISO/IEC 27001, NIST CSF 2.0, ITIL 4 and Zero Trust presents complementary governance, risk, service and access protection.  Moreover, the integrated model also clarifies accountability, fortifies adherence, and thus assists in enhancing adaptability across cloud, IoT, remote access and third-party environments. Ultimately, it moves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from fragmented security practices towards coordinated yet risk-based and gradually enhancing governance. </w:t>
      </w:r>
    </w:p>
    <w:p w14:paraId="18B111B5" w14:textId="77777777" w:rsidR="00237D24" w:rsidRPr="00DF7D4C" w:rsidRDefault="00AF5F20" w:rsidP="00845411">
      <w:pPr>
        <w:pStyle w:val="Heading2"/>
        <w:rPr>
          <w:lang w:val="en-GB"/>
        </w:rPr>
      </w:pPr>
      <w:bookmarkStart w:id="61" w:name="_Toc237108134"/>
      <w:r w:rsidRPr="00DF7D4C">
        <w:rPr>
          <w:lang w:val="en-GB"/>
        </w:rPr>
        <w:t>6.2 Strategic Recommendations</w:t>
      </w:r>
      <w:bookmarkEnd w:id="61"/>
    </w:p>
    <w:p w14:paraId="5C00FE21" w14:textId="77777777" w:rsidR="00237D24" w:rsidRPr="00DF7D4C" w:rsidRDefault="00AF5F20" w:rsidP="00845411">
      <w:pPr>
        <w:spacing w:before="240" w:after="200" w:line="360" w:lineRule="auto"/>
        <w:jc w:val="both"/>
        <w:rPr>
          <w:rFonts w:ascii="Times New Roman" w:eastAsia="Times New Roman" w:hAnsi="Times New Roman" w:cs="Times New Roman"/>
          <w:b/>
          <w:bCs/>
          <w:i/>
          <w:iCs/>
          <w:sz w:val="24"/>
          <w:szCs w:val="24"/>
          <w:lang w:val="en-GB"/>
        </w:rPr>
      </w:pPr>
      <w:r w:rsidRPr="00DF7D4C">
        <w:rPr>
          <w:rFonts w:ascii="Times New Roman" w:eastAsia="Times New Roman" w:hAnsi="Times New Roman" w:cs="Times New Roman"/>
          <w:b/>
          <w:bCs/>
          <w:i/>
          <w:iCs/>
          <w:sz w:val="24"/>
          <w:szCs w:val="24"/>
          <w:lang w:val="en-GB"/>
        </w:rPr>
        <w:t xml:space="preserve">Short-term: </w:t>
      </w:r>
    </w:p>
    <w:p w14:paraId="2D222CBA" w14:textId="77777777" w:rsidR="00237D24" w:rsidRPr="00DF7D4C" w:rsidRDefault="00AF5F20" w:rsidP="00342511">
      <w:pPr>
        <w:spacing w:before="240"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In the short term, this logistics company requires to establish </w:t>
      </w:r>
      <w:r w:rsidR="00845411" w:rsidRPr="00DF7D4C">
        <w:rPr>
          <w:rFonts w:ascii="Times New Roman" w:eastAsia="Times New Roman" w:hAnsi="Times New Roman" w:cs="Times New Roman"/>
          <w:sz w:val="24"/>
          <w:szCs w:val="24"/>
          <w:lang w:val="en-GB"/>
        </w:rPr>
        <w:t>the Security</w:t>
      </w:r>
      <w:r w:rsidRPr="00DF7D4C">
        <w:rPr>
          <w:rFonts w:ascii="Times New Roman" w:eastAsia="Times New Roman" w:hAnsi="Times New Roman" w:cs="Times New Roman"/>
          <w:sz w:val="24"/>
          <w:szCs w:val="24"/>
          <w:lang w:val="en-GB"/>
        </w:rPr>
        <w:t xml:space="preserve"> Governance Committee while confirming the CISO and RACI responsibilities, perform enterprise-wide risk assessments, and address the immediate weakness through the help of MFA, least-privilege access, encryption and finally the critical reviews of the vendor </w:t>
      </w:r>
      <w:r w:rsidR="00342511">
        <w:rPr>
          <w:rFonts w:ascii="Times New Roman" w:eastAsia="Times New Roman" w:hAnsi="Times New Roman" w:cs="Times New Roman"/>
          <w:sz w:val="24"/>
          <w:szCs w:val="24"/>
          <w:lang w:val="en-GB"/>
        </w:rPr>
        <w:t>[44]</w:t>
      </w:r>
      <w:r w:rsidR="00342511" w:rsidRPr="00DF7D4C">
        <w:rPr>
          <w:rFonts w:ascii="Times New Roman" w:eastAsia="Times New Roman" w:hAnsi="Times New Roman" w:cs="Times New Roman"/>
          <w:sz w:val="24"/>
          <w:szCs w:val="24"/>
          <w:lang w:val="en-GB"/>
        </w:rPr>
        <w:t>.</w:t>
      </w:r>
    </w:p>
    <w:p w14:paraId="131AB543" w14:textId="77777777" w:rsidR="00237D24" w:rsidRPr="00DF7D4C" w:rsidRDefault="00AF5F20" w:rsidP="00845411">
      <w:pPr>
        <w:spacing w:before="240" w:after="200" w:line="360" w:lineRule="auto"/>
        <w:jc w:val="both"/>
        <w:rPr>
          <w:rFonts w:ascii="Times New Roman" w:eastAsia="Times New Roman" w:hAnsi="Times New Roman" w:cs="Times New Roman"/>
          <w:b/>
          <w:bCs/>
          <w:i/>
          <w:iCs/>
          <w:sz w:val="24"/>
          <w:szCs w:val="24"/>
          <w:lang w:val="en-GB"/>
        </w:rPr>
      </w:pPr>
      <w:r w:rsidRPr="00DF7D4C">
        <w:rPr>
          <w:rFonts w:ascii="Times New Roman" w:eastAsia="Times New Roman" w:hAnsi="Times New Roman" w:cs="Times New Roman"/>
          <w:b/>
          <w:bCs/>
          <w:i/>
          <w:iCs/>
          <w:sz w:val="24"/>
          <w:szCs w:val="24"/>
          <w:lang w:val="en-GB"/>
        </w:rPr>
        <w:t>Medium-term:</w:t>
      </w:r>
    </w:p>
    <w:p w14:paraId="02A88F14" w14:textId="77777777" w:rsidR="00237D24" w:rsidRPr="00DF7D4C" w:rsidRDefault="00AF5F20" w:rsidP="00845411">
      <w:pPr>
        <w:spacing w:before="240" w:after="200" w:line="360" w:lineRule="auto"/>
        <w:jc w:val="both"/>
        <w:rPr>
          <w:rFonts w:ascii="Times New Roman" w:eastAsia="Times New Roman" w:hAnsi="Times New Roman" w:cs="Times New Roman"/>
          <w:sz w:val="24"/>
          <w:szCs w:val="24"/>
          <w:lang w:val="en-GB"/>
        </w:rPr>
      </w:pPr>
      <w:r w:rsidRPr="00DF7D4C">
        <w:rPr>
          <w:rFonts w:ascii="Times New Roman" w:eastAsia="Times New Roman" w:hAnsi="Times New Roman" w:cs="Times New Roman"/>
          <w:sz w:val="24"/>
          <w:szCs w:val="24"/>
          <w:lang w:val="en-GB"/>
        </w:rPr>
        <w:t xml:space="preserve">In the medium term, the organisation requires to successfully implement the ISO 27001-based ISMS while fortifying the NIST-aligned monitoring as well as incident response, formalise the supplier SLAs, perform the </w:t>
      </w:r>
      <w:r w:rsidR="00845411" w:rsidRPr="00DF7D4C">
        <w:rPr>
          <w:rFonts w:ascii="Times New Roman" w:eastAsia="Times New Roman" w:hAnsi="Times New Roman" w:cs="Times New Roman"/>
          <w:sz w:val="24"/>
          <w:szCs w:val="24"/>
          <w:lang w:val="en-GB"/>
        </w:rPr>
        <w:t>GDPR adherence</w:t>
      </w:r>
      <w:r w:rsidRPr="00DF7D4C">
        <w:rPr>
          <w:rFonts w:ascii="Times New Roman" w:eastAsia="Times New Roman" w:hAnsi="Times New Roman" w:cs="Times New Roman"/>
          <w:sz w:val="24"/>
          <w:szCs w:val="24"/>
          <w:lang w:val="en-GB"/>
        </w:rPr>
        <w:t xml:space="preserve"> reviews and finally test the BCP/DRP arrangements</w:t>
      </w:r>
      <w:r w:rsidR="00427231">
        <w:rPr>
          <w:rFonts w:ascii="Times New Roman" w:eastAsia="Times New Roman" w:hAnsi="Times New Roman" w:cs="Times New Roman"/>
          <w:sz w:val="24"/>
          <w:szCs w:val="24"/>
          <w:lang w:val="en-GB"/>
        </w:rPr>
        <w:t xml:space="preserve"> </w:t>
      </w:r>
      <w:r w:rsidR="00427231" w:rsidRPr="00427231">
        <w:rPr>
          <w:rFonts w:ascii="Times New Roman" w:eastAsia="Times New Roman" w:hAnsi="Times New Roman" w:cs="Times New Roman"/>
          <w:b/>
          <w:i/>
          <w:sz w:val="24"/>
          <w:szCs w:val="24"/>
          <w:lang w:val="en-GB"/>
        </w:rPr>
        <w:t>[refer to Appendix 3]</w:t>
      </w:r>
      <w:r w:rsidRPr="00427231">
        <w:rPr>
          <w:rFonts w:ascii="Times New Roman" w:eastAsia="Times New Roman" w:hAnsi="Times New Roman" w:cs="Times New Roman"/>
          <w:b/>
          <w:i/>
          <w:sz w:val="24"/>
          <w:szCs w:val="24"/>
          <w:lang w:val="en-GB"/>
        </w:rPr>
        <w:t>.</w:t>
      </w:r>
      <w:r w:rsidRPr="00DF7D4C">
        <w:rPr>
          <w:rFonts w:ascii="Times New Roman" w:eastAsia="Times New Roman" w:hAnsi="Times New Roman" w:cs="Times New Roman"/>
          <w:sz w:val="24"/>
          <w:szCs w:val="24"/>
          <w:lang w:val="en-GB"/>
        </w:rPr>
        <w:t xml:space="preserve"> </w:t>
      </w:r>
    </w:p>
    <w:p w14:paraId="1785AD89" w14:textId="77777777" w:rsidR="00237D24" w:rsidRPr="00DF7D4C" w:rsidRDefault="00AF5F20" w:rsidP="00845411">
      <w:pPr>
        <w:spacing w:before="240" w:after="200" w:line="360" w:lineRule="auto"/>
        <w:jc w:val="both"/>
        <w:rPr>
          <w:rFonts w:ascii="Times New Roman" w:eastAsia="Times New Roman" w:hAnsi="Times New Roman" w:cs="Times New Roman"/>
          <w:b/>
          <w:bCs/>
          <w:i/>
          <w:iCs/>
          <w:sz w:val="24"/>
          <w:szCs w:val="24"/>
          <w:lang w:val="en-GB"/>
        </w:rPr>
      </w:pPr>
      <w:r w:rsidRPr="00DF7D4C">
        <w:rPr>
          <w:rFonts w:ascii="Times New Roman" w:eastAsia="Times New Roman" w:hAnsi="Times New Roman" w:cs="Times New Roman"/>
          <w:b/>
          <w:bCs/>
          <w:i/>
          <w:iCs/>
          <w:sz w:val="24"/>
          <w:szCs w:val="24"/>
          <w:lang w:val="en-GB"/>
        </w:rPr>
        <w:t>Long-term:</w:t>
      </w:r>
    </w:p>
    <w:p w14:paraId="7E5F2E3F" w14:textId="77777777" w:rsidR="00EB78CE" w:rsidRDefault="00AF5F20" w:rsidP="00845411">
      <w:pPr>
        <w:spacing w:before="240" w:after="200" w:line="360" w:lineRule="auto"/>
        <w:jc w:val="both"/>
        <w:rPr>
          <w:rFonts w:ascii="Times New Roman" w:eastAsia="Times New Roman" w:hAnsi="Times New Roman" w:cs="Times New Roman"/>
          <w:sz w:val="24"/>
          <w:szCs w:val="24"/>
          <w:lang w:val="en-GB"/>
        </w:rPr>
      </w:pP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requires to successfully embed the Zero Trust frameworks within its cloud, remote and third-party access, develop mature threat intelligence capabilities, and finally needs to reassess the controls against the emerging technologies and changing regulations </w:t>
      </w:r>
      <w:r w:rsidR="00342511">
        <w:rPr>
          <w:rFonts w:ascii="Times New Roman" w:eastAsia="Times New Roman" w:hAnsi="Times New Roman" w:cs="Times New Roman"/>
          <w:sz w:val="24"/>
          <w:szCs w:val="24"/>
          <w:lang w:val="en-GB"/>
        </w:rPr>
        <w:t>[45]</w:t>
      </w:r>
      <w:r w:rsidR="00342511"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t xml:space="preserve"> Moreover, regular audits, scenario testing, along with management reviews, need to support the continuous enhancements. This phased approach is preferable as it will allow the </w:t>
      </w:r>
      <w:proofErr w:type="spellStart"/>
      <w:r w:rsidRPr="00DF7D4C">
        <w:rPr>
          <w:rFonts w:ascii="Times New Roman" w:eastAsia="Times New Roman" w:hAnsi="Times New Roman" w:cs="Times New Roman"/>
          <w:sz w:val="24"/>
          <w:szCs w:val="24"/>
          <w:lang w:val="en-GB"/>
        </w:rPr>
        <w:t>Aerolinks</w:t>
      </w:r>
      <w:proofErr w:type="spellEnd"/>
      <w:r w:rsidRPr="00DF7D4C">
        <w:rPr>
          <w:rFonts w:ascii="Times New Roman" w:eastAsia="Times New Roman" w:hAnsi="Times New Roman" w:cs="Times New Roman"/>
          <w:sz w:val="24"/>
          <w:szCs w:val="24"/>
          <w:lang w:val="en-GB"/>
        </w:rPr>
        <w:t xml:space="preserve"> </w:t>
      </w:r>
      <w:r w:rsidRPr="00DF7D4C">
        <w:rPr>
          <w:rFonts w:ascii="Times New Roman" w:eastAsia="Times New Roman" w:hAnsi="Times New Roman" w:cs="Times New Roman"/>
          <w:sz w:val="24"/>
          <w:szCs w:val="24"/>
          <w:lang w:val="en-GB"/>
        </w:rPr>
        <w:lastRenderedPageBreak/>
        <w:t xml:space="preserve">company to </w:t>
      </w:r>
      <w:r w:rsidR="00845411" w:rsidRPr="00DF7D4C">
        <w:rPr>
          <w:rFonts w:ascii="Times New Roman" w:eastAsia="Times New Roman" w:hAnsi="Times New Roman" w:cs="Times New Roman"/>
          <w:sz w:val="24"/>
          <w:szCs w:val="24"/>
          <w:lang w:val="en-GB"/>
        </w:rPr>
        <w:t>prioritise</w:t>
      </w:r>
      <w:r w:rsidRPr="00DF7D4C">
        <w:rPr>
          <w:rFonts w:ascii="Times New Roman" w:eastAsia="Times New Roman" w:hAnsi="Times New Roman" w:cs="Times New Roman"/>
          <w:sz w:val="24"/>
          <w:szCs w:val="24"/>
          <w:lang w:val="en-GB"/>
        </w:rPr>
        <w:t xml:space="preserve"> the high-risk weaknesses first, manage the implementation capacity effectively and ultimately fortify organisational adaptability. </w:t>
      </w:r>
    </w:p>
    <w:p w14:paraId="247E10B0" w14:textId="77777777" w:rsidR="00EB78CE" w:rsidRDefault="00EB78CE">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1352F5B3" w14:textId="77777777" w:rsidR="00237D24" w:rsidRDefault="00EB78CE" w:rsidP="00EB78CE">
      <w:pPr>
        <w:pStyle w:val="Heading1"/>
        <w:rPr>
          <w:lang w:val="en-GB"/>
        </w:rPr>
      </w:pPr>
      <w:bookmarkStart w:id="62" w:name="_Toc237108135"/>
      <w:r>
        <w:rPr>
          <w:lang w:val="en-GB"/>
        </w:rPr>
        <w:lastRenderedPageBreak/>
        <w:t>References</w:t>
      </w:r>
      <w:bookmarkEnd w:id="62"/>
      <w:r>
        <w:rPr>
          <w:lang w:val="en-GB"/>
        </w:rPr>
        <w:t xml:space="preserve"> </w:t>
      </w:r>
    </w:p>
    <w:p w14:paraId="70A88B9F" w14:textId="77777777" w:rsidR="007B0EED" w:rsidRDefault="007B0EED" w:rsidP="007B0EED"/>
    <w:p w14:paraId="0D014A6D"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1. Alotaibi, B., 2023. A survey on industrial Internet of Things security: Requirements, attacks, AI-based solutions, and edge computing opportunities. </w:t>
      </w:r>
      <w:r w:rsidRPr="007B0EED">
        <w:rPr>
          <w:i/>
          <w:iCs/>
          <w:color w:val="222222"/>
        </w:rPr>
        <w:t>Sensors</w:t>
      </w:r>
      <w:r w:rsidRPr="007B0EED">
        <w:rPr>
          <w:color w:val="222222"/>
        </w:rPr>
        <w:t xml:space="preserve">, </w:t>
      </w:r>
      <w:r w:rsidRPr="007B0EED">
        <w:rPr>
          <w:i/>
          <w:iCs/>
          <w:color w:val="222222"/>
        </w:rPr>
        <w:t>23</w:t>
      </w:r>
      <w:r w:rsidRPr="007B0EED">
        <w:rPr>
          <w:color w:val="222222"/>
        </w:rPr>
        <w:t>(17), p.7470.</w:t>
      </w:r>
      <w:r w:rsidRPr="007B0EED">
        <w:rPr>
          <w:color w:val="000000"/>
        </w:rPr>
        <w:t xml:space="preserve"> </w:t>
      </w:r>
      <w:hyperlink r:id="rId24" w:history="1">
        <w:r w:rsidRPr="007B0EED">
          <w:rPr>
            <w:rStyle w:val="Hyperlink"/>
            <w:color w:val="1155CC"/>
          </w:rPr>
          <w:t>https://www.mdpi.com/1424-8220/23/17/7470</w:t>
        </w:r>
      </w:hyperlink>
    </w:p>
    <w:p w14:paraId="0590EE39" w14:textId="77777777" w:rsidR="007B0EED" w:rsidRPr="007B0EED" w:rsidRDefault="007B0EED" w:rsidP="007B0EED">
      <w:pPr>
        <w:pStyle w:val="NormalWeb"/>
        <w:spacing w:before="240" w:beforeAutospacing="0" w:after="200" w:afterAutospacing="0" w:line="360" w:lineRule="auto"/>
        <w:jc w:val="both"/>
      </w:pPr>
      <w:r w:rsidRPr="007B0EED">
        <w:rPr>
          <w:color w:val="000000"/>
        </w:rPr>
        <w:t xml:space="preserve">2. </w:t>
      </w:r>
      <w:hyperlink r:id="rId25" w:history="1">
        <w:r w:rsidRPr="007B0EED">
          <w:rPr>
            <w:rStyle w:val="Hyperlink"/>
            <w:color w:val="000000"/>
          </w:rPr>
          <w:t>GOV.UK</w:t>
        </w:r>
      </w:hyperlink>
      <w:r w:rsidRPr="007B0EED">
        <w:rPr>
          <w:color w:val="000000"/>
        </w:rPr>
        <w:t xml:space="preserve"> (2026).</w:t>
      </w:r>
      <w:r w:rsidRPr="007B0EED">
        <w:rPr>
          <w:i/>
          <w:iCs/>
          <w:color w:val="000000"/>
        </w:rPr>
        <w:t xml:space="preserve"> Cyber security breaches survey 2025/2026</w:t>
      </w:r>
      <w:r w:rsidRPr="007B0EED">
        <w:rPr>
          <w:color w:val="000000"/>
        </w:rPr>
        <w:t>. Available from</w:t>
      </w:r>
      <w:hyperlink r:id="rId26" w:history="1">
        <w:r w:rsidRPr="007B0EED">
          <w:rPr>
            <w:rStyle w:val="Hyperlink"/>
            <w:color w:val="1155CC"/>
          </w:rPr>
          <w:t>https://www.gov.uk/government/statistics/cyber-security-breaches-survey-20252026/cyber-security-breaches-survey-20252026</w:t>
        </w:r>
      </w:hyperlink>
      <w:r w:rsidRPr="007B0EED">
        <w:rPr>
          <w:color w:val="000000"/>
        </w:rPr>
        <w:t>. Accessed on 8.8.2026</w:t>
      </w:r>
    </w:p>
    <w:p w14:paraId="240FC425" w14:textId="77777777" w:rsidR="007B0EED" w:rsidRPr="007B0EED" w:rsidRDefault="007B0EED" w:rsidP="007B0EED">
      <w:pPr>
        <w:pStyle w:val="NormalWeb"/>
        <w:spacing w:before="240" w:beforeAutospacing="0" w:after="200" w:afterAutospacing="0" w:line="360" w:lineRule="auto"/>
        <w:jc w:val="both"/>
      </w:pPr>
      <w:r w:rsidRPr="007B0EED">
        <w:rPr>
          <w:color w:val="222222"/>
        </w:rPr>
        <w:t>3. Alamu, R., The Role of IT Governance in Enhancing Organizational Cybersecurity.</w:t>
      </w:r>
      <w:r w:rsidRPr="007B0EED">
        <w:rPr>
          <w:color w:val="000000"/>
        </w:rPr>
        <w:t xml:space="preserve"> </w:t>
      </w:r>
      <w:hyperlink r:id="rId27" w:history="1">
        <w:r w:rsidRPr="007B0EED">
          <w:rPr>
            <w:rStyle w:val="Hyperlink"/>
            <w:color w:val="1155CC"/>
          </w:rPr>
          <w:t>https://www.researchgate.net/profile/Rapheal-Alamu/publication/389966358_The_Role_of_IT_Governance_in_Enhancing_Organizational_Cybersecurity/links/67da8ec18901690dd03ae4e3/The-Role-of-IT-Governance-in-Enhancing-Organizational-Cybersecurity.pdf</w:t>
        </w:r>
      </w:hyperlink>
    </w:p>
    <w:p w14:paraId="0BE48534"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4. </w:t>
      </w:r>
      <w:proofErr w:type="spellStart"/>
      <w:r w:rsidRPr="007B0EED">
        <w:rPr>
          <w:color w:val="222222"/>
        </w:rPr>
        <w:t>Nagaty</w:t>
      </w:r>
      <w:proofErr w:type="spellEnd"/>
      <w:r w:rsidRPr="007B0EED">
        <w:rPr>
          <w:color w:val="222222"/>
        </w:rPr>
        <w:t xml:space="preserve">, K.A., 2023. IoT commercial and industrial applications and AI-powered IoT. In </w:t>
      </w:r>
      <w:r w:rsidRPr="007B0EED">
        <w:rPr>
          <w:i/>
          <w:iCs/>
          <w:color w:val="222222"/>
        </w:rPr>
        <w:t>Frontiers of quality electronic design (QED) AI, IoT and hardware security</w:t>
      </w:r>
      <w:r w:rsidRPr="007B0EED">
        <w:rPr>
          <w:color w:val="222222"/>
        </w:rPr>
        <w:t xml:space="preserve"> (pp. 465-500). Cham: Springer International Publishing.</w:t>
      </w:r>
      <w:r w:rsidRPr="007B0EED">
        <w:rPr>
          <w:color w:val="000000"/>
        </w:rPr>
        <w:t xml:space="preserve"> </w:t>
      </w:r>
      <w:hyperlink r:id="rId28" w:history="1">
        <w:r w:rsidRPr="007B0EED">
          <w:rPr>
            <w:rStyle w:val="Hyperlink"/>
            <w:color w:val="1155CC"/>
          </w:rPr>
          <w:t>https://www.researchgate.net/profile/Khaled-Nagaty/publication/367025439_IoT_Commercial_and_Industrial_Applications_and_AI-Powered_IoT/links/63d61ee5c97bd76a8244aee8/IoT-Commercial-and-Industrial-Applications-and-AI-Powered-IoT.pdf</w:t>
        </w:r>
      </w:hyperlink>
    </w:p>
    <w:p w14:paraId="58D6D37C"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5. Hossain, M.I., Sultana, T., Islam, M.N.U., Akther, A., Sarpong, A.F. and Akter, F., 2025. Enhancing Project Management through Outsourcing: Transforming Growth in Information Technology (IT). </w:t>
      </w:r>
      <w:r w:rsidRPr="007B0EED">
        <w:rPr>
          <w:i/>
          <w:iCs/>
          <w:color w:val="222222"/>
        </w:rPr>
        <w:t>Journal of Knowledge Management Practice</w:t>
      </w:r>
      <w:r w:rsidRPr="007B0EED">
        <w:rPr>
          <w:color w:val="222222"/>
        </w:rPr>
        <w:t xml:space="preserve">, </w:t>
      </w:r>
      <w:r w:rsidRPr="007B0EED">
        <w:rPr>
          <w:i/>
          <w:iCs/>
          <w:color w:val="222222"/>
        </w:rPr>
        <w:t>25</w:t>
      </w:r>
      <w:r w:rsidRPr="007B0EED">
        <w:rPr>
          <w:color w:val="222222"/>
        </w:rPr>
        <w:t>(1), p.37.</w:t>
      </w:r>
      <w:r w:rsidRPr="007B0EED">
        <w:rPr>
          <w:color w:val="000000"/>
        </w:rPr>
        <w:t xml:space="preserve"> </w:t>
      </w:r>
      <w:hyperlink r:id="rId29" w:history="1">
        <w:r w:rsidRPr="007B0EED">
          <w:rPr>
            <w:rStyle w:val="Hyperlink"/>
            <w:color w:val="1155CC"/>
          </w:rPr>
          <w:t>https://www.researchgate.net/profile/Tanzina-Sultana/publication/388838046_Enhancing_Project_Management_through_Outsourcing_Transforming_Growth_in_Information_Technology_IT/links/67be0a1bf5cb8f70d5bff7bf/Enhancing-Project-Management-through-Outsourcing-Transforming-Growth-in-Information-Technology-IT.pdf</w:t>
        </w:r>
      </w:hyperlink>
    </w:p>
    <w:p w14:paraId="447C33B5"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6. </w:t>
      </w:r>
      <w:proofErr w:type="spellStart"/>
      <w:r w:rsidRPr="007B0EED">
        <w:rPr>
          <w:color w:val="222222"/>
        </w:rPr>
        <w:t>Oubousken</w:t>
      </w:r>
      <w:proofErr w:type="spellEnd"/>
      <w:r w:rsidRPr="007B0EED">
        <w:rPr>
          <w:color w:val="222222"/>
        </w:rPr>
        <w:t>, I., 2026. Cloud Misconfiguration Audit.</w:t>
      </w:r>
      <w:r w:rsidRPr="007B0EED">
        <w:rPr>
          <w:color w:val="000000"/>
        </w:rPr>
        <w:t> </w:t>
      </w:r>
    </w:p>
    <w:p w14:paraId="6BD883AA" w14:textId="77777777" w:rsidR="007B0EED" w:rsidRPr="007B0EED" w:rsidRDefault="007B0EED" w:rsidP="007B0EED">
      <w:pPr>
        <w:pStyle w:val="NormalWeb"/>
        <w:spacing w:before="240" w:beforeAutospacing="0" w:after="200" w:afterAutospacing="0" w:line="360" w:lineRule="auto"/>
        <w:jc w:val="both"/>
      </w:pPr>
      <w:hyperlink r:id="rId30" w:history="1">
        <w:r w:rsidRPr="007B0EED">
          <w:rPr>
            <w:rStyle w:val="Hyperlink"/>
            <w:color w:val="1155CC"/>
          </w:rPr>
          <w:t>https://www.theseus.fi/bitstream/handle/10024/924411/Oubousken_Ilyas.pdf?sequence=2</w:t>
        </w:r>
      </w:hyperlink>
    </w:p>
    <w:p w14:paraId="6C3FF396" w14:textId="77777777" w:rsidR="007B0EED" w:rsidRPr="007B0EED" w:rsidRDefault="007B0EED" w:rsidP="007B0EED">
      <w:pPr>
        <w:pStyle w:val="NormalWeb"/>
        <w:spacing w:before="240" w:beforeAutospacing="0" w:after="200" w:afterAutospacing="0" w:line="360" w:lineRule="auto"/>
        <w:jc w:val="both"/>
      </w:pPr>
      <w:r w:rsidRPr="007B0EED">
        <w:rPr>
          <w:color w:val="222222"/>
        </w:rPr>
        <w:lastRenderedPageBreak/>
        <w:t xml:space="preserve">7. Amutha, K.P., </w:t>
      </w:r>
      <w:proofErr w:type="spellStart"/>
      <w:r w:rsidRPr="007B0EED">
        <w:rPr>
          <w:color w:val="222222"/>
        </w:rPr>
        <w:t>Mehanathen</w:t>
      </w:r>
      <w:proofErr w:type="spellEnd"/>
      <w:r w:rsidRPr="007B0EED">
        <w:rPr>
          <w:color w:val="222222"/>
        </w:rPr>
        <w:t xml:space="preserve">, N., Karthikeyan, K. and </w:t>
      </w:r>
      <w:proofErr w:type="spellStart"/>
      <w:r w:rsidRPr="007B0EED">
        <w:rPr>
          <w:color w:val="222222"/>
        </w:rPr>
        <w:t>Shanmuganeethi</w:t>
      </w:r>
      <w:proofErr w:type="spellEnd"/>
      <w:r w:rsidRPr="007B0EED">
        <w:rPr>
          <w:color w:val="222222"/>
        </w:rPr>
        <w:t xml:space="preserve">, V., 2026. Internet of Things Applications for Real-Time Monitoring and Tracking: IoT Insights and Real-Time Tracking. In </w:t>
      </w:r>
      <w:r w:rsidRPr="007B0EED">
        <w:rPr>
          <w:i/>
          <w:iCs/>
          <w:color w:val="222222"/>
        </w:rPr>
        <w:t>Industry 6.0 and Digital Transformation in Supply Chain, Assets, and Services</w:t>
      </w:r>
      <w:r w:rsidRPr="007B0EED">
        <w:rPr>
          <w:color w:val="222222"/>
        </w:rPr>
        <w:t xml:space="preserve"> (pp. 101-130). IGI Global Scientific Publishing.</w:t>
      </w:r>
      <w:r w:rsidRPr="007B0EED">
        <w:rPr>
          <w:color w:val="000000"/>
        </w:rPr>
        <w:t xml:space="preserve"> </w:t>
      </w:r>
      <w:hyperlink r:id="rId31" w:history="1">
        <w:r w:rsidRPr="007B0EED">
          <w:rPr>
            <w:rStyle w:val="Hyperlink"/>
            <w:color w:val="1155CC"/>
          </w:rPr>
          <w:t>https://www.igi-global.com/chapter/internet-of-things-applications-for-real-time-monitoring-and-tracking/401657</w:t>
        </w:r>
      </w:hyperlink>
    </w:p>
    <w:p w14:paraId="6C70B1CF"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8. Mallick, M.A.I. and Nath, R., 2024. Navigating the cyber security landscape: A comprehensive review of cyber-attacks, emerging trends, and recent developments. </w:t>
      </w:r>
      <w:r w:rsidRPr="007B0EED">
        <w:rPr>
          <w:i/>
          <w:iCs/>
          <w:color w:val="222222"/>
        </w:rPr>
        <w:t>World Scientific News</w:t>
      </w:r>
      <w:r w:rsidRPr="007B0EED">
        <w:rPr>
          <w:color w:val="222222"/>
        </w:rPr>
        <w:t xml:space="preserve">, </w:t>
      </w:r>
      <w:r w:rsidRPr="007B0EED">
        <w:rPr>
          <w:i/>
          <w:iCs/>
          <w:color w:val="222222"/>
        </w:rPr>
        <w:t>190</w:t>
      </w:r>
      <w:r w:rsidRPr="007B0EED">
        <w:rPr>
          <w:color w:val="222222"/>
        </w:rPr>
        <w:t>(1), pp.1-69.</w:t>
      </w:r>
      <w:r w:rsidRPr="007B0EED">
        <w:rPr>
          <w:color w:val="000000"/>
        </w:rPr>
        <w:t xml:space="preserve"> </w:t>
      </w:r>
      <w:hyperlink r:id="rId32" w:history="1">
        <w:r w:rsidRPr="007B0EED">
          <w:rPr>
            <w:rStyle w:val="Hyperlink"/>
            <w:color w:val="1155CC"/>
          </w:rPr>
          <w:t>https://worldscientificnews.com/wp-content/uploads/2024/01/WSN-1901-2024-1-69-1.pdf</w:t>
        </w:r>
      </w:hyperlink>
    </w:p>
    <w:p w14:paraId="3A6236D4"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9. </w:t>
      </w:r>
      <w:proofErr w:type="spellStart"/>
      <w:r w:rsidRPr="007B0EED">
        <w:rPr>
          <w:color w:val="222222"/>
        </w:rPr>
        <w:t>Baligodugula</w:t>
      </w:r>
      <w:proofErr w:type="spellEnd"/>
      <w:r w:rsidRPr="007B0EED">
        <w:rPr>
          <w:color w:val="222222"/>
        </w:rPr>
        <w:t xml:space="preserve">, V.V., Ghimire, A. and </w:t>
      </w:r>
      <w:proofErr w:type="spellStart"/>
      <w:r w:rsidRPr="007B0EED">
        <w:rPr>
          <w:color w:val="222222"/>
        </w:rPr>
        <w:t>Amsaad</w:t>
      </w:r>
      <w:proofErr w:type="spellEnd"/>
      <w:r w:rsidRPr="007B0EED">
        <w:rPr>
          <w:color w:val="222222"/>
        </w:rPr>
        <w:t xml:space="preserve">, F., 2024. An overview of secure network segmentation in connected </w:t>
      </w:r>
      <w:proofErr w:type="spellStart"/>
      <w:r w:rsidRPr="007B0EED">
        <w:rPr>
          <w:color w:val="222222"/>
        </w:rPr>
        <w:t>IIoT</w:t>
      </w:r>
      <w:proofErr w:type="spellEnd"/>
      <w:r w:rsidRPr="007B0EED">
        <w:rPr>
          <w:color w:val="222222"/>
        </w:rPr>
        <w:t xml:space="preserve"> environments. </w:t>
      </w:r>
      <w:proofErr w:type="spellStart"/>
      <w:r w:rsidRPr="007B0EED">
        <w:rPr>
          <w:i/>
          <w:iCs/>
          <w:color w:val="222222"/>
        </w:rPr>
        <w:t>Computing&amp;AI</w:t>
      </w:r>
      <w:proofErr w:type="spellEnd"/>
      <w:r w:rsidRPr="007B0EED">
        <w:rPr>
          <w:i/>
          <w:iCs/>
          <w:color w:val="222222"/>
        </w:rPr>
        <w:t xml:space="preserve"> Connect</w:t>
      </w:r>
      <w:r w:rsidRPr="007B0EED">
        <w:rPr>
          <w:color w:val="222222"/>
        </w:rPr>
        <w:t xml:space="preserve">, </w:t>
      </w:r>
      <w:r w:rsidRPr="007B0EED">
        <w:rPr>
          <w:i/>
          <w:iCs/>
          <w:color w:val="222222"/>
        </w:rPr>
        <w:t>1</w:t>
      </w:r>
      <w:r w:rsidRPr="007B0EED">
        <w:rPr>
          <w:color w:val="222222"/>
        </w:rPr>
        <w:t>(1), pp.1-10.</w:t>
      </w:r>
      <w:r w:rsidRPr="007B0EED">
        <w:rPr>
          <w:color w:val="000000"/>
        </w:rPr>
        <w:t xml:space="preserve"> </w:t>
      </w:r>
      <w:hyperlink r:id="rId33" w:history="1">
        <w:r w:rsidRPr="007B0EED">
          <w:rPr>
            <w:rStyle w:val="Hyperlink"/>
            <w:color w:val="1155CC"/>
          </w:rPr>
          <w:t>https://www.scifiniti.com/uploads/source/articles/computingai-connect/2024/volume1/20240004/article.pdf</w:t>
        </w:r>
      </w:hyperlink>
    </w:p>
    <w:p w14:paraId="64DE3AC1"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10. Gupta, D., </w:t>
      </w:r>
      <w:proofErr w:type="spellStart"/>
      <w:r w:rsidRPr="007B0EED">
        <w:rPr>
          <w:color w:val="222222"/>
        </w:rPr>
        <w:t>Elluri</w:t>
      </w:r>
      <w:proofErr w:type="spellEnd"/>
      <w:r w:rsidRPr="007B0EED">
        <w:rPr>
          <w:color w:val="222222"/>
        </w:rPr>
        <w:t xml:space="preserve">, L., Jain, A., Moni, S.S. and Aslan, O., 2024, December. Blockchain-enhanced framework for secure third-party vendor risk management and vigilant security controls. In </w:t>
      </w:r>
      <w:r w:rsidRPr="007B0EED">
        <w:rPr>
          <w:i/>
          <w:iCs/>
          <w:color w:val="222222"/>
        </w:rPr>
        <w:t>2024 IEEE International Conference on Big Data (</w:t>
      </w:r>
      <w:proofErr w:type="spellStart"/>
      <w:r w:rsidRPr="007B0EED">
        <w:rPr>
          <w:i/>
          <w:iCs/>
          <w:color w:val="222222"/>
        </w:rPr>
        <w:t>BigData</w:t>
      </w:r>
      <w:proofErr w:type="spellEnd"/>
      <w:r w:rsidRPr="007B0EED">
        <w:rPr>
          <w:i/>
          <w:iCs/>
          <w:color w:val="222222"/>
        </w:rPr>
        <w:t>)</w:t>
      </w:r>
      <w:r w:rsidRPr="007B0EED">
        <w:rPr>
          <w:color w:val="222222"/>
        </w:rPr>
        <w:t xml:space="preserve"> (pp. 5577-5584). IEEE.</w:t>
      </w:r>
      <w:r w:rsidRPr="007B0EED">
        <w:rPr>
          <w:color w:val="000000"/>
        </w:rPr>
        <w:t xml:space="preserve"> </w:t>
      </w:r>
      <w:hyperlink r:id="rId34" w:history="1">
        <w:r w:rsidRPr="007B0EED">
          <w:rPr>
            <w:rStyle w:val="Hyperlink"/>
            <w:color w:val="1155CC"/>
          </w:rPr>
          <w:t>https://arxiv.org/pdf/2411.13447</w:t>
        </w:r>
      </w:hyperlink>
    </w:p>
    <w:p w14:paraId="3C80F2DA"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11. </w:t>
      </w:r>
      <w:proofErr w:type="spellStart"/>
      <w:r w:rsidRPr="007B0EED">
        <w:rPr>
          <w:color w:val="222222"/>
        </w:rPr>
        <w:t>Adinata</w:t>
      </w:r>
      <w:proofErr w:type="spellEnd"/>
      <w:r w:rsidRPr="007B0EED">
        <w:rPr>
          <w:color w:val="222222"/>
        </w:rPr>
        <w:t xml:space="preserve">, A.S., 2024. The evaluation of integrated governance, risk, and compliance (GRC) implementation to enhance enterprise risk management (ERM): a case study. </w:t>
      </w:r>
      <w:r w:rsidRPr="007B0EED">
        <w:rPr>
          <w:i/>
          <w:iCs/>
          <w:color w:val="222222"/>
        </w:rPr>
        <w:t xml:space="preserve">PhD, Faculty of Business &amp; Media, </w:t>
      </w:r>
      <w:proofErr w:type="spellStart"/>
      <w:r w:rsidRPr="007B0EED">
        <w:rPr>
          <w:i/>
          <w:iCs/>
          <w:color w:val="222222"/>
        </w:rPr>
        <w:t>Selinus</w:t>
      </w:r>
      <w:proofErr w:type="spellEnd"/>
      <w:r w:rsidRPr="007B0EED">
        <w:rPr>
          <w:i/>
          <w:iCs/>
          <w:color w:val="222222"/>
        </w:rPr>
        <w:t xml:space="preserve"> University of Science and Literature, Indonesia</w:t>
      </w:r>
      <w:r w:rsidRPr="007B0EED">
        <w:rPr>
          <w:color w:val="222222"/>
        </w:rPr>
        <w:t>.</w:t>
      </w:r>
      <w:r w:rsidRPr="007B0EED">
        <w:rPr>
          <w:color w:val="000000"/>
        </w:rPr>
        <w:t xml:space="preserve"> </w:t>
      </w:r>
      <w:hyperlink r:id="rId35" w:history="1">
        <w:r w:rsidRPr="007B0EED">
          <w:rPr>
            <w:rStyle w:val="Hyperlink"/>
            <w:color w:val="1155CC"/>
          </w:rPr>
          <w:t>https://uniselinus.education/sites/default/files/2025-03/Ahmed%20Sekti%20Adinata.pdf</w:t>
        </w:r>
      </w:hyperlink>
    </w:p>
    <w:p w14:paraId="39F16EE3"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12. Brass, M., 2025. </w:t>
      </w:r>
      <w:r w:rsidRPr="007B0EED">
        <w:rPr>
          <w:i/>
          <w:iCs/>
          <w:color w:val="222222"/>
        </w:rPr>
        <w:t>Governance, Risk and Compliance: Demystifying the Risk and Data Privacy Landscape</w:t>
      </w:r>
      <w:r w:rsidRPr="007B0EED">
        <w:rPr>
          <w:color w:val="222222"/>
        </w:rPr>
        <w:t>. CRC Press.</w:t>
      </w:r>
      <w:r w:rsidRPr="007B0EED">
        <w:rPr>
          <w:color w:val="000000"/>
        </w:rPr>
        <w:t xml:space="preserve"> </w:t>
      </w:r>
      <w:hyperlink r:id="rId36" w:history="1">
        <w:r w:rsidRPr="007B0EED">
          <w:rPr>
            <w:rStyle w:val="Hyperlink"/>
            <w:color w:val="1155CC"/>
          </w:rPr>
          <w:t>https://books.google.com/books?hl=en&amp;lr=&amp;id=dEyWEQAAQBAJ&amp;oi=fnd&amp;pg=PT7&amp;dq=Information+and+security+governance+establishes+the+organisational+direction+through+closely+aligning+the+governance,+risk+and+compliance+(GRC)+with+strategic+decision-making.+&amp;ots=YVF-BfWD8C&amp;sig=nQwbKwTgopUHiQzZYOY8JE4R-x0</w:t>
        </w:r>
      </w:hyperlink>
    </w:p>
    <w:p w14:paraId="7E37BE32"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13.Jain, A., 2025. Governance, Risk, and Compliance (GRC) Frameworks Using Intelligent Analytics. </w:t>
      </w:r>
      <w:r w:rsidRPr="007B0EED">
        <w:rPr>
          <w:i/>
          <w:iCs/>
          <w:color w:val="222222"/>
        </w:rPr>
        <w:t>International Journal of Computer Technology and Electronics Communication</w:t>
      </w:r>
      <w:r w:rsidRPr="007B0EED">
        <w:rPr>
          <w:color w:val="222222"/>
        </w:rPr>
        <w:t xml:space="preserve">, </w:t>
      </w:r>
      <w:r w:rsidRPr="007B0EED">
        <w:rPr>
          <w:i/>
          <w:iCs/>
          <w:color w:val="222222"/>
        </w:rPr>
        <w:t>8</w:t>
      </w:r>
      <w:r w:rsidRPr="007B0EED">
        <w:rPr>
          <w:color w:val="222222"/>
        </w:rPr>
        <w:t>(6), pp.11716-11721.</w:t>
      </w:r>
      <w:r w:rsidRPr="007B0EED">
        <w:rPr>
          <w:color w:val="000000"/>
        </w:rPr>
        <w:t xml:space="preserve"> </w:t>
      </w:r>
      <w:hyperlink r:id="rId37" w:history="1">
        <w:r w:rsidRPr="007B0EED">
          <w:rPr>
            <w:rStyle w:val="Hyperlink"/>
            <w:color w:val="1155CC"/>
          </w:rPr>
          <w:t>https://ijctece.com/index.php/IJCTEC/article/download/380/338</w:t>
        </w:r>
      </w:hyperlink>
    </w:p>
    <w:p w14:paraId="3B888C29" w14:textId="77777777" w:rsidR="007B0EED" w:rsidRPr="007B0EED" w:rsidRDefault="007B0EED" w:rsidP="007B0EED">
      <w:pPr>
        <w:pStyle w:val="NormalWeb"/>
        <w:spacing w:before="240" w:beforeAutospacing="0" w:after="200" w:afterAutospacing="0" w:line="360" w:lineRule="auto"/>
        <w:jc w:val="both"/>
      </w:pPr>
      <w:r w:rsidRPr="007B0EED">
        <w:rPr>
          <w:color w:val="222222"/>
        </w:rPr>
        <w:lastRenderedPageBreak/>
        <w:t xml:space="preserve">14. </w:t>
      </w:r>
      <w:proofErr w:type="spellStart"/>
      <w:r w:rsidRPr="007B0EED">
        <w:rPr>
          <w:color w:val="222222"/>
        </w:rPr>
        <w:t>Sahiwala</w:t>
      </w:r>
      <w:proofErr w:type="spellEnd"/>
      <w:r w:rsidRPr="007B0EED">
        <w:rPr>
          <w:color w:val="222222"/>
        </w:rPr>
        <w:t>, F., 2026. An integrated risk management approach using the NIST CSF-2.0, NIST 800-82, and IEC 62443 frameworks.</w:t>
      </w:r>
      <w:r w:rsidRPr="007B0EED">
        <w:rPr>
          <w:color w:val="000000"/>
        </w:rPr>
        <w:t xml:space="preserve"> </w:t>
      </w:r>
      <w:hyperlink r:id="rId38" w:history="1">
        <w:r w:rsidRPr="007B0EED">
          <w:rPr>
            <w:rStyle w:val="Hyperlink"/>
            <w:color w:val="1155CC"/>
          </w:rPr>
          <w:t>https://www.theseus.fi/bitstream/handle/10024/913159/Sahiwala_Fatema.pdf?sequence=2</w:t>
        </w:r>
      </w:hyperlink>
    </w:p>
    <w:p w14:paraId="0075CE73"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15. </w:t>
      </w:r>
      <w:proofErr w:type="spellStart"/>
      <w:r w:rsidRPr="007B0EED">
        <w:rPr>
          <w:color w:val="222222"/>
        </w:rPr>
        <w:t>Awurum</w:t>
      </w:r>
      <w:proofErr w:type="spellEnd"/>
      <w:r w:rsidRPr="007B0EED">
        <w:rPr>
          <w:color w:val="222222"/>
        </w:rPr>
        <w:t xml:space="preserve">, N.P., 2026. A Governance Framework for Aligning Artificial Intelligence–Driven Cybersecurity with NIST CSF 2.0 and IEC 62443 in Critical Infrastructure. </w:t>
      </w:r>
      <w:r w:rsidRPr="007B0EED">
        <w:rPr>
          <w:i/>
          <w:iCs/>
          <w:color w:val="222222"/>
        </w:rPr>
        <w:t>Indiana Journal of Economics and Business Management</w:t>
      </w:r>
      <w:r w:rsidRPr="007B0EED">
        <w:rPr>
          <w:color w:val="222222"/>
        </w:rPr>
        <w:t xml:space="preserve">, </w:t>
      </w:r>
      <w:r w:rsidRPr="007B0EED">
        <w:rPr>
          <w:i/>
          <w:iCs/>
          <w:color w:val="222222"/>
        </w:rPr>
        <w:t>6</w:t>
      </w:r>
      <w:r w:rsidRPr="007B0EED">
        <w:rPr>
          <w:color w:val="222222"/>
        </w:rPr>
        <w:t>(4), pp.74-103.</w:t>
      </w:r>
      <w:r w:rsidRPr="007B0EED">
        <w:rPr>
          <w:color w:val="000000"/>
        </w:rPr>
        <w:t xml:space="preserve"> </w:t>
      </w:r>
      <w:hyperlink r:id="rId39" w:history="1">
        <w:r w:rsidRPr="007B0EED">
          <w:rPr>
            <w:rStyle w:val="Hyperlink"/>
            <w:color w:val="1155CC"/>
          </w:rPr>
          <w:t>https://indianapublications.com/articles/IJEBM_6(4)_74-103_6a68f5eeeb0a23.49971237.pdf</w:t>
        </w:r>
      </w:hyperlink>
    </w:p>
    <w:p w14:paraId="427DC52E" w14:textId="77777777" w:rsidR="007B0EED" w:rsidRPr="007B0EED" w:rsidRDefault="007B0EED" w:rsidP="007B0EED">
      <w:pPr>
        <w:pStyle w:val="NormalWeb"/>
        <w:spacing w:before="240" w:beforeAutospacing="0" w:after="200" w:afterAutospacing="0" w:line="360" w:lineRule="auto"/>
        <w:jc w:val="both"/>
      </w:pPr>
      <w:r w:rsidRPr="007B0EED">
        <w:rPr>
          <w:color w:val="222222"/>
        </w:rPr>
        <w:t>16. Kate, A., 2026. Operationalizing the NIST CSF 2.0 “Govern” Function for AI-Augmented Critical Infrastructure Protection: Policy, Accountability, and Risk Ownership Models.</w:t>
      </w:r>
      <w:r w:rsidRPr="007B0EED">
        <w:rPr>
          <w:color w:val="000000"/>
        </w:rPr>
        <w:t xml:space="preserve"> </w:t>
      </w:r>
      <w:hyperlink r:id="rId40" w:history="1">
        <w:r w:rsidRPr="007B0EED">
          <w:rPr>
            <w:rStyle w:val="Hyperlink"/>
            <w:color w:val="1155CC"/>
          </w:rPr>
          <w:t>https://www.researchgate.net/profile/Austin-Kate-2/publication/403508974_Operationalizing_the_NIST_CSF_20_Govern_Function_for_AI-_Augmented_Critical_Infrastructure_Protection_Policy_Accountability_and_Risk_Ownership_Models/links/69d10fb49f53d47411c46806/Operationalizing-the-NIST-CSF-20-Govern-Function-for-AI-Augmented-Critical-Infrastructure-Protection-Policy-Accountability-and-Risk-Ownership-Models.pdf</w:t>
        </w:r>
      </w:hyperlink>
    </w:p>
    <w:p w14:paraId="6E02406A" w14:textId="77777777" w:rsidR="007B0EED" w:rsidRPr="007B0EED" w:rsidRDefault="007B0EED" w:rsidP="007B0EED">
      <w:pPr>
        <w:spacing w:before="240" w:line="360" w:lineRule="auto"/>
        <w:jc w:val="both"/>
        <w:rPr>
          <w:rFonts w:ascii="Times New Roman" w:hAnsi="Times New Roman" w:cs="Times New Roman"/>
          <w:sz w:val="24"/>
          <w:szCs w:val="24"/>
        </w:rPr>
      </w:pPr>
    </w:p>
    <w:p w14:paraId="676E0B7B"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17. Humphreys, E., 2025. </w:t>
      </w:r>
      <w:r w:rsidRPr="007B0EED">
        <w:rPr>
          <w:i/>
          <w:iCs/>
          <w:color w:val="222222"/>
        </w:rPr>
        <w:t>Implementing the ISO/IEC 27001 information security management system standard</w:t>
      </w:r>
      <w:r w:rsidRPr="007B0EED">
        <w:rPr>
          <w:color w:val="222222"/>
        </w:rPr>
        <w:t>. Artech House.</w:t>
      </w:r>
      <w:r w:rsidRPr="007B0EED">
        <w:rPr>
          <w:color w:val="000000"/>
        </w:rPr>
        <w:t xml:space="preserve"> </w:t>
      </w:r>
      <w:hyperlink r:id="rId41" w:history="1">
        <w:r w:rsidRPr="007B0EED">
          <w:rPr>
            <w:rStyle w:val="Hyperlink"/>
            <w:color w:val="1155CC"/>
          </w:rPr>
          <w:t>https://books.google.com/books?hl=en&amp;lr=&amp;id=5s_BEQAAQBAJ&amp;oi=fnd&amp;pg=PR13&amp;dq=ISO/IEC+27001+helps+in+establishing+an+Information+Security+Management+System+(ISMS)+while+ISO/IEC+27002+supports+the+practical+implementation+of+the+security+controls.+&amp;ots=qAM5X-L_lS&amp;sig=ULt052oG3-bOo6B1Cj3un8Oa2mA</w:t>
        </w:r>
      </w:hyperlink>
    </w:p>
    <w:p w14:paraId="03BB59F5" w14:textId="77777777" w:rsidR="007B0EED" w:rsidRPr="007B0EED" w:rsidRDefault="007B0EED" w:rsidP="007B0EED">
      <w:pPr>
        <w:pStyle w:val="NormalWeb"/>
        <w:spacing w:before="240" w:beforeAutospacing="0" w:after="200" w:afterAutospacing="0" w:line="360" w:lineRule="auto"/>
        <w:jc w:val="both"/>
      </w:pPr>
      <w:r w:rsidRPr="007B0EED">
        <w:rPr>
          <w:color w:val="222222"/>
        </w:rPr>
        <w:t>18. Calder, A., 2023. ISO 27001/ISO 27002: A guide to information security management systems.</w:t>
      </w:r>
      <w:r w:rsidRPr="007B0EED">
        <w:rPr>
          <w:color w:val="000000"/>
        </w:rPr>
        <w:t xml:space="preserve"> </w:t>
      </w:r>
      <w:hyperlink r:id="rId42" w:history="1">
        <w:r w:rsidRPr="007B0EED">
          <w:rPr>
            <w:rStyle w:val="Hyperlink"/>
            <w:color w:val="1155CC"/>
          </w:rPr>
          <w:t>https://www.torrossa.com/gs/resourceProxy?an=5751056&amp;publisher=FZO328</w:t>
        </w:r>
      </w:hyperlink>
    </w:p>
    <w:p w14:paraId="4576D18A" w14:textId="77777777" w:rsidR="007B0EED" w:rsidRPr="007B0EED" w:rsidRDefault="007B0EED" w:rsidP="007B0EED">
      <w:pPr>
        <w:spacing w:before="240" w:line="360" w:lineRule="auto"/>
        <w:jc w:val="both"/>
        <w:rPr>
          <w:rFonts w:ascii="Times New Roman" w:hAnsi="Times New Roman" w:cs="Times New Roman"/>
          <w:sz w:val="24"/>
          <w:szCs w:val="24"/>
        </w:rPr>
      </w:pPr>
    </w:p>
    <w:p w14:paraId="7A51642F"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19. Metin, B., Sevim, S.B. and Wynn, M., 2025. Cybersecurity Strategy Development: Towards an Integrated Approach Based on COBIT and ISO 27000 Series Standards. </w:t>
      </w:r>
      <w:r w:rsidRPr="007B0EED">
        <w:rPr>
          <w:i/>
          <w:iCs/>
          <w:color w:val="222222"/>
        </w:rPr>
        <w:t>Standards</w:t>
      </w:r>
      <w:r w:rsidRPr="007B0EED">
        <w:rPr>
          <w:color w:val="222222"/>
        </w:rPr>
        <w:t xml:space="preserve">, </w:t>
      </w:r>
      <w:r w:rsidRPr="007B0EED">
        <w:rPr>
          <w:i/>
          <w:iCs/>
          <w:color w:val="222222"/>
        </w:rPr>
        <w:t>5</w:t>
      </w:r>
      <w:r w:rsidRPr="007B0EED">
        <w:rPr>
          <w:color w:val="222222"/>
        </w:rPr>
        <w:t>(4), p.33.</w:t>
      </w:r>
      <w:r w:rsidRPr="007B0EED">
        <w:rPr>
          <w:color w:val="000000"/>
        </w:rPr>
        <w:t xml:space="preserve"> </w:t>
      </w:r>
      <w:hyperlink r:id="rId43" w:history="1">
        <w:r w:rsidRPr="007B0EED">
          <w:rPr>
            <w:rStyle w:val="Hyperlink"/>
            <w:color w:val="1155CC"/>
          </w:rPr>
          <w:t>https://www.mdpi.com/2305-6703/5/4/33</w:t>
        </w:r>
      </w:hyperlink>
    </w:p>
    <w:p w14:paraId="1F7D631A" w14:textId="77777777" w:rsidR="007B0EED" w:rsidRPr="007B0EED" w:rsidRDefault="007B0EED" w:rsidP="007B0EED">
      <w:pPr>
        <w:pStyle w:val="NormalWeb"/>
        <w:spacing w:before="240" w:beforeAutospacing="0" w:after="200" w:afterAutospacing="0" w:line="360" w:lineRule="auto"/>
        <w:jc w:val="both"/>
      </w:pPr>
      <w:r w:rsidRPr="007B0EED">
        <w:rPr>
          <w:color w:val="222222"/>
        </w:rPr>
        <w:lastRenderedPageBreak/>
        <w:t xml:space="preserve">20. El Marzak, Y., Chahid, A., Faris, S. and Mansouri, K., 2026. Enhancing a NIST SP 800-53-Based Cybersecurity Risk Metamodel with COBIT 2019: A Governance-Centric Perspective. </w:t>
      </w:r>
      <w:r w:rsidRPr="007B0EED">
        <w:rPr>
          <w:i/>
          <w:iCs/>
          <w:color w:val="222222"/>
        </w:rPr>
        <w:t>Engineering, Technology &amp; Applied Science Research</w:t>
      </w:r>
      <w:r w:rsidRPr="007B0EED">
        <w:rPr>
          <w:color w:val="222222"/>
        </w:rPr>
        <w:t xml:space="preserve">, </w:t>
      </w:r>
      <w:r w:rsidRPr="007B0EED">
        <w:rPr>
          <w:i/>
          <w:iCs/>
          <w:color w:val="222222"/>
        </w:rPr>
        <w:t>16</w:t>
      </w:r>
      <w:r w:rsidRPr="007B0EED">
        <w:rPr>
          <w:color w:val="222222"/>
        </w:rPr>
        <w:t>(2), pp.33689-33695.</w:t>
      </w:r>
      <w:r w:rsidRPr="007B0EED">
        <w:rPr>
          <w:color w:val="000000"/>
        </w:rPr>
        <w:t xml:space="preserve"> </w:t>
      </w:r>
      <w:hyperlink r:id="rId44" w:history="1">
        <w:r w:rsidRPr="007B0EED">
          <w:rPr>
            <w:rStyle w:val="Hyperlink"/>
            <w:color w:val="1155CC"/>
          </w:rPr>
          <w:t>https://mail.etasr.com/index.php/ETASR/article/download/17097/6433</w:t>
        </w:r>
      </w:hyperlink>
    </w:p>
    <w:p w14:paraId="284F9205"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21. Herath, T.C., Herath, H.S. and Cullum, D., 2023. An information security performance measurement tool for senior managers: Balanced scorecard integration for security governance and control frameworks. </w:t>
      </w:r>
      <w:r w:rsidRPr="007B0EED">
        <w:rPr>
          <w:i/>
          <w:iCs/>
          <w:color w:val="222222"/>
        </w:rPr>
        <w:t>Information Systems Frontiers</w:t>
      </w:r>
      <w:r w:rsidRPr="007B0EED">
        <w:rPr>
          <w:color w:val="222222"/>
        </w:rPr>
        <w:t xml:space="preserve">, </w:t>
      </w:r>
      <w:r w:rsidRPr="007B0EED">
        <w:rPr>
          <w:i/>
          <w:iCs/>
          <w:color w:val="222222"/>
        </w:rPr>
        <w:t>25</w:t>
      </w:r>
      <w:r w:rsidRPr="007B0EED">
        <w:rPr>
          <w:color w:val="222222"/>
        </w:rPr>
        <w:t>(2), pp.681-721.</w:t>
      </w:r>
      <w:r w:rsidRPr="007B0EED">
        <w:rPr>
          <w:color w:val="000000"/>
        </w:rPr>
        <w:t xml:space="preserve"> </w:t>
      </w:r>
      <w:hyperlink r:id="rId45" w:history="1">
        <w:r w:rsidRPr="007B0EED">
          <w:rPr>
            <w:rStyle w:val="Hyperlink"/>
            <w:color w:val="1155CC"/>
          </w:rPr>
          <w:t>https://www.researchgate.net/profile/Hemantha-Herath/publication/358909388_An_Information_Security_Performance_Measurement_Tool_for_Senior_Managers_Balanced_Scorecard_Integration_for_Security_Governance_and_Control_Frameworks/links/6390a7aa484e65005bee951c/An-Information-Security-Performance-Measurement-Tool-for-Senior-Managers-Balanced-Scorecard-Integration-for-Security-Governance-and-Control-Frameworks.pdf</w:t>
        </w:r>
      </w:hyperlink>
    </w:p>
    <w:p w14:paraId="0FA19ECA"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22. Harjanto, A. and Aji, R.F., 2024. Improving IT assets management with ITIL 4 framework. </w:t>
      </w:r>
      <w:proofErr w:type="spellStart"/>
      <w:r w:rsidRPr="007B0EED">
        <w:rPr>
          <w:i/>
          <w:iCs/>
          <w:color w:val="222222"/>
        </w:rPr>
        <w:t>Jurnal</w:t>
      </w:r>
      <w:proofErr w:type="spellEnd"/>
      <w:r w:rsidRPr="007B0EED">
        <w:rPr>
          <w:i/>
          <w:iCs/>
          <w:color w:val="222222"/>
        </w:rPr>
        <w:t xml:space="preserve"> </w:t>
      </w:r>
      <w:proofErr w:type="spellStart"/>
      <w:r w:rsidRPr="007B0EED">
        <w:rPr>
          <w:i/>
          <w:iCs/>
          <w:color w:val="222222"/>
        </w:rPr>
        <w:t>Ilmu</w:t>
      </w:r>
      <w:proofErr w:type="spellEnd"/>
      <w:r w:rsidRPr="007B0EED">
        <w:rPr>
          <w:i/>
          <w:iCs/>
          <w:color w:val="222222"/>
        </w:rPr>
        <w:t xml:space="preserve"> </w:t>
      </w:r>
      <w:proofErr w:type="spellStart"/>
      <w:r w:rsidRPr="007B0EED">
        <w:rPr>
          <w:i/>
          <w:iCs/>
          <w:color w:val="222222"/>
        </w:rPr>
        <w:t>Komputer</w:t>
      </w:r>
      <w:proofErr w:type="spellEnd"/>
      <w:r w:rsidRPr="007B0EED">
        <w:rPr>
          <w:i/>
          <w:iCs/>
          <w:color w:val="222222"/>
        </w:rPr>
        <w:t xml:space="preserve"> dan </w:t>
      </w:r>
      <w:proofErr w:type="spellStart"/>
      <w:r w:rsidRPr="007B0EED">
        <w:rPr>
          <w:i/>
          <w:iCs/>
          <w:color w:val="222222"/>
        </w:rPr>
        <w:t>Informasi</w:t>
      </w:r>
      <w:proofErr w:type="spellEnd"/>
      <w:r w:rsidRPr="007B0EED">
        <w:rPr>
          <w:color w:val="222222"/>
        </w:rPr>
        <w:t xml:space="preserve">, </w:t>
      </w:r>
      <w:r w:rsidRPr="007B0EED">
        <w:rPr>
          <w:i/>
          <w:iCs/>
          <w:color w:val="222222"/>
        </w:rPr>
        <w:t>17</w:t>
      </w:r>
      <w:r w:rsidRPr="007B0EED">
        <w:rPr>
          <w:color w:val="222222"/>
        </w:rPr>
        <w:t>(2), pp.127-143.</w:t>
      </w:r>
      <w:r w:rsidRPr="007B0EED">
        <w:rPr>
          <w:color w:val="000000"/>
        </w:rPr>
        <w:t xml:space="preserve"> </w:t>
      </w:r>
      <w:hyperlink r:id="rId46" w:history="1">
        <w:r w:rsidRPr="007B0EED">
          <w:rPr>
            <w:rStyle w:val="Hyperlink"/>
            <w:color w:val="1155CC"/>
          </w:rPr>
          <w:t>https://jiki.cs.ui.ac.id/index.php/jiki/article/download/1195/518</w:t>
        </w:r>
      </w:hyperlink>
    </w:p>
    <w:p w14:paraId="46555E1C"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23. Dhanabal, P., 2025. Demystifying ITIL-based incident management in cloud environments. </w:t>
      </w:r>
      <w:r w:rsidRPr="007B0EED">
        <w:rPr>
          <w:i/>
          <w:iCs/>
          <w:color w:val="222222"/>
        </w:rPr>
        <w:t>Journal of Computer Science and Technology Studies</w:t>
      </w:r>
      <w:r w:rsidRPr="007B0EED">
        <w:rPr>
          <w:color w:val="222222"/>
        </w:rPr>
        <w:t xml:space="preserve">, </w:t>
      </w:r>
      <w:r w:rsidRPr="007B0EED">
        <w:rPr>
          <w:i/>
          <w:iCs/>
          <w:color w:val="222222"/>
        </w:rPr>
        <w:t>7</w:t>
      </w:r>
      <w:r w:rsidRPr="007B0EED">
        <w:rPr>
          <w:color w:val="222222"/>
        </w:rPr>
        <w:t>(8), pp.892-903.</w:t>
      </w:r>
      <w:r w:rsidRPr="007B0EED">
        <w:rPr>
          <w:color w:val="000000"/>
        </w:rPr>
        <w:t xml:space="preserve"> </w:t>
      </w:r>
      <w:hyperlink r:id="rId47" w:history="1">
        <w:r w:rsidRPr="007B0EED">
          <w:rPr>
            <w:rStyle w:val="Hyperlink"/>
            <w:color w:val="1155CC"/>
          </w:rPr>
          <w:t>https://alkindipublisher.com/index.php/jcsts/article/download/10652/9400</w:t>
        </w:r>
      </w:hyperlink>
    </w:p>
    <w:p w14:paraId="540830E3"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24. Gambo, M.L. and Almulhem, A., 2026. Zero trust architecture: A systematic literature review. </w:t>
      </w:r>
      <w:r w:rsidRPr="007B0EED">
        <w:rPr>
          <w:i/>
          <w:iCs/>
          <w:color w:val="222222"/>
        </w:rPr>
        <w:t>Journal of Network and Systems Management</w:t>
      </w:r>
      <w:r w:rsidRPr="007B0EED">
        <w:rPr>
          <w:color w:val="222222"/>
        </w:rPr>
        <w:t xml:space="preserve">, </w:t>
      </w:r>
      <w:r w:rsidRPr="007B0EED">
        <w:rPr>
          <w:i/>
          <w:iCs/>
          <w:color w:val="222222"/>
        </w:rPr>
        <w:t>34</w:t>
      </w:r>
      <w:r w:rsidRPr="007B0EED">
        <w:rPr>
          <w:color w:val="222222"/>
        </w:rPr>
        <w:t>(1), p.25.</w:t>
      </w:r>
      <w:r w:rsidRPr="007B0EED">
        <w:rPr>
          <w:color w:val="000000"/>
        </w:rPr>
        <w:t xml:space="preserve"> </w:t>
      </w:r>
      <w:hyperlink r:id="rId48" w:history="1">
        <w:r w:rsidRPr="007B0EED">
          <w:rPr>
            <w:rStyle w:val="Hyperlink"/>
            <w:color w:val="1155CC"/>
          </w:rPr>
          <w:t>https://arxiv.org/pdf/2503.11659</w:t>
        </w:r>
      </w:hyperlink>
    </w:p>
    <w:p w14:paraId="594850B3"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25. Dalal, A., 2025. Designing zero trust security models to protect distributed networks and minimize cyber risks. </w:t>
      </w:r>
      <w:r w:rsidRPr="007B0EED">
        <w:rPr>
          <w:i/>
          <w:iCs/>
          <w:color w:val="222222"/>
        </w:rPr>
        <w:t>Available at SSRN 5268092</w:t>
      </w:r>
      <w:r w:rsidRPr="007B0EED">
        <w:rPr>
          <w:color w:val="222222"/>
        </w:rPr>
        <w:t>.</w:t>
      </w:r>
      <w:r w:rsidRPr="007B0EED">
        <w:rPr>
          <w:color w:val="000000"/>
        </w:rPr>
        <w:t xml:space="preserve"> </w:t>
      </w:r>
      <w:hyperlink r:id="rId49" w:history="1">
        <w:r w:rsidRPr="007B0EED">
          <w:rPr>
            <w:rStyle w:val="Hyperlink"/>
            <w:color w:val="1155CC"/>
          </w:rPr>
          <w:t>https://papers.ssrn.com/sol3/Delivery.cfm?abstractid=5268092</w:t>
        </w:r>
      </w:hyperlink>
    </w:p>
    <w:p w14:paraId="464CD3DF"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26. </w:t>
      </w:r>
      <w:proofErr w:type="spellStart"/>
      <w:r w:rsidRPr="007B0EED">
        <w:rPr>
          <w:color w:val="222222"/>
        </w:rPr>
        <w:t>Ezeagwuna</w:t>
      </w:r>
      <w:proofErr w:type="spellEnd"/>
      <w:r w:rsidRPr="007B0EED">
        <w:rPr>
          <w:color w:val="222222"/>
        </w:rPr>
        <w:t xml:space="preserve">, D., 2026. Enhancing Organizational Cyber Resilience Through the NIST Cybersecurity Framework. </w:t>
      </w:r>
      <w:r w:rsidRPr="007B0EED">
        <w:rPr>
          <w:i/>
          <w:iCs/>
          <w:color w:val="222222"/>
        </w:rPr>
        <w:t>International Journal of Technology, Management and Humanities</w:t>
      </w:r>
      <w:r w:rsidRPr="007B0EED">
        <w:rPr>
          <w:color w:val="222222"/>
        </w:rPr>
        <w:t xml:space="preserve">, </w:t>
      </w:r>
      <w:r w:rsidRPr="007B0EED">
        <w:rPr>
          <w:i/>
          <w:iCs/>
          <w:color w:val="222222"/>
        </w:rPr>
        <w:t>12</w:t>
      </w:r>
      <w:r w:rsidRPr="007B0EED">
        <w:rPr>
          <w:color w:val="222222"/>
        </w:rPr>
        <w:t>(01), pp.124-140.</w:t>
      </w:r>
      <w:r w:rsidRPr="007B0EED">
        <w:rPr>
          <w:color w:val="000000"/>
        </w:rPr>
        <w:t xml:space="preserve"> </w:t>
      </w:r>
      <w:hyperlink r:id="rId50" w:history="1">
        <w:r w:rsidRPr="007B0EED">
          <w:rPr>
            <w:rStyle w:val="Hyperlink"/>
            <w:color w:val="1155CC"/>
          </w:rPr>
          <w:t>https://ijtmh.com/index.php/ijtmh/article/download/366/347</w:t>
        </w:r>
      </w:hyperlink>
    </w:p>
    <w:p w14:paraId="0C68DA9F" w14:textId="77777777" w:rsidR="007B0EED" w:rsidRPr="007B0EED" w:rsidRDefault="007B0EED" w:rsidP="007B0EED">
      <w:pPr>
        <w:pStyle w:val="NormalWeb"/>
        <w:spacing w:before="240" w:beforeAutospacing="0" w:after="200" w:afterAutospacing="0" w:line="360" w:lineRule="auto"/>
        <w:jc w:val="both"/>
      </w:pPr>
      <w:r w:rsidRPr="007B0EED">
        <w:rPr>
          <w:color w:val="222222"/>
        </w:rPr>
        <w:lastRenderedPageBreak/>
        <w:t xml:space="preserve">27. Dhiman, P., Saini, N., Gulzar, Y., Turaev, S., Kaur, A., Nisa, K.U. and Hamid, Y., 2024. A review and comparative analysis of relevant approaches of zero trust network model. </w:t>
      </w:r>
      <w:r w:rsidRPr="007B0EED">
        <w:rPr>
          <w:i/>
          <w:iCs/>
          <w:color w:val="222222"/>
        </w:rPr>
        <w:t>Sensors</w:t>
      </w:r>
      <w:r w:rsidRPr="007B0EED">
        <w:rPr>
          <w:color w:val="222222"/>
        </w:rPr>
        <w:t xml:space="preserve">, </w:t>
      </w:r>
      <w:r w:rsidRPr="007B0EED">
        <w:rPr>
          <w:i/>
          <w:iCs/>
          <w:color w:val="222222"/>
        </w:rPr>
        <w:t>24</w:t>
      </w:r>
      <w:r w:rsidRPr="007B0EED">
        <w:rPr>
          <w:color w:val="222222"/>
        </w:rPr>
        <w:t>(4), p.1328.</w:t>
      </w:r>
      <w:r w:rsidRPr="007B0EED">
        <w:rPr>
          <w:color w:val="000000"/>
        </w:rPr>
        <w:t xml:space="preserve"> </w:t>
      </w:r>
      <w:hyperlink r:id="rId51" w:history="1">
        <w:r w:rsidRPr="007B0EED">
          <w:rPr>
            <w:rStyle w:val="Hyperlink"/>
            <w:color w:val="1155CC"/>
          </w:rPr>
          <w:t>https://www.mdpi.com/1424-8220/24/4/1328</w:t>
        </w:r>
      </w:hyperlink>
    </w:p>
    <w:p w14:paraId="2D97B99D"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28. Rasner, G.C., 2021. </w:t>
      </w:r>
      <w:r w:rsidRPr="007B0EED">
        <w:rPr>
          <w:i/>
          <w:iCs/>
          <w:color w:val="222222"/>
        </w:rPr>
        <w:t>Cybersecurity and third-party risk: Third party threat hunting</w:t>
      </w:r>
      <w:r w:rsidRPr="007B0EED">
        <w:rPr>
          <w:color w:val="222222"/>
        </w:rPr>
        <w:t>. John Wiley &amp; Sons.</w:t>
      </w:r>
      <w:r w:rsidRPr="007B0EED">
        <w:rPr>
          <w:color w:val="000000"/>
        </w:rPr>
        <w:t xml:space="preserve"> </w:t>
      </w:r>
      <w:hyperlink r:id="rId52" w:history="1">
        <w:r w:rsidRPr="007B0EED">
          <w:rPr>
            <w:rStyle w:val="Hyperlink"/>
            <w:color w:val="1155CC"/>
          </w:rPr>
          <w:t>https://books.google.com/books?hl=en&amp;lr=&amp;id=mw8zEAAAQBAJ&amp;oi=fnd&amp;pg=PT6&amp;dq=+the+risk-based+decisions+help+in+addressing+the+cloud,+IoT+and+finally+the+third-party+exposures+of+Aerolinks+through+concentrating+resources+on+critical+threats.&amp;ots=av7D7PDAuD&amp;sig=joAMxvkJTNxX7yS0Z4faLz64q8Y</w:t>
        </w:r>
      </w:hyperlink>
    </w:p>
    <w:p w14:paraId="30B88A30"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29. Jena, A., Bhardwaj, A., Murmu, R., Seeralan, P., Gupta, M. and Sharman, R., 2025. Identifying Opportunities in the Enhancement of an Organization's Third-Party Risk Posture. In </w:t>
      </w:r>
      <w:r w:rsidRPr="007B0EED">
        <w:rPr>
          <w:i/>
          <w:iCs/>
          <w:color w:val="222222"/>
        </w:rPr>
        <w:t>Advances in Enterprise Technology Risk Assessment</w:t>
      </w:r>
      <w:r w:rsidRPr="007B0EED">
        <w:rPr>
          <w:color w:val="222222"/>
        </w:rPr>
        <w:t xml:space="preserve"> (pp. 99-136). IGI Global Scientific Publishing.</w:t>
      </w:r>
      <w:r w:rsidRPr="007B0EED">
        <w:rPr>
          <w:color w:val="000000"/>
        </w:rPr>
        <w:t xml:space="preserve"> </w:t>
      </w:r>
      <w:hyperlink r:id="rId53" w:history="1">
        <w:r w:rsidRPr="007B0EED">
          <w:rPr>
            <w:rStyle w:val="Hyperlink"/>
            <w:color w:val="1155CC"/>
          </w:rPr>
          <w:t>https://www.igi-global.com/chapter/identifying-opportunities-in-the-enhancement-of-an-organizations-third-party-risk-posture/358654</w:t>
        </w:r>
      </w:hyperlink>
    </w:p>
    <w:p w14:paraId="329A1839"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30. </w:t>
      </w:r>
      <w:proofErr w:type="spellStart"/>
      <w:r w:rsidRPr="007B0EED">
        <w:rPr>
          <w:color w:val="222222"/>
        </w:rPr>
        <w:t>Yulistiawan</w:t>
      </w:r>
      <w:proofErr w:type="spellEnd"/>
      <w:r w:rsidRPr="007B0EED">
        <w:rPr>
          <w:color w:val="222222"/>
        </w:rPr>
        <w:t xml:space="preserve">, B.S., </w:t>
      </w:r>
      <w:proofErr w:type="spellStart"/>
      <w:r w:rsidRPr="007B0EED">
        <w:rPr>
          <w:color w:val="222222"/>
        </w:rPr>
        <w:t>Widyastuti</w:t>
      </w:r>
      <w:proofErr w:type="spellEnd"/>
      <w:r w:rsidRPr="007B0EED">
        <w:rPr>
          <w:color w:val="222222"/>
        </w:rPr>
        <w:t xml:space="preserve">, R., </w:t>
      </w:r>
      <w:proofErr w:type="spellStart"/>
      <w:r w:rsidRPr="007B0EED">
        <w:rPr>
          <w:color w:val="222222"/>
        </w:rPr>
        <w:t>Mulianingtyas</w:t>
      </w:r>
      <w:proofErr w:type="spellEnd"/>
      <w:r w:rsidRPr="007B0EED">
        <w:rPr>
          <w:color w:val="222222"/>
        </w:rPr>
        <w:t xml:space="preserve">, R.O. and Sihotang, H.T., 2025. Developing the Adaptive Digital IT Governance Framework for Next-Generation IT Governance. </w:t>
      </w:r>
      <w:r w:rsidRPr="007B0EED">
        <w:rPr>
          <w:i/>
          <w:iCs/>
          <w:color w:val="222222"/>
        </w:rPr>
        <w:t xml:space="preserve">MATRIK: </w:t>
      </w:r>
      <w:proofErr w:type="spellStart"/>
      <w:r w:rsidRPr="007B0EED">
        <w:rPr>
          <w:i/>
          <w:iCs/>
          <w:color w:val="222222"/>
        </w:rPr>
        <w:t>Jurnal</w:t>
      </w:r>
      <w:proofErr w:type="spellEnd"/>
      <w:r w:rsidRPr="007B0EED">
        <w:rPr>
          <w:i/>
          <w:iCs/>
          <w:color w:val="222222"/>
        </w:rPr>
        <w:t xml:space="preserve"> </w:t>
      </w:r>
      <w:proofErr w:type="spellStart"/>
      <w:r w:rsidRPr="007B0EED">
        <w:rPr>
          <w:i/>
          <w:iCs/>
          <w:color w:val="222222"/>
        </w:rPr>
        <w:t>Manajemen</w:t>
      </w:r>
      <w:proofErr w:type="spellEnd"/>
      <w:r w:rsidRPr="007B0EED">
        <w:rPr>
          <w:i/>
          <w:iCs/>
          <w:color w:val="222222"/>
        </w:rPr>
        <w:t xml:space="preserve">, Teknik </w:t>
      </w:r>
      <w:proofErr w:type="spellStart"/>
      <w:r w:rsidRPr="007B0EED">
        <w:rPr>
          <w:i/>
          <w:iCs/>
          <w:color w:val="222222"/>
        </w:rPr>
        <w:t>Informatika</w:t>
      </w:r>
      <w:proofErr w:type="spellEnd"/>
      <w:r w:rsidRPr="007B0EED">
        <w:rPr>
          <w:i/>
          <w:iCs/>
          <w:color w:val="222222"/>
        </w:rPr>
        <w:t xml:space="preserve"> dan </w:t>
      </w:r>
      <w:proofErr w:type="spellStart"/>
      <w:r w:rsidRPr="007B0EED">
        <w:rPr>
          <w:i/>
          <w:iCs/>
          <w:color w:val="222222"/>
        </w:rPr>
        <w:t>Rekayasa</w:t>
      </w:r>
      <w:proofErr w:type="spellEnd"/>
      <w:r w:rsidRPr="007B0EED">
        <w:rPr>
          <w:i/>
          <w:iCs/>
          <w:color w:val="222222"/>
        </w:rPr>
        <w:t xml:space="preserve"> Komputer</w:t>
      </w:r>
      <w:r w:rsidRPr="007B0EED">
        <w:rPr>
          <w:color w:val="222222"/>
        </w:rPr>
        <w:t xml:space="preserve">, </w:t>
      </w:r>
      <w:r w:rsidRPr="007B0EED">
        <w:rPr>
          <w:i/>
          <w:iCs/>
          <w:color w:val="222222"/>
        </w:rPr>
        <w:t>25</w:t>
      </w:r>
      <w:r w:rsidRPr="007B0EED">
        <w:rPr>
          <w:color w:val="222222"/>
        </w:rPr>
        <w:t>(1), pp.97-112.</w:t>
      </w:r>
      <w:r w:rsidRPr="007B0EED">
        <w:rPr>
          <w:color w:val="000000"/>
        </w:rPr>
        <w:t xml:space="preserve"> </w:t>
      </w:r>
      <w:hyperlink r:id="rId54" w:history="1">
        <w:r w:rsidRPr="007B0EED">
          <w:rPr>
            <w:rStyle w:val="Hyperlink"/>
            <w:color w:val="1155CC"/>
          </w:rPr>
          <w:t>https://journal.universitasbumigora.ac.id/matrik/article/download/5628/2267</w:t>
        </w:r>
      </w:hyperlink>
    </w:p>
    <w:p w14:paraId="5CA012CE" w14:textId="77777777" w:rsidR="007B0EED" w:rsidRPr="007B0EED" w:rsidRDefault="007B0EED" w:rsidP="007B0EED">
      <w:pPr>
        <w:pStyle w:val="NormalWeb"/>
        <w:spacing w:before="240" w:beforeAutospacing="0" w:after="200" w:afterAutospacing="0" w:line="360" w:lineRule="auto"/>
        <w:jc w:val="both"/>
      </w:pPr>
      <w:r w:rsidRPr="007B0EED">
        <w:rPr>
          <w:color w:val="222222"/>
        </w:rPr>
        <w:t>31.Briain, D.Ó., 2026. Workshop Notes.</w:t>
      </w:r>
      <w:r w:rsidRPr="007B0EED">
        <w:rPr>
          <w:color w:val="000000"/>
        </w:rPr>
        <w:t xml:space="preserve"> </w:t>
      </w:r>
      <w:hyperlink r:id="rId55" w:history="1">
        <w:r w:rsidRPr="007B0EED">
          <w:rPr>
            <w:rStyle w:val="Hyperlink"/>
            <w:color w:val="1155CC"/>
          </w:rPr>
          <w:t>https://www.obriain.com/training/nis2-maritime/Cybersecurity_in_Maritime_Domain_(Rosslare)_odt_v1.0.2.pdf</w:t>
        </w:r>
      </w:hyperlink>
    </w:p>
    <w:p w14:paraId="03FE4959"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32. Agarwal, K. and Shah, M., 2024. The role of corporate governance in managing cybersecurity risks: A comprehensive analysis. </w:t>
      </w:r>
      <w:proofErr w:type="spellStart"/>
      <w:r w:rsidRPr="007B0EED">
        <w:rPr>
          <w:i/>
          <w:iCs/>
          <w:color w:val="222222"/>
        </w:rPr>
        <w:t>LawFoyer</w:t>
      </w:r>
      <w:proofErr w:type="spellEnd"/>
      <w:r w:rsidRPr="007B0EED">
        <w:rPr>
          <w:i/>
          <w:iCs/>
          <w:color w:val="222222"/>
        </w:rPr>
        <w:t xml:space="preserve"> Int'l J. Doctrinal Legal </w:t>
      </w:r>
      <w:proofErr w:type="spellStart"/>
      <w:r w:rsidRPr="007B0EED">
        <w:rPr>
          <w:i/>
          <w:iCs/>
          <w:color w:val="222222"/>
        </w:rPr>
        <w:t>Rsch</w:t>
      </w:r>
      <w:proofErr w:type="spellEnd"/>
      <w:r w:rsidRPr="007B0EED">
        <w:rPr>
          <w:i/>
          <w:iCs/>
          <w:color w:val="222222"/>
        </w:rPr>
        <w:t>.</w:t>
      </w:r>
      <w:r w:rsidRPr="007B0EED">
        <w:rPr>
          <w:color w:val="222222"/>
        </w:rPr>
        <w:t xml:space="preserve">, </w:t>
      </w:r>
      <w:r w:rsidRPr="007B0EED">
        <w:rPr>
          <w:i/>
          <w:iCs/>
          <w:color w:val="222222"/>
        </w:rPr>
        <w:t>2</w:t>
      </w:r>
      <w:r w:rsidRPr="007B0EED">
        <w:rPr>
          <w:color w:val="222222"/>
        </w:rPr>
        <w:t>, p.352.</w:t>
      </w:r>
      <w:r w:rsidRPr="007B0EED">
        <w:rPr>
          <w:color w:val="000000"/>
        </w:rPr>
        <w:t xml:space="preserve"> </w:t>
      </w:r>
      <w:hyperlink r:id="rId56" w:history="1">
        <w:r w:rsidRPr="007B0EED">
          <w:rPr>
            <w:rStyle w:val="Hyperlink"/>
            <w:color w:val="1155CC"/>
          </w:rPr>
          <w:t>https://access.heinonline.com/hol-cgi-bin/get_pdf.cgi?handle=hein.journals/lwfyrinl2&amp;section=23</w:t>
        </w:r>
      </w:hyperlink>
    </w:p>
    <w:p w14:paraId="4D508D02" w14:textId="77777777" w:rsidR="007B0EED" w:rsidRPr="007B0EED" w:rsidRDefault="007B0EED" w:rsidP="007B0EED">
      <w:pPr>
        <w:pStyle w:val="NormalWeb"/>
        <w:spacing w:before="240" w:beforeAutospacing="0" w:after="240" w:afterAutospacing="0" w:line="360" w:lineRule="auto"/>
        <w:jc w:val="both"/>
      </w:pPr>
      <w:r w:rsidRPr="007B0EED">
        <w:rPr>
          <w:color w:val="222222"/>
        </w:rPr>
        <w:t xml:space="preserve">33. Mitcham, Z.S. and MSA, C., 2024. </w:t>
      </w:r>
      <w:r w:rsidRPr="007B0EED">
        <w:rPr>
          <w:i/>
          <w:iCs/>
          <w:color w:val="222222"/>
        </w:rPr>
        <w:t>Key Security Concepts that all CISOs Should Know-Cyber Guardians: A CISO's Guide to Protecting the Digital World</w:t>
      </w:r>
      <w:r w:rsidRPr="007B0EED">
        <w:rPr>
          <w:color w:val="222222"/>
        </w:rPr>
        <w:t xml:space="preserve">. </w:t>
      </w:r>
      <w:proofErr w:type="spellStart"/>
      <w:r w:rsidRPr="007B0EED">
        <w:rPr>
          <w:color w:val="222222"/>
        </w:rPr>
        <w:t>eBookIt</w:t>
      </w:r>
      <w:proofErr w:type="spellEnd"/>
      <w:r w:rsidRPr="007B0EED">
        <w:rPr>
          <w:color w:val="222222"/>
        </w:rPr>
        <w:t>. com.</w:t>
      </w:r>
      <w:hyperlink r:id="rId57" w:history="1">
        <w:r w:rsidRPr="007B0EED">
          <w:rPr>
            <w:rStyle w:val="Hyperlink"/>
            <w:color w:val="000000"/>
          </w:rPr>
          <w:t xml:space="preserve"> </w:t>
        </w:r>
        <w:r w:rsidRPr="007B0EED">
          <w:rPr>
            <w:rStyle w:val="Hyperlink"/>
            <w:color w:val="1155CC"/>
          </w:rPr>
          <w:t>https://books.google.com/books?hl=en&amp;lr=&amp;id=30YEEQAAQBAJ&amp;oi=fnd&amp;pg=PA1&amp;dq=Besides+that,+the+CISO+helps+in+developing+the+security+strategy+along+side+coordina</w:t>
        </w:r>
        <w:r w:rsidRPr="007B0EED">
          <w:rPr>
            <w:rStyle w:val="Hyperlink"/>
            <w:color w:val="1155CC"/>
          </w:rPr>
          <w:lastRenderedPageBreak/>
          <w:t>tes+the+SOC+with+risk+and+security+operations.&amp;ots=rn_GhWYJ-4&amp;sig=fPHMoKRpcY7n2QMu4jXZUNEV3J4</w:t>
        </w:r>
      </w:hyperlink>
    </w:p>
    <w:p w14:paraId="263E6FFA"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34. </w:t>
      </w:r>
      <w:proofErr w:type="spellStart"/>
      <w:r w:rsidRPr="007B0EED">
        <w:rPr>
          <w:color w:val="222222"/>
        </w:rPr>
        <w:t>Gokkaya</w:t>
      </w:r>
      <w:proofErr w:type="spellEnd"/>
      <w:r w:rsidRPr="007B0EED">
        <w:rPr>
          <w:color w:val="222222"/>
        </w:rPr>
        <w:t xml:space="preserve">, B., </w:t>
      </w:r>
      <w:proofErr w:type="spellStart"/>
      <w:r w:rsidRPr="007B0EED">
        <w:rPr>
          <w:color w:val="222222"/>
        </w:rPr>
        <w:t>Spanaki</w:t>
      </w:r>
      <w:proofErr w:type="spellEnd"/>
      <w:r w:rsidRPr="007B0EED">
        <w:rPr>
          <w:color w:val="222222"/>
        </w:rPr>
        <w:t xml:space="preserve">, K. and Karafili, E., 2025. Strengthening the UK regulatory framework: Enhancing cybersecurity in supply chains. </w:t>
      </w:r>
      <w:r w:rsidRPr="007B0EED">
        <w:rPr>
          <w:i/>
          <w:iCs/>
          <w:color w:val="222222"/>
        </w:rPr>
        <w:t>International Journal of Information Management Data Insights</w:t>
      </w:r>
      <w:r w:rsidRPr="007B0EED">
        <w:rPr>
          <w:color w:val="222222"/>
        </w:rPr>
        <w:t xml:space="preserve">, </w:t>
      </w:r>
      <w:r w:rsidRPr="007B0EED">
        <w:rPr>
          <w:i/>
          <w:iCs/>
          <w:color w:val="222222"/>
        </w:rPr>
        <w:t>5</w:t>
      </w:r>
      <w:r w:rsidRPr="007B0EED">
        <w:rPr>
          <w:color w:val="222222"/>
        </w:rPr>
        <w:t>(2), p.100370.</w:t>
      </w:r>
      <w:r w:rsidRPr="007B0EED">
        <w:rPr>
          <w:color w:val="000000"/>
        </w:rPr>
        <w:t xml:space="preserve"> </w:t>
      </w:r>
      <w:hyperlink r:id="rId58" w:history="1">
        <w:r w:rsidRPr="007B0EED">
          <w:rPr>
            <w:rStyle w:val="Hyperlink"/>
            <w:color w:val="1155CC"/>
          </w:rPr>
          <w:t>https://www.sciencedirect.com/science/article/pii/S2667096825000527</w:t>
        </w:r>
      </w:hyperlink>
    </w:p>
    <w:p w14:paraId="445A9306" w14:textId="77777777" w:rsidR="007B0EED" w:rsidRPr="007B0EED" w:rsidRDefault="007B0EED" w:rsidP="00BD5673">
      <w:pPr>
        <w:pStyle w:val="NormalWeb"/>
        <w:spacing w:before="240" w:beforeAutospacing="0" w:after="200" w:afterAutospacing="0" w:line="360" w:lineRule="auto"/>
        <w:jc w:val="both"/>
      </w:pPr>
      <w:r w:rsidRPr="007B0EED">
        <w:rPr>
          <w:color w:val="222222"/>
        </w:rPr>
        <w:t xml:space="preserve">35. Dekker, M. and Alevizos, L., 2024. A threat‐intelligence driven methodology to incorporate uncertainty in cyber risk analysis and enhance decision‐making. </w:t>
      </w:r>
      <w:r w:rsidRPr="007B0EED">
        <w:rPr>
          <w:i/>
          <w:iCs/>
          <w:color w:val="222222"/>
        </w:rPr>
        <w:t>Security and Privacy</w:t>
      </w:r>
      <w:r w:rsidRPr="007B0EED">
        <w:rPr>
          <w:color w:val="222222"/>
        </w:rPr>
        <w:t xml:space="preserve">, </w:t>
      </w:r>
      <w:r w:rsidRPr="007B0EED">
        <w:rPr>
          <w:i/>
          <w:iCs/>
          <w:color w:val="222222"/>
        </w:rPr>
        <w:t>7</w:t>
      </w:r>
      <w:r w:rsidRPr="007B0EED">
        <w:rPr>
          <w:color w:val="222222"/>
        </w:rPr>
        <w:t>(1), p.e333.</w:t>
      </w:r>
      <w:r w:rsidRPr="007B0EED">
        <w:rPr>
          <w:color w:val="000000"/>
        </w:rPr>
        <w:t xml:space="preserve"> </w:t>
      </w:r>
      <w:hyperlink r:id="rId59" w:history="1">
        <w:r w:rsidRPr="007B0EED">
          <w:rPr>
            <w:rStyle w:val="Hyperlink"/>
            <w:color w:val="1155CC"/>
          </w:rPr>
          <w:t>https://onlinelibrary.wiley.com/doi/pdfdirect/10.1002/spy2.333</w:t>
        </w:r>
      </w:hyperlink>
    </w:p>
    <w:p w14:paraId="61C738C6"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36. </w:t>
      </w:r>
      <w:proofErr w:type="spellStart"/>
      <w:r w:rsidRPr="007B0EED">
        <w:rPr>
          <w:color w:val="222222"/>
        </w:rPr>
        <w:t>Safitri</w:t>
      </w:r>
      <w:proofErr w:type="spellEnd"/>
      <w:r w:rsidRPr="007B0EED">
        <w:rPr>
          <w:color w:val="222222"/>
        </w:rPr>
        <w:t xml:space="preserve">, E.H.N. and </w:t>
      </w:r>
      <w:proofErr w:type="spellStart"/>
      <w:r w:rsidRPr="007B0EED">
        <w:rPr>
          <w:color w:val="222222"/>
        </w:rPr>
        <w:t>Kabetta</w:t>
      </w:r>
      <w:proofErr w:type="spellEnd"/>
      <w:r w:rsidRPr="007B0EED">
        <w:rPr>
          <w:color w:val="222222"/>
        </w:rPr>
        <w:t xml:space="preserve">, H., 2023, August. Cyber-Risk Management Planning Using NIST CSF V1. 1, ISO/IEC 27005: 2018, and NIST SP 800-53 Revision 5 (A Study Case to ABC Organization). In </w:t>
      </w:r>
      <w:r w:rsidRPr="007B0EED">
        <w:rPr>
          <w:i/>
          <w:iCs/>
          <w:color w:val="222222"/>
        </w:rPr>
        <w:t>2023 IEEE International Conference on Cryptography, Informatics, and Cybersecurity (</w:t>
      </w:r>
      <w:proofErr w:type="spellStart"/>
      <w:r w:rsidRPr="007B0EED">
        <w:rPr>
          <w:i/>
          <w:iCs/>
          <w:color w:val="222222"/>
        </w:rPr>
        <w:t>ICoCICs</w:t>
      </w:r>
      <w:proofErr w:type="spellEnd"/>
      <w:r w:rsidRPr="007B0EED">
        <w:rPr>
          <w:i/>
          <w:iCs/>
          <w:color w:val="222222"/>
        </w:rPr>
        <w:t>)</w:t>
      </w:r>
      <w:r w:rsidRPr="007B0EED">
        <w:rPr>
          <w:color w:val="222222"/>
        </w:rPr>
        <w:t xml:space="preserve"> (pp. 332-338). IEEE.</w:t>
      </w:r>
      <w:r w:rsidRPr="007B0EED">
        <w:rPr>
          <w:color w:val="000000"/>
        </w:rPr>
        <w:t xml:space="preserve"> </w:t>
      </w:r>
      <w:hyperlink r:id="rId60" w:history="1">
        <w:r w:rsidRPr="007B0EED">
          <w:rPr>
            <w:rStyle w:val="Hyperlink"/>
            <w:color w:val="1155CC"/>
          </w:rPr>
          <w:t>https://ieeexplore.ieee.org/abstract/document/10277652/</w:t>
        </w:r>
      </w:hyperlink>
    </w:p>
    <w:p w14:paraId="32D9FDD7"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37. Aloisi, A. and </w:t>
      </w:r>
      <w:proofErr w:type="spellStart"/>
      <w:r w:rsidRPr="007B0EED">
        <w:rPr>
          <w:color w:val="222222"/>
        </w:rPr>
        <w:t>Gramano</w:t>
      </w:r>
      <w:proofErr w:type="spellEnd"/>
      <w:r w:rsidRPr="007B0EED">
        <w:rPr>
          <w:color w:val="222222"/>
        </w:rPr>
        <w:t xml:space="preserve">, E., 2019. Artificial intelligence is watching you at work: Digital surveillance, employee monitoring, and regulatory issues in the EU context. </w:t>
      </w:r>
      <w:r w:rsidRPr="007B0EED">
        <w:rPr>
          <w:i/>
          <w:iCs/>
          <w:color w:val="222222"/>
        </w:rPr>
        <w:t xml:space="preserve">Comp. Lab. L. &amp; </w:t>
      </w:r>
      <w:proofErr w:type="spellStart"/>
      <w:r w:rsidRPr="007B0EED">
        <w:rPr>
          <w:i/>
          <w:iCs/>
          <w:color w:val="222222"/>
        </w:rPr>
        <w:t>Pol'y</w:t>
      </w:r>
      <w:proofErr w:type="spellEnd"/>
      <w:r w:rsidRPr="007B0EED">
        <w:rPr>
          <w:i/>
          <w:iCs/>
          <w:color w:val="222222"/>
        </w:rPr>
        <w:t xml:space="preserve"> J.</w:t>
      </w:r>
      <w:r w:rsidRPr="007B0EED">
        <w:rPr>
          <w:color w:val="222222"/>
        </w:rPr>
        <w:t xml:space="preserve">, </w:t>
      </w:r>
      <w:r w:rsidRPr="007B0EED">
        <w:rPr>
          <w:i/>
          <w:iCs/>
          <w:color w:val="222222"/>
        </w:rPr>
        <w:t>41</w:t>
      </w:r>
      <w:r w:rsidRPr="007B0EED">
        <w:rPr>
          <w:color w:val="222222"/>
        </w:rPr>
        <w:t>, p.95.</w:t>
      </w:r>
      <w:r w:rsidRPr="007B0EED">
        <w:rPr>
          <w:color w:val="000000"/>
        </w:rPr>
        <w:t xml:space="preserve"> </w:t>
      </w:r>
      <w:hyperlink r:id="rId61" w:history="1">
        <w:r w:rsidRPr="007B0EED">
          <w:rPr>
            <w:rStyle w:val="Hyperlink"/>
            <w:color w:val="1155CC"/>
          </w:rPr>
          <w:t>https://papers.ssrn.com/sol3/Delivery.cfm?abstractid=3399548</w:t>
        </w:r>
      </w:hyperlink>
    </w:p>
    <w:p w14:paraId="6FEBE8E2"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38. Gema, D., 2026. </w:t>
      </w:r>
      <w:r w:rsidRPr="007B0EED">
        <w:rPr>
          <w:i/>
          <w:iCs/>
          <w:color w:val="222222"/>
        </w:rPr>
        <w:t>Managing IT Suppliers: A Practical Guide to Vendor Management</w:t>
      </w:r>
      <w:r w:rsidRPr="007B0EED">
        <w:rPr>
          <w:color w:val="222222"/>
        </w:rPr>
        <w:t>. CRC Press.</w:t>
      </w:r>
      <w:r w:rsidRPr="007B0EED">
        <w:rPr>
          <w:color w:val="000000"/>
        </w:rPr>
        <w:t xml:space="preserve"> </w:t>
      </w:r>
      <w:hyperlink r:id="rId62" w:history="1">
        <w:r w:rsidRPr="007B0EED">
          <w:rPr>
            <w:rStyle w:val="Hyperlink"/>
            <w:color w:val="1155CC"/>
          </w:rPr>
          <w:t>https://books.google.com/books?hl=en&amp;lr=&amp;id=NjyfEQAAQBAJ&amp;oi=fnd&amp;pg=PT5&amp;dq=vendor+management+requires+starting+with+security+due+diligence+through+critically+investigating+the+suppliers+before+engagement+and+periodically+thereafter.&amp;ots=mjL0DkkPlA&amp;sig=ZL7sfAvckvXVw7Dugr25AlsVhJE</w:t>
        </w:r>
      </w:hyperlink>
    </w:p>
    <w:p w14:paraId="485226C1"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39. Jyoti, S.N. and Akter, M., 2022. Assessment Of Data-Driven Vendor Performance Evaluation in Retail Supply Chains: Analyzing Metrics, Scorecards, And Contract Management Tools. </w:t>
      </w:r>
      <w:r w:rsidRPr="007B0EED">
        <w:rPr>
          <w:i/>
          <w:iCs/>
          <w:color w:val="222222"/>
        </w:rPr>
        <w:t>American Journal of Interdisciplinary Studies</w:t>
      </w:r>
      <w:r w:rsidRPr="007B0EED">
        <w:rPr>
          <w:color w:val="222222"/>
        </w:rPr>
        <w:t xml:space="preserve">, </w:t>
      </w:r>
      <w:r w:rsidRPr="007B0EED">
        <w:rPr>
          <w:i/>
          <w:iCs/>
          <w:color w:val="222222"/>
        </w:rPr>
        <w:t>3</w:t>
      </w:r>
      <w:r w:rsidRPr="007B0EED">
        <w:rPr>
          <w:color w:val="222222"/>
        </w:rPr>
        <w:t>(02), pp.36-61.</w:t>
      </w:r>
      <w:r w:rsidRPr="007B0EED">
        <w:rPr>
          <w:color w:val="000000"/>
        </w:rPr>
        <w:t xml:space="preserve"> </w:t>
      </w:r>
      <w:hyperlink r:id="rId63" w:history="1">
        <w:r w:rsidRPr="007B0EED">
          <w:rPr>
            <w:rStyle w:val="Hyperlink"/>
            <w:color w:val="1155CC"/>
          </w:rPr>
          <w:t>https://ajisresearch.com/index.php/ajis/article/download/30/28</w:t>
        </w:r>
      </w:hyperlink>
    </w:p>
    <w:p w14:paraId="12A58F4F" w14:textId="77777777" w:rsidR="007B0EED" w:rsidRPr="007B0EED" w:rsidRDefault="007B0EED" w:rsidP="007B0EED">
      <w:pPr>
        <w:pStyle w:val="NormalWeb"/>
        <w:spacing w:before="240" w:beforeAutospacing="0" w:after="200" w:afterAutospacing="0" w:line="360" w:lineRule="auto"/>
        <w:jc w:val="both"/>
      </w:pPr>
      <w:r w:rsidRPr="007B0EED">
        <w:rPr>
          <w:color w:val="222222"/>
        </w:rPr>
        <w:lastRenderedPageBreak/>
        <w:t xml:space="preserve">40. </w:t>
      </w:r>
      <w:proofErr w:type="spellStart"/>
      <w:r w:rsidRPr="007B0EED">
        <w:rPr>
          <w:color w:val="222222"/>
        </w:rPr>
        <w:t>Zamykalová</w:t>
      </w:r>
      <w:proofErr w:type="spellEnd"/>
      <w:r w:rsidRPr="007B0EED">
        <w:rPr>
          <w:color w:val="222222"/>
        </w:rPr>
        <w:t xml:space="preserve">, Š., 2025. Critical but also strategic infrastructure must be more resilient than ever. </w:t>
      </w:r>
      <w:r w:rsidRPr="007B0EED">
        <w:rPr>
          <w:i/>
          <w:iCs/>
          <w:color w:val="222222"/>
        </w:rPr>
        <w:t>Central European Journal of Security Studies</w:t>
      </w:r>
      <w:r w:rsidRPr="007B0EED">
        <w:rPr>
          <w:color w:val="222222"/>
        </w:rPr>
        <w:t xml:space="preserve">, </w:t>
      </w:r>
      <w:r w:rsidRPr="007B0EED">
        <w:rPr>
          <w:i/>
          <w:iCs/>
          <w:color w:val="222222"/>
        </w:rPr>
        <w:t>3</w:t>
      </w:r>
      <w:r w:rsidRPr="007B0EED">
        <w:rPr>
          <w:color w:val="222222"/>
        </w:rPr>
        <w:t>(1), pp.76-84.</w:t>
      </w:r>
      <w:r w:rsidRPr="007B0EED">
        <w:rPr>
          <w:color w:val="000000"/>
        </w:rPr>
        <w:t xml:space="preserve"> </w:t>
      </w:r>
      <w:hyperlink r:id="rId64" w:history="1">
        <w:r w:rsidRPr="007B0EED">
          <w:rPr>
            <w:rStyle w:val="Hyperlink"/>
            <w:color w:val="1155CC"/>
          </w:rPr>
          <w:t>https://bibliotekanauki.pl/articles/63884604.pdf</w:t>
        </w:r>
      </w:hyperlink>
    </w:p>
    <w:p w14:paraId="74779154" w14:textId="77777777" w:rsidR="007B0EED" w:rsidRPr="007B0EED" w:rsidRDefault="007B0EED" w:rsidP="00BD5673">
      <w:pPr>
        <w:pStyle w:val="NormalWeb"/>
        <w:spacing w:before="240" w:beforeAutospacing="0" w:after="200" w:afterAutospacing="0" w:line="360" w:lineRule="auto"/>
        <w:jc w:val="both"/>
      </w:pPr>
      <w:r w:rsidRPr="007B0EED">
        <w:rPr>
          <w:color w:val="222222"/>
        </w:rPr>
        <w:t xml:space="preserve">41. Mohammed, S., 2024. Resilient multi-region cloud architecture for high availability and disaster recovery. </w:t>
      </w:r>
      <w:r w:rsidRPr="007B0EED">
        <w:rPr>
          <w:i/>
          <w:iCs/>
          <w:color w:val="222222"/>
        </w:rPr>
        <w:t>International Journal of Research Publications in Engineering, Technology and Management (IJRPETM)</w:t>
      </w:r>
      <w:r w:rsidRPr="007B0EED">
        <w:rPr>
          <w:color w:val="222222"/>
        </w:rPr>
        <w:t xml:space="preserve">, </w:t>
      </w:r>
      <w:r w:rsidRPr="007B0EED">
        <w:rPr>
          <w:i/>
          <w:iCs/>
          <w:color w:val="222222"/>
        </w:rPr>
        <w:t>7</w:t>
      </w:r>
      <w:r w:rsidRPr="007B0EED">
        <w:rPr>
          <w:color w:val="222222"/>
        </w:rPr>
        <w:t>(4), pp.10869-10873.</w:t>
      </w:r>
      <w:r w:rsidRPr="007B0EED">
        <w:rPr>
          <w:color w:val="000000"/>
        </w:rPr>
        <w:t xml:space="preserve"> </w:t>
      </w:r>
      <w:hyperlink r:id="rId65" w:history="1">
        <w:r w:rsidRPr="007B0EED">
          <w:rPr>
            <w:rStyle w:val="Hyperlink"/>
            <w:color w:val="1155CC"/>
          </w:rPr>
          <w:t>https://ijrpetm.com/index.php/IJRPETM/article/download/561/530</w:t>
        </w:r>
      </w:hyperlink>
    </w:p>
    <w:p w14:paraId="2A0F363C"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42. Ali, G., Samuel, A., Kabiito, S.P., Morish, Z., Thomas, A., Robert, W., Denis, A., Sallam, M., </w:t>
      </w:r>
      <w:proofErr w:type="spellStart"/>
      <w:r w:rsidRPr="007B0EED">
        <w:rPr>
          <w:color w:val="222222"/>
        </w:rPr>
        <w:t>Mijwil</w:t>
      </w:r>
      <w:proofErr w:type="spellEnd"/>
      <w:r w:rsidRPr="007B0EED">
        <w:rPr>
          <w:color w:val="222222"/>
        </w:rPr>
        <w:t>, M.M., Ayad, J. and Salau, A.O., 2025. Integration of artificial intelligence, blockchain, and quantum cryptography for securing the industrial internet of things (</w:t>
      </w:r>
      <w:proofErr w:type="spellStart"/>
      <w:r w:rsidRPr="007B0EED">
        <w:rPr>
          <w:color w:val="222222"/>
        </w:rPr>
        <w:t>IIoT</w:t>
      </w:r>
      <w:proofErr w:type="spellEnd"/>
      <w:r w:rsidRPr="007B0EED">
        <w:rPr>
          <w:color w:val="222222"/>
        </w:rPr>
        <w:t xml:space="preserve">): Recent advancements and future trends. </w:t>
      </w:r>
      <w:r w:rsidRPr="007B0EED">
        <w:rPr>
          <w:i/>
          <w:iCs/>
          <w:color w:val="222222"/>
        </w:rPr>
        <w:t>Applied Data Science and Analysis</w:t>
      </w:r>
      <w:r w:rsidRPr="007B0EED">
        <w:rPr>
          <w:color w:val="222222"/>
        </w:rPr>
        <w:t xml:space="preserve">, </w:t>
      </w:r>
      <w:r w:rsidRPr="007B0EED">
        <w:rPr>
          <w:i/>
          <w:iCs/>
          <w:color w:val="222222"/>
        </w:rPr>
        <w:t>2025</w:t>
      </w:r>
      <w:r w:rsidRPr="007B0EED">
        <w:rPr>
          <w:color w:val="222222"/>
        </w:rPr>
        <w:t>, pp.19-82.</w:t>
      </w:r>
      <w:r w:rsidRPr="007B0EED">
        <w:rPr>
          <w:color w:val="000000"/>
        </w:rPr>
        <w:t xml:space="preserve"> </w:t>
      </w:r>
      <w:hyperlink r:id="rId66" w:history="1">
        <w:r w:rsidRPr="007B0EED">
          <w:rPr>
            <w:rStyle w:val="Hyperlink"/>
            <w:color w:val="1155CC"/>
          </w:rPr>
          <w:t>https://journals.mesopotamian.press/index.php/ADSA/article/download/757/1144</w:t>
        </w:r>
      </w:hyperlink>
    </w:p>
    <w:p w14:paraId="24A052DF"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43. </w:t>
      </w:r>
      <w:proofErr w:type="spellStart"/>
      <w:r w:rsidRPr="007B0EED">
        <w:rPr>
          <w:color w:val="222222"/>
        </w:rPr>
        <w:t>Mageed</w:t>
      </w:r>
      <w:proofErr w:type="spellEnd"/>
      <w:r w:rsidRPr="007B0EED">
        <w:rPr>
          <w:color w:val="222222"/>
        </w:rPr>
        <w:t xml:space="preserve">, I.A., 2025. Issues and challenges in transforming management practices through agility. </w:t>
      </w:r>
      <w:r w:rsidRPr="007B0EED">
        <w:rPr>
          <w:i/>
          <w:iCs/>
          <w:color w:val="222222"/>
        </w:rPr>
        <w:t>Systemic analytics</w:t>
      </w:r>
      <w:r w:rsidRPr="007B0EED">
        <w:rPr>
          <w:color w:val="222222"/>
        </w:rPr>
        <w:t xml:space="preserve">, </w:t>
      </w:r>
      <w:r w:rsidRPr="007B0EED">
        <w:rPr>
          <w:i/>
          <w:iCs/>
          <w:color w:val="222222"/>
        </w:rPr>
        <w:t>3</w:t>
      </w:r>
      <w:r w:rsidRPr="007B0EED">
        <w:rPr>
          <w:color w:val="222222"/>
        </w:rPr>
        <w:t>(2), pp.91-111.</w:t>
      </w:r>
      <w:r w:rsidRPr="007B0EED">
        <w:rPr>
          <w:color w:val="000000"/>
        </w:rPr>
        <w:t xml:space="preserve"> </w:t>
      </w:r>
      <w:hyperlink r:id="rId67" w:history="1">
        <w:r w:rsidRPr="007B0EED">
          <w:rPr>
            <w:rStyle w:val="Hyperlink"/>
            <w:color w:val="1155CC"/>
          </w:rPr>
          <w:t>https://sa-journal.org/index.php/systemic/article/download/46/57</w:t>
        </w:r>
      </w:hyperlink>
    </w:p>
    <w:p w14:paraId="3597FBE5" w14:textId="77777777" w:rsidR="007B0EED" w:rsidRPr="007B0EED" w:rsidRDefault="007B0EED" w:rsidP="007B0EED">
      <w:pPr>
        <w:pStyle w:val="NormalWeb"/>
        <w:spacing w:before="240" w:beforeAutospacing="0" w:after="200" w:afterAutospacing="0" w:line="360" w:lineRule="auto"/>
        <w:jc w:val="both"/>
      </w:pPr>
      <w:r w:rsidRPr="007B0EED">
        <w:rPr>
          <w:color w:val="222222"/>
        </w:rPr>
        <w:t xml:space="preserve">44. Stevens, A., 2025. </w:t>
      </w:r>
      <w:r w:rsidRPr="007B0EED">
        <w:rPr>
          <w:i/>
          <w:iCs/>
          <w:color w:val="222222"/>
        </w:rPr>
        <w:t>Enterprise Fortress: The Ultimate Handbook for Enterprise Security Architecture</w:t>
      </w:r>
      <w:r w:rsidRPr="007B0EED">
        <w:rPr>
          <w:color w:val="222222"/>
        </w:rPr>
        <w:t>. CRC Press.</w:t>
      </w:r>
      <w:r w:rsidRPr="007B0EED">
        <w:rPr>
          <w:color w:val="000000"/>
        </w:rPr>
        <w:t xml:space="preserve"> </w:t>
      </w:r>
      <w:hyperlink r:id="rId68" w:history="1">
        <w:r w:rsidRPr="007B0EED">
          <w:rPr>
            <w:rStyle w:val="Hyperlink"/>
            <w:color w:val="1155CC"/>
          </w:rPr>
          <w:t>https://books.google.com/books?hl=en&amp;lr=&amp;id=WfdCEQAAQBAJ&amp;oi=fnd&amp;pg=PP1&amp;dq=Security+Governance+Committee+while+confirming+the+CISO+and+RACI+responsibilities,+perform+enterprise-wide+risk+assessments,+and+address+the+immediate+weakness+through+the+help+of+MFA,+least-privilege+access,+encryption+and+finally+the+critical+reviews+of+the+vendor.+&amp;ots=5rDMvFLoyM&amp;sig=zuqLQa26pCx2d31XhaJxS1Jzabs</w:t>
        </w:r>
      </w:hyperlink>
    </w:p>
    <w:p w14:paraId="22A75397" w14:textId="77777777" w:rsidR="007B0EED" w:rsidRPr="007B0EED" w:rsidRDefault="007B0EED" w:rsidP="007B0EED">
      <w:pPr>
        <w:pStyle w:val="NormalWeb"/>
        <w:spacing w:before="240" w:beforeAutospacing="0" w:after="240" w:afterAutospacing="0" w:line="360" w:lineRule="auto"/>
        <w:jc w:val="both"/>
      </w:pPr>
      <w:r w:rsidRPr="007B0EED">
        <w:rPr>
          <w:color w:val="222222"/>
        </w:rPr>
        <w:t>45. Mdaki, J., 2025. A hybrid cybersecurity framework for small businesses: integrating NIST CSF, ISO 27001, and CEO engagement.</w:t>
      </w:r>
      <w:hyperlink r:id="rId69" w:history="1">
        <w:r w:rsidRPr="007B0EED">
          <w:rPr>
            <w:rStyle w:val="Hyperlink"/>
            <w:color w:val="000000"/>
          </w:rPr>
          <w:t xml:space="preserve"> </w:t>
        </w:r>
        <w:r w:rsidRPr="007B0EED">
          <w:rPr>
            <w:rStyle w:val="Hyperlink"/>
            <w:color w:val="1155CC"/>
          </w:rPr>
          <w:t>https://www.theseus.fi/bitstream/handle/10024/891475/Mdaki_Jacob.pdf?sequence=2</w:t>
        </w:r>
      </w:hyperlink>
    </w:p>
    <w:p w14:paraId="083E81B4" w14:textId="77777777" w:rsidR="00AF5F20" w:rsidRDefault="00AF5F2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102928E" w14:textId="77777777" w:rsidR="00EB78CE" w:rsidRDefault="00AF5F20" w:rsidP="00AF5F20">
      <w:pPr>
        <w:pStyle w:val="Heading1"/>
      </w:pPr>
      <w:bookmarkStart w:id="63" w:name="_Toc237108136"/>
      <w:r>
        <w:lastRenderedPageBreak/>
        <w:t>Appendices</w:t>
      </w:r>
      <w:bookmarkEnd w:id="63"/>
      <w:r>
        <w:t xml:space="preserve"> </w:t>
      </w:r>
    </w:p>
    <w:p w14:paraId="3ABD4C52" w14:textId="77777777" w:rsidR="00AF5F20" w:rsidRPr="0009446D" w:rsidRDefault="00AF5F20" w:rsidP="0009446D">
      <w:pPr>
        <w:pStyle w:val="Heading2"/>
      </w:pPr>
      <w:bookmarkStart w:id="64" w:name="_Toc237108137"/>
      <w:r>
        <w:t xml:space="preserve">Appendix 1: RACI </w:t>
      </w:r>
      <w:r w:rsidR="0009446D">
        <w:t>Matrix</w:t>
      </w:r>
      <w:bookmarkEnd w:id="64"/>
    </w:p>
    <w:tbl>
      <w:tblPr>
        <w:tblStyle w:val="GridTable4-Accent3"/>
        <w:tblW w:w="5000" w:type="pct"/>
        <w:tblLook w:val="04A0" w:firstRow="1" w:lastRow="0" w:firstColumn="1" w:lastColumn="0" w:noHBand="0" w:noVBand="1"/>
      </w:tblPr>
      <w:tblGrid>
        <w:gridCol w:w="1189"/>
        <w:gridCol w:w="703"/>
        <w:gridCol w:w="1158"/>
        <w:gridCol w:w="662"/>
        <w:gridCol w:w="1240"/>
        <w:gridCol w:w="1148"/>
        <w:gridCol w:w="591"/>
        <w:gridCol w:w="1088"/>
        <w:gridCol w:w="1240"/>
      </w:tblGrid>
      <w:tr w:rsidR="00AF5F20" w:rsidRPr="007C4A7F" w14:paraId="364FC6DC" w14:textId="77777777" w:rsidTr="000944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9" w:type="pct"/>
            <w:hideMark/>
          </w:tcPr>
          <w:p w14:paraId="0B25AD80" w14:textId="77777777" w:rsidR="00AF5F20" w:rsidRPr="00AF5F20" w:rsidRDefault="00AF5F20" w:rsidP="00AF5F20">
            <w:pPr>
              <w:jc w:val="center"/>
              <w:rPr>
                <w:rFonts w:ascii="Times New Roman" w:hAnsi="Times New Roman" w:cs="Times New Roman"/>
                <w:b w:val="0"/>
                <w:color w:val="auto"/>
                <w:sz w:val="24"/>
                <w:szCs w:val="24"/>
              </w:rPr>
            </w:pPr>
            <w:r w:rsidRPr="00AF5F20">
              <w:rPr>
                <w:rStyle w:val="Strong"/>
                <w:rFonts w:ascii="Times New Roman" w:hAnsi="Times New Roman" w:cs="Times New Roman"/>
                <w:b/>
                <w:color w:val="auto"/>
                <w:sz w:val="24"/>
                <w:szCs w:val="24"/>
              </w:rPr>
              <w:t>Security Activity</w:t>
            </w:r>
          </w:p>
        </w:tc>
        <w:tc>
          <w:tcPr>
            <w:tcW w:w="390" w:type="pct"/>
            <w:hideMark/>
          </w:tcPr>
          <w:p w14:paraId="3F7DB475" w14:textId="77777777" w:rsidR="00AF5F20" w:rsidRPr="00AF5F20" w:rsidRDefault="00AF5F20" w:rsidP="00AF5F2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AF5F20">
              <w:rPr>
                <w:rStyle w:val="Strong"/>
                <w:rFonts w:ascii="Times New Roman" w:hAnsi="Times New Roman" w:cs="Times New Roman"/>
                <w:b/>
                <w:color w:val="auto"/>
                <w:sz w:val="24"/>
                <w:szCs w:val="24"/>
              </w:rPr>
              <w:t>Board</w:t>
            </w:r>
          </w:p>
        </w:tc>
        <w:tc>
          <w:tcPr>
            <w:tcW w:w="642" w:type="pct"/>
            <w:hideMark/>
          </w:tcPr>
          <w:p w14:paraId="5480C5BE" w14:textId="77777777" w:rsidR="00AF5F20" w:rsidRPr="00AF5F20" w:rsidRDefault="00AF5F20" w:rsidP="00AF5F2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AF5F20">
              <w:rPr>
                <w:rStyle w:val="Strong"/>
                <w:rFonts w:ascii="Times New Roman" w:hAnsi="Times New Roman" w:cs="Times New Roman"/>
                <w:b/>
                <w:color w:val="auto"/>
                <w:sz w:val="24"/>
                <w:szCs w:val="24"/>
              </w:rPr>
              <w:t>Security Governance Committee</w:t>
            </w:r>
          </w:p>
        </w:tc>
        <w:tc>
          <w:tcPr>
            <w:tcW w:w="367" w:type="pct"/>
            <w:hideMark/>
          </w:tcPr>
          <w:p w14:paraId="6B2EF0AC" w14:textId="77777777" w:rsidR="00AF5F20" w:rsidRPr="00AF5F20" w:rsidRDefault="00AF5F20" w:rsidP="00AF5F2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AF5F20">
              <w:rPr>
                <w:rStyle w:val="Strong"/>
                <w:rFonts w:ascii="Times New Roman" w:hAnsi="Times New Roman" w:cs="Times New Roman"/>
                <w:b/>
                <w:color w:val="auto"/>
                <w:sz w:val="24"/>
                <w:szCs w:val="24"/>
              </w:rPr>
              <w:t>CISO</w:t>
            </w:r>
          </w:p>
        </w:tc>
        <w:tc>
          <w:tcPr>
            <w:tcW w:w="687" w:type="pct"/>
            <w:hideMark/>
          </w:tcPr>
          <w:p w14:paraId="02D3F0D9" w14:textId="77777777" w:rsidR="00AF5F20" w:rsidRPr="00AF5F20" w:rsidRDefault="00AF5F20" w:rsidP="00AF5F2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AF5F20">
              <w:rPr>
                <w:rStyle w:val="Strong"/>
                <w:rFonts w:ascii="Times New Roman" w:hAnsi="Times New Roman" w:cs="Times New Roman"/>
                <w:b/>
                <w:color w:val="auto"/>
                <w:sz w:val="24"/>
                <w:szCs w:val="24"/>
              </w:rPr>
              <w:t>Risk Management</w:t>
            </w:r>
          </w:p>
        </w:tc>
        <w:tc>
          <w:tcPr>
            <w:tcW w:w="636" w:type="pct"/>
            <w:hideMark/>
          </w:tcPr>
          <w:p w14:paraId="17CB59C6" w14:textId="77777777" w:rsidR="00AF5F20" w:rsidRPr="00AF5F20" w:rsidRDefault="00AF5F20" w:rsidP="00AF5F2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AF5F20">
              <w:rPr>
                <w:rStyle w:val="Strong"/>
                <w:rFonts w:ascii="Times New Roman" w:hAnsi="Times New Roman" w:cs="Times New Roman"/>
                <w:b/>
                <w:color w:val="auto"/>
                <w:sz w:val="24"/>
                <w:szCs w:val="24"/>
              </w:rPr>
              <w:t>DPO / Compliance</w:t>
            </w:r>
          </w:p>
        </w:tc>
        <w:tc>
          <w:tcPr>
            <w:tcW w:w="328" w:type="pct"/>
            <w:hideMark/>
          </w:tcPr>
          <w:p w14:paraId="6F3FC976" w14:textId="77777777" w:rsidR="00AF5F20" w:rsidRPr="00AF5F20" w:rsidRDefault="00AF5F20" w:rsidP="00AF5F2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AF5F20">
              <w:rPr>
                <w:rStyle w:val="Strong"/>
                <w:rFonts w:ascii="Times New Roman" w:hAnsi="Times New Roman" w:cs="Times New Roman"/>
                <w:b/>
                <w:color w:val="auto"/>
                <w:sz w:val="24"/>
                <w:szCs w:val="24"/>
              </w:rPr>
              <w:t>SOC</w:t>
            </w:r>
          </w:p>
        </w:tc>
        <w:tc>
          <w:tcPr>
            <w:tcW w:w="603" w:type="pct"/>
            <w:hideMark/>
          </w:tcPr>
          <w:p w14:paraId="7D209E1D" w14:textId="77777777" w:rsidR="00AF5F20" w:rsidRPr="00AF5F20" w:rsidRDefault="00AF5F20" w:rsidP="00AF5F2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AF5F20">
              <w:rPr>
                <w:rStyle w:val="Strong"/>
                <w:rFonts w:ascii="Times New Roman" w:hAnsi="Times New Roman" w:cs="Times New Roman"/>
                <w:b/>
                <w:color w:val="auto"/>
                <w:sz w:val="24"/>
                <w:szCs w:val="24"/>
              </w:rPr>
              <w:t>IT Operations</w:t>
            </w:r>
          </w:p>
        </w:tc>
        <w:tc>
          <w:tcPr>
            <w:tcW w:w="687" w:type="pct"/>
            <w:hideMark/>
          </w:tcPr>
          <w:p w14:paraId="675EAE40" w14:textId="77777777" w:rsidR="00AF5F20" w:rsidRPr="00AF5F20" w:rsidRDefault="00AF5F20" w:rsidP="00AF5F2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4"/>
                <w:szCs w:val="24"/>
              </w:rPr>
            </w:pPr>
            <w:r w:rsidRPr="00AF5F20">
              <w:rPr>
                <w:rStyle w:val="Strong"/>
                <w:rFonts w:ascii="Times New Roman" w:hAnsi="Times New Roman" w:cs="Times New Roman"/>
                <w:b/>
                <w:color w:val="auto"/>
                <w:sz w:val="24"/>
                <w:szCs w:val="24"/>
              </w:rPr>
              <w:t>Vendor Management</w:t>
            </w:r>
          </w:p>
        </w:tc>
      </w:tr>
      <w:tr w:rsidR="00AF5F20" w:rsidRPr="007C4A7F" w14:paraId="55E96313" w14:textId="77777777" w:rsidTr="000944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9" w:type="pct"/>
            <w:hideMark/>
          </w:tcPr>
          <w:p w14:paraId="2D8CB832" w14:textId="77777777" w:rsidR="00AF5F20" w:rsidRPr="00AF5F20" w:rsidRDefault="00AF5F20" w:rsidP="00AF5F20">
            <w:pPr>
              <w:rPr>
                <w:rFonts w:ascii="Times New Roman" w:hAnsi="Times New Roman" w:cs="Times New Roman"/>
                <w:b w:val="0"/>
                <w:bCs w:val="0"/>
                <w:sz w:val="24"/>
                <w:szCs w:val="24"/>
              </w:rPr>
            </w:pPr>
            <w:r w:rsidRPr="00AF5F20">
              <w:rPr>
                <w:rFonts w:ascii="Times New Roman" w:hAnsi="Times New Roman" w:cs="Times New Roman"/>
                <w:b w:val="0"/>
                <w:sz w:val="24"/>
                <w:szCs w:val="24"/>
              </w:rPr>
              <w:t>Security strategy &amp; risk appetite</w:t>
            </w:r>
          </w:p>
        </w:tc>
        <w:tc>
          <w:tcPr>
            <w:tcW w:w="390" w:type="pct"/>
            <w:hideMark/>
          </w:tcPr>
          <w:p w14:paraId="0A831A94"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A</w:t>
            </w:r>
          </w:p>
        </w:tc>
        <w:tc>
          <w:tcPr>
            <w:tcW w:w="642" w:type="pct"/>
            <w:hideMark/>
          </w:tcPr>
          <w:p w14:paraId="629F4D05"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367" w:type="pct"/>
            <w:hideMark/>
          </w:tcPr>
          <w:p w14:paraId="145AADEF"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C</w:t>
            </w:r>
          </w:p>
        </w:tc>
        <w:tc>
          <w:tcPr>
            <w:tcW w:w="687" w:type="pct"/>
            <w:hideMark/>
          </w:tcPr>
          <w:p w14:paraId="75CF59A0"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2EAE4AFC"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328" w:type="pct"/>
            <w:hideMark/>
          </w:tcPr>
          <w:p w14:paraId="6F7F62C3"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03" w:type="pct"/>
            <w:hideMark/>
          </w:tcPr>
          <w:p w14:paraId="04FCBC0B"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87" w:type="pct"/>
            <w:hideMark/>
          </w:tcPr>
          <w:p w14:paraId="6EC6A65E"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r>
      <w:tr w:rsidR="00AF5F20" w:rsidRPr="007C4A7F" w14:paraId="58287B8D" w14:textId="77777777" w:rsidTr="0009446D">
        <w:tc>
          <w:tcPr>
            <w:cnfStyle w:val="001000000000" w:firstRow="0" w:lastRow="0" w:firstColumn="1" w:lastColumn="0" w:oddVBand="0" w:evenVBand="0" w:oddHBand="0" w:evenHBand="0" w:firstRowFirstColumn="0" w:firstRowLastColumn="0" w:lastRowFirstColumn="0" w:lastRowLastColumn="0"/>
            <w:tcW w:w="659" w:type="pct"/>
            <w:hideMark/>
          </w:tcPr>
          <w:p w14:paraId="758AC4B6"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Enterprise security risk assessment</w:t>
            </w:r>
          </w:p>
        </w:tc>
        <w:tc>
          <w:tcPr>
            <w:tcW w:w="390" w:type="pct"/>
            <w:hideMark/>
          </w:tcPr>
          <w:p w14:paraId="67A98123"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6CCC01D7"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A</w:t>
            </w:r>
          </w:p>
        </w:tc>
        <w:tc>
          <w:tcPr>
            <w:tcW w:w="367" w:type="pct"/>
            <w:hideMark/>
          </w:tcPr>
          <w:p w14:paraId="696F850C"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87" w:type="pct"/>
            <w:hideMark/>
          </w:tcPr>
          <w:p w14:paraId="76500595"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36" w:type="pct"/>
            <w:hideMark/>
          </w:tcPr>
          <w:p w14:paraId="76F3185E"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328" w:type="pct"/>
            <w:hideMark/>
          </w:tcPr>
          <w:p w14:paraId="66FAB612"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03" w:type="pct"/>
            <w:hideMark/>
          </w:tcPr>
          <w:p w14:paraId="3B27CE58"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87" w:type="pct"/>
            <w:hideMark/>
          </w:tcPr>
          <w:p w14:paraId="0123DED6"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r>
      <w:tr w:rsidR="00AF5F20" w:rsidRPr="007C4A7F" w14:paraId="16491507" w14:textId="77777777" w:rsidTr="000944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9" w:type="pct"/>
            <w:hideMark/>
          </w:tcPr>
          <w:p w14:paraId="2418B8D3"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ISMS &amp; security policies</w:t>
            </w:r>
          </w:p>
        </w:tc>
        <w:tc>
          <w:tcPr>
            <w:tcW w:w="390" w:type="pct"/>
            <w:hideMark/>
          </w:tcPr>
          <w:p w14:paraId="63774B78"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72972C1B"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A</w:t>
            </w:r>
          </w:p>
        </w:tc>
        <w:tc>
          <w:tcPr>
            <w:tcW w:w="367" w:type="pct"/>
            <w:hideMark/>
          </w:tcPr>
          <w:p w14:paraId="2C840F21"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87" w:type="pct"/>
            <w:hideMark/>
          </w:tcPr>
          <w:p w14:paraId="614540A0"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38CD1996"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328" w:type="pct"/>
            <w:hideMark/>
          </w:tcPr>
          <w:p w14:paraId="2F5B52B4"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03" w:type="pct"/>
            <w:hideMark/>
          </w:tcPr>
          <w:p w14:paraId="5D809A9B"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R</w:t>
            </w:r>
          </w:p>
        </w:tc>
        <w:tc>
          <w:tcPr>
            <w:tcW w:w="687" w:type="pct"/>
            <w:hideMark/>
          </w:tcPr>
          <w:p w14:paraId="29B816A2"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r>
      <w:tr w:rsidR="00AF5F20" w:rsidRPr="007C4A7F" w14:paraId="67FB0AB7" w14:textId="77777777" w:rsidTr="0009446D">
        <w:tc>
          <w:tcPr>
            <w:cnfStyle w:val="001000000000" w:firstRow="0" w:lastRow="0" w:firstColumn="1" w:lastColumn="0" w:oddVBand="0" w:evenVBand="0" w:oddHBand="0" w:evenHBand="0" w:firstRowFirstColumn="0" w:firstRowLastColumn="0" w:lastRowFirstColumn="0" w:lastRowLastColumn="0"/>
            <w:tcW w:w="659" w:type="pct"/>
            <w:hideMark/>
          </w:tcPr>
          <w:p w14:paraId="0CB86EA9"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GDPR &amp; regulatory compliance</w:t>
            </w:r>
          </w:p>
        </w:tc>
        <w:tc>
          <w:tcPr>
            <w:tcW w:w="390" w:type="pct"/>
            <w:hideMark/>
          </w:tcPr>
          <w:p w14:paraId="1A79F6F4"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5403B2E6"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A</w:t>
            </w:r>
          </w:p>
        </w:tc>
        <w:tc>
          <w:tcPr>
            <w:tcW w:w="367" w:type="pct"/>
            <w:hideMark/>
          </w:tcPr>
          <w:p w14:paraId="2CF30D9A"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87" w:type="pct"/>
            <w:hideMark/>
          </w:tcPr>
          <w:p w14:paraId="035DA3F1"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3A67039B"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R/A</w:t>
            </w:r>
          </w:p>
        </w:tc>
        <w:tc>
          <w:tcPr>
            <w:tcW w:w="328" w:type="pct"/>
            <w:hideMark/>
          </w:tcPr>
          <w:p w14:paraId="1D022DD9"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03" w:type="pct"/>
            <w:hideMark/>
          </w:tcPr>
          <w:p w14:paraId="77A59DD1"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87" w:type="pct"/>
            <w:hideMark/>
          </w:tcPr>
          <w:p w14:paraId="27A45FC7"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r>
      <w:tr w:rsidR="00AF5F20" w:rsidRPr="007C4A7F" w14:paraId="4F1BECCC" w14:textId="77777777" w:rsidTr="000944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9" w:type="pct"/>
            <w:hideMark/>
          </w:tcPr>
          <w:p w14:paraId="24D6FBE1"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Cloud &amp; IoT security controls</w:t>
            </w:r>
          </w:p>
        </w:tc>
        <w:tc>
          <w:tcPr>
            <w:tcW w:w="390" w:type="pct"/>
            <w:hideMark/>
          </w:tcPr>
          <w:p w14:paraId="6689A1B4"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490D74B8"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A</w:t>
            </w:r>
          </w:p>
        </w:tc>
        <w:tc>
          <w:tcPr>
            <w:tcW w:w="367" w:type="pct"/>
            <w:hideMark/>
          </w:tcPr>
          <w:p w14:paraId="24439A20"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87" w:type="pct"/>
            <w:hideMark/>
          </w:tcPr>
          <w:p w14:paraId="507C8AF3"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54EB7780"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328" w:type="pct"/>
            <w:hideMark/>
          </w:tcPr>
          <w:p w14:paraId="68544091"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03" w:type="pct"/>
            <w:hideMark/>
          </w:tcPr>
          <w:p w14:paraId="033DD711"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87" w:type="pct"/>
            <w:hideMark/>
          </w:tcPr>
          <w:p w14:paraId="7670593A"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r>
      <w:tr w:rsidR="00AF5F20" w:rsidRPr="007C4A7F" w14:paraId="1D0A4F6A" w14:textId="77777777" w:rsidTr="0009446D">
        <w:tc>
          <w:tcPr>
            <w:cnfStyle w:val="001000000000" w:firstRow="0" w:lastRow="0" w:firstColumn="1" w:lastColumn="0" w:oddVBand="0" w:evenVBand="0" w:oddHBand="0" w:evenHBand="0" w:firstRowFirstColumn="0" w:firstRowLastColumn="0" w:lastRowFirstColumn="0" w:lastRowLastColumn="0"/>
            <w:tcW w:w="659" w:type="pct"/>
            <w:hideMark/>
          </w:tcPr>
          <w:p w14:paraId="7D584012"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Remote access &amp; Zero Trust</w:t>
            </w:r>
          </w:p>
        </w:tc>
        <w:tc>
          <w:tcPr>
            <w:tcW w:w="390" w:type="pct"/>
            <w:hideMark/>
          </w:tcPr>
          <w:p w14:paraId="3D9EFD4F"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17688277"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A</w:t>
            </w:r>
          </w:p>
        </w:tc>
        <w:tc>
          <w:tcPr>
            <w:tcW w:w="367" w:type="pct"/>
            <w:hideMark/>
          </w:tcPr>
          <w:p w14:paraId="1F61BCA4"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87" w:type="pct"/>
            <w:hideMark/>
          </w:tcPr>
          <w:p w14:paraId="038E95E8"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10198CD9"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328" w:type="pct"/>
            <w:hideMark/>
          </w:tcPr>
          <w:p w14:paraId="3F3D10B6"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03" w:type="pct"/>
            <w:hideMark/>
          </w:tcPr>
          <w:p w14:paraId="24B6F295"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87" w:type="pct"/>
            <w:hideMark/>
          </w:tcPr>
          <w:p w14:paraId="1984F727"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r>
      <w:tr w:rsidR="00AF5F20" w:rsidRPr="007C4A7F" w14:paraId="5658913B" w14:textId="77777777" w:rsidTr="000944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9" w:type="pct"/>
            <w:hideMark/>
          </w:tcPr>
          <w:p w14:paraId="2F954A7C"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Third-party security &amp; SLA assurance</w:t>
            </w:r>
          </w:p>
        </w:tc>
        <w:tc>
          <w:tcPr>
            <w:tcW w:w="390" w:type="pct"/>
            <w:hideMark/>
          </w:tcPr>
          <w:p w14:paraId="0D573AA3"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66712C8B"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A</w:t>
            </w:r>
          </w:p>
        </w:tc>
        <w:tc>
          <w:tcPr>
            <w:tcW w:w="367" w:type="pct"/>
            <w:hideMark/>
          </w:tcPr>
          <w:p w14:paraId="1EC6CC94"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87" w:type="pct"/>
            <w:hideMark/>
          </w:tcPr>
          <w:p w14:paraId="4BA31BD0"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4B6ED06E"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328" w:type="pct"/>
            <w:hideMark/>
          </w:tcPr>
          <w:p w14:paraId="753EEBF1"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03" w:type="pct"/>
            <w:hideMark/>
          </w:tcPr>
          <w:p w14:paraId="09EE708B"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87" w:type="pct"/>
            <w:hideMark/>
          </w:tcPr>
          <w:p w14:paraId="1B603EDE"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r>
      <w:tr w:rsidR="00AF5F20" w:rsidRPr="007C4A7F" w14:paraId="15CD0E88" w14:textId="77777777" w:rsidTr="0009446D">
        <w:tc>
          <w:tcPr>
            <w:cnfStyle w:val="001000000000" w:firstRow="0" w:lastRow="0" w:firstColumn="1" w:lastColumn="0" w:oddVBand="0" w:evenVBand="0" w:oddHBand="0" w:evenHBand="0" w:firstRowFirstColumn="0" w:firstRowLastColumn="0" w:lastRowFirstColumn="0" w:lastRowLastColumn="0"/>
            <w:tcW w:w="659" w:type="pct"/>
            <w:hideMark/>
          </w:tcPr>
          <w:p w14:paraId="1EC86252"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Security monitoring &amp; threat detection</w:t>
            </w:r>
          </w:p>
        </w:tc>
        <w:tc>
          <w:tcPr>
            <w:tcW w:w="390" w:type="pct"/>
            <w:hideMark/>
          </w:tcPr>
          <w:p w14:paraId="0870AE1F"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65D495EE"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A</w:t>
            </w:r>
          </w:p>
        </w:tc>
        <w:tc>
          <w:tcPr>
            <w:tcW w:w="367" w:type="pct"/>
            <w:hideMark/>
          </w:tcPr>
          <w:p w14:paraId="2788ADEB"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A</w:t>
            </w:r>
          </w:p>
        </w:tc>
        <w:tc>
          <w:tcPr>
            <w:tcW w:w="687" w:type="pct"/>
            <w:hideMark/>
          </w:tcPr>
          <w:p w14:paraId="4184DDC6"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213CC0C2"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328" w:type="pct"/>
            <w:hideMark/>
          </w:tcPr>
          <w:p w14:paraId="32BBA56C"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03" w:type="pct"/>
            <w:hideMark/>
          </w:tcPr>
          <w:p w14:paraId="63C5FCFE"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87" w:type="pct"/>
            <w:hideMark/>
          </w:tcPr>
          <w:p w14:paraId="3D879788"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r>
      <w:tr w:rsidR="00AF5F20" w:rsidRPr="007C4A7F" w14:paraId="57FB4423" w14:textId="77777777" w:rsidTr="000944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9" w:type="pct"/>
            <w:hideMark/>
          </w:tcPr>
          <w:p w14:paraId="76B32DE0"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Incident response &amp; escalation</w:t>
            </w:r>
          </w:p>
        </w:tc>
        <w:tc>
          <w:tcPr>
            <w:tcW w:w="390" w:type="pct"/>
            <w:hideMark/>
          </w:tcPr>
          <w:p w14:paraId="52F3EC99"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72C89E18"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A</w:t>
            </w:r>
          </w:p>
        </w:tc>
        <w:tc>
          <w:tcPr>
            <w:tcW w:w="367" w:type="pct"/>
            <w:hideMark/>
          </w:tcPr>
          <w:p w14:paraId="1565E9DF"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A</w:t>
            </w:r>
          </w:p>
        </w:tc>
        <w:tc>
          <w:tcPr>
            <w:tcW w:w="687" w:type="pct"/>
            <w:hideMark/>
          </w:tcPr>
          <w:p w14:paraId="01C9B9E7"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32ED74A3"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328" w:type="pct"/>
            <w:hideMark/>
          </w:tcPr>
          <w:p w14:paraId="5AA06104"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03" w:type="pct"/>
            <w:hideMark/>
          </w:tcPr>
          <w:p w14:paraId="55B6B217"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R</w:t>
            </w:r>
          </w:p>
        </w:tc>
        <w:tc>
          <w:tcPr>
            <w:tcW w:w="687" w:type="pct"/>
            <w:hideMark/>
          </w:tcPr>
          <w:p w14:paraId="5CDAFBD0"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r>
      <w:tr w:rsidR="00AF5F20" w:rsidRPr="007C4A7F" w14:paraId="336CCBC7" w14:textId="77777777" w:rsidTr="0009446D">
        <w:tc>
          <w:tcPr>
            <w:cnfStyle w:val="001000000000" w:firstRow="0" w:lastRow="0" w:firstColumn="1" w:lastColumn="0" w:oddVBand="0" w:evenVBand="0" w:oddHBand="0" w:evenHBand="0" w:firstRowFirstColumn="0" w:firstRowLastColumn="0" w:lastRowFirstColumn="0" w:lastRowLastColumn="0"/>
            <w:tcW w:w="659" w:type="pct"/>
            <w:hideMark/>
          </w:tcPr>
          <w:p w14:paraId="5D71C9EE"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lastRenderedPageBreak/>
              <w:t>Business continuity &amp; disaster recovery</w:t>
            </w:r>
          </w:p>
        </w:tc>
        <w:tc>
          <w:tcPr>
            <w:tcW w:w="390" w:type="pct"/>
            <w:hideMark/>
          </w:tcPr>
          <w:p w14:paraId="715C99C8"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A</w:t>
            </w:r>
          </w:p>
        </w:tc>
        <w:tc>
          <w:tcPr>
            <w:tcW w:w="642" w:type="pct"/>
            <w:hideMark/>
          </w:tcPr>
          <w:p w14:paraId="08848432"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R</w:t>
            </w:r>
          </w:p>
        </w:tc>
        <w:tc>
          <w:tcPr>
            <w:tcW w:w="367" w:type="pct"/>
            <w:hideMark/>
          </w:tcPr>
          <w:p w14:paraId="5ED0336D"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87" w:type="pct"/>
            <w:hideMark/>
          </w:tcPr>
          <w:p w14:paraId="7451BE73"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36" w:type="pct"/>
            <w:hideMark/>
          </w:tcPr>
          <w:p w14:paraId="7F044A85"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328" w:type="pct"/>
            <w:hideMark/>
          </w:tcPr>
          <w:p w14:paraId="62ABBD2F"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03" w:type="pct"/>
            <w:hideMark/>
          </w:tcPr>
          <w:p w14:paraId="7185B16D"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87" w:type="pct"/>
            <w:hideMark/>
          </w:tcPr>
          <w:p w14:paraId="30F49E61" w14:textId="77777777" w:rsidR="00AF5F20" w:rsidRPr="00AF5F20" w:rsidRDefault="00AF5F20" w:rsidP="00AF5F2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r>
      <w:tr w:rsidR="00AF5F20" w:rsidRPr="007C4A7F" w14:paraId="78C2F43E" w14:textId="77777777" w:rsidTr="000944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9" w:type="pct"/>
            <w:hideMark/>
          </w:tcPr>
          <w:p w14:paraId="6FD25147" w14:textId="77777777" w:rsidR="00AF5F20" w:rsidRPr="00AF5F20" w:rsidRDefault="00AF5F20" w:rsidP="00AF5F20">
            <w:pPr>
              <w:rPr>
                <w:rFonts w:ascii="Times New Roman" w:hAnsi="Times New Roman" w:cs="Times New Roman"/>
                <w:b w:val="0"/>
                <w:sz w:val="24"/>
                <w:szCs w:val="24"/>
              </w:rPr>
            </w:pPr>
            <w:r w:rsidRPr="00AF5F20">
              <w:rPr>
                <w:rFonts w:ascii="Times New Roman" w:hAnsi="Times New Roman" w:cs="Times New Roman"/>
                <w:b w:val="0"/>
                <w:sz w:val="24"/>
                <w:szCs w:val="24"/>
              </w:rPr>
              <w:t>Security performance &amp; continual improvement</w:t>
            </w:r>
          </w:p>
        </w:tc>
        <w:tc>
          <w:tcPr>
            <w:tcW w:w="390" w:type="pct"/>
            <w:hideMark/>
          </w:tcPr>
          <w:p w14:paraId="728515A3"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I</w:t>
            </w:r>
          </w:p>
        </w:tc>
        <w:tc>
          <w:tcPr>
            <w:tcW w:w="642" w:type="pct"/>
            <w:hideMark/>
          </w:tcPr>
          <w:p w14:paraId="769C105D"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A</w:t>
            </w:r>
          </w:p>
        </w:tc>
        <w:tc>
          <w:tcPr>
            <w:tcW w:w="367" w:type="pct"/>
            <w:hideMark/>
          </w:tcPr>
          <w:p w14:paraId="5C2CAD41"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Style w:val="Strong"/>
                <w:rFonts w:ascii="Times New Roman" w:hAnsi="Times New Roman" w:cs="Times New Roman"/>
                <w:b w:val="0"/>
                <w:sz w:val="24"/>
                <w:szCs w:val="24"/>
              </w:rPr>
              <w:t>R</w:t>
            </w:r>
          </w:p>
        </w:tc>
        <w:tc>
          <w:tcPr>
            <w:tcW w:w="687" w:type="pct"/>
            <w:hideMark/>
          </w:tcPr>
          <w:p w14:paraId="38FF7EFD"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36" w:type="pct"/>
            <w:hideMark/>
          </w:tcPr>
          <w:p w14:paraId="3CB78AB9"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328" w:type="pct"/>
            <w:hideMark/>
          </w:tcPr>
          <w:p w14:paraId="6851BABD"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R</w:t>
            </w:r>
          </w:p>
        </w:tc>
        <w:tc>
          <w:tcPr>
            <w:tcW w:w="603" w:type="pct"/>
            <w:hideMark/>
          </w:tcPr>
          <w:p w14:paraId="2275D534"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c>
          <w:tcPr>
            <w:tcW w:w="687" w:type="pct"/>
            <w:hideMark/>
          </w:tcPr>
          <w:p w14:paraId="1D80FEFD" w14:textId="77777777" w:rsidR="00AF5F20" w:rsidRPr="00AF5F20" w:rsidRDefault="00AF5F20" w:rsidP="00AF5F2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F5F20">
              <w:rPr>
                <w:rFonts w:ascii="Times New Roman" w:hAnsi="Times New Roman" w:cs="Times New Roman"/>
                <w:sz w:val="24"/>
                <w:szCs w:val="24"/>
              </w:rPr>
              <w:t>C</w:t>
            </w:r>
          </w:p>
        </w:tc>
      </w:tr>
    </w:tbl>
    <w:p w14:paraId="6A20E189" w14:textId="77777777" w:rsidR="00AF5F20" w:rsidRPr="007C4A7F" w:rsidRDefault="00AF5F20" w:rsidP="00AF5F20">
      <w:pPr>
        <w:rPr>
          <w:rFonts w:ascii="Times New Roman" w:hAnsi="Times New Roman" w:cs="Times New Roman"/>
          <w:sz w:val="24"/>
          <w:szCs w:val="24"/>
        </w:rPr>
      </w:pPr>
    </w:p>
    <w:p w14:paraId="0A793E15" w14:textId="77777777" w:rsidR="00AF5F20" w:rsidRDefault="00AF5F20">
      <w:pPr>
        <w:rPr>
          <w:color w:val="434343"/>
          <w:sz w:val="28"/>
          <w:szCs w:val="28"/>
        </w:rPr>
      </w:pPr>
      <w:r>
        <w:br w:type="page"/>
      </w:r>
    </w:p>
    <w:p w14:paraId="684F6206" w14:textId="77777777" w:rsidR="00AF5F20" w:rsidRDefault="00AF5F20" w:rsidP="00AF5F20">
      <w:pPr>
        <w:pStyle w:val="Heading2"/>
      </w:pPr>
      <w:bookmarkStart w:id="65" w:name="_Toc237108138"/>
      <w:r>
        <w:lastRenderedPageBreak/>
        <w:t>Appendix 2: ALL Cybersecurity Risk Register</w:t>
      </w:r>
      <w:bookmarkEnd w:id="65"/>
    </w:p>
    <w:p w14:paraId="48707B70" w14:textId="77777777" w:rsidR="00AF5F20" w:rsidRPr="00AF5F20" w:rsidRDefault="00AF5F20" w:rsidP="00AF5F20"/>
    <w:tbl>
      <w:tblPr>
        <w:tblStyle w:val="TableGrid"/>
        <w:tblW w:w="5000" w:type="pct"/>
        <w:tblLook w:val="04A0" w:firstRow="1" w:lastRow="0" w:firstColumn="1" w:lastColumn="0" w:noHBand="0" w:noVBand="1"/>
      </w:tblPr>
      <w:tblGrid>
        <w:gridCol w:w="2435"/>
        <w:gridCol w:w="1324"/>
        <w:gridCol w:w="1002"/>
        <w:gridCol w:w="1470"/>
        <w:gridCol w:w="2788"/>
      </w:tblGrid>
      <w:tr w:rsidR="00AF5F20" w:rsidRPr="00AF5F20" w14:paraId="36AFA79F" w14:textId="77777777" w:rsidTr="0009446D">
        <w:tc>
          <w:tcPr>
            <w:tcW w:w="1394" w:type="pct"/>
            <w:shd w:val="clear" w:color="auto" w:fill="DAEEF3" w:themeFill="accent5" w:themeFillTint="33"/>
            <w:hideMark/>
          </w:tcPr>
          <w:p w14:paraId="1E3C49D0" w14:textId="77777777" w:rsidR="00AF5F20" w:rsidRPr="00AF5F20" w:rsidRDefault="00AF5F20" w:rsidP="00AF5F20">
            <w:pPr>
              <w:spacing w:after="240" w:line="360" w:lineRule="auto"/>
              <w:jc w:val="center"/>
              <w:rPr>
                <w:rFonts w:ascii="Times New Roman" w:hAnsi="Times New Roman" w:cs="Times New Roman"/>
                <w:b/>
                <w:bCs/>
                <w:sz w:val="24"/>
                <w:szCs w:val="24"/>
              </w:rPr>
            </w:pPr>
            <w:r w:rsidRPr="00AF5F20">
              <w:rPr>
                <w:rStyle w:val="Strong"/>
                <w:rFonts w:ascii="Times New Roman" w:hAnsi="Times New Roman" w:cs="Times New Roman"/>
                <w:sz w:val="24"/>
                <w:szCs w:val="24"/>
              </w:rPr>
              <w:t>Risk</w:t>
            </w:r>
          </w:p>
        </w:tc>
        <w:tc>
          <w:tcPr>
            <w:tcW w:w="559" w:type="pct"/>
            <w:shd w:val="clear" w:color="auto" w:fill="DAEEF3" w:themeFill="accent5" w:themeFillTint="33"/>
            <w:hideMark/>
          </w:tcPr>
          <w:p w14:paraId="09E8670A" w14:textId="77777777" w:rsidR="00AF5F20" w:rsidRPr="00AF5F20" w:rsidRDefault="00AF5F20" w:rsidP="00AF5F20">
            <w:pPr>
              <w:spacing w:after="240" w:line="360" w:lineRule="auto"/>
              <w:jc w:val="center"/>
              <w:rPr>
                <w:rFonts w:ascii="Times New Roman" w:hAnsi="Times New Roman" w:cs="Times New Roman"/>
                <w:b/>
                <w:bCs/>
                <w:sz w:val="24"/>
                <w:szCs w:val="24"/>
              </w:rPr>
            </w:pPr>
            <w:r w:rsidRPr="00AF5F20">
              <w:rPr>
                <w:rStyle w:val="Strong"/>
                <w:rFonts w:ascii="Times New Roman" w:hAnsi="Times New Roman" w:cs="Times New Roman"/>
                <w:sz w:val="24"/>
                <w:szCs w:val="24"/>
              </w:rPr>
              <w:t>Likelihood</w:t>
            </w:r>
          </w:p>
        </w:tc>
        <w:tc>
          <w:tcPr>
            <w:tcW w:w="599" w:type="pct"/>
            <w:shd w:val="clear" w:color="auto" w:fill="DAEEF3" w:themeFill="accent5" w:themeFillTint="33"/>
            <w:hideMark/>
          </w:tcPr>
          <w:p w14:paraId="33C5A022" w14:textId="77777777" w:rsidR="00AF5F20" w:rsidRPr="00AF5F20" w:rsidRDefault="00AF5F20" w:rsidP="00AF5F20">
            <w:pPr>
              <w:spacing w:after="240" w:line="360" w:lineRule="auto"/>
              <w:jc w:val="center"/>
              <w:rPr>
                <w:rFonts w:ascii="Times New Roman" w:hAnsi="Times New Roman" w:cs="Times New Roman"/>
                <w:b/>
                <w:bCs/>
                <w:sz w:val="24"/>
                <w:szCs w:val="24"/>
              </w:rPr>
            </w:pPr>
            <w:r w:rsidRPr="00AF5F20">
              <w:rPr>
                <w:rStyle w:val="Strong"/>
                <w:rFonts w:ascii="Times New Roman" w:hAnsi="Times New Roman" w:cs="Times New Roman"/>
                <w:sz w:val="24"/>
                <w:szCs w:val="24"/>
              </w:rPr>
              <w:t>Impact</w:t>
            </w:r>
          </w:p>
        </w:tc>
        <w:tc>
          <w:tcPr>
            <w:tcW w:w="858" w:type="pct"/>
            <w:shd w:val="clear" w:color="auto" w:fill="DAEEF3" w:themeFill="accent5" w:themeFillTint="33"/>
            <w:hideMark/>
          </w:tcPr>
          <w:p w14:paraId="3F9D065A" w14:textId="77777777" w:rsidR="00AF5F20" w:rsidRPr="00AF5F20" w:rsidRDefault="00AF5F20" w:rsidP="00AF5F20">
            <w:pPr>
              <w:spacing w:after="240" w:line="360" w:lineRule="auto"/>
              <w:jc w:val="center"/>
              <w:rPr>
                <w:rFonts w:ascii="Times New Roman" w:hAnsi="Times New Roman" w:cs="Times New Roman"/>
                <w:b/>
                <w:bCs/>
                <w:sz w:val="24"/>
                <w:szCs w:val="24"/>
              </w:rPr>
            </w:pPr>
            <w:r w:rsidRPr="00AF5F20">
              <w:rPr>
                <w:rStyle w:val="Strong"/>
                <w:rFonts w:ascii="Times New Roman" w:hAnsi="Times New Roman" w:cs="Times New Roman"/>
                <w:sz w:val="24"/>
                <w:szCs w:val="24"/>
              </w:rPr>
              <w:t>Risk Owner</w:t>
            </w:r>
          </w:p>
        </w:tc>
        <w:tc>
          <w:tcPr>
            <w:tcW w:w="1589" w:type="pct"/>
            <w:shd w:val="clear" w:color="auto" w:fill="DAEEF3" w:themeFill="accent5" w:themeFillTint="33"/>
            <w:hideMark/>
          </w:tcPr>
          <w:p w14:paraId="060987E9" w14:textId="77777777" w:rsidR="00AF5F20" w:rsidRPr="00A35E42" w:rsidRDefault="00AF5F20" w:rsidP="00AF5F20">
            <w:pPr>
              <w:spacing w:after="240" w:line="360" w:lineRule="auto"/>
              <w:jc w:val="center"/>
              <w:rPr>
                <w:rFonts w:ascii="Times New Roman" w:hAnsi="Times New Roman" w:cs="Times New Roman"/>
                <w:b/>
                <w:bCs/>
                <w:sz w:val="24"/>
                <w:szCs w:val="24"/>
              </w:rPr>
            </w:pPr>
            <w:r w:rsidRPr="00A35E42">
              <w:rPr>
                <w:rFonts w:ascii="Times New Roman" w:hAnsi="Times New Roman" w:cs="Times New Roman"/>
                <w:b/>
                <w:sz w:val="24"/>
                <w:szCs w:val="24"/>
              </w:rPr>
              <w:t>Control Response</w:t>
            </w:r>
          </w:p>
        </w:tc>
      </w:tr>
      <w:tr w:rsidR="00AF5F20" w:rsidRPr="00AF5F20" w14:paraId="2FDFB92F" w14:textId="77777777" w:rsidTr="0009446D">
        <w:tc>
          <w:tcPr>
            <w:tcW w:w="1394" w:type="pct"/>
            <w:hideMark/>
          </w:tcPr>
          <w:p w14:paraId="0BBE5E86"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PII breach</w:t>
            </w:r>
          </w:p>
        </w:tc>
        <w:tc>
          <w:tcPr>
            <w:tcW w:w="559" w:type="pct"/>
            <w:shd w:val="clear" w:color="auto" w:fill="FF0000"/>
            <w:hideMark/>
          </w:tcPr>
          <w:p w14:paraId="213CF367"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599" w:type="pct"/>
            <w:shd w:val="clear" w:color="auto" w:fill="800000"/>
            <w:hideMark/>
          </w:tcPr>
          <w:p w14:paraId="3A527D27"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Very High</w:t>
            </w:r>
          </w:p>
        </w:tc>
        <w:tc>
          <w:tcPr>
            <w:tcW w:w="858" w:type="pct"/>
            <w:hideMark/>
          </w:tcPr>
          <w:p w14:paraId="099806A1"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CISO</w:t>
            </w:r>
          </w:p>
        </w:tc>
        <w:tc>
          <w:tcPr>
            <w:tcW w:w="1589" w:type="pct"/>
            <w:hideMark/>
          </w:tcPr>
          <w:p w14:paraId="28431094"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MFA, encryption, Zero Trust</w:t>
            </w:r>
          </w:p>
        </w:tc>
      </w:tr>
      <w:tr w:rsidR="00AF5F20" w:rsidRPr="00AF5F20" w14:paraId="0C7B47AD" w14:textId="77777777" w:rsidTr="0009446D">
        <w:tc>
          <w:tcPr>
            <w:tcW w:w="1394" w:type="pct"/>
            <w:hideMark/>
          </w:tcPr>
          <w:p w14:paraId="34D01B7D"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Cloud misconfiguration</w:t>
            </w:r>
          </w:p>
        </w:tc>
        <w:tc>
          <w:tcPr>
            <w:tcW w:w="559" w:type="pct"/>
            <w:shd w:val="clear" w:color="auto" w:fill="FF0000"/>
            <w:hideMark/>
          </w:tcPr>
          <w:p w14:paraId="2EBB54F7"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599" w:type="pct"/>
            <w:shd w:val="clear" w:color="auto" w:fill="FF0000"/>
            <w:hideMark/>
          </w:tcPr>
          <w:p w14:paraId="63B7574D"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858" w:type="pct"/>
            <w:hideMark/>
          </w:tcPr>
          <w:p w14:paraId="0B9D216F"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IT</w:t>
            </w:r>
          </w:p>
        </w:tc>
        <w:tc>
          <w:tcPr>
            <w:tcW w:w="1589" w:type="pct"/>
            <w:hideMark/>
          </w:tcPr>
          <w:p w14:paraId="2618477D"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Secure configurations, audits</w:t>
            </w:r>
          </w:p>
        </w:tc>
      </w:tr>
      <w:tr w:rsidR="00AF5F20" w:rsidRPr="00AF5F20" w14:paraId="624FF5ED" w14:textId="77777777" w:rsidTr="0009446D">
        <w:tc>
          <w:tcPr>
            <w:tcW w:w="1394" w:type="pct"/>
            <w:hideMark/>
          </w:tcPr>
          <w:p w14:paraId="70797357"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IoT compromise</w:t>
            </w:r>
          </w:p>
        </w:tc>
        <w:tc>
          <w:tcPr>
            <w:tcW w:w="559" w:type="pct"/>
            <w:shd w:val="clear" w:color="auto" w:fill="FF0000"/>
            <w:hideMark/>
          </w:tcPr>
          <w:p w14:paraId="7E4AB2FC"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599" w:type="pct"/>
            <w:shd w:val="clear" w:color="auto" w:fill="FF0000"/>
            <w:hideMark/>
          </w:tcPr>
          <w:p w14:paraId="12C15A6C"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858" w:type="pct"/>
            <w:hideMark/>
          </w:tcPr>
          <w:p w14:paraId="1EB691DD"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CISO</w:t>
            </w:r>
          </w:p>
        </w:tc>
        <w:tc>
          <w:tcPr>
            <w:tcW w:w="1589" w:type="pct"/>
            <w:hideMark/>
          </w:tcPr>
          <w:p w14:paraId="5D06A0B4"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Segmentation, patching, monitoring</w:t>
            </w:r>
          </w:p>
        </w:tc>
      </w:tr>
      <w:tr w:rsidR="00AF5F20" w:rsidRPr="00AF5F20" w14:paraId="6BD69E70" w14:textId="77777777" w:rsidTr="0009446D">
        <w:tc>
          <w:tcPr>
            <w:tcW w:w="1394" w:type="pct"/>
            <w:hideMark/>
          </w:tcPr>
          <w:p w14:paraId="309A6B73"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Unmanaged devices</w:t>
            </w:r>
          </w:p>
        </w:tc>
        <w:tc>
          <w:tcPr>
            <w:tcW w:w="559" w:type="pct"/>
            <w:shd w:val="clear" w:color="auto" w:fill="FF0000"/>
            <w:hideMark/>
          </w:tcPr>
          <w:p w14:paraId="2F18F943"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599" w:type="pct"/>
            <w:shd w:val="clear" w:color="auto" w:fill="FF0000"/>
            <w:hideMark/>
          </w:tcPr>
          <w:p w14:paraId="6C1F5B0D"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858" w:type="pct"/>
            <w:hideMark/>
          </w:tcPr>
          <w:p w14:paraId="09F4E827"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CISO</w:t>
            </w:r>
          </w:p>
        </w:tc>
        <w:tc>
          <w:tcPr>
            <w:tcW w:w="1589" w:type="pct"/>
            <w:hideMark/>
          </w:tcPr>
          <w:p w14:paraId="137ADF56"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MFA, endpoint controls</w:t>
            </w:r>
          </w:p>
        </w:tc>
      </w:tr>
      <w:tr w:rsidR="00AF5F20" w:rsidRPr="00AF5F20" w14:paraId="5E01AC50" w14:textId="77777777" w:rsidTr="0009446D">
        <w:tc>
          <w:tcPr>
            <w:tcW w:w="1394" w:type="pct"/>
            <w:hideMark/>
          </w:tcPr>
          <w:p w14:paraId="2389115F"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Vendor failure</w:t>
            </w:r>
          </w:p>
        </w:tc>
        <w:tc>
          <w:tcPr>
            <w:tcW w:w="559" w:type="pct"/>
            <w:shd w:val="clear" w:color="auto" w:fill="FF0000"/>
            <w:hideMark/>
          </w:tcPr>
          <w:p w14:paraId="5C6C2587"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599" w:type="pct"/>
            <w:shd w:val="clear" w:color="auto" w:fill="800000"/>
            <w:hideMark/>
          </w:tcPr>
          <w:p w14:paraId="3BE898D7"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Very High</w:t>
            </w:r>
          </w:p>
        </w:tc>
        <w:tc>
          <w:tcPr>
            <w:tcW w:w="858" w:type="pct"/>
            <w:hideMark/>
          </w:tcPr>
          <w:p w14:paraId="653C400D"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Vendor Manager</w:t>
            </w:r>
          </w:p>
        </w:tc>
        <w:tc>
          <w:tcPr>
            <w:tcW w:w="1589" w:type="pct"/>
            <w:hideMark/>
          </w:tcPr>
          <w:p w14:paraId="53722BA8"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Due diligence, SLA controls</w:t>
            </w:r>
          </w:p>
        </w:tc>
      </w:tr>
      <w:tr w:rsidR="00AF5F20" w:rsidRPr="00AF5F20" w14:paraId="02E9F5DE" w14:textId="77777777" w:rsidTr="0009446D">
        <w:tc>
          <w:tcPr>
            <w:tcW w:w="1394" w:type="pct"/>
            <w:hideMark/>
          </w:tcPr>
          <w:p w14:paraId="013C6291"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Cyberattack</w:t>
            </w:r>
          </w:p>
        </w:tc>
        <w:tc>
          <w:tcPr>
            <w:tcW w:w="559" w:type="pct"/>
            <w:shd w:val="clear" w:color="auto" w:fill="FFFF00"/>
            <w:hideMark/>
          </w:tcPr>
          <w:p w14:paraId="049DFE91"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Medium</w:t>
            </w:r>
          </w:p>
        </w:tc>
        <w:tc>
          <w:tcPr>
            <w:tcW w:w="599" w:type="pct"/>
            <w:shd w:val="clear" w:color="auto" w:fill="800000"/>
            <w:hideMark/>
          </w:tcPr>
          <w:p w14:paraId="3C3BA265"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Very High</w:t>
            </w:r>
          </w:p>
        </w:tc>
        <w:tc>
          <w:tcPr>
            <w:tcW w:w="858" w:type="pct"/>
            <w:hideMark/>
          </w:tcPr>
          <w:p w14:paraId="56D1D7FC"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SOC</w:t>
            </w:r>
          </w:p>
        </w:tc>
        <w:tc>
          <w:tcPr>
            <w:tcW w:w="1589" w:type="pct"/>
            <w:hideMark/>
          </w:tcPr>
          <w:p w14:paraId="4B57D096"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Monitoring, incident response</w:t>
            </w:r>
          </w:p>
        </w:tc>
      </w:tr>
      <w:tr w:rsidR="00AF5F20" w:rsidRPr="00AF5F20" w14:paraId="4FD436F0" w14:textId="77777777" w:rsidTr="0009446D">
        <w:tc>
          <w:tcPr>
            <w:tcW w:w="1394" w:type="pct"/>
            <w:hideMark/>
          </w:tcPr>
          <w:p w14:paraId="648A0449"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GDPR non-compliance</w:t>
            </w:r>
          </w:p>
        </w:tc>
        <w:tc>
          <w:tcPr>
            <w:tcW w:w="559" w:type="pct"/>
            <w:shd w:val="clear" w:color="auto" w:fill="FFFF00"/>
            <w:hideMark/>
          </w:tcPr>
          <w:p w14:paraId="1DD35F08"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Medium</w:t>
            </w:r>
          </w:p>
        </w:tc>
        <w:tc>
          <w:tcPr>
            <w:tcW w:w="599" w:type="pct"/>
            <w:shd w:val="clear" w:color="auto" w:fill="FF0000"/>
            <w:hideMark/>
          </w:tcPr>
          <w:p w14:paraId="50F17FB6"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858" w:type="pct"/>
            <w:hideMark/>
          </w:tcPr>
          <w:p w14:paraId="5BBD3FBC"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DPO</w:t>
            </w:r>
          </w:p>
        </w:tc>
        <w:tc>
          <w:tcPr>
            <w:tcW w:w="1589" w:type="pct"/>
            <w:hideMark/>
          </w:tcPr>
          <w:p w14:paraId="0642E83E"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Audits, compliance reviews</w:t>
            </w:r>
          </w:p>
        </w:tc>
      </w:tr>
      <w:tr w:rsidR="00AF5F20" w:rsidRPr="00AF5F20" w14:paraId="2B22FF34" w14:textId="77777777" w:rsidTr="0009446D">
        <w:tc>
          <w:tcPr>
            <w:tcW w:w="1394" w:type="pct"/>
            <w:hideMark/>
          </w:tcPr>
          <w:p w14:paraId="1B4C79AB"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Service disruption</w:t>
            </w:r>
          </w:p>
        </w:tc>
        <w:tc>
          <w:tcPr>
            <w:tcW w:w="559" w:type="pct"/>
            <w:shd w:val="clear" w:color="auto" w:fill="FFFF00"/>
            <w:hideMark/>
          </w:tcPr>
          <w:p w14:paraId="5FE45ED9"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Medium</w:t>
            </w:r>
          </w:p>
        </w:tc>
        <w:tc>
          <w:tcPr>
            <w:tcW w:w="599" w:type="pct"/>
            <w:shd w:val="clear" w:color="auto" w:fill="800000"/>
            <w:hideMark/>
          </w:tcPr>
          <w:p w14:paraId="5717A0D8"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Very High</w:t>
            </w:r>
          </w:p>
        </w:tc>
        <w:tc>
          <w:tcPr>
            <w:tcW w:w="858" w:type="pct"/>
            <w:hideMark/>
          </w:tcPr>
          <w:p w14:paraId="40825B88"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IT</w:t>
            </w:r>
          </w:p>
        </w:tc>
        <w:tc>
          <w:tcPr>
            <w:tcW w:w="1589" w:type="pct"/>
            <w:hideMark/>
          </w:tcPr>
          <w:p w14:paraId="63FE3ACF"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BCP, disaster recovery</w:t>
            </w:r>
          </w:p>
        </w:tc>
      </w:tr>
      <w:tr w:rsidR="00AF5F20" w:rsidRPr="00AF5F20" w14:paraId="4B7799B6" w14:textId="77777777" w:rsidTr="0009446D">
        <w:tc>
          <w:tcPr>
            <w:tcW w:w="1394" w:type="pct"/>
            <w:hideMark/>
          </w:tcPr>
          <w:p w14:paraId="78A525DC"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Poor incident response</w:t>
            </w:r>
          </w:p>
        </w:tc>
        <w:tc>
          <w:tcPr>
            <w:tcW w:w="559" w:type="pct"/>
            <w:shd w:val="clear" w:color="auto" w:fill="FFFF00"/>
            <w:hideMark/>
          </w:tcPr>
          <w:p w14:paraId="72AA5D0F"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Medium</w:t>
            </w:r>
          </w:p>
        </w:tc>
        <w:tc>
          <w:tcPr>
            <w:tcW w:w="599" w:type="pct"/>
            <w:shd w:val="clear" w:color="auto" w:fill="FF0000"/>
            <w:hideMark/>
          </w:tcPr>
          <w:p w14:paraId="0CC0F746"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858" w:type="pct"/>
            <w:hideMark/>
          </w:tcPr>
          <w:p w14:paraId="61DADE6B"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SOC</w:t>
            </w:r>
          </w:p>
        </w:tc>
        <w:tc>
          <w:tcPr>
            <w:tcW w:w="1589" w:type="pct"/>
            <w:hideMark/>
          </w:tcPr>
          <w:p w14:paraId="24938C3C"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Response procedures, testing</w:t>
            </w:r>
          </w:p>
        </w:tc>
      </w:tr>
      <w:tr w:rsidR="00AF5F20" w:rsidRPr="00AF5F20" w14:paraId="2A1B4DB9" w14:textId="77777777" w:rsidTr="0009446D">
        <w:tc>
          <w:tcPr>
            <w:tcW w:w="1394" w:type="pct"/>
            <w:hideMark/>
          </w:tcPr>
          <w:p w14:paraId="4650B2A2"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Emerging threats</w:t>
            </w:r>
          </w:p>
        </w:tc>
        <w:tc>
          <w:tcPr>
            <w:tcW w:w="559" w:type="pct"/>
            <w:shd w:val="clear" w:color="auto" w:fill="FFFF00"/>
            <w:hideMark/>
          </w:tcPr>
          <w:p w14:paraId="20E1D0B0"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Medium</w:t>
            </w:r>
          </w:p>
        </w:tc>
        <w:tc>
          <w:tcPr>
            <w:tcW w:w="599" w:type="pct"/>
            <w:shd w:val="clear" w:color="auto" w:fill="FF0000"/>
            <w:hideMark/>
          </w:tcPr>
          <w:p w14:paraId="120FAFA1"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High</w:t>
            </w:r>
          </w:p>
        </w:tc>
        <w:tc>
          <w:tcPr>
            <w:tcW w:w="858" w:type="pct"/>
            <w:hideMark/>
          </w:tcPr>
          <w:p w14:paraId="7ED17619"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Risk Manager</w:t>
            </w:r>
          </w:p>
        </w:tc>
        <w:tc>
          <w:tcPr>
            <w:tcW w:w="1589" w:type="pct"/>
            <w:hideMark/>
          </w:tcPr>
          <w:p w14:paraId="44AC8947" w14:textId="77777777" w:rsidR="00AF5F20" w:rsidRPr="00AF5F20" w:rsidRDefault="00AF5F20" w:rsidP="00AF5F20">
            <w:pPr>
              <w:spacing w:after="240" w:line="360" w:lineRule="auto"/>
              <w:rPr>
                <w:rFonts w:ascii="Times New Roman" w:hAnsi="Times New Roman" w:cs="Times New Roman"/>
                <w:sz w:val="24"/>
                <w:szCs w:val="24"/>
              </w:rPr>
            </w:pPr>
            <w:r w:rsidRPr="00AF5F20">
              <w:rPr>
                <w:rFonts w:ascii="Times New Roman" w:hAnsi="Times New Roman" w:cs="Times New Roman"/>
                <w:sz w:val="24"/>
                <w:szCs w:val="24"/>
              </w:rPr>
              <w:t>Continuous risk review</w:t>
            </w:r>
          </w:p>
        </w:tc>
      </w:tr>
    </w:tbl>
    <w:p w14:paraId="74817F61" w14:textId="77777777" w:rsidR="00AF5F20" w:rsidRDefault="00AF5F20" w:rsidP="00AF5F20"/>
    <w:p w14:paraId="2700AFE4" w14:textId="77777777" w:rsidR="00AF5F20" w:rsidRDefault="00AF5F20" w:rsidP="00AF5F20">
      <w:r>
        <w:br w:type="page"/>
      </w:r>
    </w:p>
    <w:p w14:paraId="606876D9" w14:textId="77777777" w:rsidR="00AF5F20" w:rsidRDefault="00A35E42" w:rsidP="00A35E42">
      <w:pPr>
        <w:pStyle w:val="Heading2"/>
      </w:pPr>
      <w:bookmarkStart w:id="66" w:name="_Toc237108139"/>
      <w:r>
        <w:lastRenderedPageBreak/>
        <w:t xml:space="preserve">Appendix 3: </w:t>
      </w:r>
      <w:r w:rsidR="00AF5F20">
        <w:t>Strategic Recommendations Implementation Gantt Chart</w:t>
      </w:r>
      <w:bookmarkEnd w:id="66"/>
    </w:p>
    <w:tbl>
      <w:tblPr>
        <w:tblStyle w:val="TableGrid"/>
        <w:tblW w:w="5000" w:type="pct"/>
        <w:tblLook w:val="04A0" w:firstRow="1" w:lastRow="0" w:firstColumn="1" w:lastColumn="0" w:noHBand="0" w:noVBand="1"/>
      </w:tblPr>
      <w:tblGrid>
        <w:gridCol w:w="3648"/>
        <w:gridCol w:w="1318"/>
        <w:gridCol w:w="1317"/>
        <w:gridCol w:w="1407"/>
        <w:gridCol w:w="1329"/>
      </w:tblGrid>
      <w:tr w:rsidR="00AF5F20" w14:paraId="0B9B044C" w14:textId="77777777" w:rsidTr="0009446D">
        <w:tc>
          <w:tcPr>
            <w:tcW w:w="2022" w:type="pct"/>
            <w:hideMark/>
          </w:tcPr>
          <w:p w14:paraId="22A44571" w14:textId="77777777" w:rsidR="00AF5F20" w:rsidRPr="00A35E42" w:rsidRDefault="00AF5F20" w:rsidP="00A35E42">
            <w:pPr>
              <w:spacing w:after="240" w:line="360" w:lineRule="auto"/>
              <w:jc w:val="both"/>
              <w:rPr>
                <w:rFonts w:ascii="Times New Roman" w:hAnsi="Times New Roman" w:cs="Times New Roman"/>
                <w:b/>
                <w:bCs/>
                <w:sz w:val="24"/>
                <w:szCs w:val="24"/>
              </w:rPr>
            </w:pPr>
            <w:r w:rsidRPr="00A35E42">
              <w:rPr>
                <w:rStyle w:val="Strong"/>
                <w:rFonts w:ascii="Times New Roman" w:hAnsi="Times New Roman" w:cs="Times New Roman"/>
                <w:sz w:val="24"/>
                <w:szCs w:val="24"/>
              </w:rPr>
              <w:t>Recommendation</w:t>
            </w:r>
          </w:p>
        </w:tc>
        <w:tc>
          <w:tcPr>
            <w:tcW w:w="730" w:type="pct"/>
            <w:hideMark/>
          </w:tcPr>
          <w:p w14:paraId="1308B507" w14:textId="77777777" w:rsidR="00AF5F20" w:rsidRPr="00A35E42" w:rsidRDefault="00AF5F20" w:rsidP="00A35E42">
            <w:pPr>
              <w:spacing w:after="240" w:line="360" w:lineRule="auto"/>
              <w:jc w:val="both"/>
              <w:rPr>
                <w:rFonts w:ascii="Times New Roman" w:hAnsi="Times New Roman" w:cs="Times New Roman"/>
                <w:b/>
                <w:bCs/>
                <w:sz w:val="24"/>
                <w:szCs w:val="24"/>
              </w:rPr>
            </w:pPr>
            <w:r w:rsidRPr="00A35E42">
              <w:rPr>
                <w:rStyle w:val="Strong"/>
                <w:rFonts w:ascii="Times New Roman" w:hAnsi="Times New Roman" w:cs="Times New Roman"/>
                <w:sz w:val="24"/>
                <w:szCs w:val="24"/>
              </w:rPr>
              <w:t>0–3 Months</w:t>
            </w:r>
          </w:p>
        </w:tc>
        <w:tc>
          <w:tcPr>
            <w:tcW w:w="730" w:type="pct"/>
            <w:hideMark/>
          </w:tcPr>
          <w:p w14:paraId="50159121" w14:textId="77777777" w:rsidR="00AF5F20" w:rsidRPr="00A35E42" w:rsidRDefault="00AF5F20" w:rsidP="00A35E42">
            <w:pPr>
              <w:spacing w:after="240" w:line="360" w:lineRule="auto"/>
              <w:jc w:val="both"/>
              <w:rPr>
                <w:rFonts w:ascii="Times New Roman" w:hAnsi="Times New Roman" w:cs="Times New Roman"/>
                <w:b/>
                <w:bCs/>
                <w:sz w:val="24"/>
                <w:szCs w:val="24"/>
              </w:rPr>
            </w:pPr>
            <w:r w:rsidRPr="00A35E42">
              <w:rPr>
                <w:rStyle w:val="Strong"/>
                <w:rFonts w:ascii="Times New Roman" w:hAnsi="Times New Roman" w:cs="Times New Roman"/>
                <w:sz w:val="24"/>
                <w:szCs w:val="24"/>
              </w:rPr>
              <w:t>4–6 Months</w:t>
            </w:r>
          </w:p>
        </w:tc>
        <w:tc>
          <w:tcPr>
            <w:tcW w:w="780" w:type="pct"/>
            <w:hideMark/>
          </w:tcPr>
          <w:p w14:paraId="666D72AE" w14:textId="77777777" w:rsidR="00AF5F20" w:rsidRPr="00A35E42" w:rsidRDefault="00AF5F20" w:rsidP="00A35E42">
            <w:pPr>
              <w:spacing w:after="240" w:line="360" w:lineRule="auto"/>
              <w:jc w:val="both"/>
              <w:rPr>
                <w:rFonts w:ascii="Times New Roman" w:hAnsi="Times New Roman" w:cs="Times New Roman"/>
                <w:b/>
                <w:bCs/>
                <w:sz w:val="24"/>
                <w:szCs w:val="24"/>
              </w:rPr>
            </w:pPr>
            <w:r w:rsidRPr="00A35E42">
              <w:rPr>
                <w:rStyle w:val="Strong"/>
                <w:rFonts w:ascii="Times New Roman" w:hAnsi="Times New Roman" w:cs="Times New Roman"/>
                <w:sz w:val="24"/>
                <w:szCs w:val="24"/>
              </w:rPr>
              <w:t>7–12 Months</w:t>
            </w:r>
          </w:p>
        </w:tc>
        <w:tc>
          <w:tcPr>
            <w:tcW w:w="737" w:type="pct"/>
            <w:hideMark/>
          </w:tcPr>
          <w:p w14:paraId="0FD5794C" w14:textId="77777777" w:rsidR="00AF5F20" w:rsidRPr="00A35E42" w:rsidRDefault="00AF5F20" w:rsidP="00A35E42">
            <w:pPr>
              <w:spacing w:after="240" w:line="360" w:lineRule="auto"/>
              <w:jc w:val="both"/>
              <w:rPr>
                <w:rFonts w:ascii="Times New Roman" w:hAnsi="Times New Roman" w:cs="Times New Roman"/>
                <w:b/>
                <w:bCs/>
                <w:sz w:val="24"/>
                <w:szCs w:val="24"/>
              </w:rPr>
            </w:pPr>
            <w:r w:rsidRPr="00A35E42">
              <w:rPr>
                <w:rStyle w:val="Strong"/>
                <w:rFonts w:ascii="Times New Roman" w:hAnsi="Times New Roman" w:cs="Times New Roman"/>
                <w:sz w:val="24"/>
                <w:szCs w:val="24"/>
              </w:rPr>
              <w:t>12+ Months</w:t>
            </w:r>
          </w:p>
        </w:tc>
      </w:tr>
      <w:tr w:rsidR="00AF5F20" w14:paraId="16C90655" w14:textId="77777777" w:rsidTr="0009446D">
        <w:tc>
          <w:tcPr>
            <w:tcW w:w="2022" w:type="pct"/>
            <w:hideMark/>
          </w:tcPr>
          <w:p w14:paraId="5500871D" w14:textId="77777777" w:rsidR="00AF5F20" w:rsidRPr="00A35E42" w:rsidRDefault="00A35E42" w:rsidP="00A35E4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Governance and</w:t>
            </w:r>
            <w:r w:rsidR="00AF5F20" w:rsidRPr="00A35E42">
              <w:rPr>
                <w:rFonts w:ascii="Times New Roman" w:hAnsi="Times New Roman" w:cs="Times New Roman"/>
                <w:sz w:val="24"/>
                <w:szCs w:val="24"/>
              </w:rPr>
              <w:t xml:space="preserve"> RACI</w:t>
            </w:r>
          </w:p>
        </w:tc>
        <w:tc>
          <w:tcPr>
            <w:tcW w:w="730" w:type="pct"/>
            <w:shd w:val="clear" w:color="auto" w:fill="FFFF00"/>
          </w:tcPr>
          <w:p w14:paraId="104C4386"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0" w:type="pct"/>
          </w:tcPr>
          <w:p w14:paraId="58C712F1"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80" w:type="pct"/>
          </w:tcPr>
          <w:p w14:paraId="682E8848"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7" w:type="pct"/>
          </w:tcPr>
          <w:p w14:paraId="5C2F1F1A" w14:textId="77777777" w:rsidR="00AF5F20" w:rsidRPr="00A35E42" w:rsidRDefault="00AF5F20" w:rsidP="00A35E42">
            <w:pPr>
              <w:spacing w:after="240" w:line="360" w:lineRule="auto"/>
              <w:jc w:val="both"/>
              <w:rPr>
                <w:rFonts w:ascii="Times New Roman" w:hAnsi="Times New Roman" w:cs="Times New Roman"/>
                <w:sz w:val="24"/>
                <w:szCs w:val="24"/>
              </w:rPr>
            </w:pPr>
          </w:p>
        </w:tc>
      </w:tr>
      <w:tr w:rsidR="00AF5F20" w14:paraId="099D19B8" w14:textId="77777777" w:rsidTr="0009446D">
        <w:tc>
          <w:tcPr>
            <w:tcW w:w="2022" w:type="pct"/>
            <w:hideMark/>
          </w:tcPr>
          <w:p w14:paraId="3904B535" w14:textId="77777777" w:rsidR="00AF5F20" w:rsidRPr="00A35E42" w:rsidRDefault="00AF5F20" w:rsidP="00A35E42">
            <w:pPr>
              <w:spacing w:after="240" w:line="360" w:lineRule="auto"/>
              <w:jc w:val="both"/>
              <w:rPr>
                <w:rFonts w:ascii="Times New Roman" w:hAnsi="Times New Roman" w:cs="Times New Roman"/>
                <w:sz w:val="24"/>
                <w:szCs w:val="24"/>
              </w:rPr>
            </w:pPr>
            <w:r w:rsidRPr="00A35E42">
              <w:rPr>
                <w:rFonts w:ascii="Times New Roman" w:hAnsi="Times New Roman" w:cs="Times New Roman"/>
                <w:sz w:val="24"/>
                <w:szCs w:val="24"/>
              </w:rPr>
              <w:t>Risk assessment &amp; priority controls</w:t>
            </w:r>
          </w:p>
        </w:tc>
        <w:tc>
          <w:tcPr>
            <w:tcW w:w="730" w:type="pct"/>
            <w:shd w:val="clear" w:color="auto" w:fill="92D050"/>
          </w:tcPr>
          <w:p w14:paraId="04A8934A"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0" w:type="pct"/>
            <w:shd w:val="clear" w:color="auto" w:fill="92D050"/>
          </w:tcPr>
          <w:p w14:paraId="522739F9"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80" w:type="pct"/>
          </w:tcPr>
          <w:p w14:paraId="45E7F939"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7" w:type="pct"/>
          </w:tcPr>
          <w:p w14:paraId="6F50CB88" w14:textId="77777777" w:rsidR="00AF5F20" w:rsidRPr="00A35E42" w:rsidRDefault="00AF5F20" w:rsidP="00A35E42">
            <w:pPr>
              <w:spacing w:after="240" w:line="360" w:lineRule="auto"/>
              <w:jc w:val="both"/>
              <w:rPr>
                <w:rFonts w:ascii="Times New Roman" w:hAnsi="Times New Roman" w:cs="Times New Roman"/>
                <w:sz w:val="24"/>
                <w:szCs w:val="24"/>
              </w:rPr>
            </w:pPr>
          </w:p>
        </w:tc>
      </w:tr>
      <w:tr w:rsidR="00AF5F20" w14:paraId="1B3FCC96" w14:textId="77777777" w:rsidTr="0009446D">
        <w:tc>
          <w:tcPr>
            <w:tcW w:w="2022" w:type="pct"/>
            <w:hideMark/>
          </w:tcPr>
          <w:p w14:paraId="6AF05E50" w14:textId="77777777" w:rsidR="00AF5F20" w:rsidRPr="00A35E42" w:rsidRDefault="00AF5F20" w:rsidP="00A35E42">
            <w:pPr>
              <w:spacing w:after="240" w:line="360" w:lineRule="auto"/>
              <w:jc w:val="both"/>
              <w:rPr>
                <w:rFonts w:ascii="Times New Roman" w:hAnsi="Times New Roman" w:cs="Times New Roman"/>
                <w:sz w:val="24"/>
                <w:szCs w:val="24"/>
              </w:rPr>
            </w:pPr>
            <w:r w:rsidRPr="00A35E42">
              <w:rPr>
                <w:rFonts w:ascii="Times New Roman" w:hAnsi="Times New Roman" w:cs="Times New Roman"/>
                <w:sz w:val="24"/>
                <w:szCs w:val="24"/>
              </w:rPr>
              <w:t>ISO 27001 ISMS</w:t>
            </w:r>
          </w:p>
        </w:tc>
        <w:tc>
          <w:tcPr>
            <w:tcW w:w="730" w:type="pct"/>
          </w:tcPr>
          <w:p w14:paraId="225F254A"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0" w:type="pct"/>
            <w:shd w:val="clear" w:color="auto" w:fill="7030A0"/>
          </w:tcPr>
          <w:p w14:paraId="37265609"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80" w:type="pct"/>
            <w:shd w:val="clear" w:color="auto" w:fill="7030A0"/>
          </w:tcPr>
          <w:p w14:paraId="54BF5C0E"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7" w:type="pct"/>
          </w:tcPr>
          <w:p w14:paraId="4C3B552F" w14:textId="77777777" w:rsidR="00AF5F20" w:rsidRPr="00A35E42" w:rsidRDefault="00AF5F20" w:rsidP="00A35E42">
            <w:pPr>
              <w:spacing w:after="240" w:line="360" w:lineRule="auto"/>
              <w:jc w:val="both"/>
              <w:rPr>
                <w:rFonts w:ascii="Times New Roman" w:hAnsi="Times New Roman" w:cs="Times New Roman"/>
                <w:sz w:val="24"/>
                <w:szCs w:val="24"/>
              </w:rPr>
            </w:pPr>
          </w:p>
        </w:tc>
      </w:tr>
      <w:tr w:rsidR="00AF5F20" w14:paraId="4142AA11" w14:textId="77777777" w:rsidTr="0009446D">
        <w:tc>
          <w:tcPr>
            <w:tcW w:w="2022" w:type="pct"/>
            <w:hideMark/>
          </w:tcPr>
          <w:p w14:paraId="7998482B" w14:textId="77777777" w:rsidR="00AF5F20" w:rsidRPr="00A35E42" w:rsidRDefault="00AF5F20" w:rsidP="00A35E42">
            <w:pPr>
              <w:spacing w:after="240" w:line="360" w:lineRule="auto"/>
              <w:jc w:val="both"/>
              <w:rPr>
                <w:rFonts w:ascii="Times New Roman" w:hAnsi="Times New Roman" w:cs="Times New Roman"/>
                <w:sz w:val="24"/>
                <w:szCs w:val="24"/>
              </w:rPr>
            </w:pPr>
            <w:r w:rsidRPr="00A35E42">
              <w:rPr>
                <w:rFonts w:ascii="Times New Roman" w:hAnsi="Times New Roman" w:cs="Times New Roman"/>
                <w:sz w:val="24"/>
                <w:szCs w:val="24"/>
              </w:rPr>
              <w:t>Vendor &amp; SLA assurance</w:t>
            </w:r>
          </w:p>
        </w:tc>
        <w:tc>
          <w:tcPr>
            <w:tcW w:w="730" w:type="pct"/>
          </w:tcPr>
          <w:p w14:paraId="621583DE"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0" w:type="pct"/>
            <w:shd w:val="clear" w:color="auto" w:fill="00B0F0"/>
          </w:tcPr>
          <w:p w14:paraId="6E70CB5D"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80" w:type="pct"/>
            <w:shd w:val="clear" w:color="auto" w:fill="00B0F0"/>
          </w:tcPr>
          <w:p w14:paraId="7836A851"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7" w:type="pct"/>
          </w:tcPr>
          <w:p w14:paraId="63E41D3D" w14:textId="77777777" w:rsidR="00AF5F20" w:rsidRPr="00A35E42" w:rsidRDefault="00AF5F20" w:rsidP="00A35E42">
            <w:pPr>
              <w:spacing w:after="240" w:line="360" w:lineRule="auto"/>
              <w:jc w:val="both"/>
              <w:rPr>
                <w:rFonts w:ascii="Times New Roman" w:hAnsi="Times New Roman" w:cs="Times New Roman"/>
                <w:sz w:val="24"/>
                <w:szCs w:val="24"/>
              </w:rPr>
            </w:pPr>
          </w:p>
        </w:tc>
      </w:tr>
      <w:tr w:rsidR="00AF5F20" w14:paraId="4163F7D4" w14:textId="77777777" w:rsidTr="0009446D">
        <w:tc>
          <w:tcPr>
            <w:tcW w:w="2022" w:type="pct"/>
            <w:hideMark/>
          </w:tcPr>
          <w:p w14:paraId="35832026" w14:textId="77777777" w:rsidR="00AF5F20" w:rsidRPr="00A35E42" w:rsidRDefault="00AF5F20" w:rsidP="00A35E42">
            <w:pPr>
              <w:spacing w:after="240" w:line="360" w:lineRule="auto"/>
              <w:jc w:val="both"/>
              <w:rPr>
                <w:rFonts w:ascii="Times New Roman" w:hAnsi="Times New Roman" w:cs="Times New Roman"/>
                <w:sz w:val="24"/>
                <w:szCs w:val="24"/>
              </w:rPr>
            </w:pPr>
            <w:r w:rsidRPr="00A35E42">
              <w:rPr>
                <w:rFonts w:ascii="Times New Roman" w:hAnsi="Times New Roman" w:cs="Times New Roman"/>
                <w:sz w:val="24"/>
                <w:szCs w:val="24"/>
              </w:rPr>
              <w:t>Incident res</w:t>
            </w:r>
            <w:r w:rsidR="00A35E42">
              <w:rPr>
                <w:rFonts w:ascii="Times New Roman" w:hAnsi="Times New Roman" w:cs="Times New Roman"/>
                <w:sz w:val="24"/>
                <w:szCs w:val="24"/>
              </w:rPr>
              <w:t>ponse and</w:t>
            </w:r>
            <w:r w:rsidRPr="00A35E42">
              <w:rPr>
                <w:rFonts w:ascii="Times New Roman" w:hAnsi="Times New Roman" w:cs="Times New Roman"/>
                <w:sz w:val="24"/>
                <w:szCs w:val="24"/>
              </w:rPr>
              <w:t xml:space="preserve"> BCP/DRP</w:t>
            </w:r>
          </w:p>
        </w:tc>
        <w:tc>
          <w:tcPr>
            <w:tcW w:w="730" w:type="pct"/>
          </w:tcPr>
          <w:p w14:paraId="027520B5"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0" w:type="pct"/>
            <w:shd w:val="clear" w:color="auto" w:fill="E36C0A" w:themeFill="accent6" w:themeFillShade="BF"/>
          </w:tcPr>
          <w:p w14:paraId="62747D7E"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80" w:type="pct"/>
            <w:shd w:val="clear" w:color="auto" w:fill="E36C0A" w:themeFill="accent6" w:themeFillShade="BF"/>
          </w:tcPr>
          <w:p w14:paraId="29FF3E64"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7" w:type="pct"/>
          </w:tcPr>
          <w:p w14:paraId="40095739" w14:textId="77777777" w:rsidR="00AF5F20" w:rsidRPr="00A35E42" w:rsidRDefault="00AF5F20" w:rsidP="00A35E42">
            <w:pPr>
              <w:spacing w:after="240" w:line="360" w:lineRule="auto"/>
              <w:jc w:val="both"/>
              <w:rPr>
                <w:rFonts w:ascii="Times New Roman" w:hAnsi="Times New Roman" w:cs="Times New Roman"/>
                <w:sz w:val="24"/>
                <w:szCs w:val="24"/>
              </w:rPr>
            </w:pPr>
          </w:p>
        </w:tc>
      </w:tr>
      <w:tr w:rsidR="00AF5F20" w14:paraId="1C9B6D16" w14:textId="77777777" w:rsidTr="0009446D">
        <w:tc>
          <w:tcPr>
            <w:tcW w:w="2022" w:type="pct"/>
            <w:hideMark/>
          </w:tcPr>
          <w:p w14:paraId="33275CDA" w14:textId="77777777" w:rsidR="00AF5F20" w:rsidRPr="00A35E42" w:rsidRDefault="00AF5F20" w:rsidP="00A35E42">
            <w:pPr>
              <w:spacing w:after="240" w:line="360" w:lineRule="auto"/>
              <w:jc w:val="both"/>
              <w:rPr>
                <w:rFonts w:ascii="Times New Roman" w:hAnsi="Times New Roman" w:cs="Times New Roman"/>
                <w:sz w:val="24"/>
                <w:szCs w:val="24"/>
              </w:rPr>
            </w:pPr>
            <w:r w:rsidRPr="00A35E42">
              <w:rPr>
                <w:rFonts w:ascii="Times New Roman" w:hAnsi="Times New Roman" w:cs="Times New Roman"/>
                <w:sz w:val="24"/>
                <w:szCs w:val="24"/>
              </w:rPr>
              <w:t>Zero Trust implementation</w:t>
            </w:r>
          </w:p>
        </w:tc>
        <w:tc>
          <w:tcPr>
            <w:tcW w:w="730" w:type="pct"/>
          </w:tcPr>
          <w:p w14:paraId="0821F310"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0" w:type="pct"/>
          </w:tcPr>
          <w:p w14:paraId="19765474"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80" w:type="pct"/>
            <w:shd w:val="clear" w:color="auto" w:fill="943634" w:themeFill="accent2" w:themeFillShade="BF"/>
          </w:tcPr>
          <w:p w14:paraId="6B929CFC"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7" w:type="pct"/>
            <w:shd w:val="clear" w:color="auto" w:fill="943634" w:themeFill="accent2" w:themeFillShade="BF"/>
          </w:tcPr>
          <w:p w14:paraId="729D6E3F" w14:textId="77777777" w:rsidR="00AF5F20" w:rsidRPr="00A35E42" w:rsidRDefault="00AF5F20" w:rsidP="00A35E42">
            <w:pPr>
              <w:spacing w:after="240" w:line="360" w:lineRule="auto"/>
              <w:jc w:val="both"/>
              <w:rPr>
                <w:rFonts w:ascii="Times New Roman" w:hAnsi="Times New Roman" w:cs="Times New Roman"/>
                <w:sz w:val="24"/>
                <w:szCs w:val="24"/>
              </w:rPr>
            </w:pPr>
          </w:p>
        </w:tc>
      </w:tr>
      <w:tr w:rsidR="00AF5F20" w14:paraId="5C9818C1" w14:textId="77777777" w:rsidTr="0009446D">
        <w:tc>
          <w:tcPr>
            <w:tcW w:w="2022" w:type="pct"/>
            <w:hideMark/>
          </w:tcPr>
          <w:p w14:paraId="11B4A4C2" w14:textId="77777777" w:rsidR="00AF5F20" w:rsidRPr="00A35E42" w:rsidRDefault="00A35E42" w:rsidP="00A35E4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Continuous monitoring and</w:t>
            </w:r>
            <w:r w:rsidR="00AF5F20" w:rsidRPr="00A35E42">
              <w:rPr>
                <w:rFonts w:ascii="Times New Roman" w:hAnsi="Times New Roman" w:cs="Times New Roman"/>
                <w:sz w:val="24"/>
                <w:szCs w:val="24"/>
              </w:rPr>
              <w:t xml:space="preserve"> improvement</w:t>
            </w:r>
          </w:p>
        </w:tc>
        <w:tc>
          <w:tcPr>
            <w:tcW w:w="730" w:type="pct"/>
          </w:tcPr>
          <w:p w14:paraId="5A21700E"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0" w:type="pct"/>
            <w:shd w:val="clear" w:color="auto" w:fill="800000"/>
          </w:tcPr>
          <w:p w14:paraId="4FD4B129"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80" w:type="pct"/>
            <w:shd w:val="clear" w:color="auto" w:fill="800000"/>
          </w:tcPr>
          <w:p w14:paraId="2D9D5733"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7" w:type="pct"/>
            <w:shd w:val="clear" w:color="auto" w:fill="800000"/>
          </w:tcPr>
          <w:p w14:paraId="08270930" w14:textId="77777777" w:rsidR="00AF5F20" w:rsidRPr="00A35E42" w:rsidRDefault="00AF5F20" w:rsidP="00A35E42">
            <w:pPr>
              <w:spacing w:after="240" w:line="360" w:lineRule="auto"/>
              <w:jc w:val="both"/>
              <w:rPr>
                <w:rFonts w:ascii="Times New Roman" w:hAnsi="Times New Roman" w:cs="Times New Roman"/>
                <w:sz w:val="24"/>
                <w:szCs w:val="24"/>
              </w:rPr>
            </w:pPr>
          </w:p>
        </w:tc>
      </w:tr>
      <w:tr w:rsidR="00AF5F20" w14:paraId="7DBF5CB9" w14:textId="77777777" w:rsidTr="0009446D">
        <w:tc>
          <w:tcPr>
            <w:tcW w:w="2022" w:type="pct"/>
            <w:hideMark/>
          </w:tcPr>
          <w:p w14:paraId="51FA854B" w14:textId="77777777" w:rsidR="00AF5F20" w:rsidRPr="00A35E42" w:rsidRDefault="00A35E42" w:rsidP="00A35E42">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Emerging-threat and</w:t>
            </w:r>
            <w:r w:rsidR="00AF5F20" w:rsidRPr="00A35E42">
              <w:rPr>
                <w:rFonts w:ascii="Times New Roman" w:hAnsi="Times New Roman" w:cs="Times New Roman"/>
                <w:sz w:val="24"/>
                <w:szCs w:val="24"/>
              </w:rPr>
              <w:t xml:space="preserve"> regulatory review</w:t>
            </w:r>
          </w:p>
        </w:tc>
        <w:tc>
          <w:tcPr>
            <w:tcW w:w="730" w:type="pct"/>
          </w:tcPr>
          <w:p w14:paraId="12D87EA4"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0" w:type="pct"/>
          </w:tcPr>
          <w:p w14:paraId="167F1EBD"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80" w:type="pct"/>
            <w:shd w:val="clear" w:color="auto" w:fill="5F497A" w:themeFill="accent4" w:themeFillShade="BF"/>
          </w:tcPr>
          <w:p w14:paraId="25CB053D" w14:textId="77777777" w:rsidR="00AF5F20" w:rsidRPr="00A35E42" w:rsidRDefault="00AF5F20" w:rsidP="00A35E42">
            <w:pPr>
              <w:spacing w:after="240" w:line="360" w:lineRule="auto"/>
              <w:jc w:val="both"/>
              <w:rPr>
                <w:rFonts w:ascii="Times New Roman" w:hAnsi="Times New Roman" w:cs="Times New Roman"/>
                <w:sz w:val="24"/>
                <w:szCs w:val="24"/>
              </w:rPr>
            </w:pPr>
          </w:p>
        </w:tc>
        <w:tc>
          <w:tcPr>
            <w:tcW w:w="737" w:type="pct"/>
            <w:shd w:val="clear" w:color="auto" w:fill="5F497A" w:themeFill="accent4" w:themeFillShade="BF"/>
          </w:tcPr>
          <w:p w14:paraId="7894C10F" w14:textId="77777777" w:rsidR="00AF5F20" w:rsidRPr="00A35E42" w:rsidRDefault="00AF5F20" w:rsidP="00A35E42">
            <w:pPr>
              <w:spacing w:after="240" w:line="360" w:lineRule="auto"/>
              <w:jc w:val="both"/>
              <w:rPr>
                <w:rFonts w:ascii="Times New Roman" w:hAnsi="Times New Roman" w:cs="Times New Roman"/>
                <w:sz w:val="24"/>
                <w:szCs w:val="24"/>
              </w:rPr>
            </w:pPr>
          </w:p>
        </w:tc>
      </w:tr>
    </w:tbl>
    <w:p w14:paraId="31552436" w14:textId="77777777" w:rsidR="00AF5F20" w:rsidRPr="005819C1" w:rsidRDefault="00AF5F20" w:rsidP="00AF5F20"/>
    <w:p w14:paraId="2A5B00F6" w14:textId="77777777" w:rsidR="00AF5F20" w:rsidRPr="00EB78CE" w:rsidRDefault="00AF5F20" w:rsidP="00EB78CE">
      <w:pPr>
        <w:spacing w:before="240" w:after="200" w:line="360" w:lineRule="auto"/>
        <w:jc w:val="both"/>
        <w:rPr>
          <w:rFonts w:ascii="Times New Roman" w:eastAsia="Times New Roman" w:hAnsi="Times New Roman" w:cs="Times New Roman"/>
          <w:sz w:val="24"/>
          <w:szCs w:val="24"/>
        </w:rPr>
      </w:pPr>
    </w:p>
    <w:sectPr w:rsidR="00AF5F20" w:rsidRPr="00EB78CE" w:rsidSect="003262FB">
      <w:footerReference w:type="default" r:id="rId7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12384" w14:textId="77777777" w:rsidR="00A04AAC" w:rsidRDefault="00A04AAC" w:rsidP="00346F5F">
      <w:pPr>
        <w:spacing w:line="240" w:lineRule="auto"/>
      </w:pPr>
      <w:r>
        <w:separator/>
      </w:r>
    </w:p>
  </w:endnote>
  <w:endnote w:type="continuationSeparator" w:id="0">
    <w:p w14:paraId="4BA72F6B" w14:textId="77777777" w:rsidR="00A04AAC" w:rsidRDefault="00A04AAC" w:rsidP="00346F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6B44758-EBFE-4AA8-8044-0A797897135C}"/>
  </w:font>
  <w:font w:name="Cambria">
    <w:panose1 w:val="02040503050406030204"/>
    <w:charset w:val="00"/>
    <w:family w:val="roman"/>
    <w:pitch w:val="variable"/>
    <w:sig w:usb0="E00006FF" w:usb1="420024FF" w:usb2="02000000" w:usb3="00000000" w:csb0="0000019F" w:csb1="00000000"/>
    <w:embedRegular r:id="rId2" w:fontKey="{EC95441D-94F3-411F-9E66-2CB4C284D22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347679"/>
      <w:docPartObj>
        <w:docPartGallery w:val="Page Numbers (Bottom of Page)"/>
        <w:docPartUnique/>
      </w:docPartObj>
    </w:sdtPr>
    <w:sdtEndPr>
      <w:rPr>
        <w:noProof/>
        <w:sz w:val="20"/>
        <w:szCs w:val="20"/>
      </w:rPr>
    </w:sdtEndPr>
    <w:sdtContent>
      <w:p w14:paraId="6A8C1B04" w14:textId="77777777" w:rsidR="00324DA0" w:rsidRPr="00346F5F" w:rsidRDefault="00324DA0">
        <w:pPr>
          <w:pStyle w:val="Footer"/>
          <w:jc w:val="right"/>
          <w:rPr>
            <w:sz w:val="20"/>
            <w:szCs w:val="20"/>
          </w:rPr>
        </w:pPr>
        <w:r w:rsidRPr="00346F5F">
          <w:rPr>
            <w:rFonts w:ascii="Times New Roman" w:hAnsi="Times New Roman" w:cs="Times New Roman"/>
            <w:sz w:val="20"/>
            <w:szCs w:val="20"/>
          </w:rPr>
          <w:fldChar w:fldCharType="begin"/>
        </w:r>
        <w:r w:rsidRPr="00346F5F">
          <w:rPr>
            <w:rFonts w:ascii="Times New Roman" w:hAnsi="Times New Roman" w:cs="Times New Roman"/>
            <w:sz w:val="20"/>
            <w:szCs w:val="20"/>
          </w:rPr>
          <w:instrText xml:space="preserve"> PAGE   \* MERGEFORMAT </w:instrText>
        </w:r>
        <w:r w:rsidRPr="00346F5F">
          <w:rPr>
            <w:rFonts w:ascii="Times New Roman" w:hAnsi="Times New Roman" w:cs="Times New Roman"/>
            <w:sz w:val="20"/>
            <w:szCs w:val="20"/>
          </w:rPr>
          <w:fldChar w:fldCharType="separate"/>
        </w:r>
        <w:r w:rsidR="00BD5673">
          <w:rPr>
            <w:rFonts w:ascii="Times New Roman" w:hAnsi="Times New Roman" w:cs="Times New Roman"/>
            <w:noProof/>
            <w:sz w:val="20"/>
            <w:szCs w:val="20"/>
          </w:rPr>
          <w:t>33</w:t>
        </w:r>
        <w:r w:rsidRPr="00346F5F">
          <w:rPr>
            <w:rFonts w:ascii="Times New Roman" w:hAnsi="Times New Roman" w:cs="Times New Roman"/>
            <w:noProof/>
            <w:sz w:val="20"/>
            <w:szCs w:val="20"/>
          </w:rPr>
          <w:fldChar w:fldCharType="end"/>
        </w:r>
      </w:p>
    </w:sdtContent>
  </w:sdt>
  <w:p w14:paraId="1BF55E9E" w14:textId="77777777" w:rsidR="00324DA0" w:rsidRDefault="00324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0F91E" w14:textId="77777777" w:rsidR="00A04AAC" w:rsidRDefault="00A04AAC" w:rsidP="00346F5F">
      <w:pPr>
        <w:spacing w:line="240" w:lineRule="auto"/>
      </w:pPr>
      <w:r>
        <w:separator/>
      </w:r>
    </w:p>
  </w:footnote>
  <w:footnote w:type="continuationSeparator" w:id="0">
    <w:p w14:paraId="78490D59" w14:textId="77777777" w:rsidR="00A04AAC" w:rsidRDefault="00A04AAC" w:rsidP="00346F5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D24"/>
    <w:rsid w:val="0009446D"/>
    <w:rsid w:val="000B0884"/>
    <w:rsid w:val="001D0AFF"/>
    <w:rsid w:val="00237D24"/>
    <w:rsid w:val="00324DA0"/>
    <w:rsid w:val="003262FB"/>
    <w:rsid w:val="00342511"/>
    <w:rsid w:val="00346F5F"/>
    <w:rsid w:val="00374D5E"/>
    <w:rsid w:val="00427231"/>
    <w:rsid w:val="00440FFB"/>
    <w:rsid w:val="004E0BDE"/>
    <w:rsid w:val="004F0721"/>
    <w:rsid w:val="0052033D"/>
    <w:rsid w:val="005418EE"/>
    <w:rsid w:val="007B0EED"/>
    <w:rsid w:val="00802F07"/>
    <w:rsid w:val="00812A93"/>
    <w:rsid w:val="00845411"/>
    <w:rsid w:val="009C7926"/>
    <w:rsid w:val="009D76AC"/>
    <w:rsid w:val="00A04AAC"/>
    <w:rsid w:val="00A35E42"/>
    <w:rsid w:val="00A71036"/>
    <w:rsid w:val="00AD1A19"/>
    <w:rsid w:val="00AF5F20"/>
    <w:rsid w:val="00BD5673"/>
    <w:rsid w:val="00C733A5"/>
    <w:rsid w:val="00D461FE"/>
    <w:rsid w:val="00DF7D4C"/>
    <w:rsid w:val="00E01004"/>
    <w:rsid w:val="00E51AF4"/>
    <w:rsid w:val="00E8603F"/>
    <w:rsid w:val="00EB78CE"/>
    <w:rsid w:val="00F82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0900D"/>
  <w15:docId w15:val="{92BF7605-AA4D-4975-A8F0-9FF9C9988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262FB"/>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rsid w:val="003262FB"/>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rsid w:val="003262FB"/>
    <w:pPr>
      <w:keepNext/>
      <w:keepLines/>
      <w:spacing w:before="120" w:after="120" w:line="360" w:lineRule="auto"/>
      <w:jc w:val="center"/>
      <w:outlineLvl w:val="3"/>
    </w:pPr>
    <w:rPr>
      <w:rFonts w:ascii="Times New Roman" w:hAnsi="Times New Roman"/>
      <w:b/>
      <w:sz w:val="24"/>
      <w:szCs w:val="24"/>
    </w:rPr>
  </w:style>
  <w:style w:type="paragraph" w:styleId="Heading5">
    <w:name w:val="heading 5"/>
    <w:basedOn w:val="Normal"/>
    <w:next w:val="Normal"/>
    <w:rsid w:val="003262FB"/>
    <w:pPr>
      <w:keepNext/>
      <w:keepLines/>
      <w:spacing w:before="120" w:after="120" w:line="360" w:lineRule="auto"/>
      <w:jc w:val="center"/>
      <w:outlineLvl w:val="4"/>
    </w:pPr>
    <w:rPr>
      <w:rFonts w:ascii="Times New Roman" w:hAnsi="Times New Roman"/>
      <w:b/>
      <w:sz w:val="24"/>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NormalWeb">
    <w:name w:val="Normal (Web)"/>
    <w:basedOn w:val="Normal"/>
    <w:uiPriority w:val="99"/>
    <w:unhideWhenUsed/>
    <w:rsid w:val="00EB78C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B78CE"/>
    <w:rPr>
      <w:color w:val="0000FF"/>
      <w:u w:val="single"/>
    </w:rPr>
  </w:style>
  <w:style w:type="character" w:styleId="Strong">
    <w:name w:val="Strong"/>
    <w:basedOn w:val="DefaultParagraphFont"/>
    <w:uiPriority w:val="22"/>
    <w:qFormat/>
    <w:rsid w:val="00AF5F20"/>
    <w:rPr>
      <w:b/>
      <w:bCs/>
    </w:rPr>
  </w:style>
  <w:style w:type="table" w:styleId="TableGrid">
    <w:name w:val="Table Grid"/>
    <w:basedOn w:val="TableNormal"/>
    <w:uiPriority w:val="39"/>
    <w:rsid w:val="00AF5F2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AF5F20"/>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OCHeading">
    <w:name w:val="TOC Heading"/>
    <w:basedOn w:val="Heading1"/>
    <w:next w:val="Normal"/>
    <w:uiPriority w:val="39"/>
    <w:unhideWhenUsed/>
    <w:qFormat/>
    <w:rsid w:val="00C733A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733A5"/>
    <w:pPr>
      <w:spacing w:after="100"/>
    </w:pPr>
  </w:style>
  <w:style w:type="paragraph" w:styleId="TOC2">
    <w:name w:val="toc 2"/>
    <w:basedOn w:val="Normal"/>
    <w:next w:val="Normal"/>
    <w:autoRedefine/>
    <w:uiPriority w:val="39"/>
    <w:unhideWhenUsed/>
    <w:rsid w:val="00C733A5"/>
    <w:pPr>
      <w:spacing w:after="100"/>
      <w:ind w:left="220"/>
    </w:pPr>
  </w:style>
  <w:style w:type="paragraph" w:styleId="Header">
    <w:name w:val="header"/>
    <w:basedOn w:val="Normal"/>
    <w:link w:val="HeaderChar"/>
    <w:uiPriority w:val="99"/>
    <w:unhideWhenUsed/>
    <w:rsid w:val="00346F5F"/>
    <w:pPr>
      <w:tabs>
        <w:tab w:val="center" w:pos="4680"/>
        <w:tab w:val="right" w:pos="9360"/>
      </w:tabs>
      <w:spacing w:line="240" w:lineRule="auto"/>
    </w:pPr>
  </w:style>
  <w:style w:type="character" w:customStyle="1" w:styleId="HeaderChar">
    <w:name w:val="Header Char"/>
    <w:basedOn w:val="DefaultParagraphFont"/>
    <w:link w:val="Header"/>
    <w:uiPriority w:val="99"/>
    <w:rsid w:val="00346F5F"/>
  </w:style>
  <w:style w:type="paragraph" w:styleId="Footer">
    <w:name w:val="footer"/>
    <w:basedOn w:val="Normal"/>
    <w:link w:val="FooterChar"/>
    <w:uiPriority w:val="99"/>
    <w:unhideWhenUsed/>
    <w:rsid w:val="00346F5F"/>
    <w:pPr>
      <w:tabs>
        <w:tab w:val="center" w:pos="4680"/>
        <w:tab w:val="right" w:pos="9360"/>
      </w:tabs>
      <w:spacing w:line="240" w:lineRule="auto"/>
    </w:pPr>
  </w:style>
  <w:style w:type="character" w:customStyle="1" w:styleId="FooterChar">
    <w:name w:val="Footer Char"/>
    <w:basedOn w:val="DefaultParagraphFont"/>
    <w:link w:val="Footer"/>
    <w:uiPriority w:val="99"/>
    <w:rsid w:val="00346F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6368527">
      <w:bodyDiv w:val="1"/>
      <w:marLeft w:val="0"/>
      <w:marRight w:val="0"/>
      <w:marTop w:val="0"/>
      <w:marBottom w:val="0"/>
      <w:divBdr>
        <w:top w:val="none" w:sz="0" w:space="0" w:color="auto"/>
        <w:left w:val="none" w:sz="0" w:space="0" w:color="auto"/>
        <w:bottom w:val="none" w:sz="0" w:space="0" w:color="auto"/>
        <w:right w:val="none" w:sz="0" w:space="0" w:color="auto"/>
      </w:divBdr>
    </w:div>
    <w:div w:id="17846907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statistics/cyber-security-breaches-survey-20252026/cyber-security-breaches-survey-20252026" TargetMode="External"/><Relationship Id="rId21" Type="http://schemas.microsoft.com/office/2007/relationships/diagramDrawing" Target="diagrams/drawing1.xml"/><Relationship Id="rId42" Type="http://schemas.openxmlformats.org/officeDocument/2006/relationships/hyperlink" Target="https://www.torrossa.com/gs/resourceProxy?an=5751056&amp;publisher=FZO328" TargetMode="External"/><Relationship Id="rId47" Type="http://schemas.openxmlformats.org/officeDocument/2006/relationships/hyperlink" Target="https://alkindipublisher.com/index.php/jcsts/article/download/10652/9400" TargetMode="External"/><Relationship Id="rId63" Type="http://schemas.openxmlformats.org/officeDocument/2006/relationships/hyperlink" Target="https://ajisresearch.com/index.php/ajis/article/download/30/28" TargetMode="External"/><Relationship Id="rId68" Type="http://schemas.openxmlformats.org/officeDocument/2006/relationships/hyperlink" Target="https://books.google.com/books?hl=en&amp;lr=&amp;id=WfdCEQAAQBAJ&amp;oi=fnd&amp;pg=PP1&amp;dq=Security+Governance+Committee+while+confirming+the+CISO+and+RACI+responsibilities,+perform+enterprise-wide+risk+assessments,+and+address+the+immediate+weakness+through+the+help+of+MFA,+least-privilege+access,+encryption+and+finally+the+critical+reviews+of+the+vendor.+&amp;ots=5rDMvFLoyM&amp;sig=zuqLQa26pCx2d31XhaJxS1Jzabs" TargetMode="External"/><Relationship Id="rId7" Type="http://schemas.openxmlformats.org/officeDocument/2006/relationships/image" Target="media/image1.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researchgate.net/profile/Tanzina-Sultana/publication/388838046_Enhancing_Project_Management_through_Outsourcing_Transforming_Growth_in_Information_Technology_IT/links/67be0a1bf5cb8f70d5bff7bf/Enhancing-Project-Management-through-Outsourcing-Transforming-Growth-in-Information-Technology-IT.pdf" TargetMode="External"/><Relationship Id="rId11" Type="http://schemas.openxmlformats.org/officeDocument/2006/relationships/image" Target="media/image5.png"/><Relationship Id="rId24" Type="http://schemas.openxmlformats.org/officeDocument/2006/relationships/hyperlink" Target="https://www.mdpi.com/1424-8220/23/17/7470" TargetMode="External"/><Relationship Id="rId32" Type="http://schemas.openxmlformats.org/officeDocument/2006/relationships/hyperlink" Target="https://worldscientificnews.com/wp-content/uploads/2024/01/WSN-1901-2024-1-69-1.pdf" TargetMode="External"/><Relationship Id="rId37" Type="http://schemas.openxmlformats.org/officeDocument/2006/relationships/hyperlink" Target="https://ijctece.com/index.php/IJCTEC/article/download/380/338" TargetMode="External"/><Relationship Id="rId40" Type="http://schemas.openxmlformats.org/officeDocument/2006/relationships/hyperlink" Target="https://www.researchgate.net/profile/Austin-Kate-2/publication/403508974_Operationalizing_the_NIST_CSF_20_Govern_Function_for_AI-_Augmented_Critical_Infrastructure_Protection_Policy_Accountability_and_Risk_Ownership_Models/links/69d10fb49f53d47411c46806/Operationalizing-the-NIST-CSF-20-Govern-Function-for-AI-Augmented-Critical-Infrastructure-Protection-Policy-Accountability-and-Risk-Ownership-Models.pdf" TargetMode="External"/><Relationship Id="rId45" Type="http://schemas.openxmlformats.org/officeDocument/2006/relationships/hyperlink" Target="https://www.researchgate.net/profile/Hemantha-Herath/publication/358909388_An_Information_Security_Performance_Measurement_Tool_for_Senior_Managers_Balanced_Scorecard_Integration_for_Security_Governance_and_Control_Frameworks/links/6390a7aa484e65005bee951c/An-Information-Security-Performance-Measurement-Tool-for-Senior-Managers-Balanced-Scorecard-Integration-for-Security-Governance-and-Control-Frameworks.pdf" TargetMode="External"/><Relationship Id="rId53" Type="http://schemas.openxmlformats.org/officeDocument/2006/relationships/hyperlink" Target="https://www.igi-global.com/chapter/identifying-opportunities-in-the-enhancement-of-an-organizations-third-party-risk-posture/358654" TargetMode="External"/><Relationship Id="rId58" Type="http://schemas.openxmlformats.org/officeDocument/2006/relationships/hyperlink" Target="https://www.sciencedirect.com/science/article/pii/S2667096825000527" TargetMode="External"/><Relationship Id="rId66" Type="http://schemas.openxmlformats.org/officeDocument/2006/relationships/hyperlink" Target="https://journals.mesopotamian.press/index.php/ADSA/article/download/757/1144" TargetMode="External"/><Relationship Id="rId5" Type="http://schemas.openxmlformats.org/officeDocument/2006/relationships/footnotes" Target="footnotes.xml"/><Relationship Id="rId61" Type="http://schemas.openxmlformats.org/officeDocument/2006/relationships/hyperlink" Target="https://papers.ssrn.com/sol3/Delivery.cfm?abstractid=3399548" TargetMode="External"/><Relationship Id="rId19" Type="http://schemas.openxmlformats.org/officeDocument/2006/relationships/diagramQuickStyle" Target="diagrams/quickStyle1.xml"/><Relationship Id="rId14" Type="http://schemas.openxmlformats.org/officeDocument/2006/relationships/image" Target="media/image8.png"/><Relationship Id="rId22" Type="http://schemas.openxmlformats.org/officeDocument/2006/relationships/hyperlink" Target="http://effectiveness.in" TargetMode="External"/><Relationship Id="rId27" Type="http://schemas.openxmlformats.org/officeDocument/2006/relationships/hyperlink" Target="https://www.researchgate.net/profile/Rapheal-Alamu/publication/389966358_The_Role_of_IT_Governance_in_Enhancing_Organizational_Cybersecurity/links/67da8ec18901690dd03ae4e3/The-Role-of-IT-Governance-in-Enhancing-Organizational-Cybersecurity.pdf" TargetMode="External"/><Relationship Id="rId30" Type="http://schemas.openxmlformats.org/officeDocument/2006/relationships/hyperlink" Target="https://www.theseus.fi/bitstream/handle/10024/924411/Oubousken_Ilyas.pdf?sequence=2" TargetMode="External"/><Relationship Id="rId35" Type="http://schemas.openxmlformats.org/officeDocument/2006/relationships/hyperlink" Target="https://uniselinus.education/sites/default/files/2025-03/Ahmed%20Sekti%20Adinata.pdf" TargetMode="External"/><Relationship Id="rId43" Type="http://schemas.openxmlformats.org/officeDocument/2006/relationships/hyperlink" Target="https://www.mdpi.com/2305-6703/5/4/33" TargetMode="External"/><Relationship Id="rId48" Type="http://schemas.openxmlformats.org/officeDocument/2006/relationships/hyperlink" Target="https://arxiv.org/pdf/2503.11659" TargetMode="External"/><Relationship Id="rId56" Type="http://schemas.openxmlformats.org/officeDocument/2006/relationships/hyperlink" Target="https://access.heinonline.com/hol-cgi-bin/get_pdf.cgi?handle=hein.journals/lwfyrinl2&amp;section=23" TargetMode="External"/><Relationship Id="rId64" Type="http://schemas.openxmlformats.org/officeDocument/2006/relationships/hyperlink" Target="https://bibliotekanauki.pl/articles/63884604.pdf" TargetMode="External"/><Relationship Id="rId69" Type="http://schemas.openxmlformats.org/officeDocument/2006/relationships/hyperlink" Target="https://www.theseus.fi/bitstream/handle/10024/891475/Mdaki_Jacob.pdf?sequence=2" TargetMode="External"/><Relationship Id="rId8" Type="http://schemas.openxmlformats.org/officeDocument/2006/relationships/image" Target="media/image2.png"/><Relationship Id="rId51" Type="http://schemas.openxmlformats.org/officeDocument/2006/relationships/hyperlink" Target="https://www.mdpi.com/1424-8220/24/4/1328"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diagramData" Target="diagrams/data1.xml"/><Relationship Id="rId25" Type="http://schemas.openxmlformats.org/officeDocument/2006/relationships/hyperlink" Target="http://gov.uk" TargetMode="External"/><Relationship Id="rId33" Type="http://schemas.openxmlformats.org/officeDocument/2006/relationships/hyperlink" Target="https://www.scifiniti.com/uploads/source/articles/computingai-connect/2024/volume1/20240004/article.pdf" TargetMode="External"/><Relationship Id="rId38" Type="http://schemas.openxmlformats.org/officeDocument/2006/relationships/hyperlink" Target="https://www.theseus.fi/bitstream/handle/10024/913159/Sahiwala_Fatema.pdf?sequence=2" TargetMode="External"/><Relationship Id="rId46" Type="http://schemas.openxmlformats.org/officeDocument/2006/relationships/hyperlink" Target="https://jiki.cs.ui.ac.id/index.php/jiki/article/download/1195/518" TargetMode="External"/><Relationship Id="rId59" Type="http://schemas.openxmlformats.org/officeDocument/2006/relationships/hyperlink" Target="https://onlinelibrary.wiley.com/doi/pdfdirect/10.1002/spy2.333" TargetMode="External"/><Relationship Id="rId67" Type="http://schemas.openxmlformats.org/officeDocument/2006/relationships/hyperlink" Target="https://sa-journal.org/index.php/systemic/article/download/46/57" TargetMode="External"/><Relationship Id="rId20" Type="http://schemas.openxmlformats.org/officeDocument/2006/relationships/diagramColors" Target="diagrams/colors1.xml"/><Relationship Id="rId41" Type="http://schemas.openxmlformats.org/officeDocument/2006/relationships/hyperlink" Target="https://books.google.com/books?hl=en&amp;lr=&amp;id=5s_BEQAAQBAJ&amp;oi=fnd&amp;pg=PR13&amp;dq=ISO/IEC+27001+helps+in+establishing+an+Information+Security+Management+System+(ISMS)+while+ISO/IEC+27002+supports+the+practical+implementation+of+the+security+controls.+&amp;ots=qAM5X-L_lS&amp;sig=ULt052oG3-bOo6B1Cj3un8Oa2mA" TargetMode="External"/><Relationship Id="rId54" Type="http://schemas.openxmlformats.org/officeDocument/2006/relationships/hyperlink" Target="https://journal.universitasbumigora.ac.id/matrik/article/download/5628/2267" TargetMode="External"/><Relationship Id="rId62" Type="http://schemas.openxmlformats.org/officeDocument/2006/relationships/hyperlink" Target="https://books.google.com/books?hl=en&amp;lr=&amp;id=NjyfEQAAQBAJ&amp;oi=fnd&amp;pg=PT5&amp;dq=vendor+management+requires+starting+with+security+due+diligence+through+critically+investigating+the+suppliers+before+engagement+and+periodically+thereafter.&amp;ots=mjL0DkkPlA&amp;sig=ZL7sfAvckvXVw7Dugr25AlsVhJE"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1.png"/><Relationship Id="rId28" Type="http://schemas.openxmlformats.org/officeDocument/2006/relationships/hyperlink" Target="https://www.researchgate.net/profile/Khaled-Nagaty/publication/367025439_IoT_Commercial_and_Industrial_Applications_and_AI-Powered_IoT/links/63d61ee5c97bd76a8244aee8/IoT-Commercial-and-Industrial-Applications-and-AI-Powered-IoT.pdf" TargetMode="External"/><Relationship Id="rId36" Type="http://schemas.openxmlformats.org/officeDocument/2006/relationships/hyperlink" Target="https://books.google.com/books?hl=en&amp;lr=&amp;id=dEyWEQAAQBAJ&amp;oi=fnd&amp;pg=PT7&amp;dq=Information+and+security+governance+establishes+the+organisational+direction+through+closely+aligning+the+governance,+risk+and+compliance+(GRC)+with+strategic+decision-making.+&amp;ots=YVF-BfWD8C&amp;sig=nQwbKwTgopUHiQzZYOY8JE4R-x0" TargetMode="External"/><Relationship Id="rId49" Type="http://schemas.openxmlformats.org/officeDocument/2006/relationships/hyperlink" Target="https://papers.ssrn.com/sol3/Delivery.cfm?abstractid=5268092" TargetMode="External"/><Relationship Id="rId57" Type="http://schemas.openxmlformats.org/officeDocument/2006/relationships/hyperlink" Target="https://books.google.com/books?hl=en&amp;lr=&amp;id=30YEEQAAQBAJ&amp;oi=fnd&amp;pg=PA1&amp;dq=Besides+that,+the+CISO+helps+in+developing+the+security+strategy+along+side+coordinates+the+SOC+with+risk+and+security+operations.&amp;ots=rn_GhWYJ-4&amp;sig=fPHMoKRpcY7n2QMu4jXZUNEV3J4" TargetMode="External"/><Relationship Id="rId10" Type="http://schemas.openxmlformats.org/officeDocument/2006/relationships/image" Target="media/image4.png"/><Relationship Id="rId31" Type="http://schemas.openxmlformats.org/officeDocument/2006/relationships/hyperlink" Target="https://www.igi-global.com/chapter/internet-of-things-applications-for-real-time-monitoring-and-tracking/401657" TargetMode="External"/><Relationship Id="rId44" Type="http://schemas.openxmlformats.org/officeDocument/2006/relationships/hyperlink" Target="https://mail.etasr.com/index.php/ETASR/article/download/17097/6433" TargetMode="External"/><Relationship Id="rId52" Type="http://schemas.openxmlformats.org/officeDocument/2006/relationships/hyperlink" Target="https://books.google.com/books?hl=en&amp;lr=&amp;id=mw8zEAAAQBAJ&amp;oi=fnd&amp;pg=PT6&amp;dq=+the+risk-based+decisions+help+in+addressing+the+cloud,+IoT+and+finally+the+third-party+exposures+of+Aerolinks+through+concentrating+resources+on+critical+threats.&amp;ots=av7D7PDAuD&amp;sig=joAMxvkJTNxX7yS0Z4faLz64q8Y" TargetMode="External"/><Relationship Id="rId60" Type="http://schemas.openxmlformats.org/officeDocument/2006/relationships/hyperlink" Target="https://ieeexplore.ieee.org/abstract/document/10277652/" TargetMode="External"/><Relationship Id="rId65" Type="http://schemas.openxmlformats.org/officeDocument/2006/relationships/hyperlink" Target="https://ijrpetm.com/index.php/IJRPETM/article/download/561/530"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diagramLayout" Target="diagrams/layout1.xml"/><Relationship Id="rId39" Type="http://schemas.openxmlformats.org/officeDocument/2006/relationships/hyperlink" Target="https://indianapublications.com/articles/IJEBM_6(4)_74-103_6a68f5eeeb0a23.49971237.pdf" TargetMode="External"/><Relationship Id="rId34" Type="http://schemas.openxmlformats.org/officeDocument/2006/relationships/hyperlink" Target="https://arxiv.org/pdf/2411.13447" TargetMode="External"/><Relationship Id="rId50" Type="http://schemas.openxmlformats.org/officeDocument/2006/relationships/hyperlink" Target="https://ijtmh.com/index.php/ijtmh/article/download/366/347" TargetMode="External"/><Relationship Id="rId55" Type="http://schemas.openxmlformats.org/officeDocument/2006/relationships/hyperlink" Target="https://www.obriain.com/training/nis2-maritime/Cybersecurity_in_Maritime_Domain_(Rosslare)_odt_v1.0.2.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C86CA2-4811-41BA-B1CF-C8EEF5F08216}" type="doc">
      <dgm:prSet loTypeId="urn:microsoft.com/office/officeart/2005/8/layout/cycle3" loCatId="cycle" qsTypeId="urn:microsoft.com/office/officeart/2005/8/quickstyle/3d3" qsCatId="3D" csTypeId="urn:microsoft.com/office/officeart/2005/8/colors/colorful5" csCatId="colorful" phldr="1"/>
      <dgm:spPr/>
      <dgm:t>
        <a:bodyPr/>
        <a:lstStyle/>
        <a:p>
          <a:endParaRPr lang="en-US"/>
        </a:p>
      </dgm:t>
    </dgm:pt>
    <dgm:pt modelId="{99647FB8-C355-4926-83DF-003C48CD2841}">
      <dgm:prSe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Identify Requirements</a:t>
          </a:r>
          <a:endParaRPr lang="en-US" sz="1100">
            <a:solidFill>
              <a:sysClr val="windowText" lastClr="000000"/>
            </a:solidFill>
            <a:latin typeface="Times New Roman" panose="02020603050405020304" pitchFamily="18" charset="0"/>
            <a:cs typeface="Times New Roman" panose="02020603050405020304" pitchFamily="18" charset="0"/>
          </a:endParaRPr>
        </a:p>
      </dgm:t>
    </dgm:pt>
    <dgm:pt modelId="{2E657D5C-DF9C-4C10-A364-12E87C92C0D7}" type="parTrans" cxnId="{143F6363-4005-484F-AC63-4A0C5D273801}">
      <dgm:prSet/>
      <dgm:spPr/>
      <dgm:t>
        <a:bodyPr/>
        <a:lstStyle/>
        <a:p>
          <a:endParaRPr lang="en-US"/>
        </a:p>
      </dgm:t>
    </dgm:pt>
    <dgm:pt modelId="{7F3A83C9-808B-4757-ADA2-BE84B40FA0C0}" type="sibTrans" cxnId="{143F6363-4005-484F-AC63-4A0C5D273801}">
      <dgm:prSet/>
      <dgm:spPr/>
      <dgm:t>
        <a:bodyPr/>
        <a:lstStyle/>
        <a:p>
          <a:endParaRPr lang="en-US"/>
        </a:p>
      </dgm:t>
    </dgm:pt>
    <dgm:pt modelId="{85ED4DAC-2A6A-4ACC-9757-FA9ACFB935C2}">
      <dgm:prSe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Map Controls</a:t>
          </a:r>
          <a:endParaRPr lang="en-US" sz="1100">
            <a:solidFill>
              <a:sysClr val="windowText" lastClr="000000"/>
            </a:solidFill>
            <a:latin typeface="Times New Roman" panose="02020603050405020304" pitchFamily="18" charset="0"/>
            <a:cs typeface="Times New Roman" panose="02020603050405020304" pitchFamily="18" charset="0"/>
          </a:endParaRPr>
        </a:p>
      </dgm:t>
    </dgm:pt>
    <dgm:pt modelId="{0EBE5CA1-3038-417C-B49F-D612B9E50058}" type="parTrans" cxnId="{37940C43-D49F-4FAF-90D7-45AC5141CFFB}">
      <dgm:prSet/>
      <dgm:spPr/>
      <dgm:t>
        <a:bodyPr/>
        <a:lstStyle/>
        <a:p>
          <a:endParaRPr lang="en-US"/>
        </a:p>
      </dgm:t>
    </dgm:pt>
    <dgm:pt modelId="{818300FE-6438-4A4B-BD60-441DC3D58FC5}" type="sibTrans" cxnId="{37940C43-D49F-4FAF-90D7-45AC5141CFFB}">
      <dgm:prSet/>
      <dgm:spPr/>
      <dgm:t>
        <a:bodyPr/>
        <a:lstStyle/>
        <a:p>
          <a:endParaRPr lang="en-US"/>
        </a:p>
      </dgm:t>
    </dgm:pt>
    <dgm:pt modelId="{228FEB91-91CB-4E65-A1A2-949F7C9EB1F6}">
      <dgm:prSe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Assign Owners</a:t>
          </a:r>
          <a:endParaRPr lang="en-US" sz="1100">
            <a:solidFill>
              <a:sysClr val="windowText" lastClr="000000"/>
            </a:solidFill>
            <a:latin typeface="Times New Roman" panose="02020603050405020304" pitchFamily="18" charset="0"/>
            <a:cs typeface="Times New Roman" panose="02020603050405020304" pitchFamily="18" charset="0"/>
          </a:endParaRPr>
        </a:p>
      </dgm:t>
    </dgm:pt>
    <dgm:pt modelId="{57412078-269F-4694-8780-5E76FD764E0F}" type="parTrans" cxnId="{ADDF2FF7-8178-430A-84E3-C40E8A75C8DE}">
      <dgm:prSet/>
      <dgm:spPr/>
      <dgm:t>
        <a:bodyPr/>
        <a:lstStyle/>
        <a:p>
          <a:endParaRPr lang="en-US"/>
        </a:p>
      </dgm:t>
    </dgm:pt>
    <dgm:pt modelId="{D8E48B4C-6440-4FA1-9ED4-BAED2DE0C35E}" type="sibTrans" cxnId="{ADDF2FF7-8178-430A-84E3-C40E8A75C8DE}">
      <dgm:prSet/>
      <dgm:spPr/>
      <dgm:t>
        <a:bodyPr/>
        <a:lstStyle/>
        <a:p>
          <a:endParaRPr lang="en-US"/>
        </a:p>
      </dgm:t>
    </dgm:pt>
    <dgm:pt modelId="{6BFD8A9F-F2F6-4EF4-9EEE-429838DEA6C5}">
      <dgm:prSe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Collect Evidence</a:t>
          </a:r>
          <a:endParaRPr lang="en-US" sz="1100">
            <a:solidFill>
              <a:sysClr val="windowText" lastClr="000000"/>
            </a:solidFill>
            <a:latin typeface="Times New Roman" panose="02020603050405020304" pitchFamily="18" charset="0"/>
            <a:cs typeface="Times New Roman" panose="02020603050405020304" pitchFamily="18" charset="0"/>
          </a:endParaRPr>
        </a:p>
      </dgm:t>
    </dgm:pt>
    <dgm:pt modelId="{7A64C1BE-87FA-4745-8B9B-7A4DAF2BB4DB}" type="parTrans" cxnId="{68B5D835-DC86-44B7-8720-F00C45C58A23}">
      <dgm:prSet/>
      <dgm:spPr/>
      <dgm:t>
        <a:bodyPr/>
        <a:lstStyle/>
        <a:p>
          <a:endParaRPr lang="en-US"/>
        </a:p>
      </dgm:t>
    </dgm:pt>
    <dgm:pt modelId="{8248829F-07F8-40A2-A90D-D3D052C93F77}" type="sibTrans" cxnId="{68B5D835-DC86-44B7-8720-F00C45C58A23}">
      <dgm:prSet/>
      <dgm:spPr/>
      <dgm:t>
        <a:bodyPr/>
        <a:lstStyle/>
        <a:p>
          <a:endParaRPr lang="en-US"/>
        </a:p>
      </dgm:t>
    </dgm:pt>
    <dgm:pt modelId="{A6BE6CD7-FB6F-4C4E-A24C-8E01C6991195}">
      <dgm:prSe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Audit</a:t>
          </a:r>
          <a:endParaRPr lang="en-US" sz="1100">
            <a:solidFill>
              <a:sysClr val="windowText" lastClr="000000"/>
            </a:solidFill>
            <a:latin typeface="Times New Roman" panose="02020603050405020304" pitchFamily="18" charset="0"/>
            <a:cs typeface="Times New Roman" panose="02020603050405020304" pitchFamily="18" charset="0"/>
          </a:endParaRPr>
        </a:p>
      </dgm:t>
    </dgm:pt>
    <dgm:pt modelId="{7E9F5644-3AF4-417A-8A9D-4299398E9B43}" type="parTrans" cxnId="{FC249228-739D-4A60-9EB9-221424C01699}">
      <dgm:prSet/>
      <dgm:spPr/>
      <dgm:t>
        <a:bodyPr/>
        <a:lstStyle/>
        <a:p>
          <a:endParaRPr lang="en-US"/>
        </a:p>
      </dgm:t>
    </dgm:pt>
    <dgm:pt modelId="{9B1168D7-B19B-4090-B404-D41B6626B40B}" type="sibTrans" cxnId="{FC249228-739D-4A60-9EB9-221424C01699}">
      <dgm:prSet/>
      <dgm:spPr/>
      <dgm:t>
        <a:bodyPr/>
        <a:lstStyle/>
        <a:p>
          <a:endParaRPr lang="en-US"/>
        </a:p>
      </dgm:t>
    </dgm:pt>
    <dgm:pt modelId="{53EB1D8B-A80D-4992-A978-F345702C9B4F}">
      <dgm:prSe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Correct Gaps</a:t>
          </a:r>
          <a:endParaRPr lang="en-US" sz="1100">
            <a:solidFill>
              <a:sysClr val="windowText" lastClr="000000"/>
            </a:solidFill>
            <a:latin typeface="Times New Roman" panose="02020603050405020304" pitchFamily="18" charset="0"/>
            <a:cs typeface="Times New Roman" panose="02020603050405020304" pitchFamily="18" charset="0"/>
          </a:endParaRPr>
        </a:p>
      </dgm:t>
    </dgm:pt>
    <dgm:pt modelId="{95DF989A-9860-4A51-92FC-8DA5ABEC586A}" type="parTrans" cxnId="{D7CE0810-BB65-4230-8239-E9CFF5AFE2EB}">
      <dgm:prSet/>
      <dgm:spPr/>
      <dgm:t>
        <a:bodyPr/>
        <a:lstStyle/>
        <a:p>
          <a:endParaRPr lang="en-US"/>
        </a:p>
      </dgm:t>
    </dgm:pt>
    <dgm:pt modelId="{FDC2E6E7-51C4-4160-9A2A-CEA6EF981C76}" type="sibTrans" cxnId="{D7CE0810-BB65-4230-8239-E9CFF5AFE2EB}">
      <dgm:prSet/>
      <dgm:spPr/>
      <dgm:t>
        <a:bodyPr/>
        <a:lstStyle/>
        <a:p>
          <a:endParaRPr lang="en-US"/>
        </a:p>
      </dgm:t>
    </dgm:pt>
    <dgm:pt modelId="{02C6B541-952D-4A56-B02B-73FD7BD45696}">
      <dgm:prSet custT="1"/>
      <dgm:spPr/>
      <dgm:t>
        <a:bodyPr/>
        <a:lstStyle/>
        <a:p>
          <a:r>
            <a:rPr lang="en-US" sz="1100" b="1">
              <a:solidFill>
                <a:sysClr val="windowText" lastClr="000000"/>
              </a:solidFill>
              <a:latin typeface="Times New Roman" panose="02020603050405020304" pitchFamily="18" charset="0"/>
              <a:cs typeface="Times New Roman" panose="02020603050405020304" pitchFamily="18" charset="0"/>
            </a:rPr>
            <a:t>Review &amp; Update</a:t>
          </a:r>
          <a:endParaRPr lang="en-US" sz="1100">
            <a:solidFill>
              <a:sysClr val="windowText" lastClr="000000"/>
            </a:solidFill>
            <a:latin typeface="Times New Roman" panose="02020603050405020304" pitchFamily="18" charset="0"/>
            <a:cs typeface="Times New Roman" panose="02020603050405020304" pitchFamily="18" charset="0"/>
          </a:endParaRPr>
        </a:p>
      </dgm:t>
    </dgm:pt>
    <dgm:pt modelId="{1AD436EB-567E-4A25-9E30-127A8B0AB000}" type="parTrans" cxnId="{1E3AE1B0-BC58-4014-9B39-46C51BA9DD96}">
      <dgm:prSet/>
      <dgm:spPr/>
      <dgm:t>
        <a:bodyPr/>
        <a:lstStyle/>
        <a:p>
          <a:endParaRPr lang="en-US"/>
        </a:p>
      </dgm:t>
    </dgm:pt>
    <dgm:pt modelId="{922F9A08-459A-427A-86B5-97DD3D12C845}" type="sibTrans" cxnId="{1E3AE1B0-BC58-4014-9B39-46C51BA9DD96}">
      <dgm:prSet/>
      <dgm:spPr/>
      <dgm:t>
        <a:bodyPr/>
        <a:lstStyle/>
        <a:p>
          <a:endParaRPr lang="en-US"/>
        </a:p>
      </dgm:t>
    </dgm:pt>
    <dgm:pt modelId="{CDA867B2-6EAE-4FCB-97D6-D64BE1674AE9}" type="pres">
      <dgm:prSet presAssocID="{65C86CA2-4811-41BA-B1CF-C8EEF5F08216}" presName="Name0" presStyleCnt="0">
        <dgm:presLayoutVars>
          <dgm:dir/>
          <dgm:resizeHandles val="exact"/>
        </dgm:presLayoutVars>
      </dgm:prSet>
      <dgm:spPr/>
    </dgm:pt>
    <dgm:pt modelId="{F57CACAE-7487-485A-A723-079CFDB23B8A}" type="pres">
      <dgm:prSet presAssocID="{65C86CA2-4811-41BA-B1CF-C8EEF5F08216}" presName="cycle" presStyleCnt="0"/>
      <dgm:spPr/>
    </dgm:pt>
    <dgm:pt modelId="{B5E2DEB3-D7AA-4438-BB8E-C2DAB652056C}" type="pres">
      <dgm:prSet presAssocID="{99647FB8-C355-4926-83DF-003C48CD2841}" presName="nodeFirstNode" presStyleLbl="node1" presStyleIdx="0" presStyleCnt="7">
        <dgm:presLayoutVars>
          <dgm:bulletEnabled val="1"/>
        </dgm:presLayoutVars>
      </dgm:prSet>
      <dgm:spPr/>
    </dgm:pt>
    <dgm:pt modelId="{E8E4876C-0A6B-493B-ADDC-BDB4C167BD18}" type="pres">
      <dgm:prSet presAssocID="{7F3A83C9-808B-4757-ADA2-BE84B40FA0C0}" presName="sibTransFirstNode" presStyleLbl="bgShp" presStyleIdx="0" presStyleCnt="1"/>
      <dgm:spPr/>
    </dgm:pt>
    <dgm:pt modelId="{AF13DFF6-869B-4566-B5F5-260A46D57C43}" type="pres">
      <dgm:prSet presAssocID="{85ED4DAC-2A6A-4ACC-9757-FA9ACFB935C2}" presName="nodeFollowingNodes" presStyleLbl="node1" presStyleIdx="1" presStyleCnt="7">
        <dgm:presLayoutVars>
          <dgm:bulletEnabled val="1"/>
        </dgm:presLayoutVars>
      </dgm:prSet>
      <dgm:spPr/>
    </dgm:pt>
    <dgm:pt modelId="{057AFBF8-9A53-4CC3-A80C-CECE9D7D9C16}" type="pres">
      <dgm:prSet presAssocID="{228FEB91-91CB-4E65-A1A2-949F7C9EB1F6}" presName="nodeFollowingNodes" presStyleLbl="node1" presStyleIdx="2" presStyleCnt="7">
        <dgm:presLayoutVars>
          <dgm:bulletEnabled val="1"/>
        </dgm:presLayoutVars>
      </dgm:prSet>
      <dgm:spPr/>
    </dgm:pt>
    <dgm:pt modelId="{2A1A6E07-526C-4ABC-9BD0-B93E61AA244D}" type="pres">
      <dgm:prSet presAssocID="{6BFD8A9F-F2F6-4EF4-9EEE-429838DEA6C5}" presName="nodeFollowingNodes" presStyleLbl="node1" presStyleIdx="3" presStyleCnt="7">
        <dgm:presLayoutVars>
          <dgm:bulletEnabled val="1"/>
        </dgm:presLayoutVars>
      </dgm:prSet>
      <dgm:spPr/>
    </dgm:pt>
    <dgm:pt modelId="{6F9AD42B-2E62-4E0E-83BB-35CF07EB6666}" type="pres">
      <dgm:prSet presAssocID="{A6BE6CD7-FB6F-4C4E-A24C-8E01C6991195}" presName="nodeFollowingNodes" presStyleLbl="node1" presStyleIdx="4" presStyleCnt="7">
        <dgm:presLayoutVars>
          <dgm:bulletEnabled val="1"/>
        </dgm:presLayoutVars>
      </dgm:prSet>
      <dgm:spPr/>
    </dgm:pt>
    <dgm:pt modelId="{A8634299-3F18-40E1-A62C-CAD974184375}" type="pres">
      <dgm:prSet presAssocID="{53EB1D8B-A80D-4992-A978-F345702C9B4F}" presName="nodeFollowingNodes" presStyleLbl="node1" presStyleIdx="5" presStyleCnt="7">
        <dgm:presLayoutVars>
          <dgm:bulletEnabled val="1"/>
        </dgm:presLayoutVars>
      </dgm:prSet>
      <dgm:spPr/>
    </dgm:pt>
    <dgm:pt modelId="{CC890E24-6303-481B-BE89-9D3302D2F744}" type="pres">
      <dgm:prSet presAssocID="{02C6B541-952D-4A56-B02B-73FD7BD45696}" presName="nodeFollowingNodes" presStyleLbl="node1" presStyleIdx="6" presStyleCnt="7">
        <dgm:presLayoutVars>
          <dgm:bulletEnabled val="1"/>
        </dgm:presLayoutVars>
      </dgm:prSet>
      <dgm:spPr/>
    </dgm:pt>
  </dgm:ptLst>
  <dgm:cxnLst>
    <dgm:cxn modelId="{D7CE0810-BB65-4230-8239-E9CFF5AFE2EB}" srcId="{65C86CA2-4811-41BA-B1CF-C8EEF5F08216}" destId="{53EB1D8B-A80D-4992-A978-F345702C9B4F}" srcOrd="5" destOrd="0" parTransId="{95DF989A-9860-4A51-92FC-8DA5ABEC586A}" sibTransId="{FDC2E6E7-51C4-4160-9A2A-CEA6EF981C76}"/>
    <dgm:cxn modelId="{FC249228-739D-4A60-9EB9-221424C01699}" srcId="{65C86CA2-4811-41BA-B1CF-C8EEF5F08216}" destId="{A6BE6CD7-FB6F-4C4E-A24C-8E01C6991195}" srcOrd="4" destOrd="0" parTransId="{7E9F5644-3AF4-417A-8A9D-4299398E9B43}" sibTransId="{9B1168D7-B19B-4090-B404-D41B6626B40B}"/>
    <dgm:cxn modelId="{68B5D835-DC86-44B7-8720-F00C45C58A23}" srcId="{65C86CA2-4811-41BA-B1CF-C8EEF5F08216}" destId="{6BFD8A9F-F2F6-4EF4-9EEE-429838DEA6C5}" srcOrd="3" destOrd="0" parTransId="{7A64C1BE-87FA-4745-8B9B-7A4DAF2BB4DB}" sibTransId="{8248829F-07F8-40A2-A90D-D3D052C93F77}"/>
    <dgm:cxn modelId="{37940C43-D49F-4FAF-90D7-45AC5141CFFB}" srcId="{65C86CA2-4811-41BA-B1CF-C8EEF5F08216}" destId="{85ED4DAC-2A6A-4ACC-9757-FA9ACFB935C2}" srcOrd="1" destOrd="0" parTransId="{0EBE5CA1-3038-417C-B49F-D612B9E50058}" sibTransId="{818300FE-6438-4A4B-BD60-441DC3D58FC5}"/>
    <dgm:cxn modelId="{143F6363-4005-484F-AC63-4A0C5D273801}" srcId="{65C86CA2-4811-41BA-B1CF-C8EEF5F08216}" destId="{99647FB8-C355-4926-83DF-003C48CD2841}" srcOrd="0" destOrd="0" parTransId="{2E657D5C-DF9C-4C10-A364-12E87C92C0D7}" sibTransId="{7F3A83C9-808B-4757-ADA2-BE84B40FA0C0}"/>
    <dgm:cxn modelId="{08D9E94E-BA01-465F-B385-53C8942DB489}" type="presOf" srcId="{02C6B541-952D-4A56-B02B-73FD7BD45696}" destId="{CC890E24-6303-481B-BE89-9D3302D2F744}" srcOrd="0" destOrd="0" presId="urn:microsoft.com/office/officeart/2005/8/layout/cycle3"/>
    <dgm:cxn modelId="{40AE7851-71E6-4D76-8079-05B426F4043F}" type="presOf" srcId="{65C86CA2-4811-41BA-B1CF-C8EEF5F08216}" destId="{CDA867B2-6EAE-4FCB-97D6-D64BE1674AE9}" srcOrd="0" destOrd="0" presId="urn:microsoft.com/office/officeart/2005/8/layout/cycle3"/>
    <dgm:cxn modelId="{1E3AE1B0-BC58-4014-9B39-46C51BA9DD96}" srcId="{65C86CA2-4811-41BA-B1CF-C8EEF5F08216}" destId="{02C6B541-952D-4A56-B02B-73FD7BD45696}" srcOrd="6" destOrd="0" parTransId="{1AD436EB-567E-4A25-9E30-127A8B0AB000}" sibTransId="{922F9A08-459A-427A-86B5-97DD3D12C845}"/>
    <dgm:cxn modelId="{1957FEC8-C02B-4D45-A413-7D0B78570440}" type="presOf" srcId="{99647FB8-C355-4926-83DF-003C48CD2841}" destId="{B5E2DEB3-D7AA-4438-BB8E-C2DAB652056C}" srcOrd="0" destOrd="0" presId="urn:microsoft.com/office/officeart/2005/8/layout/cycle3"/>
    <dgm:cxn modelId="{2C056EC9-15FB-47FD-9A47-68A9105F7FF1}" type="presOf" srcId="{A6BE6CD7-FB6F-4C4E-A24C-8E01C6991195}" destId="{6F9AD42B-2E62-4E0E-83BB-35CF07EB6666}" srcOrd="0" destOrd="0" presId="urn:microsoft.com/office/officeart/2005/8/layout/cycle3"/>
    <dgm:cxn modelId="{D30948CA-57A2-42C1-B155-609769E3DB76}" type="presOf" srcId="{7F3A83C9-808B-4757-ADA2-BE84B40FA0C0}" destId="{E8E4876C-0A6B-493B-ADDC-BDB4C167BD18}" srcOrd="0" destOrd="0" presId="urn:microsoft.com/office/officeart/2005/8/layout/cycle3"/>
    <dgm:cxn modelId="{B5297AD2-0524-4DA6-A8EB-77ECAF04A25A}" type="presOf" srcId="{85ED4DAC-2A6A-4ACC-9757-FA9ACFB935C2}" destId="{AF13DFF6-869B-4566-B5F5-260A46D57C43}" srcOrd="0" destOrd="0" presId="urn:microsoft.com/office/officeart/2005/8/layout/cycle3"/>
    <dgm:cxn modelId="{191B1BEA-1845-44D4-926B-36C7BE413836}" type="presOf" srcId="{53EB1D8B-A80D-4992-A978-F345702C9B4F}" destId="{A8634299-3F18-40E1-A62C-CAD974184375}" srcOrd="0" destOrd="0" presId="urn:microsoft.com/office/officeart/2005/8/layout/cycle3"/>
    <dgm:cxn modelId="{B0D275F0-8E7F-40E5-9C01-8202CF283AA7}" type="presOf" srcId="{6BFD8A9F-F2F6-4EF4-9EEE-429838DEA6C5}" destId="{2A1A6E07-526C-4ABC-9BD0-B93E61AA244D}" srcOrd="0" destOrd="0" presId="urn:microsoft.com/office/officeart/2005/8/layout/cycle3"/>
    <dgm:cxn modelId="{ADDF2FF7-8178-430A-84E3-C40E8A75C8DE}" srcId="{65C86CA2-4811-41BA-B1CF-C8EEF5F08216}" destId="{228FEB91-91CB-4E65-A1A2-949F7C9EB1F6}" srcOrd="2" destOrd="0" parTransId="{57412078-269F-4694-8780-5E76FD764E0F}" sibTransId="{D8E48B4C-6440-4FA1-9ED4-BAED2DE0C35E}"/>
    <dgm:cxn modelId="{11CC33FC-91FF-43AD-A44A-572EE5BC100E}" type="presOf" srcId="{228FEB91-91CB-4E65-A1A2-949F7C9EB1F6}" destId="{057AFBF8-9A53-4CC3-A80C-CECE9D7D9C16}" srcOrd="0" destOrd="0" presId="urn:microsoft.com/office/officeart/2005/8/layout/cycle3"/>
    <dgm:cxn modelId="{68EF6CC4-A6FB-4E8B-9055-4B45BFE1BC9A}" type="presParOf" srcId="{CDA867B2-6EAE-4FCB-97D6-D64BE1674AE9}" destId="{F57CACAE-7487-485A-A723-079CFDB23B8A}" srcOrd="0" destOrd="0" presId="urn:microsoft.com/office/officeart/2005/8/layout/cycle3"/>
    <dgm:cxn modelId="{58E8DE73-BF2B-44D0-AB20-9FF5E63B94A2}" type="presParOf" srcId="{F57CACAE-7487-485A-A723-079CFDB23B8A}" destId="{B5E2DEB3-D7AA-4438-BB8E-C2DAB652056C}" srcOrd="0" destOrd="0" presId="urn:microsoft.com/office/officeart/2005/8/layout/cycle3"/>
    <dgm:cxn modelId="{833782B5-88BE-4D31-8A75-7A07D59524FC}" type="presParOf" srcId="{F57CACAE-7487-485A-A723-079CFDB23B8A}" destId="{E8E4876C-0A6B-493B-ADDC-BDB4C167BD18}" srcOrd="1" destOrd="0" presId="urn:microsoft.com/office/officeart/2005/8/layout/cycle3"/>
    <dgm:cxn modelId="{B892DE76-308B-424E-9C49-62BC5344FAFE}" type="presParOf" srcId="{F57CACAE-7487-485A-A723-079CFDB23B8A}" destId="{AF13DFF6-869B-4566-B5F5-260A46D57C43}" srcOrd="2" destOrd="0" presId="urn:microsoft.com/office/officeart/2005/8/layout/cycle3"/>
    <dgm:cxn modelId="{E844952A-C99E-4F17-98FF-90BBCE1687B7}" type="presParOf" srcId="{F57CACAE-7487-485A-A723-079CFDB23B8A}" destId="{057AFBF8-9A53-4CC3-A80C-CECE9D7D9C16}" srcOrd="3" destOrd="0" presId="urn:microsoft.com/office/officeart/2005/8/layout/cycle3"/>
    <dgm:cxn modelId="{409D28D1-78F5-4CB2-A84E-B508BE145A27}" type="presParOf" srcId="{F57CACAE-7487-485A-A723-079CFDB23B8A}" destId="{2A1A6E07-526C-4ABC-9BD0-B93E61AA244D}" srcOrd="4" destOrd="0" presId="urn:microsoft.com/office/officeart/2005/8/layout/cycle3"/>
    <dgm:cxn modelId="{4F85F8B7-53FE-4392-8178-92B0424C2969}" type="presParOf" srcId="{F57CACAE-7487-485A-A723-079CFDB23B8A}" destId="{6F9AD42B-2E62-4E0E-83BB-35CF07EB6666}" srcOrd="5" destOrd="0" presId="urn:microsoft.com/office/officeart/2005/8/layout/cycle3"/>
    <dgm:cxn modelId="{99706842-993C-4FD5-88E4-77FF2CB53948}" type="presParOf" srcId="{F57CACAE-7487-485A-A723-079CFDB23B8A}" destId="{A8634299-3F18-40E1-A62C-CAD974184375}" srcOrd="6" destOrd="0" presId="urn:microsoft.com/office/officeart/2005/8/layout/cycle3"/>
    <dgm:cxn modelId="{D7EF4452-3459-4385-A0BD-CE4FD6BD49DE}" type="presParOf" srcId="{F57CACAE-7487-485A-A723-079CFDB23B8A}" destId="{CC890E24-6303-481B-BE89-9D3302D2F744}" srcOrd="7" destOrd="0" presId="urn:microsoft.com/office/officeart/2005/8/layout/cycle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E4876C-0A6B-493B-ADDC-BDB4C167BD18}">
      <dsp:nvSpPr>
        <dsp:cNvPr id="0" name=""/>
        <dsp:cNvSpPr/>
      </dsp:nvSpPr>
      <dsp:spPr>
        <a:xfrm>
          <a:off x="1083602" y="-22998"/>
          <a:ext cx="3319195" cy="3319195"/>
        </a:xfrm>
        <a:prstGeom prst="circularArrow">
          <a:avLst>
            <a:gd name="adj1" fmla="val 5544"/>
            <a:gd name="adj2" fmla="val 330680"/>
            <a:gd name="adj3" fmla="val 14540369"/>
            <a:gd name="adj4" fmla="val 16936179"/>
            <a:gd name="adj5" fmla="val 5757"/>
          </a:avLst>
        </a:prstGeom>
        <a:solidFill>
          <a:schemeClr val="accent5">
            <a:tint val="40000"/>
            <a:hueOff val="0"/>
            <a:satOff val="0"/>
            <a:lumOff val="0"/>
            <a:alphaOff val="0"/>
          </a:schemeClr>
        </a:solidFill>
        <a:ln w="9525" cap="flat" cmpd="sng" algn="ctr">
          <a:solidFill>
            <a:schemeClr val="dk1">
              <a:hueOff val="0"/>
              <a:satOff val="0"/>
              <a:lumOff val="0"/>
              <a:alphaOff val="0"/>
            </a:schemeClr>
          </a:solidFill>
          <a:prstDash val="solid"/>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B5E2DEB3-D7AA-4438-BB8E-C2DAB652056C}">
      <dsp:nvSpPr>
        <dsp:cNvPr id="0" name=""/>
        <dsp:cNvSpPr/>
      </dsp:nvSpPr>
      <dsp:spPr>
        <a:xfrm>
          <a:off x="2235547" y="1024"/>
          <a:ext cx="1015305" cy="507652"/>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Identify Requirements</a:t>
          </a:r>
          <a:endParaRPr lang="en-US" sz="1100" kern="1200">
            <a:solidFill>
              <a:sysClr val="windowText" lastClr="000000"/>
            </a:solidFill>
            <a:latin typeface="Times New Roman" panose="02020603050405020304" pitchFamily="18" charset="0"/>
            <a:cs typeface="Times New Roman" panose="02020603050405020304" pitchFamily="18" charset="0"/>
          </a:endParaRPr>
        </a:p>
      </dsp:txBody>
      <dsp:txXfrm>
        <a:off x="2260329" y="25806"/>
        <a:ext cx="965741" cy="458088"/>
      </dsp:txXfrm>
    </dsp:sp>
    <dsp:sp modelId="{AF13DFF6-869B-4566-B5F5-260A46D57C43}">
      <dsp:nvSpPr>
        <dsp:cNvPr id="0" name=""/>
        <dsp:cNvSpPr/>
      </dsp:nvSpPr>
      <dsp:spPr>
        <a:xfrm>
          <a:off x="3342179" y="533950"/>
          <a:ext cx="1015305" cy="507652"/>
        </a:xfrm>
        <a:prstGeom prst="roundRect">
          <a:avLst/>
        </a:prstGeom>
        <a:solidFill>
          <a:schemeClr val="accent5">
            <a:hueOff val="-1655646"/>
            <a:satOff val="6635"/>
            <a:lumOff val="143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Map Controls</a:t>
          </a:r>
          <a:endParaRPr lang="en-US" sz="1100" kern="1200">
            <a:solidFill>
              <a:sysClr val="windowText" lastClr="000000"/>
            </a:solidFill>
            <a:latin typeface="Times New Roman" panose="02020603050405020304" pitchFamily="18" charset="0"/>
            <a:cs typeface="Times New Roman" panose="02020603050405020304" pitchFamily="18" charset="0"/>
          </a:endParaRPr>
        </a:p>
      </dsp:txBody>
      <dsp:txXfrm>
        <a:off x="3366961" y="558732"/>
        <a:ext cx="965741" cy="458088"/>
      </dsp:txXfrm>
    </dsp:sp>
    <dsp:sp modelId="{057AFBF8-9A53-4CC3-A80C-CECE9D7D9C16}">
      <dsp:nvSpPr>
        <dsp:cNvPr id="0" name=""/>
        <dsp:cNvSpPr/>
      </dsp:nvSpPr>
      <dsp:spPr>
        <a:xfrm>
          <a:off x="3615494" y="1731423"/>
          <a:ext cx="1015305" cy="507652"/>
        </a:xfrm>
        <a:prstGeom prst="roundRect">
          <a:avLst/>
        </a:prstGeom>
        <a:solidFill>
          <a:schemeClr val="accent5">
            <a:hueOff val="-3311292"/>
            <a:satOff val="13270"/>
            <a:lumOff val="287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Assign Owners</a:t>
          </a:r>
          <a:endParaRPr lang="en-US" sz="1100" kern="1200">
            <a:solidFill>
              <a:sysClr val="windowText" lastClr="000000"/>
            </a:solidFill>
            <a:latin typeface="Times New Roman" panose="02020603050405020304" pitchFamily="18" charset="0"/>
            <a:cs typeface="Times New Roman" panose="02020603050405020304" pitchFamily="18" charset="0"/>
          </a:endParaRPr>
        </a:p>
      </dsp:txBody>
      <dsp:txXfrm>
        <a:off x="3640276" y="1756205"/>
        <a:ext cx="965741" cy="458088"/>
      </dsp:txXfrm>
    </dsp:sp>
    <dsp:sp modelId="{2A1A6E07-526C-4ABC-9BD0-B93E61AA244D}">
      <dsp:nvSpPr>
        <dsp:cNvPr id="0" name=""/>
        <dsp:cNvSpPr/>
      </dsp:nvSpPr>
      <dsp:spPr>
        <a:xfrm>
          <a:off x="2849681" y="2691722"/>
          <a:ext cx="1015305" cy="507652"/>
        </a:xfrm>
        <a:prstGeom prst="roundRect">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Collect Evidence</a:t>
          </a:r>
          <a:endParaRPr lang="en-US" sz="1100" kern="1200">
            <a:solidFill>
              <a:sysClr val="windowText" lastClr="000000"/>
            </a:solidFill>
            <a:latin typeface="Times New Roman" panose="02020603050405020304" pitchFamily="18" charset="0"/>
            <a:cs typeface="Times New Roman" panose="02020603050405020304" pitchFamily="18" charset="0"/>
          </a:endParaRPr>
        </a:p>
      </dsp:txBody>
      <dsp:txXfrm>
        <a:off x="2874463" y="2716504"/>
        <a:ext cx="965741" cy="458088"/>
      </dsp:txXfrm>
    </dsp:sp>
    <dsp:sp modelId="{6F9AD42B-2E62-4E0E-83BB-35CF07EB6666}">
      <dsp:nvSpPr>
        <dsp:cNvPr id="0" name=""/>
        <dsp:cNvSpPr/>
      </dsp:nvSpPr>
      <dsp:spPr>
        <a:xfrm>
          <a:off x="1621412" y="2691722"/>
          <a:ext cx="1015305" cy="507652"/>
        </a:xfrm>
        <a:prstGeom prst="roundRect">
          <a:avLst/>
        </a:prstGeom>
        <a:solidFill>
          <a:schemeClr val="accent5">
            <a:hueOff val="-6622584"/>
            <a:satOff val="26541"/>
            <a:lumOff val="575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Audit</a:t>
          </a:r>
          <a:endParaRPr lang="en-US" sz="1100" kern="1200">
            <a:solidFill>
              <a:sysClr val="windowText" lastClr="000000"/>
            </a:solidFill>
            <a:latin typeface="Times New Roman" panose="02020603050405020304" pitchFamily="18" charset="0"/>
            <a:cs typeface="Times New Roman" panose="02020603050405020304" pitchFamily="18" charset="0"/>
          </a:endParaRPr>
        </a:p>
      </dsp:txBody>
      <dsp:txXfrm>
        <a:off x="1646194" y="2716504"/>
        <a:ext cx="965741" cy="458088"/>
      </dsp:txXfrm>
    </dsp:sp>
    <dsp:sp modelId="{A8634299-3F18-40E1-A62C-CAD974184375}">
      <dsp:nvSpPr>
        <dsp:cNvPr id="0" name=""/>
        <dsp:cNvSpPr/>
      </dsp:nvSpPr>
      <dsp:spPr>
        <a:xfrm>
          <a:off x="855599" y="1731423"/>
          <a:ext cx="1015305" cy="507652"/>
        </a:xfrm>
        <a:prstGeom prst="roundRect">
          <a:avLst/>
        </a:prstGeom>
        <a:solidFill>
          <a:schemeClr val="accent5">
            <a:hueOff val="-8278230"/>
            <a:satOff val="33176"/>
            <a:lumOff val="719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Correct Gaps</a:t>
          </a:r>
          <a:endParaRPr lang="en-US" sz="1100" kern="1200">
            <a:solidFill>
              <a:sysClr val="windowText" lastClr="000000"/>
            </a:solidFill>
            <a:latin typeface="Times New Roman" panose="02020603050405020304" pitchFamily="18" charset="0"/>
            <a:cs typeface="Times New Roman" panose="02020603050405020304" pitchFamily="18" charset="0"/>
          </a:endParaRPr>
        </a:p>
      </dsp:txBody>
      <dsp:txXfrm>
        <a:off x="880381" y="1756205"/>
        <a:ext cx="965741" cy="458088"/>
      </dsp:txXfrm>
    </dsp:sp>
    <dsp:sp modelId="{CC890E24-6303-481B-BE89-9D3302D2F744}">
      <dsp:nvSpPr>
        <dsp:cNvPr id="0" name=""/>
        <dsp:cNvSpPr/>
      </dsp:nvSpPr>
      <dsp:spPr>
        <a:xfrm>
          <a:off x="1128915" y="533950"/>
          <a:ext cx="1015305" cy="507652"/>
        </a:xfrm>
        <a:prstGeom prst="roundRect">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cs typeface="Times New Roman" panose="02020603050405020304" pitchFamily="18" charset="0"/>
            </a:rPr>
            <a:t>Review &amp; Update</a:t>
          </a:r>
          <a:endParaRPr lang="en-US" sz="1100" kern="1200">
            <a:solidFill>
              <a:sysClr val="windowText" lastClr="000000"/>
            </a:solidFill>
            <a:latin typeface="Times New Roman" panose="02020603050405020304" pitchFamily="18" charset="0"/>
            <a:cs typeface="Times New Roman" panose="02020603050405020304" pitchFamily="18" charset="0"/>
          </a:endParaRPr>
        </a:p>
      </dsp:txBody>
      <dsp:txXfrm>
        <a:off x="1153697" y="558732"/>
        <a:ext cx="965741" cy="45808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706F56-11A3-4713-A96F-4665650BF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7421</Words>
  <Characters>42304</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dc:creator>
  <cp:lastModifiedBy>harsh Prajapati</cp:lastModifiedBy>
  <cp:revision>2</cp:revision>
  <dcterms:created xsi:type="dcterms:W3CDTF">2026-08-12T09:59:00Z</dcterms:created>
  <dcterms:modified xsi:type="dcterms:W3CDTF">2026-08-12T09:59:00Z</dcterms:modified>
</cp:coreProperties>
</file>