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02E94" w14:textId="0D2F4873" w:rsidR="3AB9C8E6" w:rsidRDefault="3AB9C8E6" w:rsidP="3AB9C8E6"/>
    <w:p w14:paraId="521C5FA6" w14:textId="662DA091" w:rsidR="05845615" w:rsidRDefault="05845615" w:rsidP="3AB9C8E6">
      <w:pPr>
        <w:spacing w:line="257" w:lineRule="auto"/>
        <w:rPr>
          <w:rFonts w:ascii="Times New Roman" w:eastAsia="Times New Roman" w:hAnsi="Times New Roman" w:cs="Times New Roman"/>
          <w:color w:val="000000" w:themeColor="text1"/>
          <w:sz w:val="48"/>
          <w:szCs w:val="48"/>
        </w:rPr>
      </w:pPr>
      <w:r>
        <w:rPr>
          <w:noProof/>
        </w:rPr>
        <w:drawing>
          <wp:inline distT="0" distB="0" distL="0" distR="0" wp14:anchorId="46B215B0" wp14:editId="4420911D">
            <wp:extent cx="3857625" cy="1809750"/>
            <wp:effectExtent l="0" t="0" r="0" b="0"/>
            <wp:docPr id="405305298" name="Picture 40530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857625" cy="1809750"/>
                    </a:xfrm>
                    <a:prstGeom prst="rect">
                      <a:avLst/>
                    </a:prstGeom>
                  </pic:spPr>
                </pic:pic>
              </a:graphicData>
            </a:graphic>
          </wp:inline>
        </w:drawing>
      </w:r>
      <w:r w:rsidRPr="3AB9C8E6">
        <w:rPr>
          <w:rFonts w:ascii="Times New Roman" w:eastAsia="Times New Roman" w:hAnsi="Times New Roman" w:cs="Times New Roman"/>
          <w:color w:val="000000" w:themeColor="text1"/>
          <w:sz w:val="48"/>
          <w:szCs w:val="48"/>
          <w:lang w:val="en-GB"/>
        </w:rPr>
        <w:t xml:space="preserve"> </w:t>
      </w:r>
    </w:p>
    <w:p w14:paraId="7DBF4CAA" w14:textId="1915440F"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w:t>
      </w:r>
    </w:p>
    <w:p w14:paraId="33F886BB" w14:textId="4A2D7541" w:rsidR="05845615" w:rsidRDefault="05845615" w:rsidP="3AB9C8E6">
      <w:pPr>
        <w:spacing w:line="257" w:lineRule="auto"/>
        <w:jc w:val="center"/>
        <w:rPr>
          <w:rFonts w:ascii="Times New Roman" w:eastAsia="Times New Roman" w:hAnsi="Times New Roman" w:cs="Times New Roman"/>
          <w:color w:val="000000" w:themeColor="text1"/>
          <w:sz w:val="48"/>
          <w:szCs w:val="48"/>
          <w:lang w:val="en-GB"/>
        </w:rPr>
      </w:pPr>
      <w:r w:rsidRPr="3AB9C8E6">
        <w:rPr>
          <w:rFonts w:ascii="Times New Roman" w:eastAsia="Times New Roman" w:hAnsi="Times New Roman" w:cs="Times New Roman"/>
          <w:color w:val="000000" w:themeColor="text1"/>
          <w:sz w:val="48"/>
          <w:szCs w:val="48"/>
          <w:lang w:val="en-GB"/>
        </w:rPr>
        <w:t>LCBB40</w:t>
      </w:r>
      <w:r w:rsidR="66331C2F" w:rsidRPr="3AB9C8E6">
        <w:rPr>
          <w:rFonts w:ascii="Times New Roman" w:eastAsia="Times New Roman" w:hAnsi="Times New Roman" w:cs="Times New Roman"/>
          <w:color w:val="000000" w:themeColor="text1"/>
          <w:sz w:val="48"/>
          <w:szCs w:val="48"/>
          <w:lang w:val="en-GB"/>
        </w:rPr>
        <w:t>10</w:t>
      </w:r>
      <w:r w:rsidRPr="3AB9C8E6">
        <w:rPr>
          <w:rFonts w:ascii="Times New Roman" w:eastAsia="Times New Roman" w:hAnsi="Times New Roman" w:cs="Times New Roman"/>
          <w:color w:val="000000" w:themeColor="text1"/>
          <w:sz w:val="48"/>
          <w:szCs w:val="48"/>
          <w:lang w:val="en-GB"/>
        </w:rPr>
        <w:t>_LON-</w:t>
      </w:r>
      <w:r w:rsidR="29DB140E" w:rsidRPr="3AB9C8E6">
        <w:rPr>
          <w:rFonts w:ascii="Times New Roman" w:eastAsia="Times New Roman" w:hAnsi="Times New Roman" w:cs="Times New Roman"/>
          <w:color w:val="000000" w:themeColor="text1"/>
          <w:sz w:val="48"/>
          <w:szCs w:val="48"/>
          <w:lang w:val="en-GB"/>
        </w:rPr>
        <w:t xml:space="preserve">Global Business </w:t>
      </w:r>
      <w:proofErr w:type="spellStart"/>
      <w:r w:rsidR="29DB140E" w:rsidRPr="3AB9C8E6">
        <w:rPr>
          <w:rFonts w:ascii="Times New Roman" w:eastAsia="Times New Roman" w:hAnsi="Times New Roman" w:cs="Times New Roman"/>
          <w:color w:val="000000" w:themeColor="text1"/>
          <w:sz w:val="48"/>
          <w:szCs w:val="48"/>
          <w:lang w:val="en-GB"/>
        </w:rPr>
        <w:t>Environement</w:t>
      </w:r>
      <w:proofErr w:type="spellEnd"/>
    </w:p>
    <w:p w14:paraId="2015477B" w14:textId="7DAA3426" w:rsidR="3AB9C8E6" w:rsidRDefault="3AB9C8E6" w:rsidP="3AB9C8E6">
      <w:pPr>
        <w:spacing w:line="257" w:lineRule="auto"/>
        <w:rPr>
          <w:rFonts w:ascii="Times New Roman" w:eastAsia="Times New Roman" w:hAnsi="Times New Roman" w:cs="Times New Roman"/>
          <w:color w:val="000000" w:themeColor="text1"/>
          <w:sz w:val="48"/>
          <w:szCs w:val="48"/>
        </w:rPr>
      </w:pPr>
    </w:p>
    <w:p w14:paraId="0E0B604C" w14:textId="285B201E"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Component 1</w:t>
      </w:r>
    </w:p>
    <w:p w14:paraId="3FF18A9E" w14:textId="50B7A5B6"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Essay: </w:t>
      </w:r>
      <w:r w:rsidR="34B5EAD1" w:rsidRPr="3AB9C8E6">
        <w:rPr>
          <w:rFonts w:ascii="Times New Roman" w:eastAsia="Times New Roman" w:hAnsi="Times New Roman" w:cs="Times New Roman"/>
          <w:sz w:val="48"/>
          <w:szCs w:val="48"/>
          <w:lang w:val="en-GB"/>
        </w:rPr>
        <w:t>The Impact of PESTLE Factors on Business Strategies</w:t>
      </w:r>
      <w:r w:rsidRPr="3AB9C8E6">
        <w:rPr>
          <w:rFonts w:ascii="Times New Roman" w:eastAsia="Times New Roman" w:hAnsi="Times New Roman" w:cs="Times New Roman"/>
          <w:color w:val="000000" w:themeColor="text1"/>
          <w:sz w:val="48"/>
          <w:szCs w:val="48"/>
          <w:lang w:val="en-GB"/>
        </w:rPr>
        <w:t xml:space="preserve"> </w:t>
      </w:r>
    </w:p>
    <w:p w14:paraId="4F55A9D4" w14:textId="3566CB56"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w:t>
      </w:r>
    </w:p>
    <w:p w14:paraId="38B2A3BE" w14:textId="1990791B"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w:t>
      </w:r>
    </w:p>
    <w:p w14:paraId="16DB8348" w14:textId="24EB1E56"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w:t>
      </w:r>
    </w:p>
    <w:p w14:paraId="534AF3D5" w14:textId="02F49EF4" w:rsidR="05845615" w:rsidRDefault="05845615" w:rsidP="3AB9C8E6">
      <w:pPr>
        <w:spacing w:line="257" w:lineRule="auto"/>
        <w:jc w:val="center"/>
        <w:rPr>
          <w:rFonts w:ascii="Times New Roman" w:eastAsia="Times New Roman" w:hAnsi="Times New Roman" w:cs="Times New Roman"/>
          <w:color w:val="000000" w:themeColor="text1"/>
          <w:sz w:val="48"/>
          <w:szCs w:val="48"/>
        </w:rPr>
      </w:pPr>
      <w:r w:rsidRPr="3AB9C8E6">
        <w:rPr>
          <w:rFonts w:ascii="Times New Roman" w:eastAsia="Times New Roman" w:hAnsi="Times New Roman" w:cs="Times New Roman"/>
          <w:color w:val="000000" w:themeColor="text1"/>
          <w:sz w:val="48"/>
          <w:szCs w:val="48"/>
          <w:lang w:val="en-GB"/>
        </w:rPr>
        <w:t xml:space="preserve"> </w:t>
      </w:r>
      <w:r w:rsidRPr="3AB9C8E6">
        <w:rPr>
          <w:rFonts w:ascii="Times New Roman" w:eastAsia="Times New Roman" w:hAnsi="Times New Roman" w:cs="Times New Roman"/>
          <w:b/>
          <w:bCs/>
          <w:color w:val="000000" w:themeColor="text1"/>
          <w:sz w:val="48"/>
          <w:szCs w:val="48"/>
          <w:lang w:val="en-GB"/>
        </w:rPr>
        <w:t xml:space="preserve"> </w:t>
      </w:r>
    </w:p>
    <w:p w14:paraId="4D9D231D" w14:textId="27CB12FD" w:rsidR="05845615" w:rsidRDefault="05845615" w:rsidP="3AB9C8E6">
      <w:pPr>
        <w:spacing w:line="257" w:lineRule="auto"/>
        <w:jc w:val="center"/>
        <w:rPr>
          <w:rFonts w:ascii="Times New Roman" w:eastAsia="Times New Roman" w:hAnsi="Times New Roman" w:cs="Times New Roman"/>
          <w:color w:val="000000" w:themeColor="text1"/>
          <w:sz w:val="28"/>
          <w:szCs w:val="28"/>
        </w:rPr>
      </w:pPr>
      <w:r w:rsidRPr="3AB9C8E6">
        <w:rPr>
          <w:rFonts w:ascii="Times New Roman" w:eastAsia="Times New Roman" w:hAnsi="Times New Roman" w:cs="Times New Roman"/>
          <w:b/>
          <w:bCs/>
          <w:color w:val="000000" w:themeColor="text1"/>
          <w:sz w:val="28"/>
          <w:szCs w:val="28"/>
          <w:lang w:val="en-GB"/>
        </w:rPr>
        <w:t xml:space="preserve">STUDENT NAME: Cecile ABUZOUR </w:t>
      </w:r>
    </w:p>
    <w:p w14:paraId="4C94607E" w14:textId="4C53D2B7" w:rsidR="05845615" w:rsidRDefault="05845615" w:rsidP="3AB9C8E6">
      <w:pPr>
        <w:spacing w:line="257" w:lineRule="auto"/>
        <w:jc w:val="center"/>
        <w:rPr>
          <w:rFonts w:ascii="Times New Roman" w:eastAsia="Times New Roman" w:hAnsi="Times New Roman" w:cs="Times New Roman"/>
          <w:color w:val="000000" w:themeColor="text1"/>
          <w:sz w:val="28"/>
          <w:szCs w:val="28"/>
        </w:rPr>
      </w:pPr>
      <w:r w:rsidRPr="3AB9C8E6">
        <w:rPr>
          <w:rFonts w:ascii="Times New Roman" w:eastAsia="Times New Roman" w:hAnsi="Times New Roman" w:cs="Times New Roman"/>
          <w:b/>
          <w:bCs/>
          <w:color w:val="000000" w:themeColor="text1"/>
          <w:sz w:val="28"/>
          <w:szCs w:val="28"/>
          <w:lang w:val="en-GB"/>
        </w:rPr>
        <w:t>STUDENT ID: 2218610</w:t>
      </w:r>
    </w:p>
    <w:p w14:paraId="6640853F" w14:textId="0050BB92" w:rsidR="3AB9C8E6" w:rsidRDefault="05845615" w:rsidP="7F97150C">
      <w:pPr>
        <w:spacing w:line="257" w:lineRule="auto"/>
        <w:jc w:val="center"/>
        <w:rPr>
          <w:rFonts w:ascii="Times New Roman" w:eastAsia="Times New Roman" w:hAnsi="Times New Roman" w:cs="Times New Roman"/>
          <w:b/>
          <w:bCs/>
          <w:color w:val="000000" w:themeColor="text1"/>
          <w:sz w:val="28"/>
          <w:szCs w:val="28"/>
          <w:lang w:val="en-GB"/>
        </w:rPr>
      </w:pPr>
      <w:r w:rsidRPr="7F97150C">
        <w:rPr>
          <w:rFonts w:ascii="Times New Roman" w:eastAsia="Times New Roman" w:hAnsi="Times New Roman" w:cs="Times New Roman"/>
          <w:b/>
          <w:bCs/>
          <w:color w:val="000000" w:themeColor="text1"/>
          <w:sz w:val="28"/>
          <w:szCs w:val="28"/>
          <w:lang w:val="en-GB"/>
        </w:rPr>
        <w:t xml:space="preserve">LECTURER: </w:t>
      </w:r>
      <w:r w:rsidR="14DA4FED" w:rsidRPr="7F97150C">
        <w:rPr>
          <w:rFonts w:ascii="Times New Roman" w:eastAsia="Times New Roman" w:hAnsi="Times New Roman" w:cs="Times New Roman"/>
          <w:b/>
          <w:bCs/>
          <w:color w:val="000000" w:themeColor="text1"/>
          <w:sz w:val="28"/>
          <w:szCs w:val="28"/>
          <w:lang w:val="en-GB"/>
        </w:rPr>
        <w:t>Dr Zainab Atta</w:t>
      </w:r>
    </w:p>
    <w:sdt>
      <w:sdtPr>
        <w:id w:val="1930291918"/>
        <w:docPartObj>
          <w:docPartGallery w:val="Table of Contents"/>
          <w:docPartUnique/>
        </w:docPartObj>
      </w:sdtPr>
      <w:sdtContent>
        <w:p w14:paraId="173EA6F9" w14:textId="3B95A546" w:rsidR="3AB9C8E6" w:rsidRDefault="3AB9C8E6" w:rsidP="3AB9C8E6">
          <w:pPr>
            <w:pStyle w:val="TOC1"/>
            <w:tabs>
              <w:tab w:val="right" w:leader="dot" w:pos="9360"/>
            </w:tabs>
            <w:rPr>
              <w:rStyle w:val="Hyperlink"/>
            </w:rPr>
          </w:pPr>
          <w:r>
            <w:fldChar w:fldCharType="begin"/>
          </w:r>
          <w:r>
            <w:instrText>TOC \o \z \u \h</w:instrText>
          </w:r>
          <w:r>
            <w:fldChar w:fldCharType="separate"/>
          </w:r>
          <w:hyperlink w:anchor="_Toc1205670881">
            <w:r w:rsidRPr="3AB9C8E6">
              <w:rPr>
                <w:rStyle w:val="Hyperlink"/>
              </w:rPr>
              <w:t>Introduction</w:t>
            </w:r>
            <w:r>
              <w:tab/>
            </w:r>
            <w:r>
              <w:fldChar w:fldCharType="begin"/>
            </w:r>
            <w:r>
              <w:instrText>PAGEREF _Toc1205670881 \h</w:instrText>
            </w:r>
            <w:r>
              <w:fldChar w:fldCharType="separate"/>
            </w:r>
            <w:r w:rsidRPr="3AB9C8E6">
              <w:rPr>
                <w:rStyle w:val="Hyperlink"/>
              </w:rPr>
              <w:t>2</w:t>
            </w:r>
            <w:r>
              <w:fldChar w:fldCharType="end"/>
            </w:r>
          </w:hyperlink>
        </w:p>
        <w:p w14:paraId="39DF59A3" w14:textId="470CC93E" w:rsidR="3AB9C8E6" w:rsidRDefault="00000000" w:rsidP="3AB9C8E6">
          <w:pPr>
            <w:pStyle w:val="TOC1"/>
            <w:tabs>
              <w:tab w:val="right" w:leader="dot" w:pos="9360"/>
            </w:tabs>
            <w:rPr>
              <w:rStyle w:val="Hyperlink"/>
            </w:rPr>
          </w:pPr>
          <w:hyperlink w:anchor="_Toc839198912">
            <w:r w:rsidR="3AB9C8E6" w:rsidRPr="3AB9C8E6">
              <w:rPr>
                <w:rStyle w:val="Hyperlink"/>
              </w:rPr>
              <w:t>Conclusion</w:t>
            </w:r>
            <w:r w:rsidR="3AB9C8E6">
              <w:tab/>
            </w:r>
            <w:r w:rsidR="3AB9C8E6">
              <w:fldChar w:fldCharType="begin"/>
            </w:r>
            <w:r w:rsidR="3AB9C8E6">
              <w:instrText>PAGEREF _Toc839198912 \h</w:instrText>
            </w:r>
            <w:r w:rsidR="3AB9C8E6">
              <w:fldChar w:fldCharType="separate"/>
            </w:r>
            <w:r w:rsidR="3AB9C8E6" w:rsidRPr="3AB9C8E6">
              <w:rPr>
                <w:rStyle w:val="Hyperlink"/>
              </w:rPr>
              <w:t>5</w:t>
            </w:r>
            <w:r w:rsidR="3AB9C8E6">
              <w:fldChar w:fldCharType="end"/>
            </w:r>
          </w:hyperlink>
        </w:p>
        <w:p w14:paraId="2A0FCEAF" w14:textId="14147CED" w:rsidR="3AB9C8E6" w:rsidRDefault="00000000" w:rsidP="3AB9C8E6">
          <w:pPr>
            <w:pStyle w:val="TOC1"/>
            <w:tabs>
              <w:tab w:val="right" w:leader="dot" w:pos="9360"/>
            </w:tabs>
            <w:rPr>
              <w:rStyle w:val="Hyperlink"/>
            </w:rPr>
          </w:pPr>
          <w:hyperlink w:anchor="_Toc603004591">
            <w:r w:rsidR="3AB9C8E6" w:rsidRPr="3AB9C8E6">
              <w:rPr>
                <w:rStyle w:val="Hyperlink"/>
              </w:rPr>
              <w:t>Reference</w:t>
            </w:r>
            <w:r w:rsidR="3AB9C8E6">
              <w:tab/>
            </w:r>
            <w:r w:rsidR="3AB9C8E6">
              <w:fldChar w:fldCharType="begin"/>
            </w:r>
            <w:r w:rsidR="3AB9C8E6">
              <w:instrText>PAGEREF _Toc603004591 \h</w:instrText>
            </w:r>
            <w:r w:rsidR="3AB9C8E6">
              <w:fldChar w:fldCharType="separate"/>
            </w:r>
            <w:r w:rsidR="3AB9C8E6" w:rsidRPr="3AB9C8E6">
              <w:rPr>
                <w:rStyle w:val="Hyperlink"/>
              </w:rPr>
              <w:t>6</w:t>
            </w:r>
            <w:r w:rsidR="3AB9C8E6">
              <w:fldChar w:fldCharType="end"/>
            </w:r>
          </w:hyperlink>
          <w:r w:rsidR="3AB9C8E6">
            <w:fldChar w:fldCharType="end"/>
          </w:r>
        </w:p>
      </w:sdtContent>
    </w:sdt>
    <w:p w14:paraId="245EF3FE" w14:textId="7D5E7C59" w:rsidR="3AB9C8E6" w:rsidRDefault="3AB9C8E6" w:rsidP="3AB9C8E6"/>
    <w:p w14:paraId="3DC8788F" w14:textId="10531614" w:rsidR="7F97150C" w:rsidRDefault="7F97150C" w:rsidP="7F97150C"/>
    <w:p w14:paraId="496D29EC" w14:textId="29A8D44C" w:rsidR="7F97150C" w:rsidRDefault="7F97150C" w:rsidP="7F97150C"/>
    <w:p w14:paraId="1585A412" w14:textId="535FD69E" w:rsidR="7F97150C" w:rsidRDefault="7F97150C" w:rsidP="7F97150C"/>
    <w:p w14:paraId="2F44E4D9" w14:textId="2458D84C" w:rsidR="7F97150C" w:rsidRDefault="7F97150C" w:rsidP="7F97150C"/>
    <w:p w14:paraId="641A5E3F" w14:textId="6CFD2652" w:rsidR="7F97150C" w:rsidRDefault="7F97150C" w:rsidP="7F97150C"/>
    <w:p w14:paraId="459AB09B" w14:textId="34A25DE0" w:rsidR="7F97150C" w:rsidRDefault="7F97150C" w:rsidP="7F97150C"/>
    <w:p w14:paraId="7C9C0529" w14:textId="7DD9ACFC" w:rsidR="7F97150C" w:rsidRDefault="7F97150C" w:rsidP="7F97150C"/>
    <w:p w14:paraId="6083449B" w14:textId="6BE61714" w:rsidR="7F97150C" w:rsidRDefault="7F97150C" w:rsidP="7F97150C"/>
    <w:p w14:paraId="62FF969C" w14:textId="07D2A689" w:rsidR="7F97150C" w:rsidRDefault="7F97150C" w:rsidP="7F97150C"/>
    <w:p w14:paraId="4A170D03" w14:textId="2FE9ACAA" w:rsidR="7F97150C" w:rsidRDefault="7F97150C" w:rsidP="7F97150C"/>
    <w:p w14:paraId="3D99EBFE" w14:textId="4E16854D" w:rsidR="7F97150C" w:rsidRDefault="7F97150C" w:rsidP="7F97150C"/>
    <w:p w14:paraId="59318FFC" w14:textId="70CA09F5" w:rsidR="7F97150C" w:rsidRDefault="7F97150C" w:rsidP="7F97150C"/>
    <w:p w14:paraId="25E6F7C4" w14:textId="5E599E50" w:rsidR="7F97150C" w:rsidRDefault="7F97150C" w:rsidP="7F97150C"/>
    <w:p w14:paraId="456790B9" w14:textId="64ACCBA1" w:rsidR="7F97150C" w:rsidRDefault="7F97150C" w:rsidP="7F97150C"/>
    <w:p w14:paraId="2519DE4D" w14:textId="7A7ED6CD" w:rsidR="7F97150C" w:rsidRDefault="7F97150C" w:rsidP="7F97150C"/>
    <w:p w14:paraId="701B6981" w14:textId="7879DE98" w:rsidR="7F97150C" w:rsidRDefault="7F97150C" w:rsidP="7F97150C"/>
    <w:p w14:paraId="1F482CA1" w14:textId="0BA8443B" w:rsidR="7F97150C" w:rsidRDefault="7F97150C" w:rsidP="7F97150C"/>
    <w:p w14:paraId="1D358E10" w14:textId="3398BCF4" w:rsidR="7F97150C" w:rsidRDefault="7F97150C" w:rsidP="7F97150C"/>
    <w:p w14:paraId="4B022B32" w14:textId="513B0D04" w:rsidR="7F97150C" w:rsidRDefault="7F97150C" w:rsidP="7F97150C"/>
    <w:p w14:paraId="5426AE08" w14:textId="3E65D257" w:rsidR="7F97150C" w:rsidRDefault="7F97150C" w:rsidP="7F97150C"/>
    <w:p w14:paraId="6FA2B9CC" w14:textId="746274D4" w:rsidR="7F97150C" w:rsidRDefault="7F97150C" w:rsidP="7F97150C"/>
    <w:p w14:paraId="72DD27B6" w14:textId="64342A39" w:rsidR="23929195" w:rsidRDefault="23929195" w:rsidP="3AB9C8E6">
      <w:pPr>
        <w:pStyle w:val="Heading1"/>
        <w:rPr>
          <w:rFonts w:ascii="Calibri" w:eastAsia="Calibri" w:hAnsi="Calibri" w:cs="Calibri"/>
          <w:sz w:val="28"/>
          <w:szCs w:val="28"/>
        </w:rPr>
      </w:pPr>
      <w:bookmarkStart w:id="0" w:name="_Toc1734485824"/>
      <w:bookmarkStart w:id="1" w:name="_Toc1205670881"/>
      <w:r w:rsidRPr="3AB9C8E6">
        <w:lastRenderedPageBreak/>
        <w:t>Introduction</w:t>
      </w:r>
      <w:bookmarkEnd w:id="0"/>
      <w:bookmarkEnd w:id="1"/>
      <w:r w:rsidRPr="3AB9C8E6">
        <w:t xml:space="preserve"> </w:t>
      </w:r>
    </w:p>
    <w:p w14:paraId="773E51E8" w14:textId="7D7F7F99" w:rsidR="23929195" w:rsidRPr="002D2636" w:rsidRDefault="23929195" w:rsidP="3AB9C8E6">
      <w:pPr>
        <w:spacing w:before="240" w:after="240"/>
        <w:rPr>
          <w:rFonts w:ascii="Calibri" w:eastAsia="Calibri" w:hAnsi="Calibri" w:cs="Calibri"/>
          <w:lang w:val="en-GB"/>
        </w:rPr>
      </w:pPr>
      <w:r w:rsidRPr="3AB9C8E6">
        <w:rPr>
          <w:rFonts w:ascii="Calibri" w:eastAsia="Calibri" w:hAnsi="Calibri" w:cs="Calibri"/>
        </w:rPr>
        <w:t xml:space="preserve">The PESTLE framework—political, economic, social, technological, legal, and environmental factors—is a vital tool for </w:t>
      </w:r>
      <w:proofErr w:type="spellStart"/>
      <w:r w:rsidRPr="3AB9C8E6">
        <w:rPr>
          <w:rFonts w:ascii="Calibri" w:eastAsia="Calibri" w:hAnsi="Calibri" w:cs="Calibri"/>
        </w:rPr>
        <w:t>analysing</w:t>
      </w:r>
      <w:proofErr w:type="spellEnd"/>
      <w:r w:rsidRPr="3AB9C8E6">
        <w:rPr>
          <w:rFonts w:ascii="Calibri" w:eastAsia="Calibri" w:hAnsi="Calibri" w:cs="Calibri"/>
        </w:rPr>
        <w:t xml:space="preserve"> the external macro-environment that influences business operations and strategic decisions. Understanding these factors is crucial for businesses as they shape opportunities and threats, ultimately affecting long-term success and sustainability (</w:t>
      </w:r>
      <w:r w:rsidR="002D2636" w:rsidRPr="002D2636">
        <w:rPr>
          <w:rFonts w:ascii="Calibri" w:eastAsia="Calibri" w:hAnsi="Calibri" w:cs="Calibri"/>
          <w:lang w:val="en-GB"/>
        </w:rPr>
        <w:t>Worthington and Britton, 2018</w:t>
      </w:r>
      <w:r w:rsidRPr="3AB9C8E6">
        <w:rPr>
          <w:rFonts w:ascii="Calibri" w:eastAsia="Calibri" w:hAnsi="Calibri" w:cs="Calibri"/>
        </w:rPr>
        <w:t xml:space="preserve">). In today’s </w:t>
      </w:r>
      <w:proofErr w:type="spellStart"/>
      <w:r w:rsidRPr="3AB9C8E6">
        <w:rPr>
          <w:rFonts w:ascii="Calibri" w:eastAsia="Calibri" w:hAnsi="Calibri" w:cs="Calibri"/>
        </w:rPr>
        <w:t>globalised</w:t>
      </w:r>
      <w:proofErr w:type="spellEnd"/>
      <w:r w:rsidRPr="3AB9C8E6">
        <w:rPr>
          <w:rFonts w:ascii="Calibri" w:eastAsia="Calibri" w:hAnsi="Calibri" w:cs="Calibri"/>
        </w:rPr>
        <w:t xml:space="preserve"> economy, the ability to anticipate and adapt to external changes is key to gaining a competitive edge. This essay critically examines the long-term impacts of each PESTLE component on business strategies, exploring both the benefits and potential risks through real-world examples and recent academic literature.</w:t>
      </w:r>
    </w:p>
    <w:p w14:paraId="0B816385" w14:textId="0A195DDB" w:rsidR="3AB9C8E6" w:rsidRDefault="3AB9C8E6" w:rsidP="3AB9C8E6">
      <w:pPr>
        <w:spacing w:before="240" w:after="240"/>
        <w:rPr>
          <w:rFonts w:ascii="Calibri" w:eastAsia="Calibri" w:hAnsi="Calibri" w:cs="Calibri"/>
        </w:rPr>
      </w:pPr>
    </w:p>
    <w:p w14:paraId="124662D2" w14:textId="34676AB4"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Government policies, political stability, and trade regulations have significant long-term implications for business strategies. The uncertainty created by political changes, such as Brexit, highlights how businesses must remain agile to adapt to new regulatory environments (Dhingra et al., 2016). For example, Nissan’s decision to downscale its UK operations reflects its immediate response to the political risks posed by Brexit (Bailey and De </w:t>
      </w:r>
      <w:proofErr w:type="spellStart"/>
      <w:r w:rsidRPr="3AB9C8E6">
        <w:rPr>
          <w:rFonts w:ascii="Calibri" w:eastAsia="Calibri" w:hAnsi="Calibri" w:cs="Calibri"/>
        </w:rPr>
        <w:t>Propris</w:t>
      </w:r>
      <w:proofErr w:type="spellEnd"/>
      <w:r w:rsidRPr="3AB9C8E6">
        <w:rPr>
          <w:rFonts w:ascii="Calibri" w:eastAsia="Calibri" w:hAnsi="Calibri" w:cs="Calibri"/>
        </w:rPr>
        <w:t xml:space="preserve">, 2017). However, this reactionary approach may limit Nissan’s ability to </w:t>
      </w:r>
      <w:proofErr w:type="spellStart"/>
      <w:r w:rsidRPr="3AB9C8E6">
        <w:rPr>
          <w:rFonts w:ascii="Calibri" w:eastAsia="Calibri" w:hAnsi="Calibri" w:cs="Calibri"/>
        </w:rPr>
        <w:t>capitalise</w:t>
      </w:r>
      <w:proofErr w:type="spellEnd"/>
      <w:r w:rsidRPr="3AB9C8E6">
        <w:rPr>
          <w:rFonts w:ascii="Calibri" w:eastAsia="Calibri" w:hAnsi="Calibri" w:cs="Calibri"/>
        </w:rPr>
        <w:t xml:space="preserve"> on emerging opportunities in the UK market, suggesting that overly conservative strategies could result in missed opportunities. In contrast, Jaguar Land Rover’s investment in electric vehicles aligned with the UK government’s green economy agenda, leveraging political trends to benefit from incentives and growing demand for sustainable transport (Bailey and De </w:t>
      </w:r>
      <w:proofErr w:type="spellStart"/>
      <w:r w:rsidRPr="3AB9C8E6">
        <w:rPr>
          <w:rFonts w:ascii="Calibri" w:eastAsia="Calibri" w:hAnsi="Calibri" w:cs="Calibri"/>
        </w:rPr>
        <w:t>Propris</w:t>
      </w:r>
      <w:proofErr w:type="spellEnd"/>
      <w:r w:rsidRPr="3AB9C8E6">
        <w:rPr>
          <w:rFonts w:ascii="Calibri" w:eastAsia="Calibri" w:hAnsi="Calibri" w:cs="Calibri"/>
        </w:rPr>
        <w:t>, 2017). Nevertheless, the risks associated with over-reliance on government incentives are significant, as policy shifts could render these investments obsolete, leaving businesses vulnerable. Furthermore, while political stability and policy predictability are crucial for strategic planning (</w:t>
      </w:r>
      <w:proofErr w:type="spellStart"/>
      <w:r w:rsidRPr="3AB9C8E6">
        <w:rPr>
          <w:rFonts w:ascii="Calibri" w:eastAsia="Calibri" w:hAnsi="Calibri" w:cs="Calibri"/>
        </w:rPr>
        <w:t>Dwikat</w:t>
      </w:r>
      <w:proofErr w:type="spellEnd"/>
      <w:r w:rsidRPr="3AB9C8E6">
        <w:rPr>
          <w:rFonts w:ascii="Calibri" w:eastAsia="Calibri" w:hAnsi="Calibri" w:cs="Calibri"/>
        </w:rPr>
        <w:t xml:space="preserve"> et al., 2022), the ethical challenges and reputational risks associated with lobbying efforts pose a dilemma. Businesses that actively engage in influencing regulatory changes may gain a competitive advantage, but at the cost of public trust, particularly if their actions are perceived as self-serving or contrary to the public interest (Schaffer et al., 2020; Veksler, 2015). This highlights the significance of ethical considerations in political involvement, necessitating a balance between the long-term advantages and the potential harm to one's reputation.</w:t>
      </w:r>
    </w:p>
    <w:p w14:paraId="65F4397E" w14:textId="1CFCB0F8"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Economic factors, including inflation, interest rates, and economic growth, significantly influence long-term business strategies. The 2008 financial crisis illustrated how economic downturns can reshape industries, as seen with the collapse of Woolworths in the UK due to reduced consumer spending and tightened credit (Braithwaite and Eaglesham, 2008). In contrast, Walmart’s focus on cost leadership allowed it to thrive during the recession, </w:t>
      </w:r>
      <w:r w:rsidRPr="3AB9C8E6">
        <w:rPr>
          <w:rFonts w:ascii="Calibri" w:eastAsia="Calibri" w:hAnsi="Calibri" w:cs="Calibri"/>
        </w:rPr>
        <w:lastRenderedPageBreak/>
        <w:t xml:space="preserve">demonstrating the importance of adaptability in adverse economic conditions (Wheaton, 2009). However, while cost leadership can safeguard businesses during downturns, it may also lead to a "race to the bottom" where quality and innovation are sacrificed for short-term survival. This can have long-term consequences for brand equity and customer loyalty. Moreover, the growth of discount retailers Aldi and Lidl during the financial crisis underscores the importance of aligning business strategies with broader economic trends (Steenkamp and Sloot, 2020). Yet, this approach is not without risk; as the economy recovers, consumers may shift back to premium brands, leaving discount retailers vulnerable to market fluctuations. Recent research </w:t>
      </w:r>
      <w:proofErr w:type="spellStart"/>
      <w:r w:rsidRPr="3AB9C8E6">
        <w:rPr>
          <w:rFonts w:ascii="Calibri" w:eastAsia="Calibri" w:hAnsi="Calibri" w:cs="Calibri"/>
        </w:rPr>
        <w:t>emphasises</w:t>
      </w:r>
      <w:proofErr w:type="spellEnd"/>
      <w:r w:rsidRPr="3AB9C8E6">
        <w:rPr>
          <w:rFonts w:ascii="Calibri" w:eastAsia="Calibri" w:hAnsi="Calibri" w:cs="Calibri"/>
        </w:rPr>
        <w:t xml:space="preserve"> the need for strategic flexibility in managing economic uncertainty, particularly through diversification in international markets (</w:t>
      </w:r>
      <w:proofErr w:type="spellStart"/>
      <w:r w:rsidRPr="3AB9C8E6">
        <w:rPr>
          <w:rFonts w:ascii="Calibri" w:eastAsia="Calibri" w:hAnsi="Calibri" w:cs="Calibri"/>
        </w:rPr>
        <w:t>Brouthers</w:t>
      </w:r>
      <w:proofErr w:type="spellEnd"/>
      <w:r w:rsidRPr="3AB9C8E6">
        <w:rPr>
          <w:rFonts w:ascii="Calibri" w:eastAsia="Calibri" w:hAnsi="Calibri" w:cs="Calibri"/>
        </w:rPr>
        <w:t xml:space="preserve"> et al., 2016). While diversification can mitigate economic risks, it also introduces complexities related to managing operations across diverse regulatory and cultural environments. Thus, businesses must balance the benefits of diversification against the challenges of maintaining coherence and control across different markets.</w:t>
      </w:r>
    </w:p>
    <w:p w14:paraId="01284309" w14:textId="47411323"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Social factors, including demographic shifts, cultural trends, and changing consumer </w:t>
      </w:r>
      <w:proofErr w:type="spellStart"/>
      <w:r w:rsidRPr="3AB9C8E6">
        <w:rPr>
          <w:rFonts w:ascii="Calibri" w:eastAsia="Calibri" w:hAnsi="Calibri" w:cs="Calibri"/>
        </w:rPr>
        <w:t>behaviours</w:t>
      </w:r>
      <w:proofErr w:type="spellEnd"/>
      <w:r w:rsidRPr="3AB9C8E6">
        <w:rPr>
          <w:rFonts w:ascii="Calibri" w:eastAsia="Calibri" w:hAnsi="Calibri" w:cs="Calibri"/>
        </w:rPr>
        <w:t>, have profound implications for business strategies. Unilever’s focus on sustainability in response to growing consumer demand for environmentally friendly products reflects a broader societal shift towards corporate responsibility (Kotler and Lee, 2008). However, while this strategy aligns with current consumer preferences, it also raises questions about the authenticity of corporate sustainability initiatives. There is a risk of "greenwashing," where companies make superficial environmental claims to appeal to consumers without making substantive changes. Nike’s support for the Black Lives Matter movement illustrates the potential risks and rewards of engaging with social issues (</w:t>
      </w:r>
      <w:proofErr w:type="spellStart"/>
      <w:r w:rsidRPr="3AB9C8E6">
        <w:rPr>
          <w:rFonts w:ascii="Calibri" w:eastAsia="Calibri" w:hAnsi="Calibri" w:cs="Calibri"/>
        </w:rPr>
        <w:t>Mwencha</w:t>
      </w:r>
      <w:proofErr w:type="spellEnd"/>
      <w:r w:rsidRPr="3AB9C8E6">
        <w:rPr>
          <w:rFonts w:ascii="Calibri" w:eastAsia="Calibri" w:hAnsi="Calibri" w:cs="Calibri"/>
        </w:rPr>
        <w:t xml:space="preserve"> and Njuguna, 2023). While such engagement can enhance brand loyalty among certain consumer segments, it can also alienate others, leading to backlash and potential revenue losses. Moreover, aligning social engagement with core brand values is crucial to ensuring authenticity and mitigating these risks (He and Harris, 2020). However, this approach can be challenging, as it requires businesses to navigate complex and often </w:t>
      </w:r>
      <w:proofErr w:type="spellStart"/>
      <w:r w:rsidRPr="3AB9C8E6">
        <w:rPr>
          <w:rFonts w:ascii="Calibri" w:eastAsia="Calibri" w:hAnsi="Calibri" w:cs="Calibri"/>
        </w:rPr>
        <w:t>polarising</w:t>
      </w:r>
      <w:proofErr w:type="spellEnd"/>
      <w:r w:rsidRPr="3AB9C8E6">
        <w:rPr>
          <w:rFonts w:ascii="Calibri" w:eastAsia="Calibri" w:hAnsi="Calibri" w:cs="Calibri"/>
        </w:rPr>
        <w:t xml:space="preserve"> social issues while maintaining a consistent brand identity. The long-term success of socially engaged strategies depends not only on their alignment with consumer values but also on the company’s ability to weather the potential fallout from taking a stand on controversial issues.</w:t>
      </w:r>
    </w:p>
    <w:p w14:paraId="1987766F" w14:textId="37F39271"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Technological factors are among the most dynamic and disruptive forces shaping business strategies. The rapid pace of technological innovation creates both opportunities and threats, requiring businesses to continuously adapt. Blockbuster’s downfall, due to technological inertia, allowed Netflix to </w:t>
      </w:r>
      <w:proofErr w:type="spellStart"/>
      <w:r w:rsidRPr="3AB9C8E6">
        <w:rPr>
          <w:rFonts w:ascii="Calibri" w:eastAsia="Calibri" w:hAnsi="Calibri" w:cs="Calibri"/>
        </w:rPr>
        <w:t>revolutionise</w:t>
      </w:r>
      <w:proofErr w:type="spellEnd"/>
      <w:r w:rsidRPr="3AB9C8E6">
        <w:rPr>
          <w:rFonts w:ascii="Calibri" w:eastAsia="Calibri" w:hAnsi="Calibri" w:cs="Calibri"/>
        </w:rPr>
        <w:t xml:space="preserve"> the industry (Christensen, 2013; Tapscott and Williams, 2010). This case highlights the dangers of complacency in the face of technological change as well as </w:t>
      </w:r>
      <w:r w:rsidRPr="3AB9C8E6">
        <w:rPr>
          <w:rFonts w:ascii="Calibri" w:eastAsia="Calibri" w:hAnsi="Calibri" w:cs="Calibri"/>
        </w:rPr>
        <w:lastRenderedPageBreak/>
        <w:t>the importance of foresight in anticipating shifts in consumer behavior. However, businesses that aggressively pursue technological adoption must also consider the risks of overextending themselves. IBM's transformation from a hardware manufacturer to a cloud computing and AI services company demonstrates how a well-executed pivot can lead to sustained growth (Garrido et al., 2020). Yet, such transformations require substantial investment in research and development, which may not be feasible for smaller firms with limited resources. Additionally, while technological adaptability is crucial for maintaining competitive advantage (Barney, 2018), it also raises ethical concerns. The adoption of emerging technologies, particularly in areas like artificial intelligence and data privacy, poses significant legal and reputational risks. Businesses must navigate these risks carefully, balancing innovation with ethical responsibility to avoid potential backlash from consumers and regulators.</w:t>
      </w:r>
    </w:p>
    <w:p w14:paraId="3364865E" w14:textId="254230BA"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Legal factors, including regulations, laws, and compliance requirements, have significant long-term impacts on business strategies. The introduction of the General Data Protection Regulation (GDPR) in 2018 had far-reaching implications for businesses handling consumer data. Companies across Europe were compelled to invest heavily in data protection measures, with non-compliance resulting in substantial fines (Hoofnagle et al., 2019; Blind et al., 2020). While GDPR compliance presents challenges, it also offers opportunities for differentiation, as seen with Apple’s strategic positioning as a leader in data privacy (Kuner et al., 2019). However, the financial burden of compliance can be particularly onerous for small and medium-sized enterprises (SMEs), potentially leading to market consolidation as smaller players struggle to compete. This raises concerns about the unintended consequences of stringent regulations, where the competitive landscape may become less diverse as larger firms dominate. Moreover, legal challenges can present strategic opportunities, as demonstrated by Uber’s lobbying efforts to influence laws governing the gig economy (Munger, 2018). While this approach can yield short-term gains, it also exposes businesses to significant reputational risks and legal battles, as seen in Uber’s ongoing struggles with </w:t>
      </w:r>
      <w:proofErr w:type="spellStart"/>
      <w:r w:rsidRPr="3AB9C8E6">
        <w:rPr>
          <w:rFonts w:ascii="Calibri" w:eastAsia="Calibri" w:hAnsi="Calibri" w:cs="Calibri"/>
        </w:rPr>
        <w:t>labour</w:t>
      </w:r>
      <w:proofErr w:type="spellEnd"/>
      <w:r w:rsidRPr="3AB9C8E6">
        <w:rPr>
          <w:rFonts w:ascii="Calibri" w:eastAsia="Calibri" w:hAnsi="Calibri" w:cs="Calibri"/>
        </w:rPr>
        <w:t xml:space="preserve"> rights issues. The tension between exploiting legal loopholes for competitive advantage and maintaining a positive public image underscores the complex dynamics of legal engagement in business strategy.</w:t>
      </w:r>
    </w:p>
    <w:p w14:paraId="1488C70B" w14:textId="69D76EFD"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Environmental factors are increasingly critical as businesses face growing pressure to adopt sustainable practices. The long-term impacts of environmental regulations and shifting consumer expectations are reshaping industries. Tesla’s focus on electric vehicles (EVs) exemplifies how environmental considerations can drive innovation and create new market opportunities (Kane and Cleghorn, 2018). However, while Tesla’s approach has been successful, it also highlights the risks of relying too heavily on a single technological solution. As battery technology continues to evolve, Tesla may face challenges in maintaining its competitive edge if alternative technologies, such as hydrogen fuel cells, gain traction. Toyota’s diversified </w:t>
      </w:r>
      <w:r w:rsidRPr="3AB9C8E6">
        <w:rPr>
          <w:rFonts w:ascii="Calibri" w:eastAsia="Calibri" w:hAnsi="Calibri" w:cs="Calibri"/>
        </w:rPr>
        <w:lastRenderedPageBreak/>
        <w:t xml:space="preserve">investment in hybrid and hydrogen technology reflects a broader perspective on sustainability, </w:t>
      </w:r>
      <w:proofErr w:type="spellStart"/>
      <w:r w:rsidRPr="3AB9C8E6">
        <w:rPr>
          <w:rFonts w:ascii="Calibri" w:eastAsia="Calibri" w:hAnsi="Calibri" w:cs="Calibri"/>
        </w:rPr>
        <w:t>recognising</w:t>
      </w:r>
      <w:proofErr w:type="spellEnd"/>
      <w:r w:rsidRPr="3AB9C8E6">
        <w:rPr>
          <w:rFonts w:ascii="Calibri" w:eastAsia="Calibri" w:hAnsi="Calibri" w:cs="Calibri"/>
        </w:rPr>
        <w:t xml:space="preserve"> that different markets may require different solutions (</w:t>
      </w:r>
      <w:proofErr w:type="spellStart"/>
      <w:r w:rsidRPr="3AB9C8E6">
        <w:rPr>
          <w:rFonts w:ascii="Calibri" w:eastAsia="Calibri" w:hAnsi="Calibri" w:cs="Calibri"/>
        </w:rPr>
        <w:t>Amasawa</w:t>
      </w:r>
      <w:proofErr w:type="spellEnd"/>
      <w:r w:rsidRPr="3AB9C8E6">
        <w:rPr>
          <w:rFonts w:ascii="Calibri" w:eastAsia="Calibri" w:hAnsi="Calibri" w:cs="Calibri"/>
        </w:rPr>
        <w:t xml:space="preserve"> et al., 2020). This approach mitigates the risks associated with technological dependency and caters to varied consumer preferences. Similarly, IKEA’s commitment to becoming "climate-positive" by 2030 involves significant investments in renewable energy, sustainable sourcing, and circular economy practices (Elg et al., 2021). Unlike Tesla, which focusses primarily on product innovation, IKEA’s strategy encompasses the entire value chain, demonstrating a holistic approach to sustainability. However, the long-term success of such strategies depends on balancing environmental goals with economic viability. While companies that integrate sustainability into their operations are better positioned to meet regulatory requirements and consumer expectations (Sroufe, 2017), the costs and complexities of implementing these initiatives across global supply chains cannot be underestimated. Furthermore, sustainability initiatives may inadvertently create competitive disadvantages if consumers perceive them as driving up prices or limiting product availability.</w:t>
      </w:r>
    </w:p>
    <w:p w14:paraId="1CDE839B" w14:textId="3314E5D5" w:rsidR="3AB9C8E6" w:rsidRDefault="3AB9C8E6" w:rsidP="3AB9C8E6">
      <w:pPr>
        <w:spacing w:before="240" w:after="240"/>
        <w:rPr>
          <w:rFonts w:ascii="Calibri" w:eastAsia="Calibri" w:hAnsi="Calibri" w:cs="Calibri"/>
        </w:rPr>
      </w:pPr>
    </w:p>
    <w:p w14:paraId="1267AE71" w14:textId="4558E666" w:rsidR="60DFE75C" w:rsidRDefault="60DFE75C" w:rsidP="3AB9C8E6">
      <w:pPr>
        <w:pStyle w:val="Heading1"/>
      </w:pPr>
      <w:bookmarkStart w:id="2" w:name="_Toc1535510974"/>
      <w:bookmarkStart w:id="3" w:name="_Toc839198912"/>
      <w:r w:rsidRPr="3AB9C8E6">
        <w:t>Conclusion</w:t>
      </w:r>
      <w:bookmarkEnd w:id="2"/>
      <w:bookmarkEnd w:id="3"/>
    </w:p>
    <w:p w14:paraId="3B6C0736" w14:textId="3F0703F8" w:rsidR="23929195" w:rsidRDefault="23929195" w:rsidP="3AB9C8E6">
      <w:pPr>
        <w:spacing w:before="240" w:after="240"/>
        <w:rPr>
          <w:rFonts w:ascii="Calibri" w:eastAsia="Calibri" w:hAnsi="Calibri" w:cs="Calibri"/>
        </w:rPr>
      </w:pPr>
      <w:r w:rsidRPr="3AB9C8E6">
        <w:rPr>
          <w:rFonts w:ascii="Calibri" w:eastAsia="Calibri" w:hAnsi="Calibri" w:cs="Calibri"/>
        </w:rPr>
        <w:t xml:space="preserve">The PESTLE framework provides a comprehensive lens through which businesses can </w:t>
      </w:r>
      <w:proofErr w:type="spellStart"/>
      <w:r w:rsidRPr="3AB9C8E6">
        <w:rPr>
          <w:rFonts w:ascii="Calibri" w:eastAsia="Calibri" w:hAnsi="Calibri" w:cs="Calibri"/>
        </w:rPr>
        <w:t>analyse</w:t>
      </w:r>
      <w:proofErr w:type="spellEnd"/>
      <w:r w:rsidRPr="3AB9C8E6">
        <w:rPr>
          <w:rFonts w:ascii="Calibri" w:eastAsia="Calibri" w:hAnsi="Calibri" w:cs="Calibri"/>
        </w:rPr>
        <w:t xml:space="preserve"> the external environment and develop robust strategies. Each of the six factors—political, economic, social, technological, legal, and environmental—presents both challenges and opportunities that can have significant long-term impacts on business operations. The examples discussed, from Brexit’s political implications to Tesla’s environmental strategy, demonstrate that successful companies are those that not only adapt to external changes but also proactively shape their strategies to leverage these factors. The long-term success of a business hinges on its ability to anticipate and respond to external influences with flexibility and innovation. While some businesses may excel by </w:t>
      </w:r>
      <w:proofErr w:type="spellStart"/>
      <w:r w:rsidRPr="3AB9C8E6">
        <w:rPr>
          <w:rFonts w:ascii="Calibri" w:eastAsia="Calibri" w:hAnsi="Calibri" w:cs="Calibri"/>
        </w:rPr>
        <w:t>focussing</w:t>
      </w:r>
      <w:proofErr w:type="spellEnd"/>
      <w:r w:rsidRPr="3AB9C8E6">
        <w:rPr>
          <w:rFonts w:ascii="Calibri" w:eastAsia="Calibri" w:hAnsi="Calibri" w:cs="Calibri"/>
        </w:rPr>
        <w:t xml:space="preserve"> on a single factor, such as technology or sustainability, others may benefit from a more diversified approach that addresses multiple PESTLE factors.</w:t>
      </w:r>
    </w:p>
    <w:p w14:paraId="52702695" w14:textId="36831F74" w:rsidR="3AB9C8E6" w:rsidRDefault="3AB9C8E6"/>
    <w:p w14:paraId="3814EF3F" w14:textId="630B691C" w:rsidR="3AB9C8E6" w:rsidRDefault="3AB9C8E6" w:rsidP="3AB9C8E6">
      <w:pPr>
        <w:rPr>
          <w:rFonts w:ascii="Calibri" w:eastAsia="Calibri" w:hAnsi="Calibri" w:cs="Calibri"/>
          <w:b/>
          <w:bCs/>
          <w:sz w:val="28"/>
          <w:szCs w:val="28"/>
        </w:rPr>
      </w:pPr>
    </w:p>
    <w:p w14:paraId="53E1A071" w14:textId="34A0288E" w:rsidR="3AB9C8E6" w:rsidRDefault="3AB9C8E6" w:rsidP="3AB9C8E6">
      <w:pPr>
        <w:rPr>
          <w:rFonts w:ascii="Calibri" w:eastAsia="Calibri" w:hAnsi="Calibri" w:cs="Calibri"/>
          <w:b/>
          <w:bCs/>
          <w:sz w:val="28"/>
          <w:szCs w:val="28"/>
        </w:rPr>
      </w:pPr>
    </w:p>
    <w:p w14:paraId="5D04106C" w14:textId="406B201A" w:rsidR="3AB9C8E6" w:rsidRDefault="3AB9C8E6" w:rsidP="3AB9C8E6">
      <w:pPr>
        <w:rPr>
          <w:rFonts w:ascii="Calibri" w:eastAsia="Calibri" w:hAnsi="Calibri" w:cs="Calibri"/>
          <w:b/>
          <w:bCs/>
          <w:sz w:val="28"/>
          <w:szCs w:val="28"/>
        </w:rPr>
      </w:pPr>
    </w:p>
    <w:p w14:paraId="36593A84" w14:textId="60CBB628" w:rsidR="71668ED2" w:rsidRDefault="71668ED2" w:rsidP="3AB9C8E6">
      <w:pPr>
        <w:pStyle w:val="Heading1"/>
        <w:rPr>
          <w:rFonts w:ascii="Calibri" w:eastAsia="Calibri" w:hAnsi="Calibri" w:cs="Calibri"/>
          <w:b/>
          <w:bCs/>
          <w:sz w:val="28"/>
          <w:szCs w:val="28"/>
        </w:rPr>
      </w:pPr>
      <w:bookmarkStart w:id="4" w:name="_Toc1992856794"/>
      <w:bookmarkStart w:id="5" w:name="_Toc603004591"/>
      <w:r>
        <w:lastRenderedPageBreak/>
        <w:t>Reference</w:t>
      </w:r>
      <w:bookmarkEnd w:id="4"/>
      <w:bookmarkEnd w:id="5"/>
      <w:r>
        <w:t xml:space="preserve"> </w:t>
      </w:r>
    </w:p>
    <w:p w14:paraId="579CEA64" w14:textId="16CC249B" w:rsidR="1645D30B" w:rsidRDefault="1645D30B" w:rsidP="3AB9C8E6">
      <w:pPr>
        <w:spacing w:before="240" w:after="240"/>
        <w:rPr>
          <w:rFonts w:ascii="Calibri" w:eastAsia="Calibri" w:hAnsi="Calibri" w:cs="Calibri"/>
        </w:rPr>
      </w:pPr>
      <w:proofErr w:type="spellStart"/>
      <w:r w:rsidRPr="3AB9C8E6">
        <w:rPr>
          <w:rFonts w:ascii="Calibri" w:eastAsia="Calibri" w:hAnsi="Calibri" w:cs="Calibri"/>
        </w:rPr>
        <w:t>Amasawa</w:t>
      </w:r>
      <w:proofErr w:type="spellEnd"/>
      <w:r w:rsidRPr="3AB9C8E6">
        <w:rPr>
          <w:rFonts w:ascii="Calibri" w:eastAsia="Calibri" w:hAnsi="Calibri" w:cs="Calibri"/>
        </w:rPr>
        <w:t xml:space="preserve">, E., Suh, S. and Hirao, M. (2020) ‘Hybrid and plug-in hybrid vehicles: How environmental policies impact sales and greenhouse gas emissions’, </w:t>
      </w:r>
      <w:r w:rsidRPr="3AB9C8E6">
        <w:rPr>
          <w:rFonts w:ascii="Calibri" w:eastAsia="Calibri" w:hAnsi="Calibri" w:cs="Calibri"/>
          <w:i/>
          <w:iCs/>
        </w:rPr>
        <w:t>Environmental Science &amp; Technology</w:t>
      </w:r>
      <w:r w:rsidRPr="3AB9C8E6">
        <w:rPr>
          <w:rFonts w:ascii="Calibri" w:eastAsia="Calibri" w:hAnsi="Calibri" w:cs="Calibri"/>
        </w:rPr>
        <w:t>, 54(12), pp. 7582-7591.</w:t>
      </w:r>
    </w:p>
    <w:p w14:paraId="0EBFDED6" w14:textId="0F118289"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Bailey, D. and De </w:t>
      </w:r>
      <w:proofErr w:type="spellStart"/>
      <w:r w:rsidRPr="3AB9C8E6">
        <w:rPr>
          <w:rFonts w:ascii="Calibri" w:eastAsia="Calibri" w:hAnsi="Calibri" w:cs="Calibri"/>
        </w:rPr>
        <w:t>Propris</w:t>
      </w:r>
      <w:proofErr w:type="spellEnd"/>
      <w:r w:rsidRPr="3AB9C8E6">
        <w:rPr>
          <w:rFonts w:ascii="Calibri" w:eastAsia="Calibri" w:hAnsi="Calibri" w:cs="Calibri"/>
        </w:rPr>
        <w:t xml:space="preserve">, L. (2017) ‘Brexit and the UK automotive industry’, </w:t>
      </w:r>
      <w:r w:rsidRPr="3AB9C8E6">
        <w:rPr>
          <w:rFonts w:ascii="Calibri" w:eastAsia="Calibri" w:hAnsi="Calibri" w:cs="Calibri"/>
          <w:i/>
          <w:iCs/>
        </w:rPr>
        <w:t>National Institute Economic Review</w:t>
      </w:r>
      <w:r w:rsidRPr="3AB9C8E6">
        <w:rPr>
          <w:rFonts w:ascii="Calibri" w:eastAsia="Calibri" w:hAnsi="Calibri" w:cs="Calibri"/>
        </w:rPr>
        <w:t>, 242(1), pp. R53-R61.</w:t>
      </w:r>
    </w:p>
    <w:p w14:paraId="1C88034F" w14:textId="31763890"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Blind, K., Niebel, C. and Rammer, C. (2020) ‘The impact of the EU General Data Protection Regulation on product innovation’, </w:t>
      </w:r>
      <w:r w:rsidRPr="3AB9C8E6">
        <w:rPr>
          <w:rFonts w:ascii="Calibri" w:eastAsia="Calibri" w:hAnsi="Calibri" w:cs="Calibri"/>
          <w:i/>
          <w:iCs/>
        </w:rPr>
        <w:t>Research Policy</w:t>
      </w:r>
      <w:r w:rsidRPr="3AB9C8E6">
        <w:rPr>
          <w:rFonts w:ascii="Calibri" w:eastAsia="Calibri" w:hAnsi="Calibri" w:cs="Calibri"/>
        </w:rPr>
        <w:t>, 49(2), pp. 103-112. DOI: 10.1016/j.respol.2020.103912.</w:t>
      </w:r>
    </w:p>
    <w:p w14:paraId="7B872697" w14:textId="0B961D2E" w:rsidR="1645D30B" w:rsidRDefault="1645D30B" w:rsidP="3AB9C8E6">
      <w:pPr>
        <w:spacing w:before="240" w:after="240"/>
        <w:rPr>
          <w:rFonts w:ascii="Calibri" w:eastAsia="Calibri" w:hAnsi="Calibri" w:cs="Calibri"/>
        </w:rPr>
      </w:pPr>
      <w:proofErr w:type="spellStart"/>
      <w:r w:rsidRPr="3AB9C8E6">
        <w:rPr>
          <w:rFonts w:ascii="Calibri" w:eastAsia="Calibri" w:hAnsi="Calibri" w:cs="Calibri"/>
        </w:rPr>
        <w:t>Bocken</w:t>
      </w:r>
      <w:proofErr w:type="spellEnd"/>
      <w:r w:rsidRPr="3AB9C8E6">
        <w:rPr>
          <w:rFonts w:ascii="Calibri" w:eastAsia="Calibri" w:hAnsi="Calibri" w:cs="Calibri"/>
        </w:rPr>
        <w:t xml:space="preserve">, N. M. P., de Pauw, I., Bakker, C. and van der </w:t>
      </w:r>
      <w:proofErr w:type="spellStart"/>
      <w:r w:rsidRPr="3AB9C8E6">
        <w:rPr>
          <w:rFonts w:ascii="Calibri" w:eastAsia="Calibri" w:hAnsi="Calibri" w:cs="Calibri"/>
        </w:rPr>
        <w:t>Grinten</w:t>
      </w:r>
      <w:proofErr w:type="spellEnd"/>
      <w:r w:rsidRPr="3AB9C8E6">
        <w:rPr>
          <w:rFonts w:ascii="Calibri" w:eastAsia="Calibri" w:hAnsi="Calibri" w:cs="Calibri"/>
        </w:rPr>
        <w:t xml:space="preserve">, B. (2019) ‘Product design and business model strategies for a circular economy’, </w:t>
      </w:r>
      <w:r w:rsidRPr="3AB9C8E6">
        <w:rPr>
          <w:rFonts w:ascii="Calibri" w:eastAsia="Calibri" w:hAnsi="Calibri" w:cs="Calibri"/>
          <w:i/>
          <w:iCs/>
        </w:rPr>
        <w:t>Journal of Industrial and Production Engineering</w:t>
      </w:r>
      <w:r w:rsidRPr="3AB9C8E6">
        <w:rPr>
          <w:rFonts w:ascii="Calibri" w:eastAsia="Calibri" w:hAnsi="Calibri" w:cs="Calibri"/>
        </w:rPr>
        <w:t>, 33(5), pp. 308-320.</w:t>
      </w:r>
    </w:p>
    <w:p w14:paraId="39A749E0" w14:textId="00D968E5"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Braithwaite, T. and Eaglesham, J. (2008) ‘Woolworths falls into administration’, </w:t>
      </w:r>
      <w:r w:rsidRPr="3AB9C8E6">
        <w:rPr>
          <w:rFonts w:ascii="Calibri" w:eastAsia="Calibri" w:hAnsi="Calibri" w:cs="Calibri"/>
          <w:i/>
          <w:iCs/>
        </w:rPr>
        <w:t>Financial Times.com</w:t>
      </w:r>
      <w:r w:rsidRPr="3AB9C8E6">
        <w:rPr>
          <w:rFonts w:ascii="Calibri" w:eastAsia="Calibri" w:hAnsi="Calibri" w:cs="Calibri"/>
        </w:rPr>
        <w:t xml:space="preserve">, 27 November. Available at: </w:t>
      </w:r>
      <w:hyperlink r:id="rId7">
        <w:r w:rsidRPr="3AB9C8E6">
          <w:rPr>
            <w:rStyle w:val="Hyperlink"/>
            <w:rFonts w:ascii="Calibri" w:eastAsia="Calibri" w:hAnsi="Calibri" w:cs="Calibri"/>
          </w:rPr>
          <w:t>https://www.proquest.com/trade-journals/woolworths-falls-into-administration/docview/229114575/se-2?accountid=130472</w:t>
        </w:r>
      </w:hyperlink>
      <w:r w:rsidRPr="3AB9C8E6">
        <w:rPr>
          <w:rFonts w:ascii="Calibri" w:eastAsia="Calibri" w:hAnsi="Calibri" w:cs="Calibri"/>
        </w:rPr>
        <w:t xml:space="preserve"> [Accessed 13 August 2024].</w:t>
      </w:r>
    </w:p>
    <w:p w14:paraId="32F83050" w14:textId="7E1ECFA9" w:rsidR="1645D30B" w:rsidRDefault="1645D30B" w:rsidP="3AB9C8E6">
      <w:pPr>
        <w:spacing w:before="240" w:after="240"/>
        <w:rPr>
          <w:rFonts w:ascii="Calibri" w:eastAsia="Calibri" w:hAnsi="Calibri" w:cs="Calibri"/>
        </w:rPr>
      </w:pPr>
      <w:proofErr w:type="spellStart"/>
      <w:r w:rsidRPr="3AB9C8E6">
        <w:rPr>
          <w:rFonts w:ascii="Calibri" w:eastAsia="Calibri" w:hAnsi="Calibri" w:cs="Calibri"/>
        </w:rPr>
        <w:t>Brouthers</w:t>
      </w:r>
      <w:proofErr w:type="spellEnd"/>
      <w:r w:rsidRPr="3AB9C8E6">
        <w:rPr>
          <w:rFonts w:ascii="Calibri" w:eastAsia="Calibri" w:hAnsi="Calibri" w:cs="Calibri"/>
        </w:rPr>
        <w:t xml:space="preserve">, K. D., </w:t>
      </w:r>
      <w:proofErr w:type="spellStart"/>
      <w:r w:rsidRPr="3AB9C8E6">
        <w:rPr>
          <w:rFonts w:ascii="Calibri" w:eastAsia="Calibri" w:hAnsi="Calibri" w:cs="Calibri"/>
        </w:rPr>
        <w:t>Brouthers</w:t>
      </w:r>
      <w:proofErr w:type="spellEnd"/>
      <w:r w:rsidRPr="3AB9C8E6">
        <w:rPr>
          <w:rFonts w:ascii="Calibri" w:eastAsia="Calibri" w:hAnsi="Calibri" w:cs="Calibri"/>
        </w:rPr>
        <w:t xml:space="preserve">, L. E. and Werner, S. (2016) ‘Real options, international entry mode choice, and performance: A meta-analysis’, </w:t>
      </w:r>
      <w:r w:rsidRPr="3AB9C8E6">
        <w:rPr>
          <w:rFonts w:ascii="Calibri" w:eastAsia="Calibri" w:hAnsi="Calibri" w:cs="Calibri"/>
          <w:i/>
          <w:iCs/>
        </w:rPr>
        <w:t>Journal of Management Studies</w:t>
      </w:r>
      <w:r w:rsidRPr="3AB9C8E6">
        <w:rPr>
          <w:rFonts w:ascii="Calibri" w:eastAsia="Calibri" w:hAnsi="Calibri" w:cs="Calibri"/>
        </w:rPr>
        <w:t>, 53(6), pp. 1051-1076.</w:t>
      </w:r>
    </w:p>
    <w:p w14:paraId="5FCA19DD" w14:textId="3A039E88"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Chouinard, Y. and Stanley, V. (2018) </w:t>
      </w:r>
      <w:r w:rsidRPr="3AB9C8E6">
        <w:rPr>
          <w:rFonts w:ascii="Calibri" w:eastAsia="Calibri" w:hAnsi="Calibri" w:cs="Calibri"/>
          <w:i/>
          <w:iCs/>
        </w:rPr>
        <w:t>The responsible company: What we’ve learned from Patagonia’s first 40 years</w:t>
      </w:r>
      <w:r w:rsidRPr="3AB9C8E6">
        <w:rPr>
          <w:rFonts w:ascii="Calibri" w:eastAsia="Calibri" w:hAnsi="Calibri" w:cs="Calibri"/>
        </w:rPr>
        <w:t>. Patagonia Books.</w:t>
      </w:r>
    </w:p>
    <w:p w14:paraId="5AEB2A7D" w14:textId="720F42BD"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Christensen, C. M. (2013) </w:t>
      </w:r>
      <w:r w:rsidRPr="3AB9C8E6">
        <w:rPr>
          <w:rFonts w:ascii="Calibri" w:eastAsia="Calibri" w:hAnsi="Calibri" w:cs="Calibri"/>
          <w:i/>
          <w:iCs/>
        </w:rPr>
        <w:t>The innovator's dilemma: When new technologies cause great firms to fail</w:t>
      </w:r>
      <w:r w:rsidRPr="3AB9C8E6">
        <w:rPr>
          <w:rFonts w:ascii="Calibri" w:eastAsia="Calibri" w:hAnsi="Calibri" w:cs="Calibri"/>
        </w:rPr>
        <w:t>. Harvard Business Review Press.</w:t>
      </w:r>
    </w:p>
    <w:p w14:paraId="772E5B65" w14:textId="6415BDF1"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Dhingra, S., Ottaviano, G., Sampson, T. and Van Reenen, J. (2016) </w:t>
      </w:r>
      <w:r w:rsidRPr="3AB9C8E6">
        <w:rPr>
          <w:rFonts w:ascii="Calibri" w:eastAsia="Calibri" w:hAnsi="Calibri" w:cs="Calibri"/>
          <w:i/>
          <w:iCs/>
        </w:rPr>
        <w:t>The impact of Brexit on foreign investment in the UK</w:t>
      </w:r>
      <w:r w:rsidRPr="3AB9C8E6">
        <w:rPr>
          <w:rFonts w:ascii="Calibri" w:eastAsia="Calibri" w:hAnsi="Calibri" w:cs="Calibri"/>
        </w:rPr>
        <w:t>. Centre for Economic Performance, LSE.</w:t>
      </w:r>
    </w:p>
    <w:p w14:paraId="3018426C" w14:textId="7EF7F061" w:rsidR="1645D30B" w:rsidRDefault="1645D30B" w:rsidP="3AB9C8E6">
      <w:pPr>
        <w:spacing w:before="240" w:after="240"/>
        <w:rPr>
          <w:rFonts w:ascii="Calibri" w:eastAsia="Calibri" w:hAnsi="Calibri" w:cs="Calibri"/>
        </w:rPr>
      </w:pPr>
      <w:proofErr w:type="spellStart"/>
      <w:r w:rsidRPr="3AB9C8E6">
        <w:rPr>
          <w:rFonts w:ascii="Calibri" w:eastAsia="Calibri" w:hAnsi="Calibri" w:cs="Calibri"/>
        </w:rPr>
        <w:t>Dwikat</w:t>
      </w:r>
      <w:proofErr w:type="spellEnd"/>
      <w:r w:rsidRPr="3AB9C8E6">
        <w:rPr>
          <w:rFonts w:ascii="Calibri" w:eastAsia="Calibri" w:hAnsi="Calibri" w:cs="Calibri"/>
        </w:rPr>
        <w:t xml:space="preserve">, S.Y., Arshad, D. and Mohd Shariff, M.N. (2022) ‘The Influence of Systematic Strategic Planning and Strategic Business Innovation on the Sustainable Performance of Manufacturing SMEs: The Case of Palestine’, </w:t>
      </w:r>
      <w:r w:rsidRPr="3AB9C8E6">
        <w:rPr>
          <w:rFonts w:ascii="Calibri" w:eastAsia="Calibri" w:hAnsi="Calibri" w:cs="Calibri"/>
          <w:i/>
          <w:iCs/>
        </w:rPr>
        <w:t>Sustainability</w:t>
      </w:r>
      <w:r w:rsidRPr="3AB9C8E6">
        <w:rPr>
          <w:rFonts w:ascii="Calibri" w:eastAsia="Calibri" w:hAnsi="Calibri" w:cs="Calibri"/>
        </w:rPr>
        <w:t>, 14(20), pp. 13388-.</w:t>
      </w:r>
    </w:p>
    <w:p w14:paraId="6F5EAF94" w14:textId="2CBB2821" w:rsidR="1645D30B" w:rsidRDefault="1645D30B" w:rsidP="3AB9C8E6">
      <w:pPr>
        <w:spacing w:before="240" w:after="240"/>
        <w:rPr>
          <w:rFonts w:ascii="Calibri" w:eastAsia="Calibri" w:hAnsi="Calibri" w:cs="Calibri"/>
        </w:rPr>
      </w:pPr>
      <w:r w:rsidRPr="3AB9C8E6">
        <w:rPr>
          <w:rFonts w:ascii="Calibri" w:eastAsia="Calibri" w:hAnsi="Calibri" w:cs="Calibri"/>
        </w:rPr>
        <w:lastRenderedPageBreak/>
        <w:t xml:space="preserve">Elg, U., Hultman, J. and </w:t>
      </w:r>
      <w:proofErr w:type="spellStart"/>
      <w:r w:rsidRPr="3AB9C8E6">
        <w:rPr>
          <w:rFonts w:ascii="Calibri" w:eastAsia="Calibri" w:hAnsi="Calibri" w:cs="Calibri"/>
        </w:rPr>
        <w:t>Welinder</w:t>
      </w:r>
      <w:proofErr w:type="spellEnd"/>
      <w:r w:rsidRPr="3AB9C8E6">
        <w:rPr>
          <w:rFonts w:ascii="Calibri" w:eastAsia="Calibri" w:hAnsi="Calibri" w:cs="Calibri"/>
        </w:rPr>
        <w:t xml:space="preserve">, A. (2021) ‘Competing corporate sustainability perceptions in a global retail organization’, </w:t>
      </w:r>
      <w:r w:rsidRPr="3AB9C8E6">
        <w:rPr>
          <w:rFonts w:ascii="Calibri" w:eastAsia="Calibri" w:hAnsi="Calibri" w:cs="Calibri"/>
          <w:i/>
          <w:iCs/>
        </w:rPr>
        <w:t>International Journal of Retail &amp; Distribution Management</w:t>
      </w:r>
      <w:r w:rsidRPr="3AB9C8E6">
        <w:rPr>
          <w:rFonts w:ascii="Calibri" w:eastAsia="Calibri" w:hAnsi="Calibri" w:cs="Calibri"/>
        </w:rPr>
        <w:t>, 49(4), pp. 449-465.</w:t>
      </w:r>
    </w:p>
    <w:p w14:paraId="71C837DE" w14:textId="73F949CB"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Garrido, M., Rahman, S. and Ruiz, P. (2020) ‘Political stability and strategic decisions in multinational enterprises’, </w:t>
      </w:r>
      <w:r w:rsidRPr="3AB9C8E6">
        <w:rPr>
          <w:rFonts w:ascii="Calibri" w:eastAsia="Calibri" w:hAnsi="Calibri" w:cs="Calibri"/>
          <w:i/>
          <w:iCs/>
        </w:rPr>
        <w:t>Journal of International Business Studies</w:t>
      </w:r>
      <w:r w:rsidRPr="3AB9C8E6">
        <w:rPr>
          <w:rFonts w:ascii="Calibri" w:eastAsia="Calibri" w:hAnsi="Calibri" w:cs="Calibri"/>
        </w:rPr>
        <w:t>, 51(3), pp. 380-397.</w:t>
      </w:r>
    </w:p>
    <w:p w14:paraId="73E05EE0" w14:textId="3E9E36C3"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He, H. and Harris, L. (2020) ‘The impact of COVID-19 pandemic on corporate social responsibility and marketing philosophy’, </w:t>
      </w:r>
      <w:r w:rsidRPr="3AB9C8E6">
        <w:rPr>
          <w:rFonts w:ascii="Calibri" w:eastAsia="Calibri" w:hAnsi="Calibri" w:cs="Calibri"/>
          <w:i/>
          <w:iCs/>
        </w:rPr>
        <w:t>Journal of Business Research</w:t>
      </w:r>
      <w:r w:rsidRPr="3AB9C8E6">
        <w:rPr>
          <w:rFonts w:ascii="Calibri" w:eastAsia="Calibri" w:hAnsi="Calibri" w:cs="Calibri"/>
        </w:rPr>
        <w:t>, 116, pp. 176-182.</w:t>
      </w:r>
    </w:p>
    <w:p w14:paraId="514231E5" w14:textId="06C7D7A1"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Hoofnagle, C. J., van der Sloot, B. and </w:t>
      </w:r>
      <w:proofErr w:type="spellStart"/>
      <w:r w:rsidRPr="3AB9C8E6">
        <w:rPr>
          <w:rFonts w:ascii="Calibri" w:eastAsia="Calibri" w:hAnsi="Calibri" w:cs="Calibri"/>
        </w:rPr>
        <w:t>Borgesius</w:t>
      </w:r>
      <w:proofErr w:type="spellEnd"/>
      <w:r w:rsidRPr="3AB9C8E6">
        <w:rPr>
          <w:rFonts w:ascii="Calibri" w:eastAsia="Calibri" w:hAnsi="Calibri" w:cs="Calibri"/>
        </w:rPr>
        <w:t xml:space="preserve">, F. Z. (2019) ‘The European Union general data protection regulation: What it is and what </w:t>
      </w:r>
      <w:proofErr w:type="gramStart"/>
      <w:r w:rsidRPr="3AB9C8E6">
        <w:rPr>
          <w:rFonts w:ascii="Calibri" w:eastAsia="Calibri" w:hAnsi="Calibri" w:cs="Calibri"/>
        </w:rPr>
        <w:t>it</w:t>
      </w:r>
      <w:proofErr w:type="gramEnd"/>
      <w:r w:rsidRPr="3AB9C8E6">
        <w:rPr>
          <w:rFonts w:ascii="Calibri" w:eastAsia="Calibri" w:hAnsi="Calibri" w:cs="Calibri"/>
        </w:rPr>
        <w:t xml:space="preserve"> means’, </w:t>
      </w:r>
      <w:r w:rsidRPr="3AB9C8E6">
        <w:rPr>
          <w:rFonts w:ascii="Calibri" w:eastAsia="Calibri" w:hAnsi="Calibri" w:cs="Calibri"/>
          <w:i/>
          <w:iCs/>
        </w:rPr>
        <w:t>Information &amp; Communications Technology Law</w:t>
      </w:r>
      <w:r w:rsidRPr="3AB9C8E6">
        <w:rPr>
          <w:rFonts w:ascii="Calibri" w:eastAsia="Calibri" w:hAnsi="Calibri" w:cs="Calibri"/>
        </w:rPr>
        <w:t>, 28(1), pp. 65-98.</w:t>
      </w:r>
    </w:p>
    <w:p w14:paraId="674A69C2" w14:textId="2AFDFB76"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Kane, M. and Cleghorn, A. (2018) </w:t>
      </w:r>
      <w:r w:rsidRPr="3AB9C8E6">
        <w:rPr>
          <w:rFonts w:ascii="Calibri" w:eastAsia="Calibri" w:hAnsi="Calibri" w:cs="Calibri"/>
          <w:i/>
          <w:iCs/>
        </w:rPr>
        <w:t>Sustainable business: A one planet approach</w:t>
      </w:r>
      <w:r w:rsidRPr="3AB9C8E6">
        <w:rPr>
          <w:rFonts w:ascii="Calibri" w:eastAsia="Calibri" w:hAnsi="Calibri" w:cs="Calibri"/>
        </w:rPr>
        <w:t>. Routledge.</w:t>
      </w:r>
    </w:p>
    <w:p w14:paraId="26818FA7" w14:textId="641AF6D4"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Kotler, P. and Lee, N. (2008) </w:t>
      </w:r>
      <w:r w:rsidRPr="3AB9C8E6">
        <w:rPr>
          <w:rFonts w:ascii="Calibri" w:eastAsia="Calibri" w:hAnsi="Calibri" w:cs="Calibri"/>
          <w:i/>
          <w:iCs/>
        </w:rPr>
        <w:t xml:space="preserve">Corporate social responsibility: Doing the </w:t>
      </w:r>
      <w:proofErr w:type="gramStart"/>
      <w:r w:rsidRPr="3AB9C8E6">
        <w:rPr>
          <w:rFonts w:ascii="Calibri" w:eastAsia="Calibri" w:hAnsi="Calibri" w:cs="Calibri"/>
          <w:i/>
          <w:iCs/>
        </w:rPr>
        <w:t>most good</w:t>
      </w:r>
      <w:proofErr w:type="gramEnd"/>
      <w:r w:rsidRPr="3AB9C8E6">
        <w:rPr>
          <w:rFonts w:ascii="Calibri" w:eastAsia="Calibri" w:hAnsi="Calibri" w:cs="Calibri"/>
          <w:i/>
          <w:iCs/>
        </w:rPr>
        <w:t xml:space="preserve"> for your company and your cause</w:t>
      </w:r>
      <w:r w:rsidRPr="3AB9C8E6">
        <w:rPr>
          <w:rFonts w:ascii="Calibri" w:eastAsia="Calibri" w:hAnsi="Calibri" w:cs="Calibri"/>
        </w:rPr>
        <w:t>. Wiley.</w:t>
      </w:r>
    </w:p>
    <w:p w14:paraId="120F501C" w14:textId="1424C6CB"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Kuner, C., Bygrave, L. A. and </w:t>
      </w:r>
      <w:proofErr w:type="spellStart"/>
      <w:r w:rsidRPr="3AB9C8E6">
        <w:rPr>
          <w:rFonts w:ascii="Calibri" w:eastAsia="Calibri" w:hAnsi="Calibri" w:cs="Calibri"/>
        </w:rPr>
        <w:t>Docksey</w:t>
      </w:r>
      <w:proofErr w:type="spellEnd"/>
      <w:r w:rsidRPr="3AB9C8E6">
        <w:rPr>
          <w:rFonts w:ascii="Calibri" w:eastAsia="Calibri" w:hAnsi="Calibri" w:cs="Calibri"/>
        </w:rPr>
        <w:t xml:space="preserve">, C. (2019) </w:t>
      </w:r>
      <w:r w:rsidRPr="3AB9C8E6">
        <w:rPr>
          <w:rFonts w:ascii="Calibri" w:eastAsia="Calibri" w:hAnsi="Calibri" w:cs="Calibri"/>
          <w:i/>
          <w:iCs/>
        </w:rPr>
        <w:t>The GDPR: General Data Protection Regulation</w:t>
      </w:r>
      <w:r w:rsidRPr="3AB9C8E6">
        <w:rPr>
          <w:rFonts w:ascii="Calibri" w:eastAsia="Calibri" w:hAnsi="Calibri" w:cs="Calibri"/>
        </w:rPr>
        <w:t>. Oxford University Press.</w:t>
      </w:r>
    </w:p>
    <w:p w14:paraId="1A2CF1EA" w14:textId="12AB75EF"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Munger, M. C. (2018) </w:t>
      </w:r>
      <w:r w:rsidRPr="3AB9C8E6">
        <w:rPr>
          <w:rFonts w:ascii="Calibri" w:eastAsia="Calibri" w:hAnsi="Calibri" w:cs="Calibri"/>
          <w:i/>
          <w:iCs/>
        </w:rPr>
        <w:t>Tomorrow 3.0: Transaction costs and the sharing economy</w:t>
      </w:r>
      <w:r w:rsidRPr="3AB9C8E6">
        <w:rPr>
          <w:rFonts w:ascii="Calibri" w:eastAsia="Calibri" w:hAnsi="Calibri" w:cs="Calibri"/>
        </w:rPr>
        <w:t>. Cambridge University Press.</w:t>
      </w:r>
    </w:p>
    <w:p w14:paraId="0A8FE105" w14:textId="33DB8D5B" w:rsidR="1645D30B" w:rsidRDefault="1645D30B" w:rsidP="3AB9C8E6">
      <w:pPr>
        <w:spacing w:before="240" w:after="240"/>
        <w:rPr>
          <w:rFonts w:ascii="Calibri" w:eastAsia="Calibri" w:hAnsi="Calibri" w:cs="Calibri"/>
        </w:rPr>
      </w:pPr>
      <w:proofErr w:type="spellStart"/>
      <w:r w:rsidRPr="3AB9C8E6">
        <w:rPr>
          <w:rFonts w:ascii="Calibri" w:eastAsia="Calibri" w:hAnsi="Calibri" w:cs="Calibri"/>
        </w:rPr>
        <w:t>Mwencha</w:t>
      </w:r>
      <w:proofErr w:type="spellEnd"/>
      <w:r w:rsidRPr="3AB9C8E6">
        <w:rPr>
          <w:rFonts w:ascii="Calibri" w:eastAsia="Calibri" w:hAnsi="Calibri" w:cs="Calibri"/>
        </w:rPr>
        <w:t xml:space="preserve">, P.M. and Njuguna, R.K. (2023) ‘Brand Activism in the Age of Black Lives Matter Movement’, </w:t>
      </w:r>
      <w:r w:rsidRPr="3AB9C8E6">
        <w:rPr>
          <w:rFonts w:ascii="Calibri" w:eastAsia="Calibri" w:hAnsi="Calibri" w:cs="Calibri"/>
          <w:i/>
          <w:iCs/>
        </w:rPr>
        <w:t>Atlantic Marketing Journal</w:t>
      </w:r>
      <w:r w:rsidRPr="3AB9C8E6">
        <w:rPr>
          <w:rFonts w:ascii="Calibri" w:eastAsia="Calibri" w:hAnsi="Calibri" w:cs="Calibri"/>
        </w:rPr>
        <w:t>, 12(2), Article 5.</w:t>
      </w:r>
    </w:p>
    <w:p w14:paraId="2CE733AD" w14:textId="5F9DA8E8"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Schaffer, B. S., Agusti, F. and Dhooge, L. J. (2020) </w:t>
      </w:r>
      <w:r w:rsidRPr="3AB9C8E6">
        <w:rPr>
          <w:rFonts w:ascii="Calibri" w:eastAsia="Calibri" w:hAnsi="Calibri" w:cs="Calibri"/>
          <w:i/>
          <w:iCs/>
        </w:rPr>
        <w:t>International business law and its environment</w:t>
      </w:r>
      <w:r w:rsidRPr="3AB9C8E6">
        <w:rPr>
          <w:rFonts w:ascii="Calibri" w:eastAsia="Calibri" w:hAnsi="Calibri" w:cs="Calibri"/>
        </w:rPr>
        <w:t xml:space="preserve">. 11th </w:t>
      </w:r>
      <w:proofErr w:type="spellStart"/>
      <w:r w:rsidRPr="3AB9C8E6">
        <w:rPr>
          <w:rFonts w:ascii="Calibri" w:eastAsia="Calibri" w:hAnsi="Calibri" w:cs="Calibri"/>
        </w:rPr>
        <w:t>edn</w:t>
      </w:r>
      <w:proofErr w:type="spellEnd"/>
      <w:r w:rsidRPr="3AB9C8E6">
        <w:rPr>
          <w:rFonts w:ascii="Calibri" w:eastAsia="Calibri" w:hAnsi="Calibri" w:cs="Calibri"/>
        </w:rPr>
        <w:t>. Cengage Learning.</w:t>
      </w:r>
    </w:p>
    <w:p w14:paraId="200CC0D8" w14:textId="538187B6"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Sroufe, R. (2017) ‘Integration and implementation of sustainable business practices’, </w:t>
      </w:r>
      <w:r w:rsidRPr="3AB9C8E6">
        <w:rPr>
          <w:rFonts w:ascii="Calibri" w:eastAsia="Calibri" w:hAnsi="Calibri" w:cs="Calibri"/>
          <w:i/>
          <w:iCs/>
        </w:rPr>
        <w:t>Business Strategy and the Environment</w:t>
      </w:r>
      <w:r w:rsidRPr="3AB9C8E6">
        <w:rPr>
          <w:rFonts w:ascii="Calibri" w:eastAsia="Calibri" w:hAnsi="Calibri" w:cs="Calibri"/>
        </w:rPr>
        <w:t>, 26(1), pp. 121-138.</w:t>
      </w:r>
    </w:p>
    <w:p w14:paraId="0EB76ABC" w14:textId="663818EE"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Steenkamp, J. B. E. and Sloot, L. M. (2020) ‘Retail disruption: Who wins, who loses, and who will win in the future’, </w:t>
      </w:r>
      <w:r w:rsidRPr="3AB9C8E6">
        <w:rPr>
          <w:rFonts w:ascii="Calibri" w:eastAsia="Calibri" w:hAnsi="Calibri" w:cs="Calibri"/>
          <w:i/>
          <w:iCs/>
        </w:rPr>
        <w:t>Journal of Retailing</w:t>
      </w:r>
      <w:r w:rsidRPr="3AB9C8E6">
        <w:rPr>
          <w:rFonts w:ascii="Calibri" w:eastAsia="Calibri" w:hAnsi="Calibri" w:cs="Calibri"/>
        </w:rPr>
        <w:t>, 96(4), pp. 470-480.</w:t>
      </w:r>
    </w:p>
    <w:p w14:paraId="0077506E" w14:textId="49B5E777"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Tapscott, D. and Williams, A. D. (2010) </w:t>
      </w:r>
      <w:proofErr w:type="spellStart"/>
      <w:r w:rsidRPr="3AB9C8E6">
        <w:rPr>
          <w:rFonts w:ascii="Calibri" w:eastAsia="Calibri" w:hAnsi="Calibri" w:cs="Calibri"/>
          <w:i/>
          <w:iCs/>
        </w:rPr>
        <w:t>Wikinomics</w:t>
      </w:r>
      <w:proofErr w:type="spellEnd"/>
      <w:r w:rsidRPr="3AB9C8E6">
        <w:rPr>
          <w:rFonts w:ascii="Calibri" w:eastAsia="Calibri" w:hAnsi="Calibri" w:cs="Calibri"/>
          <w:i/>
          <w:iCs/>
        </w:rPr>
        <w:t>: How mass collaboration changes everything</w:t>
      </w:r>
      <w:r w:rsidRPr="3AB9C8E6">
        <w:rPr>
          <w:rFonts w:ascii="Calibri" w:eastAsia="Calibri" w:hAnsi="Calibri" w:cs="Calibri"/>
        </w:rPr>
        <w:t>. Portfolio.</w:t>
      </w:r>
    </w:p>
    <w:p w14:paraId="0469E5D8" w14:textId="3B62A0E6" w:rsidR="1645D30B" w:rsidRDefault="1645D30B" w:rsidP="3AB9C8E6">
      <w:pPr>
        <w:spacing w:before="240" w:after="240"/>
        <w:rPr>
          <w:rFonts w:ascii="Calibri" w:eastAsia="Calibri" w:hAnsi="Calibri" w:cs="Calibri"/>
        </w:rPr>
      </w:pPr>
      <w:r w:rsidRPr="3AB9C8E6">
        <w:rPr>
          <w:rFonts w:ascii="Calibri" w:eastAsia="Calibri" w:hAnsi="Calibri" w:cs="Calibri"/>
        </w:rPr>
        <w:lastRenderedPageBreak/>
        <w:t xml:space="preserve">Veksler, A. (2015) ‘Diluted regulations—a need to review the theoretical classification of the different lobbying regulatory environments’, </w:t>
      </w:r>
      <w:r w:rsidRPr="3AB9C8E6">
        <w:rPr>
          <w:rFonts w:ascii="Calibri" w:eastAsia="Calibri" w:hAnsi="Calibri" w:cs="Calibri"/>
          <w:i/>
          <w:iCs/>
        </w:rPr>
        <w:t>Journal of Public Affairs</w:t>
      </w:r>
      <w:r w:rsidRPr="3AB9C8E6">
        <w:rPr>
          <w:rFonts w:ascii="Calibri" w:eastAsia="Calibri" w:hAnsi="Calibri" w:cs="Calibri"/>
        </w:rPr>
        <w:t xml:space="preserve">, 15(1), pp. 56-64. Available at: </w:t>
      </w:r>
      <w:hyperlink r:id="rId8">
        <w:r w:rsidRPr="3AB9C8E6">
          <w:rPr>
            <w:rStyle w:val="Hyperlink"/>
            <w:rFonts w:ascii="Calibri" w:eastAsia="Calibri" w:hAnsi="Calibri" w:cs="Calibri"/>
          </w:rPr>
          <w:t>https://doi.org/10.1002/pa.1495</w:t>
        </w:r>
      </w:hyperlink>
      <w:r w:rsidRPr="3AB9C8E6">
        <w:rPr>
          <w:rFonts w:ascii="Calibri" w:eastAsia="Calibri" w:hAnsi="Calibri" w:cs="Calibri"/>
        </w:rPr>
        <w:t>.</w:t>
      </w:r>
    </w:p>
    <w:p w14:paraId="28ACCE1C" w14:textId="0E69BC43"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Visser, W. (2010) ‘The age of responsibility: CSR 2.0 and the new DNA of business’, </w:t>
      </w:r>
      <w:r w:rsidRPr="3AB9C8E6">
        <w:rPr>
          <w:rFonts w:ascii="Calibri" w:eastAsia="Calibri" w:hAnsi="Calibri" w:cs="Calibri"/>
          <w:i/>
          <w:iCs/>
        </w:rPr>
        <w:t>Journal of Business Systems, Governance, and Ethics</w:t>
      </w:r>
      <w:r w:rsidRPr="3AB9C8E6">
        <w:rPr>
          <w:rFonts w:ascii="Calibri" w:eastAsia="Calibri" w:hAnsi="Calibri" w:cs="Calibri"/>
        </w:rPr>
        <w:t>, 5(3), pp. 7-22.</w:t>
      </w:r>
    </w:p>
    <w:p w14:paraId="4D5F98C9" w14:textId="4BBFD817" w:rsidR="1645D30B" w:rsidRDefault="1645D30B" w:rsidP="3AB9C8E6">
      <w:pPr>
        <w:spacing w:before="240" w:after="240"/>
        <w:rPr>
          <w:rFonts w:ascii="Calibri" w:eastAsia="Calibri" w:hAnsi="Calibri" w:cs="Calibri"/>
        </w:rPr>
      </w:pPr>
      <w:r w:rsidRPr="3AB9C8E6">
        <w:rPr>
          <w:rFonts w:ascii="Calibri" w:eastAsia="Calibri" w:hAnsi="Calibri" w:cs="Calibri"/>
        </w:rPr>
        <w:t xml:space="preserve">Wheaton, K. (2009) ‘Hyundai, Walmart show how to thrive in recession’, </w:t>
      </w:r>
      <w:r w:rsidRPr="3AB9C8E6">
        <w:rPr>
          <w:rFonts w:ascii="Calibri" w:eastAsia="Calibri" w:hAnsi="Calibri" w:cs="Calibri"/>
          <w:i/>
          <w:iCs/>
        </w:rPr>
        <w:t>Advertising Age</w:t>
      </w:r>
      <w:r w:rsidRPr="3AB9C8E6">
        <w:rPr>
          <w:rFonts w:ascii="Calibri" w:eastAsia="Calibri" w:hAnsi="Calibri" w:cs="Calibri"/>
        </w:rPr>
        <w:t xml:space="preserve">, 80(38), p. 20. Available at: </w:t>
      </w:r>
      <w:hyperlink r:id="rId9">
        <w:r w:rsidRPr="3AB9C8E6">
          <w:rPr>
            <w:rStyle w:val="Hyperlink"/>
            <w:rFonts w:ascii="Calibri" w:eastAsia="Calibri" w:hAnsi="Calibri" w:cs="Calibri"/>
          </w:rPr>
          <w:t>https://www.proquest.com/trade-journals/hyundai-walmart-show-how-thrive-recession/docview/208357286/se-2?accountid=130472</w:t>
        </w:r>
      </w:hyperlink>
      <w:r w:rsidRPr="3AB9C8E6">
        <w:rPr>
          <w:rFonts w:ascii="Calibri" w:eastAsia="Calibri" w:hAnsi="Calibri" w:cs="Calibri"/>
        </w:rPr>
        <w:t xml:space="preserve"> [Accessed 14 August 2024]</w:t>
      </w:r>
    </w:p>
    <w:p w14:paraId="1A48F5D6" w14:textId="77777777" w:rsidR="002D2636" w:rsidRPr="002D2636" w:rsidRDefault="002D2636" w:rsidP="002D2636">
      <w:pPr>
        <w:spacing w:before="240" w:after="240"/>
        <w:rPr>
          <w:rFonts w:ascii="Calibri" w:eastAsia="Calibri" w:hAnsi="Calibri" w:cs="Calibri"/>
          <w:lang w:val="en-GB"/>
        </w:rPr>
      </w:pPr>
      <w:r w:rsidRPr="002D2636">
        <w:rPr>
          <w:rFonts w:ascii="Calibri" w:eastAsia="Calibri" w:hAnsi="Calibri" w:cs="Calibri"/>
          <w:lang w:val="en-GB"/>
        </w:rPr>
        <w:t xml:space="preserve">Worthington, I. and Britton, C. (2018) </w:t>
      </w:r>
      <w:r w:rsidRPr="002D2636">
        <w:rPr>
          <w:rFonts w:ascii="Calibri" w:eastAsia="Calibri" w:hAnsi="Calibri" w:cs="Calibri"/>
          <w:i/>
          <w:iCs/>
          <w:lang w:val="en-GB"/>
        </w:rPr>
        <w:t>The Business Environment</w:t>
      </w:r>
      <w:r w:rsidRPr="002D2636">
        <w:rPr>
          <w:rFonts w:ascii="Calibri" w:eastAsia="Calibri" w:hAnsi="Calibri" w:cs="Calibri"/>
          <w:lang w:val="en-GB"/>
        </w:rPr>
        <w:t xml:space="preserve">. 8th </w:t>
      </w:r>
      <w:proofErr w:type="spellStart"/>
      <w:r w:rsidRPr="002D2636">
        <w:rPr>
          <w:rFonts w:ascii="Calibri" w:eastAsia="Calibri" w:hAnsi="Calibri" w:cs="Calibri"/>
          <w:lang w:val="en-GB"/>
        </w:rPr>
        <w:t>edn</w:t>
      </w:r>
      <w:proofErr w:type="spellEnd"/>
      <w:r w:rsidRPr="002D2636">
        <w:rPr>
          <w:rFonts w:ascii="Calibri" w:eastAsia="Calibri" w:hAnsi="Calibri" w:cs="Calibri"/>
          <w:lang w:val="en-GB"/>
        </w:rPr>
        <w:t>. Harlow: Pearson.</w:t>
      </w:r>
    </w:p>
    <w:p w14:paraId="6E49A4EC" w14:textId="77777777" w:rsidR="002D2636" w:rsidRDefault="002D2636" w:rsidP="3AB9C8E6">
      <w:pPr>
        <w:spacing w:before="240" w:after="240"/>
        <w:rPr>
          <w:rFonts w:ascii="Calibri" w:eastAsia="Calibri" w:hAnsi="Calibri" w:cs="Calibri"/>
        </w:rPr>
      </w:pPr>
    </w:p>
    <w:p w14:paraId="0DAC33B2" w14:textId="5B2859EA" w:rsidR="3AB9C8E6" w:rsidRDefault="3AB9C8E6"/>
    <w:sectPr w:rsidR="3AB9C8E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33E4CE" w14:textId="77777777" w:rsidR="00660590" w:rsidRDefault="00660590">
      <w:pPr>
        <w:spacing w:after="0" w:line="240" w:lineRule="auto"/>
      </w:pPr>
      <w:r>
        <w:separator/>
      </w:r>
    </w:p>
  </w:endnote>
  <w:endnote w:type="continuationSeparator" w:id="0">
    <w:p w14:paraId="5EE6E2FF" w14:textId="77777777" w:rsidR="00660590" w:rsidRDefault="006605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AB9C8E6" w14:paraId="30FE7B65" w14:textId="77777777" w:rsidTr="3AB9C8E6">
      <w:trPr>
        <w:trHeight w:val="300"/>
      </w:trPr>
      <w:tc>
        <w:tcPr>
          <w:tcW w:w="3120" w:type="dxa"/>
        </w:tcPr>
        <w:p w14:paraId="1A250BE5" w14:textId="389A1A25" w:rsidR="3AB9C8E6" w:rsidRDefault="3AB9C8E6" w:rsidP="3AB9C8E6">
          <w:pPr>
            <w:pStyle w:val="Header"/>
            <w:ind w:left="-115"/>
          </w:pPr>
        </w:p>
      </w:tc>
      <w:tc>
        <w:tcPr>
          <w:tcW w:w="3120" w:type="dxa"/>
        </w:tcPr>
        <w:p w14:paraId="11829E06" w14:textId="1A2F0D41" w:rsidR="3AB9C8E6" w:rsidRDefault="3AB9C8E6" w:rsidP="3AB9C8E6">
          <w:pPr>
            <w:pStyle w:val="Header"/>
            <w:jc w:val="center"/>
          </w:pPr>
        </w:p>
      </w:tc>
      <w:tc>
        <w:tcPr>
          <w:tcW w:w="3120" w:type="dxa"/>
        </w:tcPr>
        <w:p w14:paraId="547B8E1A" w14:textId="7BD0F8D9" w:rsidR="3AB9C8E6" w:rsidRDefault="3AB9C8E6" w:rsidP="3AB9C8E6">
          <w:pPr>
            <w:pStyle w:val="Header"/>
            <w:ind w:right="-115"/>
            <w:jc w:val="right"/>
          </w:pPr>
        </w:p>
      </w:tc>
    </w:tr>
  </w:tbl>
  <w:p w14:paraId="473DA8AE" w14:textId="4B44F2CD" w:rsidR="3AB9C8E6" w:rsidRDefault="3AB9C8E6" w:rsidP="3AB9C8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5A71DF" w14:textId="77777777" w:rsidR="00660590" w:rsidRDefault="00660590">
      <w:pPr>
        <w:spacing w:after="0" w:line="240" w:lineRule="auto"/>
      </w:pPr>
      <w:r>
        <w:separator/>
      </w:r>
    </w:p>
  </w:footnote>
  <w:footnote w:type="continuationSeparator" w:id="0">
    <w:p w14:paraId="75DAA884" w14:textId="77777777" w:rsidR="00660590" w:rsidRDefault="006605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AB9C8E6" w14:paraId="62CD010A" w14:textId="77777777" w:rsidTr="3AB9C8E6">
      <w:trPr>
        <w:trHeight w:val="300"/>
      </w:trPr>
      <w:tc>
        <w:tcPr>
          <w:tcW w:w="3120" w:type="dxa"/>
        </w:tcPr>
        <w:p w14:paraId="7E3A0FB6" w14:textId="64523AF1" w:rsidR="3AB9C8E6" w:rsidRDefault="3AB9C8E6" w:rsidP="3AB9C8E6">
          <w:pPr>
            <w:pStyle w:val="Header"/>
            <w:ind w:left="-115"/>
          </w:pPr>
        </w:p>
      </w:tc>
      <w:tc>
        <w:tcPr>
          <w:tcW w:w="3120" w:type="dxa"/>
        </w:tcPr>
        <w:p w14:paraId="7ABB8A7C" w14:textId="03B6A1B4" w:rsidR="3AB9C8E6" w:rsidRDefault="3AB9C8E6" w:rsidP="3AB9C8E6">
          <w:pPr>
            <w:pStyle w:val="Header"/>
            <w:jc w:val="center"/>
          </w:pPr>
        </w:p>
      </w:tc>
      <w:tc>
        <w:tcPr>
          <w:tcW w:w="3120" w:type="dxa"/>
        </w:tcPr>
        <w:p w14:paraId="2569638C" w14:textId="570390C1" w:rsidR="3AB9C8E6" w:rsidRDefault="3AB9C8E6" w:rsidP="3AB9C8E6">
          <w:pPr>
            <w:pStyle w:val="Header"/>
            <w:ind w:right="-115"/>
            <w:jc w:val="right"/>
          </w:pPr>
        </w:p>
      </w:tc>
    </w:tr>
  </w:tbl>
  <w:p w14:paraId="6DC3C5F4" w14:textId="5AFBFAEF" w:rsidR="3AB9C8E6" w:rsidRDefault="3AB9C8E6" w:rsidP="3AB9C8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38E491"/>
    <w:rsid w:val="002D2636"/>
    <w:rsid w:val="0038CF7F"/>
    <w:rsid w:val="00660590"/>
    <w:rsid w:val="008F043C"/>
    <w:rsid w:val="05845615"/>
    <w:rsid w:val="13648857"/>
    <w:rsid w:val="14DA4FED"/>
    <w:rsid w:val="1645D30B"/>
    <w:rsid w:val="22E68DE1"/>
    <w:rsid w:val="23929195"/>
    <w:rsid w:val="29DB140E"/>
    <w:rsid w:val="2F7DA7FC"/>
    <w:rsid w:val="34B5EAD1"/>
    <w:rsid w:val="36372F7D"/>
    <w:rsid w:val="39724ED7"/>
    <w:rsid w:val="3AB9C8E6"/>
    <w:rsid w:val="3D38E491"/>
    <w:rsid w:val="42EDB8C0"/>
    <w:rsid w:val="43118460"/>
    <w:rsid w:val="4E6200A2"/>
    <w:rsid w:val="516FF898"/>
    <w:rsid w:val="59787C2C"/>
    <w:rsid w:val="5CF36616"/>
    <w:rsid w:val="60DFE75C"/>
    <w:rsid w:val="66331C2F"/>
    <w:rsid w:val="6B99621B"/>
    <w:rsid w:val="6C01E7BB"/>
    <w:rsid w:val="6C786625"/>
    <w:rsid w:val="70855210"/>
    <w:rsid w:val="71668ED2"/>
    <w:rsid w:val="73187EEE"/>
    <w:rsid w:val="798EFD37"/>
    <w:rsid w:val="7B6071D4"/>
    <w:rsid w:val="7DF0982C"/>
    <w:rsid w:val="7F9715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3749"/>
  <w15:chartTrackingRefBased/>
  <w15:docId w15:val="{C0DEF685-7F4B-4899-B9F7-E1A2C181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80556">
      <w:bodyDiv w:val="1"/>
      <w:marLeft w:val="0"/>
      <w:marRight w:val="0"/>
      <w:marTop w:val="0"/>
      <w:marBottom w:val="0"/>
      <w:divBdr>
        <w:top w:val="none" w:sz="0" w:space="0" w:color="auto"/>
        <w:left w:val="none" w:sz="0" w:space="0" w:color="auto"/>
        <w:bottom w:val="none" w:sz="0" w:space="0" w:color="auto"/>
        <w:right w:val="none" w:sz="0" w:space="0" w:color="auto"/>
      </w:divBdr>
    </w:div>
    <w:div w:id="564993164">
      <w:bodyDiv w:val="1"/>
      <w:marLeft w:val="0"/>
      <w:marRight w:val="0"/>
      <w:marTop w:val="0"/>
      <w:marBottom w:val="0"/>
      <w:divBdr>
        <w:top w:val="none" w:sz="0" w:space="0" w:color="auto"/>
        <w:left w:val="none" w:sz="0" w:space="0" w:color="auto"/>
        <w:bottom w:val="none" w:sz="0" w:space="0" w:color="auto"/>
        <w:right w:val="none" w:sz="0" w:space="0" w:color="auto"/>
      </w:divBdr>
    </w:div>
    <w:div w:id="976451096">
      <w:bodyDiv w:val="1"/>
      <w:marLeft w:val="0"/>
      <w:marRight w:val="0"/>
      <w:marTop w:val="0"/>
      <w:marBottom w:val="0"/>
      <w:divBdr>
        <w:top w:val="none" w:sz="0" w:space="0" w:color="auto"/>
        <w:left w:val="none" w:sz="0" w:space="0" w:color="auto"/>
        <w:bottom w:val="none" w:sz="0" w:space="0" w:color="auto"/>
        <w:right w:val="none" w:sz="0" w:space="0" w:color="auto"/>
      </w:divBdr>
    </w:div>
    <w:div w:id="155222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pa.149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oquest.com/trade-journals/woolworths-falls-into-administration/docview/229114575/se-2?accountid=13047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proquest.com/trade-journals/hyundai-walmart-show-how-thrive-recession/docview/208357286/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9</Pages>
  <Words>2540</Words>
  <Characters>14478</Characters>
  <Application>Microsoft Office Word</Application>
  <DocSecurity>0</DocSecurity>
  <Lines>120</Lines>
  <Paragraphs>33</Paragraphs>
  <ScaleCrop>false</ScaleCrop>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Cecile Abuzour (2218610)</dc:creator>
  <cp:keywords/>
  <dc:description/>
  <cp:lastModifiedBy>Cecile Abuzour</cp:lastModifiedBy>
  <cp:revision>2</cp:revision>
  <dcterms:created xsi:type="dcterms:W3CDTF">2024-08-19T01:44:00Z</dcterms:created>
  <dcterms:modified xsi:type="dcterms:W3CDTF">2024-08-19T17:17:00Z</dcterms:modified>
</cp:coreProperties>
</file>