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8B45C" w14:textId="77777777" w:rsidR="00762380" w:rsidRDefault="00762380" w:rsidP="00762380">
      <w:pPr>
        <w:pStyle w:val="NoSpacing"/>
        <w:spacing w:before="1540" w:after="240"/>
        <w:jc w:val="center"/>
        <w:rPr>
          <w:color w:val="156082" w:themeColor="accent1"/>
        </w:rPr>
      </w:pPr>
      <w:r>
        <w:rPr>
          <w:noProof/>
        </w:rPr>
        <w:drawing>
          <wp:inline distT="0" distB="0" distL="0" distR="0" wp14:anchorId="4E116BF3" wp14:editId="0D6736D3">
            <wp:extent cx="5731510" cy="2554426"/>
            <wp:effectExtent l="0" t="0" r="2540" b="0"/>
            <wp:docPr id="3"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4426"/>
                    </a:xfrm>
                    <a:prstGeom prst="rect">
                      <a:avLst/>
                    </a:prstGeom>
                    <a:noFill/>
                    <a:ln>
                      <a:noFill/>
                    </a:ln>
                  </pic:spPr>
                </pic:pic>
              </a:graphicData>
            </a:graphic>
          </wp:inline>
        </w:drawing>
      </w:r>
    </w:p>
    <w:tbl>
      <w:tblPr>
        <w:tblStyle w:val="TableGrid"/>
        <w:tblW w:w="0" w:type="auto"/>
        <w:tblInd w:w="-5" w:type="dxa"/>
        <w:tblLook w:val="04A0" w:firstRow="1" w:lastRow="0" w:firstColumn="1" w:lastColumn="0" w:noHBand="0" w:noVBand="1"/>
      </w:tblPr>
      <w:tblGrid>
        <w:gridCol w:w="2290"/>
        <w:gridCol w:w="2295"/>
        <w:gridCol w:w="1873"/>
        <w:gridCol w:w="2558"/>
      </w:tblGrid>
      <w:tr w:rsidR="00762380" w14:paraId="3FE7AD4E" w14:textId="77777777" w:rsidTr="00784EC1">
        <w:tc>
          <w:tcPr>
            <w:tcW w:w="2290" w:type="dxa"/>
          </w:tcPr>
          <w:p w14:paraId="207BDFDA"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Student Name:</w:t>
            </w:r>
          </w:p>
        </w:tc>
        <w:tc>
          <w:tcPr>
            <w:tcW w:w="2295" w:type="dxa"/>
          </w:tcPr>
          <w:p w14:paraId="1D13C0B5"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Jony Ramany</w:t>
            </w:r>
          </w:p>
          <w:p w14:paraId="4B476B09" w14:textId="50425DC2" w:rsidR="00762380" w:rsidRPr="00762380" w:rsidRDefault="00762380" w:rsidP="00762380">
            <w:pPr>
              <w:rPr>
                <w:b/>
                <w:bCs/>
                <w:color w:val="275317" w:themeColor="accent6" w:themeShade="80"/>
                <w:sz w:val="32"/>
                <w:szCs w:val="32"/>
              </w:rPr>
            </w:pPr>
          </w:p>
        </w:tc>
        <w:tc>
          <w:tcPr>
            <w:tcW w:w="1873" w:type="dxa"/>
          </w:tcPr>
          <w:p w14:paraId="0DE224FE"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Student ID:</w:t>
            </w:r>
          </w:p>
        </w:tc>
        <w:tc>
          <w:tcPr>
            <w:tcW w:w="2558" w:type="dxa"/>
          </w:tcPr>
          <w:p w14:paraId="37B1ED41" w14:textId="3F6C0D92"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2514896</w:t>
            </w:r>
          </w:p>
        </w:tc>
      </w:tr>
      <w:tr w:rsidR="00762380" w14:paraId="6CA52559" w14:textId="77777777" w:rsidTr="00784EC1">
        <w:tc>
          <w:tcPr>
            <w:tcW w:w="4585" w:type="dxa"/>
            <w:gridSpan w:val="2"/>
          </w:tcPr>
          <w:p w14:paraId="35F0693F"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Programme:</w:t>
            </w:r>
          </w:p>
        </w:tc>
        <w:tc>
          <w:tcPr>
            <w:tcW w:w="4431" w:type="dxa"/>
            <w:gridSpan w:val="2"/>
          </w:tcPr>
          <w:p w14:paraId="63025C8B"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MBA</w:t>
            </w:r>
          </w:p>
        </w:tc>
      </w:tr>
      <w:tr w:rsidR="00762380" w14:paraId="13B0DCF6" w14:textId="77777777" w:rsidTr="00784EC1">
        <w:tc>
          <w:tcPr>
            <w:tcW w:w="4585" w:type="dxa"/>
            <w:gridSpan w:val="2"/>
          </w:tcPr>
          <w:p w14:paraId="1696B3E8"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Module:</w:t>
            </w:r>
          </w:p>
        </w:tc>
        <w:tc>
          <w:tcPr>
            <w:tcW w:w="4431" w:type="dxa"/>
            <w:gridSpan w:val="2"/>
          </w:tcPr>
          <w:p w14:paraId="2E808667"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Finance for Business Managers</w:t>
            </w:r>
          </w:p>
        </w:tc>
      </w:tr>
      <w:tr w:rsidR="00762380" w14:paraId="5791A8B8" w14:textId="77777777" w:rsidTr="00784EC1">
        <w:tc>
          <w:tcPr>
            <w:tcW w:w="4585" w:type="dxa"/>
            <w:gridSpan w:val="2"/>
          </w:tcPr>
          <w:p w14:paraId="03197E0C"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Module Code:</w:t>
            </w:r>
          </w:p>
        </w:tc>
        <w:tc>
          <w:tcPr>
            <w:tcW w:w="4431" w:type="dxa"/>
            <w:gridSpan w:val="2"/>
          </w:tcPr>
          <w:p w14:paraId="04053A13"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BMMB7005D</w:t>
            </w:r>
          </w:p>
        </w:tc>
      </w:tr>
      <w:tr w:rsidR="00762380" w14:paraId="5D7E72B9" w14:textId="77777777" w:rsidTr="00784EC1">
        <w:tc>
          <w:tcPr>
            <w:tcW w:w="4585" w:type="dxa"/>
            <w:gridSpan w:val="2"/>
          </w:tcPr>
          <w:p w14:paraId="0A02860F"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Lecturer:</w:t>
            </w:r>
          </w:p>
        </w:tc>
        <w:tc>
          <w:tcPr>
            <w:tcW w:w="4431" w:type="dxa"/>
            <w:gridSpan w:val="2"/>
          </w:tcPr>
          <w:p w14:paraId="1DDDB53C"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Marie Pitson</w:t>
            </w:r>
          </w:p>
        </w:tc>
      </w:tr>
      <w:tr w:rsidR="00762380" w14:paraId="7E68082E" w14:textId="77777777" w:rsidTr="00784EC1">
        <w:tc>
          <w:tcPr>
            <w:tcW w:w="4585" w:type="dxa"/>
            <w:gridSpan w:val="2"/>
          </w:tcPr>
          <w:p w14:paraId="5703F853" w14:textId="77777777"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Assignment Title:</w:t>
            </w:r>
          </w:p>
        </w:tc>
        <w:tc>
          <w:tcPr>
            <w:tcW w:w="4431" w:type="dxa"/>
            <w:gridSpan w:val="2"/>
          </w:tcPr>
          <w:p w14:paraId="4E5A6F2E" w14:textId="7AA3CDF0" w:rsidR="00762380" w:rsidRPr="00762380" w:rsidRDefault="00762380" w:rsidP="00762380">
            <w:pPr>
              <w:rPr>
                <w:b/>
                <w:bCs/>
                <w:color w:val="275317" w:themeColor="accent6" w:themeShade="80"/>
                <w:sz w:val="32"/>
                <w:szCs w:val="32"/>
              </w:rPr>
            </w:pPr>
            <w:r w:rsidRPr="00762380">
              <w:rPr>
                <w:b/>
                <w:bCs/>
                <w:color w:val="275317" w:themeColor="accent6" w:themeShade="80"/>
                <w:sz w:val="32"/>
                <w:szCs w:val="32"/>
              </w:rPr>
              <w:t>Beard Plc. – Financial Analysis and Investment Appraisal Report</w:t>
            </w:r>
          </w:p>
        </w:tc>
      </w:tr>
    </w:tbl>
    <w:p w14:paraId="780ED00F" w14:textId="77777777" w:rsidR="00762380" w:rsidRDefault="00762380" w:rsidP="00762380">
      <w:pPr>
        <w:pStyle w:val="NoSpacing"/>
        <w:spacing w:before="1540" w:after="240"/>
        <w:jc w:val="center"/>
        <w:rPr>
          <w:color w:val="156082" w:themeColor="accent1"/>
        </w:rPr>
      </w:pPr>
    </w:p>
    <w:p w14:paraId="6B50B952" w14:textId="77777777" w:rsidR="00762380" w:rsidRDefault="00762380" w:rsidP="00762380">
      <w:pPr>
        <w:pStyle w:val="NoSpacing"/>
        <w:spacing w:before="1540" w:after="240"/>
        <w:rPr>
          <w:color w:val="156082" w:themeColor="accent1"/>
        </w:rPr>
      </w:pPr>
    </w:p>
    <w:p w14:paraId="12E271F5" w14:textId="77777777" w:rsidR="00762380" w:rsidRPr="00762380" w:rsidRDefault="00762380" w:rsidP="00762380">
      <w:pPr>
        <w:pStyle w:val="NoSpacing"/>
        <w:spacing w:before="1540" w:after="240"/>
        <w:jc w:val="center"/>
        <w:rPr>
          <w:rFonts w:ascii="Algerian" w:hAnsi="Algerian"/>
          <w:color w:val="156082" w:themeColor="accent1"/>
        </w:rPr>
      </w:pPr>
      <w:r w:rsidRPr="00762380">
        <w:rPr>
          <w:rFonts w:ascii="Algerian" w:hAnsi="Algerian"/>
          <w:noProof/>
          <w:color w:val="156082" w:themeColor="accent1"/>
          <w:lang w:val="en-GB" w:eastAsia="en-GB"/>
        </w:rPr>
        <w:lastRenderedPageBreak/>
        <w:drawing>
          <wp:inline distT="0" distB="0" distL="0" distR="0" wp14:anchorId="4BAF058F" wp14:editId="57065D1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3A7E87" w14:textId="77777777" w:rsidR="00762380" w:rsidRPr="00762380" w:rsidRDefault="00762380" w:rsidP="00762380">
      <w:pPr>
        <w:pStyle w:val="NoSpacing"/>
        <w:pBdr>
          <w:top w:val="single" w:sz="6" w:space="6" w:color="156082" w:themeColor="accent1"/>
          <w:bottom w:val="single" w:sz="6" w:space="6" w:color="156082" w:themeColor="accent1"/>
        </w:pBdr>
        <w:spacing w:after="240"/>
        <w:jc w:val="center"/>
        <w:rPr>
          <w:rFonts w:ascii="Algerian" w:hAnsi="Algerian"/>
          <w:color w:val="275317" w:themeColor="accent6" w:themeShade="80"/>
          <w:sz w:val="28"/>
          <w:szCs w:val="28"/>
        </w:rPr>
      </w:pPr>
      <w:r w:rsidRPr="00762380">
        <w:rPr>
          <w:rFonts w:ascii="Algerian" w:eastAsiaTheme="majorEastAsia" w:hAnsi="Algerian" w:cstheme="majorBidi"/>
          <w:caps/>
          <w:color w:val="275317" w:themeColor="accent6" w:themeShade="80"/>
          <w:sz w:val="80"/>
          <w:szCs w:val="80"/>
        </w:rPr>
        <w:t>Finance for Business Managers</w:t>
      </w:r>
    </w:p>
    <w:p w14:paraId="2314AF33" w14:textId="77777777" w:rsidR="00762380" w:rsidRPr="00762380" w:rsidRDefault="00762380" w:rsidP="00762380">
      <w:pPr>
        <w:pStyle w:val="NoSpacing"/>
        <w:spacing w:before="480"/>
        <w:jc w:val="center"/>
        <w:rPr>
          <w:rFonts w:ascii="Algerian" w:hAnsi="Algerian"/>
          <w:color w:val="156082" w:themeColor="accent1"/>
        </w:rPr>
      </w:pPr>
    </w:p>
    <w:p w14:paraId="6B920D2B" w14:textId="77777777" w:rsidR="00762380" w:rsidRPr="00762380" w:rsidRDefault="00762380" w:rsidP="00762380">
      <w:pPr>
        <w:pStyle w:val="NoSpacing"/>
        <w:spacing w:before="480"/>
        <w:jc w:val="center"/>
        <w:rPr>
          <w:rFonts w:ascii="Algerian" w:hAnsi="Algerian"/>
          <w:color w:val="156082" w:themeColor="accent1"/>
        </w:rPr>
      </w:pPr>
      <w:r w:rsidRPr="00762380">
        <w:rPr>
          <w:rFonts w:ascii="Algerian" w:hAnsi="Algerian"/>
          <w:noProof/>
          <w:color w:val="156082" w:themeColor="accent1"/>
          <w:lang w:val="en-GB" w:eastAsia="en-GB"/>
        </w:rPr>
        <w:drawing>
          <wp:inline distT="0" distB="0" distL="0" distR="0" wp14:anchorId="69C0C083" wp14:editId="22A64E3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101C10" w14:textId="77777777" w:rsidR="00762380" w:rsidRPr="00762380" w:rsidRDefault="00762380" w:rsidP="00762380">
      <w:pPr>
        <w:spacing w:line="278" w:lineRule="auto"/>
        <w:jc w:val="left"/>
        <w:rPr>
          <w:rFonts w:ascii="Algerian" w:eastAsiaTheme="majorEastAsia" w:hAnsi="Algerian" w:cstheme="majorBidi"/>
          <w:b/>
          <w:sz w:val="30"/>
          <w:szCs w:val="40"/>
        </w:rPr>
      </w:pPr>
      <w:r w:rsidRPr="00762380">
        <w:rPr>
          <w:rFonts w:ascii="Algerian" w:hAnsi="Algerian"/>
        </w:rPr>
        <w:br w:type="page"/>
      </w:r>
    </w:p>
    <w:p w14:paraId="79C5EE62" w14:textId="77777777" w:rsidR="0074403B" w:rsidRDefault="0074403B" w:rsidP="0074403B">
      <w:pPr>
        <w:rPr>
          <w:b/>
          <w:bCs/>
          <w:sz w:val="40"/>
          <w:szCs w:val="40"/>
        </w:rPr>
      </w:pPr>
    </w:p>
    <w:p w14:paraId="31FFC1DE" w14:textId="77777777" w:rsidR="0074403B" w:rsidRDefault="0074403B" w:rsidP="00F97A38">
      <w:pPr>
        <w:pStyle w:val="Heading1"/>
      </w:pPr>
      <w:bookmarkStart w:id="0" w:name="_Toc233498870"/>
      <w:r>
        <w:t>Executive Summary</w:t>
      </w:r>
      <w:bookmarkEnd w:id="0"/>
    </w:p>
    <w:p w14:paraId="24F29302" w14:textId="26B1E49B" w:rsidR="00980DC0" w:rsidRPr="00980DC0" w:rsidRDefault="00980DC0" w:rsidP="00980DC0">
      <w:pPr>
        <w:rPr>
          <w:color w:val="EE0000"/>
          <w:lang w:val="en-US"/>
        </w:rPr>
      </w:pPr>
      <w:r w:rsidRPr="00980DC0">
        <w:rPr>
          <w:color w:val="EE0000"/>
          <w:lang w:val="en-US"/>
        </w:rPr>
        <w:t xml:space="preserve">The information in this report addresses two </w:t>
      </w:r>
      <w:r w:rsidR="00AD1B57">
        <w:rPr>
          <w:color w:val="EE0000"/>
          <w:lang w:val="en-US"/>
        </w:rPr>
        <w:t>financial</w:t>
      </w:r>
      <w:r w:rsidRPr="00980DC0">
        <w:rPr>
          <w:color w:val="EE0000"/>
          <w:lang w:val="en-US"/>
        </w:rPr>
        <w:t xml:space="preserve"> management problems. The first section examines the financial performance and position of AstraZeneca Plc based on profitability, efficiency, liquidity and investment ratios for the two years 2024 and 2025. The second section assesses the investment opportunities available to Beard Plc using investment appraisal techniques</w:t>
      </w:r>
      <w:r w:rsidR="00AD1B57">
        <w:rPr>
          <w:color w:val="EE0000"/>
          <w:lang w:val="en-US"/>
        </w:rPr>
        <w:t>,</w:t>
      </w:r>
      <w:r w:rsidRPr="00980DC0">
        <w:rPr>
          <w:color w:val="EE0000"/>
          <w:lang w:val="en-US"/>
        </w:rPr>
        <w:t xml:space="preserve"> primarily the net present value and internal rate of return.</w:t>
      </w:r>
    </w:p>
    <w:p w14:paraId="08FE6C60" w14:textId="0049ED2B" w:rsidR="00980DC0" w:rsidRPr="00980DC0" w:rsidRDefault="00980DC0" w:rsidP="00980DC0">
      <w:pPr>
        <w:rPr>
          <w:color w:val="EE0000"/>
          <w:lang w:val="en-US"/>
        </w:rPr>
      </w:pPr>
      <w:r w:rsidRPr="00980DC0">
        <w:rPr>
          <w:color w:val="EE0000"/>
          <w:lang w:val="en-US"/>
        </w:rPr>
        <w:t>The ratio analysis indicates that there was an improvement in AstraZeneca's profitability in 2025. Key measures of operating performance, gross profit margin, net profit margin, return on capital employed</w:t>
      </w:r>
      <w:r w:rsidR="00AD1B57">
        <w:rPr>
          <w:color w:val="EE0000"/>
          <w:lang w:val="en-US"/>
        </w:rPr>
        <w:t>,</w:t>
      </w:r>
      <w:r w:rsidRPr="00980DC0">
        <w:rPr>
          <w:color w:val="EE0000"/>
          <w:lang w:val="en-US"/>
        </w:rPr>
        <w:t xml:space="preserve"> and earnings per share all rose, indicating the continuing improvement in operating performance and shareholder value creation. But the company's financial condition is also a source of worry. Debtor days, creditor days and inventory days were high</w:t>
      </w:r>
      <w:r w:rsidR="00AD1B57">
        <w:rPr>
          <w:color w:val="EE0000"/>
          <w:lang w:val="en-US"/>
        </w:rPr>
        <w:t>,</w:t>
      </w:r>
      <w:r w:rsidRPr="00980DC0">
        <w:rPr>
          <w:color w:val="EE0000"/>
          <w:lang w:val="en-US"/>
        </w:rPr>
        <w:t xml:space="preserve"> and asset turnover remained unchanged. This indicates that working capital is actually locked up for quite some time in Receivables, Payables, </w:t>
      </w:r>
      <w:r w:rsidR="00AD1B57">
        <w:rPr>
          <w:color w:val="EE0000"/>
          <w:lang w:val="en-US"/>
        </w:rPr>
        <w:t>and inventory</w:t>
      </w:r>
      <w:r w:rsidRPr="00980DC0">
        <w:rPr>
          <w:color w:val="EE0000"/>
          <w:lang w:val="en-US"/>
        </w:rPr>
        <w:t>. Liquidity was also rather weak, as both the current ratio and quick ratio were less than 1, but this needs to be taken with a pinch of salt, since AstraZeneca is a big pharmaceutical company operating in a particular sector.</w:t>
      </w:r>
    </w:p>
    <w:p w14:paraId="4914105F" w14:textId="2356DEA9" w:rsidR="00AF2905" w:rsidRPr="00AF2905" w:rsidRDefault="00980DC0" w:rsidP="00980DC0">
      <w:pPr>
        <w:rPr>
          <w:color w:val="EE0000"/>
          <w:lang w:val="en-US"/>
        </w:rPr>
      </w:pPr>
      <w:r w:rsidRPr="00980DC0">
        <w:rPr>
          <w:color w:val="EE0000"/>
          <w:lang w:val="en-US"/>
        </w:rPr>
        <w:t>It seems that for Beard Plc</w:t>
      </w:r>
      <w:r w:rsidR="00AD1B57">
        <w:rPr>
          <w:color w:val="EE0000"/>
          <w:lang w:val="en-US"/>
        </w:rPr>
        <w:t>,</w:t>
      </w:r>
      <w:r w:rsidRPr="00980DC0">
        <w:rPr>
          <w:color w:val="EE0000"/>
          <w:lang w:val="en-US"/>
        </w:rPr>
        <w:t xml:space="preserve"> Project C offers the best investment opportunity as it has the greatest NPV and an acceptable IRR. If funds are short</w:t>
      </w:r>
      <w:r w:rsidR="00AD1B57">
        <w:rPr>
          <w:color w:val="EE0000"/>
          <w:lang w:val="en-US"/>
        </w:rPr>
        <w:t>,</w:t>
      </w:r>
      <w:r w:rsidRPr="00980DC0">
        <w:rPr>
          <w:color w:val="EE0000"/>
          <w:lang w:val="en-US"/>
        </w:rPr>
        <w:t xml:space="preserve"> then the priority is to be given to Project C</w:t>
      </w:r>
      <w:r w:rsidR="00AD1B57">
        <w:rPr>
          <w:color w:val="EE0000"/>
          <w:lang w:val="en-US"/>
        </w:rPr>
        <w:t>,</w:t>
      </w:r>
      <w:r w:rsidRPr="00980DC0">
        <w:rPr>
          <w:color w:val="EE0000"/>
          <w:lang w:val="en-US"/>
        </w:rPr>
        <w:t xml:space="preserve"> and if </w:t>
      </w:r>
      <w:r w:rsidR="00AD1B57">
        <w:rPr>
          <w:color w:val="EE0000"/>
          <w:lang w:val="en-US"/>
        </w:rPr>
        <w:t>there are</w:t>
      </w:r>
      <w:r w:rsidRPr="00980DC0">
        <w:rPr>
          <w:color w:val="EE0000"/>
          <w:lang w:val="en-US"/>
        </w:rPr>
        <w:t xml:space="preserve"> funds left over</w:t>
      </w:r>
      <w:r w:rsidR="00AD1B57">
        <w:rPr>
          <w:color w:val="EE0000"/>
          <w:lang w:val="en-US"/>
        </w:rPr>
        <w:t>,</w:t>
      </w:r>
      <w:r w:rsidRPr="00980DC0">
        <w:rPr>
          <w:color w:val="EE0000"/>
          <w:lang w:val="en-US"/>
        </w:rPr>
        <w:t xml:space="preserve"> then to Project B, whose profits are high. Overall, the company AstraZeneca is profitable and is an attractive investment opportunity</w:t>
      </w:r>
      <w:r w:rsidR="00AD1B57">
        <w:rPr>
          <w:color w:val="EE0000"/>
          <w:lang w:val="en-US"/>
        </w:rPr>
        <w:t>,</w:t>
      </w:r>
      <w:r w:rsidRPr="00980DC0">
        <w:rPr>
          <w:color w:val="EE0000"/>
          <w:lang w:val="en-US"/>
        </w:rPr>
        <w:t xml:space="preserve"> but working capital and liquidity are aspects that need to be monitored. Project C should be Beard Plc's choice</w:t>
      </w:r>
      <w:r w:rsidR="00AD1B57">
        <w:rPr>
          <w:color w:val="EE0000"/>
          <w:lang w:val="en-US"/>
        </w:rPr>
        <w:t>,</w:t>
      </w:r>
      <w:r w:rsidRPr="00980DC0">
        <w:rPr>
          <w:color w:val="EE0000"/>
          <w:lang w:val="en-US"/>
        </w:rPr>
        <w:t xml:space="preserve"> provided risks, strategic fit, environmental impact and practical feasibility are taken into consideration.</w:t>
      </w:r>
    </w:p>
    <w:p w14:paraId="7213ECBE" w14:textId="1E1F1166" w:rsidR="0000172F" w:rsidRDefault="0000172F" w:rsidP="0074403B"/>
    <w:p w14:paraId="04EDD42E" w14:textId="77777777" w:rsidR="00F97A38" w:rsidRDefault="00F97A38" w:rsidP="0074403B"/>
    <w:p w14:paraId="7860F8DA" w14:textId="3B37C0BD" w:rsidR="00F97A38" w:rsidRDefault="00F97A38">
      <w:r>
        <w:br w:type="page"/>
      </w:r>
    </w:p>
    <w:sdt>
      <w:sdtPr>
        <w:rPr>
          <w:rFonts w:ascii="Times New Roman" w:eastAsia="Times New Roman" w:hAnsi="Times New Roman" w:cs="Times New Roman"/>
          <w:color w:val="auto"/>
          <w:sz w:val="24"/>
          <w:szCs w:val="24"/>
          <w:lang w:val="en-GB"/>
        </w:rPr>
        <w:id w:val="-713429878"/>
        <w:docPartObj>
          <w:docPartGallery w:val="Table of Contents"/>
          <w:docPartUnique/>
        </w:docPartObj>
      </w:sdtPr>
      <w:sdtEndPr>
        <w:rPr>
          <w:b/>
          <w:bCs/>
          <w:noProof/>
        </w:rPr>
      </w:sdtEndPr>
      <w:sdtContent>
        <w:p w14:paraId="2F7AA095" w14:textId="0AB206D7" w:rsidR="003C04E0" w:rsidRPr="003C04E0" w:rsidRDefault="003C04E0" w:rsidP="003C04E0">
          <w:pPr>
            <w:pStyle w:val="TOCHeading"/>
            <w:spacing w:after="240" w:line="360" w:lineRule="auto"/>
            <w:rPr>
              <w:rFonts w:ascii="Times New Roman" w:hAnsi="Times New Roman" w:cs="Times New Roman"/>
              <w:b/>
              <w:bCs/>
              <w:color w:val="auto"/>
            </w:rPr>
          </w:pPr>
          <w:r w:rsidRPr="003C04E0">
            <w:rPr>
              <w:rFonts w:ascii="Times New Roman" w:hAnsi="Times New Roman" w:cs="Times New Roman"/>
              <w:b/>
              <w:bCs/>
              <w:color w:val="auto"/>
            </w:rPr>
            <w:t>Table of Contents</w:t>
          </w:r>
        </w:p>
        <w:p w14:paraId="6A90EFD5" w14:textId="5E069CDE" w:rsidR="004A07D7" w:rsidRDefault="003C04E0">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33498870" w:history="1">
            <w:r w:rsidR="004A07D7" w:rsidRPr="00085455">
              <w:rPr>
                <w:rStyle w:val="Hyperlink"/>
                <w:noProof/>
              </w:rPr>
              <w:t>Executive Summary</w:t>
            </w:r>
            <w:r w:rsidR="004A07D7">
              <w:rPr>
                <w:noProof/>
                <w:webHidden/>
              </w:rPr>
              <w:tab/>
            </w:r>
            <w:r w:rsidR="004A07D7">
              <w:rPr>
                <w:noProof/>
                <w:webHidden/>
              </w:rPr>
              <w:fldChar w:fldCharType="begin"/>
            </w:r>
            <w:r w:rsidR="004A07D7">
              <w:rPr>
                <w:noProof/>
                <w:webHidden/>
              </w:rPr>
              <w:instrText xml:space="preserve"> PAGEREF _Toc233498870 \h </w:instrText>
            </w:r>
            <w:r w:rsidR="004A07D7">
              <w:rPr>
                <w:noProof/>
                <w:webHidden/>
              </w:rPr>
            </w:r>
            <w:r w:rsidR="004A07D7">
              <w:rPr>
                <w:noProof/>
                <w:webHidden/>
              </w:rPr>
              <w:fldChar w:fldCharType="separate"/>
            </w:r>
            <w:r w:rsidR="004A07D7">
              <w:rPr>
                <w:noProof/>
                <w:webHidden/>
              </w:rPr>
              <w:t>2</w:t>
            </w:r>
            <w:r w:rsidR="004A07D7">
              <w:rPr>
                <w:noProof/>
                <w:webHidden/>
              </w:rPr>
              <w:fldChar w:fldCharType="end"/>
            </w:r>
          </w:hyperlink>
        </w:p>
        <w:p w14:paraId="554DBC42" w14:textId="18A19D00" w:rsidR="004A07D7" w:rsidRDefault="004A07D7">
          <w:pPr>
            <w:pStyle w:val="TOC1"/>
            <w:tabs>
              <w:tab w:val="right" w:leader="dot" w:pos="9016"/>
            </w:tabs>
            <w:rPr>
              <w:rFonts w:asciiTheme="minorHAnsi" w:eastAsiaTheme="minorEastAsia" w:hAnsiTheme="minorHAnsi" w:cstheme="minorBidi"/>
              <w:noProof/>
              <w:sz w:val="22"/>
              <w:szCs w:val="22"/>
              <w:lang w:val="en-US"/>
            </w:rPr>
          </w:pPr>
          <w:hyperlink w:anchor="_Toc233498871" w:history="1">
            <w:r w:rsidRPr="00085455">
              <w:rPr>
                <w:rStyle w:val="Hyperlink"/>
                <w:noProof/>
              </w:rPr>
              <w:t>Introduction</w:t>
            </w:r>
            <w:r>
              <w:rPr>
                <w:noProof/>
                <w:webHidden/>
              </w:rPr>
              <w:tab/>
            </w:r>
            <w:r>
              <w:rPr>
                <w:noProof/>
                <w:webHidden/>
              </w:rPr>
              <w:fldChar w:fldCharType="begin"/>
            </w:r>
            <w:r>
              <w:rPr>
                <w:noProof/>
                <w:webHidden/>
              </w:rPr>
              <w:instrText xml:space="preserve"> PAGEREF _Toc233498871 \h </w:instrText>
            </w:r>
            <w:r>
              <w:rPr>
                <w:noProof/>
                <w:webHidden/>
              </w:rPr>
            </w:r>
            <w:r>
              <w:rPr>
                <w:noProof/>
                <w:webHidden/>
              </w:rPr>
              <w:fldChar w:fldCharType="separate"/>
            </w:r>
            <w:r>
              <w:rPr>
                <w:noProof/>
                <w:webHidden/>
              </w:rPr>
              <w:t>4</w:t>
            </w:r>
            <w:r>
              <w:rPr>
                <w:noProof/>
                <w:webHidden/>
              </w:rPr>
              <w:fldChar w:fldCharType="end"/>
            </w:r>
          </w:hyperlink>
        </w:p>
        <w:p w14:paraId="223C0FD0" w14:textId="16E72560" w:rsidR="004A07D7" w:rsidRDefault="004A07D7">
          <w:pPr>
            <w:pStyle w:val="TOC1"/>
            <w:tabs>
              <w:tab w:val="right" w:leader="dot" w:pos="9016"/>
            </w:tabs>
            <w:rPr>
              <w:rFonts w:asciiTheme="minorHAnsi" w:eastAsiaTheme="minorEastAsia" w:hAnsiTheme="minorHAnsi" w:cstheme="minorBidi"/>
              <w:noProof/>
              <w:sz w:val="22"/>
              <w:szCs w:val="22"/>
              <w:lang w:val="en-US"/>
            </w:rPr>
          </w:pPr>
          <w:hyperlink w:anchor="_Toc233498872" w:history="1">
            <w:r w:rsidRPr="00085455">
              <w:rPr>
                <w:rStyle w:val="Hyperlink"/>
                <w:noProof/>
              </w:rPr>
              <w:t>PART I</w:t>
            </w:r>
            <w:r>
              <w:rPr>
                <w:noProof/>
                <w:webHidden/>
              </w:rPr>
              <w:tab/>
            </w:r>
            <w:r>
              <w:rPr>
                <w:noProof/>
                <w:webHidden/>
              </w:rPr>
              <w:fldChar w:fldCharType="begin"/>
            </w:r>
            <w:r>
              <w:rPr>
                <w:noProof/>
                <w:webHidden/>
              </w:rPr>
              <w:instrText xml:space="preserve"> PAGEREF _Toc233498872 \h </w:instrText>
            </w:r>
            <w:r>
              <w:rPr>
                <w:noProof/>
                <w:webHidden/>
              </w:rPr>
            </w:r>
            <w:r>
              <w:rPr>
                <w:noProof/>
                <w:webHidden/>
              </w:rPr>
              <w:fldChar w:fldCharType="separate"/>
            </w:r>
            <w:r>
              <w:rPr>
                <w:noProof/>
                <w:webHidden/>
              </w:rPr>
              <w:t>5</w:t>
            </w:r>
            <w:r>
              <w:rPr>
                <w:noProof/>
                <w:webHidden/>
              </w:rPr>
              <w:fldChar w:fldCharType="end"/>
            </w:r>
          </w:hyperlink>
        </w:p>
        <w:p w14:paraId="75375E40" w14:textId="3ACF7C50"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73" w:history="1">
            <w:r w:rsidRPr="00085455">
              <w:rPr>
                <w:rStyle w:val="Hyperlink"/>
                <w:noProof/>
              </w:rPr>
              <w:t>Main Findings</w:t>
            </w:r>
            <w:r>
              <w:rPr>
                <w:noProof/>
                <w:webHidden/>
              </w:rPr>
              <w:tab/>
            </w:r>
            <w:r>
              <w:rPr>
                <w:noProof/>
                <w:webHidden/>
              </w:rPr>
              <w:fldChar w:fldCharType="begin"/>
            </w:r>
            <w:r>
              <w:rPr>
                <w:noProof/>
                <w:webHidden/>
              </w:rPr>
              <w:instrText xml:space="preserve"> PAGEREF _Toc233498873 \h </w:instrText>
            </w:r>
            <w:r>
              <w:rPr>
                <w:noProof/>
                <w:webHidden/>
              </w:rPr>
            </w:r>
            <w:r>
              <w:rPr>
                <w:noProof/>
                <w:webHidden/>
              </w:rPr>
              <w:fldChar w:fldCharType="separate"/>
            </w:r>
            <w:r>
              <w:rPr>
                <w:noProof/>
                <w:webHidden/>
              </w:rPr>
              <w:t>5</w:t>
            </w:r>
            <w:r>
              <w:rPr>
                <w:noProof/>
                <w:webHidden/>
              </w:rPr>
              <w:fldChar w:fldCharType="end"/>
            </w:r>
          </w:hyperlink>
        </w:p>
        <w:p w14:paraId="6827A639" w14:textId="651A4872"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74" w:history="1">
            <w:r w:rsidRPr="00085455">
              <w:rPr>
                <w:rStyle w:val="Hyperlink"/>
                <w:noProof/>
              </w:rPr>
              <w:t>Profitability Ratios</w:t>
            </w:r>
            <w:r>
              <w:rPr>
                <w:noProof/>
                <w:webHidden/>
              </w:rPr>
              <w:tab/>
            </w:r>
            <w:r>
              <w:rPr>
                <w:noProof/>
                <w:webHidden/>
              </w:rPr>
              <w:fldChar w:fldCharType="begin"/>
            </w:r>
            <w:r>
              <w:rPr>
                <w:noProof/>
                <w:webHidden/>
              </w:rPr>
              <w:instrText xml:space="preserve"> PAGEREF _Toc233498874 \h </w:instrText>
            </w:r>
            <w:r>
              <w:rPr>
                <w:noProof/>
                <w:webHidden/>
              </w:rPr>
            </w:r>
            <w:r>
              <w:rPr>
                <w:noProof/>
                <w:webHidden/>
              </w:rPr>
              <w:fldChar w:fldCharType="separate"/>
            </w:r>
            <w:r>
              <w:rPr>
                <w:noProof/>
                <w:webHidden/>
              </w:rPr>
              <w:t>5</w:t>
            </w:r>
            <w:r>
              <w:rPr>
                <w:noProof/>
                <w:webHidden/>
              </w:rPr>
              <w:fldChar w:fldCharType="end"/>
            </w:r>
          </w:hyperlink>
        </w:p>
        <w:p w14:paraId="5420C4FA" w14:textId="1A6828FA"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75" w:history="1">
            <w:r w:rsidRPr="00085455">
              <w:rPr>
                <w:rStyle w:val="Hyperlink"/>
                <w:noProof/>
              </w:rPr>
              <w:t>Efficiency Ratios</w:t>
            </w:r>
            <w:r>
              <w:rPr>
                <w:noProof/>
                <w:webHidden/>
              </w:rPr>
              <w:tab/>
            </w:r>
            <w:r>
              <w:rPr>
                <w:noProof/>
                <w:webHidden/>
              </w:rPr>
              <w:fldChar w:fldCharType="begin"/>
            </w:r>
            <w:r>
              <w:rPr>
                <w:noProof/>
                <w:webHidden/>
              </w:rPr>
              <w:instrText xml:space="preserve"> PAGEREF _Toc233498875 \h </w:instrText>
            </w:r>
            <w:r>
              <w:rPr>
                <w:noProof/>
                <w:webHidden/>
              </w:rPr>
            </w:r>
            <w:r>
              <w:rPr>
                <w:noProof/>
                <w:webHidden/>
              </w:rPr>
              <w:fldChar w:fldCharType="separate"/>
            </w:r>
            <w:r>
              <w:rPr>
                <w:noProof/>
                <w:webHidden/>
              </w:rPr>
              <w:t>6</w:t>
            </w:r>
            <w:r>
              <w:rPr>
                <w:noProof/>
                <w:webHidden/>
              </w:rPr>
              <w:fldChar w:fldCharType="end"/>
            </w:r>
          </w:hyperlink>
        </w:p>
        <w:p w14:paraId="083196B9" w14:textId="28BB2A34"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76" w:history="1">
            <w:r w:rsidRPr="00085455">
              <w:rPr>
                <w:rStyle w:val="Hyperlink"/>
                <w:noProof/>
              </w:rPr>
              <w:t>Liquidity Ratios</w:t>
            </w:r>
            <w:r>
              <w:rPr>
                <w:noProof/>
                <w:webHidden/>
              </w:rPr>
              <w:tab/>
            </w:r>
            <w:r>
              <w:rPr>
                <w:noProof/>
                <w:webHidden/>
              </w:rPr>
              <w:fldChar w:fldCharType="begin"/>
            </w:r>
            <w:r>
              <w:rPr>
                <w:noProof/>
                <w:webHidden/>
              </w:rPr>
              <w:instrText xml:space="preserve"> PAGEREF _Toc233498876 \h </w:instrText>
            </w:r>
            <w:r>
              <w:rPr>
                <w:noProof/>
                <w:webHidden/>
              </w:rPr>
            </w:r>
            <w:r>
              <w:rPr>
                <w:noProof/>
                <w:webHidden/>
              </w:rPr>
              <w:fldChar w:fldCharType="separate"/>
            </w:r>
            <w:r>
              <w:rPr>
                <w:noProof/>
                <w:webHidden/>
              </w:rPr>
              <w:t>8</w:t>
            </w:r>
            <w:r>
              <w:rPr>
                <w:noProof/>
                <w:webHidden/>
              </w:rPr>
              <w:fldChar w:fldCharType="end"/>
            </w:r>
          </w:hyperlink>
        </w:p>
        <w:p w14:paraId="716FD9E5" w14:textId="160E9866"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77" w:history="1">
            <w:r w:rsidRPr="00085455">
              <w:rPr>
                <w:rStyle w:val="Hyperlink"/>
                <w:noProof/>
              </w:rPr>
              <w:t>Investment Ratios</w:t>
            </w:r>
            <w:r>
              <w:rPr>
                <w:noProof/>
                <w:webHidden/>
              </w:rPr>
              <w:tab/>
            </w:r>
            <w:r>
              <w:rPr>
                <w:noProof/>
                <w:webHidden/>
              </w:rPr>
              <w:fldChar w:fldCharType="begin"/>
            </w:r>
            <w:r>
              <w:rPr>
                <w:noProof/>
                <w:webHidden/>
              </w:rPr>
              <w:instrText xml:space="preserve"> PAGEREF _Toc233498877 \h </w:instrText>
            </w:r>
            <w:r>
              <w:rPr>
                <w:noProof/>
                <w:webHidden/>
              </w:rPr>
            </w:r>
            <w:r>
              <w:rPr>
                <w:noProof/>
                <w:webHidden/>
              </w:rPr>
              <w:fldChar w:fldCharType="separate"/>
            </w:r>
            <w:r>
              <w:rPr>
                <w:noProof/>
                <w:webHidden/>
              </w:rPr>
              <w:t>9</w:t>
            </w:r>
            <w:r>
              <w:rPr>
                <w:noProof/>
                <w:webHidden/>
              </w:rPr>
              <w:fldChar w:fldCharType="end"/>
            </w:r>
          </w:hyperlink>
        </w:p>
        <w:p w14:paraId="6B072A36" w14:textId="0C0952EE"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78" w:history="1">
            <w:r w:rsidRPr="00085455">
              <w:rPr>
                <w:rStyle w:val="Hyperlink"/>
                <w:noProof/>
              </w:rPr>
              <w:t>Summary of Financial Position</w:t>
            </w:r>
            <w:r>
              <w:rPr>
                <w:noProof/>
                <w:webHidden/>
              </w:rPr>
              <w:tab/>
            </w:r>
            <w:r>
              <w:rPr>
                <w:noProof/>
                <w:webHidden/>
              </w:rPr>
              <w:fldChar w:fldCharType="begin"/>
            </w:r>
            <w:r>
              <w:rPr>
                <w:noProof/>
                <w:webHidden/>
              </w:rPr>
              <w:instrText xml:space="preserve"> PAGEREF _Toc233498878 \h </w:instrText>
            </w:r>
            <w:r>
              <w:rPr>
                <w:noProof/>
                <w:webHidden/>
              </w:rPr>
            </w:r>
            <w:r>
              <w:rPr>
                <w:noProof/>
                <w:webHidden/>
              </w:rPr>
              <w:fldChar w:fldCharType="separate"/>
            </w:r>
            <w:r>
              <w:rPr>
                <w:noProof/>
                <w:webHidden/>
              </w:rPr>
              <w:t>9</w:t>
            </w:r>
            <w:r>
              <w:rPr>
                <w:noProof/>
                <w:webHidden/>
              </w:rPr>
              <w:fldChar w:fldCharType="end"/>
            </w:r>
          </w:hyperlink>
        </w:p>
        <w:p w14:paraId="0CEB5BEC" w14:textId="773D13EE" w:rsidR="004A07D7" w:rsidRDefault="004A07D7">
          <w:pPr>
            <w:pStyle w:val="TOC1"/>
            <w:tabs>
              <w:tab w:val="right" w:leader="dot" w:pos="9016"/>
            </w:tabs>
            <w:rPr>
              <w:rFonts w:asciiTheme="minorHAnsi" w:eastAsiaTheme="minorEastAsia" w:hAnsiTheme="minorHAnsi" w:cstheme="minorBidi"/>
              <w:noProof/>
              <w:sz w:val="22"/>
              <w:szCs w:val="22"/>
              <w:lang w:val="en-US"/>
            </w:rPr>
          </w:pPr>
          <w:hyperlink w:anchor="_Toc233498879" w:history="1">
            <w:r w:rsidRPr="00085455">
              <w:rPr>
                <w:rStyle w:val="Hyperlink"/>
                <w:noProof/>
              </w:rPr>
              <w:t>PART II</w:t>
            </w:r>
            <w:r>
              <w:rPr>
                <w:noProof/>
                <w:webHidden/>
              </w:rPr>
              <w:tab/>
            </w:r>
            <w:r>
              <w:rPr>
                <w:noProof/>
                <w:webHidden/>
              </w:rPr>
              <w:fldChar w:fldCharType="begin"/>
            </w:r>
            <w:r>
              <w:rPr>
                <w:noProof/>
                <w:webHidden/>
              </w:rPr>
              <w:instrText xml:space="preserve"> PAGEREF _Toc233498879 \h </w:instrText>
            </w:r>
            <w:r>
              <w:rPr>
                <w:noProof/>
                <w:webHidden/>
              </w:rPr>
            </w:r>
            <w:r>
              <w:rPr>
                <w:noProof/>
                <w:webHidden/>
              </w:rPr>
              <w:fldChar w:fldCharType="separate"/>
            </w:r>
            <w:r>
              <w:rPr>
                <w:noProof/>
                <w:webHidden/>
              </w:rPr>
              <w:t>10</w:t>
            </w:r>
            <w:r>
              <w:rPr>
                <w:noProof/>
                <w:webHidden/>
              </w:rPr>
              <w:fldChar w:fldCharType="end"/>
            </w:r>
          </w:hyperlink>
        </w:p>
        <w:p w14:paraId="3C321B6A" w14:textId="7427E52B"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80" w:history="1">
            <w:r w:rsidRPr="00085455">
              <w:rPr>
                <w:rStyle w:val="Hyperlink"/>
                <w:noProof/>
              </w:rPr>
              <w:t>Analysis of Net Present Value and Internal Rate of Return</w:t>
            </w:r>
            <w:r>
              <w:rPr>
                <w:noProof/>
                <w:webHidden/>
              </w:rPr>
              <w:tab/>
            </w:r>
            <w:r>
              <w:rPr>
                <w:noProof/>
                <w:webHidden/>
              </w:rPr>
              <w:fldChar w:fldCharType="begin"/>
            </w:r>
            <w:r>
              <w:rPr>
                <w:noProof/>
                <w:webHidden/>
              </w:rPr>
              <w:instrText xml:space="preserve"> PAGEREF _Toc233498880 \h </w:instrText>
            </w:r>
            <w:r>
              <w:rPr>
                <w:noProof/>
                <w:webHidden/>
              </w:rPr>
            </w:r>
            <w:r>
              <w:rPr>
                <w:noProof/>
                <w:webHidden/>
              </w:rPr>
              <w:fldChar w:fldCharType="separate"/>
            </w:r>
            <w:r>
              <w:rPr>
                <w:noProof/>
                <w:webHidden/>
              </w:rPr>
              <w:t>10</w:t>
            </w:r>
            <w:r>
              <w:rPr>
                <w:noProof/>
                <w:webHidden/>
              </w:rPr>
              <w:fldChar w:fldCharType="end"/>
            </w:r>
          </w:hyperlink>
        </w:p>
        <w:p w14:paraId="69529190" w14:textId="0491741C"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81" w:history="1">
            <w:r w:rsidRPr="00085455">
              <w:rPr>
                <w:rStyle w:val="Hyperlink"/>
                <w:noProof/>
              </w:rPr>
              <w:t>Other Factors of Consideration</w:t>
            </w:r>
            <w:r>
              <w:rPr>
                <w:noProof/>
                <w:webHidden/>
              </w:rPr>
              <w:tab/>
            </w:r>
            <w:r>
              <w:rPr>
                <w:noProof/>
                <w:webHidden/>
              </w:rPr>
              <w:fldChar w:fldCharType="begin"/>
            </w:r>
            <w:r>
              <w:rPr>
                <w:noProof/>
                <w:webHidden/>
              </w:rPr>
              <w:instrText xml:space="preserve"> PAGEREF _Toc233498881 \h </w:instrText>
            </w:r>
            <w:r>
              <w:rPr>
                <w:noProof/>
                <w:webHidden/>
              </w:rPr>
            </w:r>
            <w:r>
              <w:rPr>
                <w:noProof/>
                <w:webHidden/>
              </w:rPr>
              <w:fldChar w:fldCharType="separate"/>
            </w:r>
            <w:r>
              <w:rPr>
                <w:noProof/>
                <w:webHidden/>
              </w:rPr>
              <w:t>12</w:t>
            </w:r>
            <w:r>
              <w:rPr>
                <w:noProof/>
                <w:webHidden/>
              </w:rPr>
              <w:fldChar w:fldCharType="end"/>
            </w:r>
          </w:hyperlink>
        </w:p>
        <w:p w14:paraId="1FA73C46" w14:textId="2D05ED49" w:rsidR="004A07D7" w:rsidRDefault="004A07D7">
          <w:pPr>
            <w:pStyle w:val="TOC2"/>
            <w:tabs>
              <w:tab w:val="right" w:leader="dot" w:pos="9016"/>
            </w:tabs>
            <w:rPr>
              <w:rFonts w:asciiTheme="minorHAnsi" w:eastAsiaTheme="minorEastAsia" w:hAnsiTheme="minorHAnsi" w:cstheme="minorBidi"/>
              <w:noProof/>
              <w:sz w:val="22"/>
              <w:szCs w:val="22"/>
              <w:lang w:val="en-US"/>
            </w:rPr>
          </w:pPr>
          <w:hyperlink w:anchor="_Toc233498882" w:history="1">
            <w:r w:rsidRPr="00085455">
              <w:rPr>
                <w:rStyle w:val="Hyperlink"/>
                <w:noProof/>
              </w:rPr>
              <w:t>Optimal Investment Policy for Beard Plc.</w:t>
            </w:r>
            <w:r>
              <w:rPr>
                <w:noProof/>
                <w:webHidden/>
              </w:rPr>
              <w:tab/>
            </w:r>
            <w:r>
              <w:rPr>
                <w:noProof/>
                <w:webHidden/>
              </w:rPr>
              <w:fldChar w:fldCharType="begin"/>
            </w:r>
            <w:r>
              <w:rPr>
                <w:noProof/>
                <w:webHidden/>
              </w:rPr>
              <w:instrText xml:space="preserve"> PAGEREF _Toc233498882 \h </w:instrText>
            </w:r>
            <w:r>
              <w:rPr>
                <w:noProof/>
                <w:webHidden/>
              </w:rPr>
            </w:r>
            <w:r>
              <w:rPr>
                <w:noProof/>
                <w:webHidden/>
              </w:rPr>
              <w:fldChar w:fldCharType="separate"/>
            </w:r>
            <w:r>
              <w:rPr>
                <w:noProof/>
                <w:webHidden/>
              </w:rPr>
              <w:t>13</w:t>
            </w:r>
            <w:r>
              <w:rPr>
                <w:noProof/>
                <w:webHidden/>
              </w:rPr>
              <w:fldChar w:fldCharType="end"/>
            </w:r>
          </w:hyperlink>
        </w:p>
        <w:p w14:paraId="6DBFFFAD" w14:textId="4EBACBAC" w:rsidR="004A07D7" w:rsidRDefault="004A07D7">
          <w:pPr>
            <w:pStyle w:val="TOC1"/>
            <w:tabs>
              <w:tab w:val="right" w:leader="dot" w:pos="9016"/>
            </w:tabs>
            <w:rPr>
              <w:rFonts w:asciiTheme="minorHAnsi" w:eastAsiaTheme="minorEastAsia" w:hAnsiTheme="minorHAnsi" w:cstheme="minorBidi"/>
              <w:noProof/>
              <w:sz w:val="22"/>
              <w:szCs w:val="22"/>
              <w:lang w:val="en-US"/>
            </w:rPr>
          </w:pPr>
          <w:hyperlink w:anchor="_Toc233498883" w:history="1">
            <w:r w:rsidRPr="00085455">
              <w:rPr>
                <w:rStyle w:val="Hyperlink"/>
                <w:noProof/>
              </w:rPr>
              <w:t>Conclusion</w:t>
            </w:r>
            <w:r>
              <w:rPr>
                <w:noProof/>
                <w:webHidden/>
              </w:rPr>
              <w:tab/>
            </w:r>
            <w:r>
              <w:rPr>
                <w:noProof/>
                <w:webHidden/>
              </w:rPr>
              <w:fldChar w:fldCharType="begin"/>
            </w:r>
            <w:r>
              <w:rPr>
                <w:noProof/>
                <w:webHidden/>
              </w:rPr>
              <w:instrText xml:space="preserve"> PAGEREF _Toc233498883 \h </w:instrText>
            </w:r>
            <w:r>
              <w:rPr>
                <w:noProof/>
                <w:webHidden/>
              </w:rPr>
            </w:r>
            <w:r>
              <w:rPr>
                <w:noProof/>
                <w:webHidden/>
              </w:rPr>
              <w:fldChar w:fldCharType="separate"/>
            </w:r>
            <w:r>
              <w:rPr>
                <w:noProof/>
                <w:webHidden/>
              </w:rPr>
              <w:t>15</w:t>
            </w:r>
            <w:r>
              <w:rPr>
                <w:noProof/>
                <w:webHidden/>
              </w:rPr>
              <w:fldChar w:fldCharType="end"/>
            </w:r>
          </w:hyperlink>
        </w:p>
        <w:p w14:paraId="79C07D2A" w14:textId="02C69F4B" w:rsidR="004A07D7" w:rsidRDefault="004A07D7">
          <w:pPr>
            <w:pStyle w:val="TOC1"/>
            <w:tabs>
              <w:tab w:val="right" w:leader="dot" w:pos="9016"/>
            </w:tabs>
            <w:rPr>
              <w:rFonts w:asciiTheme="minorHAnsi" w:eastAsiaTheme="minorEastAsia" w:hAnsiTheme="minorHAnsi" w:cstheme="minorBidi"/>
              <w:noProof/>
              <w:sz w:val="22"/>
              <w:szCs w:val="22"/>
              <w:lang w:val="en-US"/>
            </w:rPr>
          </w:pPr>
          <w:hyperlink w:anchor="_Toc233498884" w:history="1">
            <w:r w:rsidRPr="00085455">
              <w:rPr>
                <w:rStyle w:val="Hyperlink"/>
                <w:noProof/>
              </w:rPr>
              <w:t>References</w:t>
            </w:r>
            <w:r>
              <w:rPr>
                <w:noProof/>
                <w:webHidden/>
              </w:rPr>
              <w:tab/>
            </w:r>
            <w:r>
              <w:rPr>
                <w:noProof/>
                <w:webHidden/>
              </w:rPr>
              <w:fldChar w:fldCharType="begin"/>
            </w:r>
            <w:r>
              <w:rPr>
                <w:noProof/>
                <w:webHidden/>
              </w:rPr>
              <w:instrText xml:space="preserve"> PAGEREF _Toc233498884 \h </w:instrText>
            </w:r>
            <w:r>
              <w:rPr>
                <w:noProof/>
                <w:webHidden/>
              </w:rPr>
            </w:r>
            <w:r>
              <w:rPr>
                <w:noProof/>
                <w:webHidden/>
              </w:rPr>
              <w:fldChar w:fldCharType="separate"/>
            </w:r>
            <w:r>
              <w:rPr>
                <w:noProof/>
                <w:webHidden/>
              </w:rPr>
              <w:t>16</w:t>
            </w:r>
            <w:r>
              <w:rPr>
                <w:noProof/>
                <w:webHidden/>
              </w:rPr>
              <w:fldChar w:fldCharType="end"/>
            </w:r>
          </w:hyperlink>
        </w:p>
        <w:p w14:paraId="0E6F51CB" w14:textId="688EB50F" w:rsidR="003C04E0" w:rsidRDefault="003C04E0">
          <w:r>
            <w:rPr>
              <w:b/>
              <w:bCs/>
              <w:noProof/>
            </w:rPr>
            <w:fldChar w:fldCharType="end"/>
          </w:r>
        </w:p>
      </w:sdtContent>
    </w:sdt>
    <w:p w14:paraId="31EE1E2A" w14:textId="77777777" w:rsidR="00256EFA" w:rsidRDefault="00256EFA">
      <w:r>
        <w:br w:type="page"/>
      </w:r>
    </w:p>
    <w:p w14:paraId="78DBD9EF" w14:textId="77777777" w:rsidR="00256EFA" w:rsidRDefault="00256EFA" w:rsidP="0032283F">
      <w:pPr>
        <w:pStyle w:val="Heading1"/>
      </w:pPr>
      <w:bookmarkStart w:id="1" w:name="_Toc233498871"/>
      <w:r>
        <w:lastRenderedPageBreak/>
        <w:t>Introduction</w:t>
      </w:r>
      <w:bookmarkEnd w:id="1"/>
    </w:p>
    <w:p w14:paraId="56D8B9CD" w14:textId="17426662" w:rsidR="00A0251A" w:rsidRPr="00A0251A" w:rsidRDefault="00A0251A" w:rsidP="00A0251A">
      <w:pPr>
        <w:rPr>
          <w:color w:val="EE0000"/>
          <w:lang w:val="en-US"/>
        </w:rPr>
      </w:pPr>
      <w:r w:rsidRPr="00A0251A">
        <w:rPr>
          <w:color w:val="EE0000"/>
          <w:lang w:val="en-US"/>
        </w:rPr>
        <w:t xml:space="preserve">AstraZeneca Plc is a </w:t>
      </w:r>
      <w:r w:rsidR="00AD1B57">
        <w:rPr>
          <w:color w:val="EE0000"/>
          <w:lang w:val="en-US"/>
        </w:rPr>
        <w:t>large-cap</w:t>
      </w:r>
      <w:r w:rsidRPr="00A0251A">
        <w:rPr>
          <w:color w:val="EE0000"/>
          <w:lang w:val="en-US"/>
        </w:rPr>
        <w:t xml:space="preserve"> pharmaceutical company which operates in a very research-intensive and competitive industry. Financial statements analysis is a critical tool for determining how well a company is using its allocation of resources, how well it is earning a profit and how it's handling short-term debts and enriching shareholders. A system of understanding financial performance is provided by ratio analysis, which relates items in the financial statements to broader business meaning. For the company AstraZeneca, the analysis is made for the financial years 2024 and 2025, taking into account profitability, efficiency, liquidity and investment ratios. The ratios can be used to determine if the firm's performance is getting better or worse over the past two years or if it is making no net change.</w:t>
      </w:r>
    </w:p>
    <w:p w14:paraId="0F0190DC" w14:textId="7500F60B" w:rsidR="0016759E" w:rsidRPr="0016759E" w:rsidRDefault="00A0251A" w:rsidP="00A0251A">
      <w:pPr>
        <w:rPr>
          <w:color w:val="EE0000"/>
          <w:lang w:val="en-US"/>
        </w:rPr>
      </w:pPr>
      <w:r w:rsidRPr="00A0251A">
        <w:rPr>
          <w:color w:val="EE0000"/>
          <w:lang w:val="en-US"/>
        </w:rPr>
        <w:t xml:space="preserve">The second area of analysis is on </w:t>
      </w:r>
      <w:r w:rsidR="00AD1B57">
        <w:rPr>
          <w:color w:val="EE0000"/>
          <w:lang w:val="en-US"/>
        </w:rPr>
        <w:t xml:space="preserve">the </w:t>
      </w:r>
      <w:r w:rsidRPr="00A0251A">
        <w:rPr>
          <w:color w:val="EE0000"/>
          <w:lang w:val="en-US"/>
        </w:rPr>
        <w:t xml:space="preserve">Beard Plc capital investment decision. Investment appraisal is important to businesses as they have limited resources and must select the project that will generate the optimum financial and strategic return. Future cash flows can be compared by using </w:t>
      </w:r>
      <w:r w:rsidR="00AD1B57">
        <w:rPr>
          <w:color w:val="EE0000"/>
          <w:lang w:val="en-US"/>
        </w:rPr>
        <w:t>methods</w:t>
      </w:r>
      <w:r w:rsidRPr="00A0251A">
        <w:rPr>
          <w:color w:val="EE0000"/>
          <w:lang w:val="en-US"/>
        </w:rPr>
        <w:t xml:space="preserve"> like net present value and internal rate of return</w:t>
      </w:r>
      <w:r w:rsidR="00AD1B57">
        <w:rPr>
          <w:color w:val="EE0000"/>
          <w:lang w:val="en-US"/>
        </w:rPr>
        <w:t>,</w:t>
      </w:r>
      <w:r w:rsidRPr="00A0251A">
        <w:rPr>
          <w:color w:val="EE0000"/>
          <w:lang w:val="en-US"/>
        </w:rPr>
        <w:t xml:space="preserve"> which </w:t>
      </w:r>
      <w:r w:rsidR="00AD1B57">
        <w:rPr>
          <w:color w:val="EE0000"/>
          <w:lang w:val="en-US"/>
        </w:rPr>
        <w:t>take the</w:t>
      </w:r>
      <w:r w:rsidRPr="00A0251A">
        <w:rPr>
          <w:color w:val="EE0000"/>
          <w:lang w:val="en-US"/>
        </w:rPr>
        <w:t xml:space="preserve"> time value of money into account. But sometimes, numbers alone aren't enough. Other factors such as risk, project sensitivity, environmental impact, legal conditions, political stability and strategic fit should also influence the eventual decision. Thus, the report accounts for financial ratio analysis as well as investment appraisal to help in making informed decisions in the business. In general, the aim is to assess the financial standing of AstraZeneca and to advise the optimum investment to take for Beard Plc.</w:t>
      </w:r>
    </w:p>
    <w:p w14:paraId="64E9E65A" w14:textId="678BCA46" w:rsidR="00F97A38" w:rsidRDefault="00F97A38">
      <w:r>
        <w:br w:type="page"/>
      </w:r>
    </w:p>
    <w:p w14:paraId="242B40C0" w14:textId="77777777" w:rsidR="00F97A38" w:rsidRDefault="00F97A38" w:rsidP="00F97A38">
      <w:pPr>
        <w:pStyle w:val="Heading1"/>
      </w:pPr>
      <w:bookmarkStart w:id="2" w:name="_Toc233498872"/>
      <w:r>
        <w:lastRenderedPageBreak/>
        <w:t>PART I</w:t>
      </w:r>
      <w:bookmarkEnd w:id="2"/>
    </w:p>
    <w:p w14:paraId="4A44637A" w14:textId="6FAE5CFE" w:rsidR="0072297B" w:rsidRDefault="0072297B" w:rsidP="007436EE">
      <w:pPr>
        <w:pStyle w:val="Heading2"/>
      </w:pPr>
      <w:bookmarkStart w:id="3" w:name="_Toc233498873"/>
      <w:r>
        <w:t xml:space="preserve">Main </w:t>
      </w:r>
      <w:r w:rsidR="00594DBB">
        <w:t>F</w:t>
      </w:r>
      <w:r>
        <w:t>indings</w:t>
      </w:r>
      <w:bookmarkEnd w:id="3"/>
      <w:r>
        <w:t xml:space="preserve"> </w:t>
      </w:r>
    </w:p>
    <w:p w14:paraId="795A9AE4" w14:textId="40820298" w:rsidR="0072297B" w:rsidRPr="008324B1" w:rsidRDefault="00C9174D" w:rsidP="00113811">
      <w:pPr>
        <w:rPr>
          <w:color w:val="EE0000"/>
        </w:rPr>
      </w:pPr>
      <w:r w:rsidRPr="00C9174D">
        <w:rPr>
          <w:color w:val="EE0000"/>
        </w:rPr>
        <w:t xml:space="preserve">The main findings are based on AstraZeneca Plc’s financial performance and position for 2024 and 2025. Profitability, efficiency, liquidity, investment and gearing are used to determine how well the company used its assets to generate profit, how effective it was in the use of its assets, how it used its working capital, how well it met </w:t>
      </w:r>
      <w:r w:rsidR="00AD1B57">
        <w:rPr>
          <w:color w:val="EE0000"/>
        </w:rPr>
        <w:t>short-term</w:t>
      </w:r>
      <w:r w:rsidRPr="00C9174D">
        <w:rPr>
          <w:color w:val="EE0000"/>
        </w:rPr>
        <w:t xml:space="preserve"> obligations, how much value it has created for the shareholders and how well it has controlled financial risk. These ratios offer a systematic way of assessing AstraZeneca's financial </w:t>
      </w:r>
      <w:r w:rsidR="001D1C12" w:rsidRPr="00C9174D">
        <w:rPr>
          <w:color w:val="EE0000"/>
        </w:rPr>
        <w:t>strength</w:t>
      </w:r>
      <w:r w:rsidRPr="00C9174D">
        <w:rPr>
          <w:color w:val="EE0000"/>
        </w:rPr>
        <w:t>. The results are also considered in terms of improvement or weakness over the two years, with appropriate financial data and ratio interpretation and academic sources provided.</w:t>
      </w:r>
    </w:p>
    <w:p w14:paraId="2F76BBBE" w14:textId="5621522A" w:rsidR="00F97A38" w:rsidRDefault="00F97A38" w:rsidP="007436EE">
      <w:pPr>
        <w:pStyle w:val="Heading2"/>
      </w:pPr>
      <w:bookmarkStart w:id="4" w:name="_kel7rklhwy01" w:colFirst="0" w:colLast="0"/>
      <w:bookmarkStart w:id="5" w:name="_Toc233498874"/>
      <w:bookmarkEnd w:id="4"/>
      <w:r>
        <w:t>Profitability Ratios</w:t>
      </w:r>
      <w:bookmarkEnd w:id="5"/>
    </w:p>
    <w:p w14:paraId="07F8C2C3" w14:textId="615D59FE" w:rsidR="00F97A38" w:rsidRDefault="00F97A38" w:rsidP="00113811">
      <w:r>
        <w:t>Profitability ratios are used to measure how much revenue a company can generate against its expenses, revenue, assets, capital, etc.</w:t>
      </w:r>
      <w:r w:rsidR="00AD1B57">
        <w:t>,</w:t>
      </w:r>
      <w:r>
        <w:t xml:space="preserve"> items. The common profitability ratios for the years 2024 and 2025 for both companies have been calculated and analysed below:</w:t>
      </w:r>
    </w:p>
    <w:p w14:paraId="580E984E" w14:textId="1ABAD8FB" w:rsidR="00F97A38" w:rsidRDefault="00F97A38" w:rsidP="00113811">
      <w:pPr>
        <w:pBdr>
          <w:top w:val="nil"/>
          <w:left w:val="nil"/>
          <w:bottom w:val="nil"/>
          <w:right w:val="nil"/>
          <w:between w:val="nil"/>
        </w:pBdr>
        <w:rPr>
          <w:color w:val="000000"/>
        </w:rPr>
      </w:pPr>
      <w:r>
        <w:rPr>
          <w:b/>
          <w:bCs/>
          <w:color w:val="000000"/>
        </w:rPr>
        <w:t xml:space="preserve">Gross profit (GP) ratio: </w:t>
      </w:r>
      <w:r>
        <w:rPr>
          <w:color w:val="000000"/>
        </w:rPr>
        <w:t xml:space="preserve">This ratio demonstrates how much revenue exceeds </w:t>
      </w:r>
      <w:r w:rsidR="00AD1B57">
        <w:rPr>
          <w:color w:val="000000"/>
        </w:rPr>
        <w:t xml:space="preserve">the </w:t>
      </w:r>
      <w:r>
        <w:rPr>
          <w:color w:val="000000"/>
        </w:rPr>
        <w:t xml:space="preserve">costs of goods sold (COGS) </w:t>
      </w:r>
      <w:r w:rsidR="00AD1B57">
        <w:rPr>
          <w:color w:val="000000"/>
        </w:rPr>
        <w:t>as a</w:t>
      </w:r>
      <w:r>
        <w:rPr>
          <w:color w:val="000000"/>
        </w:rPr>
        <w:t xml:space="preserve"> percentage. COGS is the cost of production. There are other expenses to cover</w:t>
      </w:r>
      <w:r w:rsidR="00AD1B57">
        <w:rPr>
          <w:color w:val="000000"/>
        </w:rPr>
        <w:t>,</w:t>
      </w:r>
      <w:r>
        <w:rPr>
          <w:color w:val="000000"/>
        </w:rPr>
        <w:t xml:space="preserve"> too. </w:t>
      </w:r>
      <w:r w:rsidR="00AD1B57">
        <w:rPr>
          <w:color w:val="000000"/>
        </w:rPr>
        <w:t xml:space="preserve">The </w:t>
      </w:r>
      <w:r>
        <w:rPr>
          <w:color w:val="000000"/>
        </w:rPr>
        <w:t>GP ratio shows how much money is left to cover operating and other expenses and taxes after covering COGS</w:t>
      </w:r>
      <w:r w:rsidR="00600744">
        <w:rPr>
          <w:color w:val="000000"/>
        </w:rPr>
        <w:t xml:space="preserve"> </w:t>
      </w:r>
      <w:r w:rsidR="00600744" w:rsidRPr="00600744">
        <w:rPr>
          <w:color w:val="000000"/>
        </w:rPr>
        <w:t>(Franklin, Graybeal and Cooper, 2019b)</w:t>
      </w:r>
      <w:r>
        <w:rPr>
          <w:color w:val="000000"/>
        </w:rPr>
        <w:t xml:space="preserve">. A </w:t>
      </w:r>
      <w:r w:rsidR="00AD1B57">
        <w:rPr>
          <w:color w:val="000000"/>
        </w:rPr>
        <w:t>pharmaceutical</w:t>
      </w:r>
      <w:r>
        <w:rPr>
          <w:color w:val="000000"/>
        </w:rPr>
        <w:t xml:space="preserve"> company has comparatively less COGS than a retailer. In that sense, both companies are doing very well in covering their COGS with their respective revenue.</w:t>
      </w:r>
    </w:p>
    <w:p w14:paraId="42F5D98D" w14:textId="77777777" w:rsidR="00F97A38" w:rsidRDefault="00F97A38" w:rsidP="00113811">
      <w:pPr>
        <w:rPr>
          <w:b/>
          <w:bCs/>
        </w:rPr>
      </w:pPr>
      <w:r>
        <w:rPr>
          <w:b/>
          <w:bCs/>
        </w:rPr>
        <w:t>GP ratio for the year 2024:</w:t>
      </w:r>
    </w:p>
    <w:p w14:paraId="45765A51" w14:textId="77777777" w:rsidR="00594DBB" w:rsidRDefault="00F97A38" w:rsidP="00113811">
      <w:pPr>
        <w:pBdr>
          <w:top w:val="nil"/>
          <w:left w:val="nil"/>
          <w:bottom w:val="nil"/>
          <w:right w:val="nil"/>
          <w:between w:val="nil"/>
        </w:pBdr>
        <w:jc w:val="left"/>
        <w:rPr>
          <w:color w:val="000000"/>
        </w:rPr>
      </w:pPr>
      <w:r>
        <w:rPr>
          <w:color w:val="000000"/>
        </w:rPr>
        <w:t xml:space="preserve">AstraZeneca = 86.11% </w:t>
      </w:r>
    </w:p>
    <w:p w14:paraId="50C5EDD1" w14:textId="32356527" w:rsidR="00F97A38" w:rsidRPr="00594DBB" w:rsidRDefault="00F97A38" w:rsidP="00113811">
      <w:pPr>
        <w:pBdr>
          <w:top w:val="nil"/>
          <w:left w:val="nil"/>
          <w:bottom w:val="nil"/>
          <w:right w:val="nil"/>
          <w:between w:val="nil"/>
        </w:pBdr>
        <w:jc w:val="left"/>
        <w:rPr>
          <w:color w:val="000000"/>
        </w:rPr>
      </w:pPr>
      <w:r>
        <w:rPr>
          <w:b/>
          <w:bCs/>
        </w:rPr>
        <w:t>GP ratio for the year 2025:</w:t>
      </w:r>
    </w:p>
    <w:p w14:paraId="31050B5B" w14:textId="77777777" w:rsidR="00280B59" w:rsidRDefault="00F97A38" w:rsidP="00113811">
      <w:pPr>
        <w:pBdr>
          <w:top w:val="nil"/>
          <w:left w:val="nil"/>
          <w:bottom w:val="nil"/>
          <w:right w:val="nil"/>
          <w:between w:val="nil"/>
        </w:pBdr>
        <w:jc w:val="left"/>
        <w:rPr>
          <w:color w:val="000000"/>
        </w:rPr>
      </w:pPr>
      <w:r>
        <w:rPr>
          <w:color w:val="000000"/>
        </w:rPr>
        <w:t>AstraZeneca = 86.56%</w:t>
      </w:r>
    </w:p>
    <w:p w14:paraId="4A486169" w14:textId="5C5E0152" w:rsidR="00D96A6B" w:rsidRPr="00504E25" w:rsidRDefault="00D95F2A" w:rsidP="00A75C07">
      <w:pPr>
        <w:pBdr>
          <w:top w:val="nil"/>
          <w:left w:val="nil"/>
          <w:bottom w:val="nil"/>
          <w:right w:val="nil"/>
          <w:between w:val="nil"/>
        </w:pBdr>
        <w:rPr>
          <w:color w:val="EE0000"/>
        </w:rPr>
      </w:pPr>
      <w:r w:rsidRPr="00D95F2A">
        <w:rPr>
          <w:color w:val="EE0000"/>
        </w:rPr>
        <w:t>AstraZeneca's gross profit margin underwent a marginal rise from 86.11% in 2024 to 86.56% in 2025. This is good as it indicates that the company retained a slightly larger share of revenue from sales and profits after accounting for the cost of sales, likely from improved pricing, product mix or cost management.</w:t>
      </w:r>
    </w:p>
    <w:p w14:paraId="5B5405EC" w14:textId="25209928" w:rsidR="00F97A38" w:rsidRDefault="00F97A38" w:rsidP="00113811">
      <w:pPr>
        <w:pBdr>
          <w:top w:val="nil"/>
          <w:left w:val="nil"/>
          <w:bottom w:val="nil"/>
          <w:right w:val="nil"/>
          <w:between w:val="nil"/>
        </w:pBdr>
        <w:jc w:val="left"/>
        <w:rPr>
          <w:color w:val="000000"/>
        </w:rPr>
      </w:pPr>
      <w:r>
        <w:rPr>
          <w:b/>
          <w:bCs/>
          <w:color w:val="000000"/>
        </w:rPr>
        <w:lastRenderedPageBreak/>
        <w:t xml:space="preserve">Net profit ratio: </w:t>
      </w:r>
      <w:r>
        <w:rPr>
          <w:color w:val="000000"/>
        </w:rPr>
        <w:t>The net profit ratio or the net profit margin measures efficiency and financial health</w:t>
      </w:r>
      <w:r w:rsidR="00623352">
        <w:rPr>
          <w:color w:val="000000"/>
        </w:rPr>
        <w:t xml:space="preserve"> </w:t>
      </w:r>
      <w:r w:rsidR="00623352" w:rsidRPr="00623352">
        <w:rPr>
          <w:color w:val="000000"/>
        </w:rPr>
        <w:t>(Damodaran, 2017)</w:t>
      </w:r>
      <w:r>
        <w:rPr>
          <w:color w:val="000000"/>
        </w:rPr>
        <w:t>. A low ratio suggests high risks</w:t>
      </w:r>
      <w:r w:rsidR="00AD1B57">
        <w:rPr>
          <w:color w:val="000000"/>
        </w:rPr>
        <w:t>,</w:t>
      </w:r>
      <w:r>
        <w:rPr>
          <w:color w:val="000000"/>
        </w:rPr>
        <w:t xml:space="preserve"> whereas a high ratio suggests good management and proper risk mitigation. </w:t>
      </w:r>
    </w:p>
    <w:p w14:paraId="4174141D" w14:textId="77777777" w:rsidR="00F97A38" w:rsidRDefault="00F97A38" w:rsidP="00113811">
      <w:pPr>
        <w:pBdr>
          <w:top w:val="nil"/>
          <w:left w:val="nil"/>
          <w:bottom w:val="nil"/>
          <w:right w:val="nil"/>
          <w:between w:val="nil"/>
        </w:pBdr>
        <w:rPr>
          <w:b/>
          <w:bCs/>
          <w:color w:val="000000"/>
        </w:rPr>
      </w:pPr>
      <w:r>
        <w:rPr>
          <w:b/>
          <w:bCs/>
          <w:color w:val="000000"/>
        </w:rPr>
        <w:t>Net profit ratio for the year 2024:</w:t>
      </w:r>
    </w:p>
    <w:p w14:paraId="1D346D29" w14:textId="4D45387C" w:rsidR="00F97A38" w:rsidRDefault="00F97A38" w:rsidP="00113811">
      <w:pPr>
        <w:jc w:val="left"/>
      </w:pPr>
      <w:r>
        <w:t>AstraZeneca = 13%</w:t>
      </w:r>
    </w:p>
    <w:p w14:paraId="35357DB3" w14:textId="77777777" w:rsidR="00F97A38" w:rsidRDefault="00F97A38" w:rsidP="00113811">
      <w:pPr>
        <w:rPr>
          <w:b/>
          <w:bCs/>
        </w:rPr>
      </w:pPr>
      <w:r>
        <w:rPr>
          <w:b/>
          <w:bCs/>
        </w:rPr>
        <w:t>Net profit ratio for the year 2025:</w:t>
      </w:r>
    </w:p>
    <w:p w14:paraId="602402AF" w14:textId="77777777" w:rsidR="00F97A38" w:rsidRDefault="00F97A38" w:rsidP="00113811">
      <w:pPr>
        <w:pBdr>
          <w:top w:val="nil"/>
          <w:left w:val="nil"/>
          <w:bottom w:val="nil"/>
          <w:right w:val="nil"/>
          <w:between w:val="nil"/>
        </w:pBdr>
        <w:jc w:val="left"/>
        <w:rPr>
          <w:color w:val="000000"/>
        </w:rPr>
      </w:pPr>
      <w:r>
        <w:rPr>
          <w:color w:val="000000"/>
        </w:rPr>
        <w:t>AstraZeneca = 17.42%</w:t>
      </w:r>
    </w:p>
    <w:p w14:paraId="5DE04EDB" w14:textId="2993D841" w:rsidR="00504E25" w:rsidRPr="00504B6F" w:rsidRDefault="00D24A52" w:rsidP="00113811">
      <w:pPr>
        <w:pBdr>
          <w:top w:val="nil"/>
          <w:left w:val="nil"/>
          <w:bottom w:val="nil"/>
          <w:right w:val="nil"/>
          <w:between w:val="nil"/>
        </w:pBdr>
        <w:jc w:val="left"/>
        <w:rPr>
          <w:color w:val="EE0000"/>
        </w:rPr>
      </w:pPr>
      <w:r w:rsidRPr="00D24A52">
        <w:rPr>
          <w:color w:val="EE0000"/>
        </w:rPr>
        <w:t>Net profit margin increased from 13.00% in 2024 to 17.42% in 2025. This is a major improvement as more money was turned into actual profit, indicating a more effective management of either finance charges or operating costs, or superior revenue growth.</w:t>
      </w:r>
    </w:p>
    <w:p w14:paraId="09A0E508" w14:textId="4D24AFB0" w:rsidR="00F97A38" w:rsidRDefault="00F97A38" w:rsidP="00113811">
      <w:pPr>
        <w:pBdr>
          <w:top w:val="nil"/>
          <w:left w:val="nil"/>
          <w:bottom w:val="nil"/>
          <w:right w:val="nil"/>
          <w:between w:val="nil"/>
        </w:pBdr>
        <w:rPr>
          <w:color w:val="000000"/>
        </w:rPr>
      </w:pPr>
      <w:r>
        <w:rPr>
          <w:b/>
          <w:bCs/>
          <w:color w:val="000000"/>
        </w:rPr>
        <w:t xml:space="preserve">Return on capital employed (ROCE): </w:t>
      </w:r>
      <w:r>
        <w:rPr>
          <w:color w:val="000000"/>
        </w:rPr>
        <w:t xml:space="preserve">This ratio shows how efficiently a company uses its capital to generate profit. AstraZeneca had a spike in this ratio as well, proving a huge return on </w:t>
      </w:r>
      <w:r w:rsidR="00AD1B57">
        <w:rPr>
          <w:color w:val="000000"/>
        </w:rPr>
        <w:t>its</w:t>
      </w:r>
      <w:r>
        <w:rPr>
          <w:color w:val="000000"/>
        </w:rPr>
        <w:t xml:space="preserve"> capital base</w:t>
      </w:r>
      <w:r w:rsidR="00623352">
        <w:rPr>
          <w:color w:val="000000"/>
        </w:rPr>
        <w:t xml:space="preserve"> </w:t>
      </w:r>
      <w:r w:rsidR="00623352" w:rsidRPr="00623352">
        <w:rPr>
          <w:color w:val="000000"/>
        </w:rPr>
        <w:t>(Chen and Kieschnick, 2018)</w:t>
      </w:r>
      <w:r>
        <w:rPr>
          <w:color w:val="000000"/>
        </w:rPr>
        <w:t xml:space="preserve">. </w:t>
      </w:r>
    </w:p>
    <w:p w14:paraId="7C7F1C79" w14:textId="77777777" w:rsidR="00F97A38" w:rsidRDefault="00F97A38" w:rsidP="00113811">
      <w:pPr>
        <w:jc w:val="left"/>
        <w:rPr>
          <w:b/>
          <w:bCs/>
        </w:rPr>
      </w:pPr>
      <w:r>
        <w:rPr>
          <w:b/>
          <w:bCs/>
        </w:rPr>
        <w:t>ROCE for the year 2024:</w:t>
      </w:r>
    </w:p>
    <w:p w14:paraId="3374537B" w14:textId="77777777" w:rsidR="00F97A38" w:rsidRDefault="00F97A38" w:rsidP="00113811">
      <w:pPr>
        <w:pBdr>
          <w:top w:val="nil"/>
          <w:left w:val="nil"/>
          <w:bottom w:val="nil"/>
          <w:right w:val="nil"/>
          <w:between w:val="nil"/>
        </w:pBdr>
        <w:jc w:val="left"/>
        <w:rPr>
          <w:color w:val="000000"/>
        </w:rPr>
      </w:pPr>
      <w:r>
        <w:rPr>
          <w:color w:val="000000"/>
        </w:rPr>
        <w:t>AstraZeneca = 19.61%</w:t>
      </w:r>
    </w:p>
    <w:p w14:paraId="4CFE4E0B" w14:textId="77777777" w:rsidR="00F97A38" w:rsidRDefault="00F97A38" w:rsidP="00113811">
      <w:pPr>
        <w:jc w:val="left"/>
        <w:rPr>
          <w:b/>
          <w:bCs/>
        </w:rPr>
      </w:pPr>
      <w:r>
        <w:rPr>
          <w:b/>
          <w:bCs/>
        </w:rPr>
        <w:t>ROCE for the year 2025:</w:t>
      </w:r>
    </w:p>
    <w:p w14:paraId="5304DC94" w14:textId="72A88F7E" w:rsidR="00F97A38" w:rsidRDefault="00F97A38" w:rsidP="00113811">
      <w:pPr>
        <w:pBdr>
          <w:top w:val="nil"/>
          <w:left w:val="nil"/>
          <w:bottom w:val="nil"/>
          <w:right w:val="nil"/>
          <w:between w:val="nil"/>
        </w:pBdr>
        <w:jc w:val="left"/>
        <w:rPr>
          <w:color w:val="000000"/>
        </w:rPr>
      </w:pPr>
      <w:r>
        <w:rPr>
          <w:color w:val="000000"/>
        </w:rPr>
        <w:t>AstraZeneca = 26.5%</w:t>
      </w:r>
    </w:p>
    <w:p w14:paraId="58B0FCCE" w14:textId="7F86220A" w:rsidR="00504B6F" w:rsidRPr="00504B6F" w:rsidRDefault="00AD0A70" w:rsidP="00113811">
      <w:pPr>
        <w:pBdr>
          <w:top w:val="nil"/>
          <w:left w:val="nil"/>
          <w:bottom w:val="nil"/>
          <w:right w:val="nil"/>
          <w:between w:val="nil"/>
        </w:pBdr>
        <w:jc w:val="left"/>
        <w:rPr>
          <w:color w:val="EE0000"/>
        </w:rPr>
      </w:pPr>
      <w:r w:rsidRPr="00AD0A70">
        <w:rPr>
          <w:color w:val="EE0000"/>
        </w:rPr>
        <w:t>ROCE improved from 19.61% in 2024 to 26.50% in 2025. This is good for AstraZeneca as it demonstrates that the company achieved greater returns on the capital employed, which means greater efficiency in the use of long-term resources.</w:t>
      </w:r>
    </w:p>
    <w:p w14:paraId="42766469" w14:textId="243D3C79" w:rsidR="00F97A38" w:rsidRDefault="00F97A38" w:rsidP="007436EE">
      <w:pPr>
        <w:pStyle w:val="Heading2"/>
      </w:pPr>
      <w:bookmarkStart w:id="6" w:name="_Toc233498875"/>
      <w:r>
        <w:t>Efficiency Ratios</w:t>
      </w:r>
      <w:bookmarkEnd w:id="6"/>
    </w:p>
    <w:p w14:paraId="637E711C" w14:textId="77777777" w:rsidR="00F97A38" w:rsidRDefault="00F97A38" w:rsidP="00113811">
      <w:r>
        <w:t>Efficiency ratios measure how efficiently a company uses its assets and manages its liabilities. Common efficiency ratios of the years 2024 and 2025 of the companies have been calculated and analysed below:</w:t>
      </w:r>
    </w:p>
    <w:p w14:paraId="3EBD39A2" w14:textId="7945D3B9" w:rsidR="00F97A38" w:rsidRDefault="00F97A38" w:rsidP="00113811">
      <w:pPr>
        <w:pBdr>
          <w:top w:val="nil"/>
          <w:left w:val="nil"/>
          <w:bottom w:val="nil"/>
          <w:right w:val="nil"/>
          <w:between w:val="nil"/>
        </w:pBdr>
        <w:rPr>
          <w:b/>
          <w:bCs/>
          <w:color w:val="000000"/>
        </w:rPr>
      </w:pPr>
      <w:r>
        <w:rPr>
          <w:b/>
          <w:bCs/>
          <w:color w:val="000000"/>
        </w:rPr>
        <w:t xml:space="preserve">Asset turnover ratio: </w:t>
      </w:r>
      <w:r>
        <w:rPr>
          <w:color w:val="000000"/>
        </w:rPr>
        <w:t xml:space="preserve">Every company aims to use its assets efficiently. Asset turnover ratio signifies whether a company has underutilised or </w:t>
      </w:r>
      <w:r w:rsidR="00AD1B57">
        <w:rPr>
          <w:color w:val="000000"/>
        </w:rPr>
        <w:t>has</w:t>
      </w:r>
      <w:r>
        <w:rPr>
          <w:color w:val="000000"/>
        </w:rPr>
        <w:t xml:space="preserve"> idle assets</w:t>
      </w:r>
      <w:r w:rsidR="00623352">
        <w:rPr>
          <w:color w:val="000000"/>
        </w:rPr>
        <w:t xml:space="preserve"> </w:t>
      </w:r>
      <w:r w:rsidR="00623352" w:rsidRPr="00623352">
        <w:rPr>
          <w:color w:val="000000"/>
        </w:rPr>
        <w:t>(</w:t>
      </w:r>
      <w:proofErr w:type="spellStart"/>
      <w:r w:rsidR="00623352" w:rsidRPr="00623352">
        <w:rPr>
          <w:color w:val="000000"/>
        </w:rPr>
        <w:t>Boțoc</w:t>
      </w:r>
      <w:proofErr w:type="spellEnd"/>
      <w:r w:rsidR="00623352" w:rsidRPr="00623352">
        <w:rPr>
          <w:color w:val="000000"/>
        </w:rPr>
        <w:t xml:space="preserve"> and Anton, 2017)</w:t>
      </w:r>
      <w:r>
        <w:rPr>
          <w:color w:val="000000"/>
        </w:rPr>
        <w:t>. The higher the ratio, the better. For every £1 owned in assets, the companies generate about £.5 or £.6 in revenue respectively, which is not very efficient. But the ideal ratio varies among the industries.</w:t>
      </w:r>
    </w:p>
    <w:p w14:paraId="6629530B" w14:textId="77777777" w:rsidR="00280B59" w:rsidRDefault="00F97A38" w:rsidP="00113811">
      <w:pPr>
        <w:jc w:val="left"/>
        <w:rPr>
          <w:b/>
          <w:bCs/>
        </w:rPr>
      </w:pPr>
      <w:r>
        <w:rPr>
          <w:b/>
          <w:bCs/>
        </w:rPr>
        <w:lastRenderedPageBreak/>
        <w:t>Asset turnover ratio for the year 2024:</w:t>
      </w:r>
    </w:p>
    <w:p w14:paraId="765B60DC" w14:textId="49C990F6" w:rsidR="00F97A38" w:rsidRPr="00280B59" w:rsidRDefault="00F97A38" w:rsidP="00113811">
      <w:pPr>
        <w:jc w:val="left"/>
        <w:rPr>
          <w:b/>
          <w:bCs/>
        </w:rPr>
      </w:pPr>
      <w:r>
        <w:t>AstraZeneca = .51</w:t>
      </w:r>
    </w:p>
    <w:p w14:paraId="4E9273A2" w14:textId="77777777" w:rsidR="00F97A38" w:rsidRDefault="00F97A38" w:rsidP="00113811">
      <w:pPr>
        <w:jc w:val="left"/>
        <w:rPr>
          <w:b/>
          <w:bCs/>
        </w:rPr>
      </w:pPr>
      <w:r>
        <w:rPr>
          <w:b/>
          <w:bCs/>
        </w:rPr>
        <w:t>Asset turnover ratio for the year 2024:</w:t>
      </w:r>
    </w:p>
    <w:p w14:paraId="636AF374" w14:textId="77777777" w:rsidR="00F97A38" w:rsidRDefault="00F97A38" w:rsidP="00113811">
      <w:pPr>
        <w:pBdr>
          <w:top w:val="nil"/>
          <w:left w:val="nil"/>
          <w:bottom w:val="nil"/>
          <w:right w:val="nil"/>
          <w:between w:val="nil"/>
        </w:pBdr>
        <w:jc w:val="left"/>
        <w:rPr>
          <w:color w:val="000000"/>
        </w:rPr>
      </w:pPr>
      <w:r>
        <w:rPr>
          <w:color w:val="000000"/>
        </w:rPr>
        <w:t>AstraZeneca = .51</w:t>
      </w:r>
    </w:p>
    <w:p w14:paraId="210B7F04" w14:textId="1A442825" w:rsidR="00504B6F" w:rsidRPr="00504B6F" w:rsidRDefault="00072757" w:rsidP="00113811">
      <w:pPr>
        <w:pBdr>
          <w:top w:val="nil"/>
          <w:left w:val="nil"/>
          <w:bottom w:val="nil"/>
          <w:right w:val="nil"/>
          <w:between w:val="nil"/>
        </w:pBdr>
        <w:jc w:val="left"/>
        <w:rPr>
          <w:color w:val="EE0000"/>
        </w:rPr>
      </w:pPr>
      <w:r w:rsidRPr="00072757">
        <w:rPr>
          <w:color w:val="EE0000"/>
        </w:rPr>
        <w:t>The 2024 and 2025 asset turnover ratios were 0.51 times, respectively, which are in line with these levels. However</w:t>
      </w:r>
      <w:r w:rsidR="00AD1B57">
        <w:rPr>
          <w:color w:val="EE0000"/>
        </w:rPr>
        <w:t>,</w:t>
      </w:r>
      <w:r w:rsidRPr="00072757">
        <w:rPr>
          <w:color w:val="EE0000"/>
        </w:rPr>
        <w:t xml:space="preserve"> this indicates that AstraZeneca has not bettered its </w:t>
      </w:r>
      <w:r w:rsidR="00AD1B57">
        <w:rPr>
          <w:color w:val="EE0000"/>
        </w:rPr>
        <w:t>asset-generating</w:t>
      </w:r>
      <w:r w:rsidRPr="00072757">
        <w:rPr>
          <w:color w:val="EE0000"/>
        </w:rPr>
        <w:t xml:space="preserve"> capabilities, which might be fine for a </w:t>
      </w:r>
      <w:r w:rsidR="00AD1B57">
        <w:rPr>
          <w:color w:val="EE0000"/>
        </w:rPr>
        <w:t>capital-intensive</w:t>
      </w:r>
      <w:r w:rsidRPr="00072757">
        <w:rPr>
          <w:color w:val="EE0000"/>
        </w:rPr>
        <w:t xml:space="preserve"> pharmaceutical company.</w:t>
      </w:r>
    </w:p>
    <w:p w14:paraId="53D387DD" w14:textId="225D20A3" w:rsidR="00280B59" w:rsidRDefault="00F97A38" w:rsidP="00113811">
      <w:pPr>
        <w:pBdr>
          <w:top w:val="nil"/>
          <w:left w:val="nil"/>
          <w:bottom w:val="nil"/>
          <w:right w:val="nil"/>
          <w:between w:val="nil"/>
        </w:pBdr>
        <w:rPr>
          <w:color w:val="000000"/>
        </w:rPr>
      </w:pPr>
      <w:r>
        <w:rPr>
          <w:b/>
          <w:bCs/>
          <w:color w:val="000000"/>
        </w:rPr>
        <w:t>Debtors’ days:</w:t>
      </w:r>
      <w:r>
        <w:rPr>
          <w:color w:val="000000"/>
        </w:rPr>
        <w:t xml:space="preserve"> This signifies how soon debtors pay back their credit. A low ratio of about 30 days or less is acceptable in terms of risk</w:t>
      </w:r>
      <w:r w:rsidR="00623352">
        <w:rPr>
          <w:color w:val="000000"/>
        </w:rPr>
        <w:t xml:space="preserve"> </w:t>
      </w:r>
      <w:r w:rsidR="00623352" w:rsidRPr="00623352">
        <w:rPr>
          <w:color w:val="000000"/>
        </w:rPr>
        <w:t>(Altaf and Shah, 2018)</w:t>
      </w:r>
      <w:r>
        <w:rPr>
          <w:color w:val="000000"/>
        </w:rPr>
        <w:t xml:space="preserve">. </w:t>
      </w:r>
    </w:p>
    <w:p w14:paraId="4517C222" w14:textId="77B0C71C" w:rsidR="00F97A38" w:rsidRDefault="00F97A38" w:rsidP="00113811">
      <w:pPr>
        <w:pBdr>
          <w:top w:val="nil"/>
          <w:left w:val="nil"/>
          <w:bottom w:val="nil"/>
          <w:right w:val="nil"/>
          <w:between w:val="nil"/>
        </w:pBdr>
      </w:pPr>
      <w:r>
        <w:rPr>
          <w:b/>
          <w:bCs/>
        </w:rPr>
        <w:t>Debtors’ days of AstraZeneca:</w:t>
      </w:r>
      <w:r>
        <w:t xml:space="preserve"> 232 days</w:t>
      </w:r>
    </w:p>
    <w:p w14:paraId="2F75EF67" w14:textId="18956835" w:rsidR="000A1D35" w:rsidRPr="005716C6" w:rsidRDefault="00CB1133" w:rsidP="00113811">
      <w:pPr>
        <w:pBdr>
          <w:top w:val="nil"/>
          <w:left w:val="nil"/>
          <w:bottom w:val="nil"/>
          <w:right w:val="nil"/>
          <w:between w:val="nil"/>
        </w:pBdr>
        <w:rPr>
          <w:color w:val="EE0000"/>
        </w:rPr>
      </w:pPr>
      <w:r w:rsidRPr="00CB1133">
        <w:rPr>
          <w:color w:val="EE0000"/>
        </w:rPr>
        <w:t>The debtors' days were also high (around 223 days). This is not optimal as it would imply that it takes some time for AstraZeneca to receive the payment, which could impact cash flow, although it can be a standard practice in large international pharmaceutical businesses.</w:t>
      </w:r>
    </w:p>
    <w:p w14:paraId="3951DADA" w14:textId="75D92338" w:rsidR="00F97A38" w:rsidRDefault="00F97A38" w:rsidP="00113811">
      <w:pPr>
        <w:pBdr>
          <w:top w:val="nil"/>
          <w:left w:val="nil"/>
          <w:bottom w:val="nil"/>
          <w:right w:val="nil"/>
          <w:between w:val="nil"/>
        </w:pBdr>
        <w:rPr>
          <w:color w:val="000000"/>
        </w:rPr>
      </w:pPr>
      <w:r>
        <w:rPr>
          <w:b/>
          <w:bCs/>
          <w:color w:val="000000"/>
        </w:rPr>
        <w:t>Creditors’ days:</w:t>
      </w:r>
      <w:r>
        <w:rPr>
          <w:color w:val="000000"/>
        </w:rPr>
        <w:t xml:space="preserve"> Similar to the debtors’ days ratio, this signifies how soon the company can pay back their debt</w:t>
      </w:r>
      <w:r w:rsidR="00623352">
        <w:rPr>
          <w:color w:val="000000"/>
        </w:rPr>
        <w:t xml:space="preserve"> </w:t>
      </w:r>
      <w:r w:rsidR="00623352" w:rsidRPr="00623352">
        <w:rPr>
          <w:color w:val="000000"/>
        </w:rPr>
        <w:t xml:space="preserve">(Anton and </w:t>
      </w:r>
      <w:proofErr w:type="spellStart"/>
      <w:r w:rsidR="00623352" w:rsidRPr="00623352">
        <w:rPr>
          <w:color w:val="000000"/>
        </w:rPr>
        <w:t>Afloarei</w:t>
      </w:r>
      <w:proofErr w:type="spellEnd"/>
      <w:r w:rsidR="00623352" w:rsidRPr="00623352">
        <w:rPr>
          <w:color w:val="000000"/>
        </w:rPr>
        <w:t xml:space="preserve"> </w:t>
      </w:r>
      <w:proofErr w:type="spellStart"/>
      <w:r w:rsidR="00623352" w:rsidRPr="00623352">
        <w:rPr>
          <w:color w:val="000000"/>
        </w:rPr>
        <w:t>Nucu</w:t>
      </w:r>
      <w:proofErr w:type="spellEnd"/>
      <w:r w:rsidR="00623352" w:rsidRPr="00623352">
        <w:rPr>
          <w:color w:val="000000"/>
        </w:rPr>
        <w:t>, 2021)</w:t>
      </w:r>
      <w:r>
        <w:rPr>
          <w:color w:val="000000"/>
        </w:rPr>
        <w:t>. The ideal is within 60 days at most. Belated payment of payables risks a company’s reputation and credit rating. So, both companies should be more prompt regarding repayments.</w:t>
      </w:r>
    </w:p>
    <w:p w14:paraId="1445C101" w14:textId="77777777" w:rsidR="00F97A38" w:rsidRDefault="00F97A38" w:rsidP="00113811">
      <w:pPr>
        <w:pBdr>
          <w:top w:val="nil"/>
          <w:left w:val="nil"/>
          <w:bottom w:val="nil"/>
          <w:right w:val="nil"/>
          <w:between w:val="nil"/>
        </w:pBdr>
        <w:rPr>
          <w:color w:val="000000"/>
        </w:rPr>
      </w:pPr>
      <w:r>
        <w:rPr>
          <w:b/>
          <w:bCs/>
          <w:color w:val="000000"/>
        </w:rPr>
        <w:t>Creditors’ days of AstraZeneca:</w:t>
      </w:r>
      <w:r>
        <w:rPr>
          <w:color w:val="000000"/>
        </w:rPr>
        <w:t xml:space="preserve"> 409 days</w:t>
      </w:r>
    </w:p>
    <w:p w14:paraId="03FB9E4C" w14:textId="13BA2E8F" w:rsidR="005716C6" w:rsidRPr="005716C6" w:rsidRDefault="00C83930" w:rsidP="00113811">
      <w:pPr>
        <w:pBdr>
          <w:top w:val="nil"/>
          <w:left w:val="nil"/>
          <w:bottom w:val="nil"/>
          <w:right w:val="nil"/>
          <w:between w:val="nil"/>
        </w:pBdr>
        <w:rPr>
          <w:color w:val="EE0000"/>
        </w:rPr>
      </w:pPr>
      <w:r w:rsidRPr="00C83930">
        <w:rPr>
          <w:color w:val="EE0000"/>
        </w:rPr>
        <w:t>The creditors' days stood at 409 days, which indicates that suppliers of AstraZeneca waited for a long time for payment. This can help keep cash flowing, but it may put the supplier relationship at risk if deemed to be excessive.</w:t>
      </w:r>
    </w:p>
    <w:p w14:paraId="3FFEEB66" w14:textId="0711D1A3" w:rsidR="00F97A38" w:rsidRDefault="00F97A38" w:rsidP="00113811">
      <w:pPr>
        <w:pBdr>
          <w:top w:val="nil"/>
          <w:left w:val="nil"/>
          <w:bottom w:val="nil"/>
          <w:right w:val="nil"/>
          <w:between w:val="nil"/>
        </w:pBdr>
        <w:rPr>
          <w:b/>
          <w:bCs/>
          <w:color w:val="000000"/>
        </w:rPr>
      </w:pPr>
      <w:r>
        <w:rPr>
          <w:b/>
          <w:bCs/>
          <w:color w:val="000000"/>
        </w:rPr>
        <w:t xml:space="preserve">Stock days: </w:t>
      </w:r>
      <w:r>
        <w:rPr>
          <w:color w:val="000000"/>
        </w:rPr>
        <w:t>This is also known as inventory days and shows how soon a company sells its inventory. 60 days at most is acceptable</w:t>
      </w:r>
      <w:r w:rsidR="00623352">
        <w:rPr>
          <w:color w:val="000000"/>
        </w:rPr>
        <w:t xml:space="preserve"> </w:t>
      </w:r>
      <w:r w:rsidR="00623352" w:rsidRPr="00623352">
        <w:rPr>
          <w:color w:val="000000"/>
        </w:rPr>
        <w:t>(Altaf and Shah, 2018)</w:t>
      </w:r>
      <w:r>
        <w:rPr>
          <w:color w:val="000000"/>
        </w:rPr>
        <w:t xml:space="preserve">. A low ratio ensures efficiency by saving storage </w:t>
      </w:r>
      <w:r w:rsidR="00AD1B57">
        <w:rPr>
          <w:color w:val="000000"/>
        </w:rPr>
        <w:t>costs</w:t>
      </w:r>
      <w:r>
        <w:rPr>
          <w:color w:val="000000"/>
        </w:rPr>
        <w:t xml:space="preserve"> and preventing </w:t>
      </w:r>
      <w:r w:rsidR="00AD1B57">
        <w:rPr>
          <w:color w:val="000000"/>
        </w:rPr>
        <w:t xml:space="preserve">the </w:t>
      </w:r>
      <w:r>
        <w:rPr>
          <w:color w:val="000000"/>
        </w:rPr>
        <w:t xml:space="preserve">expiration of inventory. </w:t>
      </w:r>
    </w:p>
    <w:p w14:paraId="319981BF" w14:textId="77777777" w:rsidR="00F97A38" w:rsidRDefault="00F97A38" w:rsidP="00113811">
      <w:pPr>
        <w:pBdr>
          <w:top w:val="nil"/>
          <w:left w:val="nil"/>
          <w:bottom w:val="nil"/>
          <w:right w:val="nil"/>
          <w:between w:val="nil"/>
        </w:pBdr>
        <w:rPr>
          <w:color w:val="000000"/>
        </w:rPr>
      </w:pPr>
      <w:r>
        <w:rPr>
          <w:b/>
          <w:bCs/>
          <w:color w:val="000000"/>
        </w:rPr>
        <w:t>Debtors’ days of AstraZeneca:</w:t>
      </w:r>
      <w:r>
        <w:rPr>
          <w:color w:val="000000"/>
        </w:rPr>
        <w:t xml:space="preserve"> 217 days</w:t>
      </w:r>
    </w:p>
    <w:p w14:paraId="0786ECA4" w14:textId="0B37944B" w:rsidR="005716C6" w:rsidRPr="005700DC" w:rsidRDefault="00BA3A33" w:rsidP="00113811">
      <w:pPr>
        <w:pBdr>
          <w:top w:val="nil"/>
          <w:left w:val="nil"/>
          <w:bottom w:val="nil"/>
          <w:right w:val="nil"/>
          <w:between w:val="nil"/>
        </w:pBdr>
        <w:rPr>
          <w:color w:val="EE0000"/>
        </w:rPr>
      </w:pPr>
      <w:r w:rsidRPr="00BA3A33">
        <w:rPr>
          <w:color w:val="EE0000"/>
        </w:rPr>
        <w:t>Days of inventory were approximately 217 days. This is high, but may be partly attributable to AstraZeneca's pharmaceutical business, where the production cycles, regulation process and safety stock and distribution cycles may be longer than in normal retail businesses.</w:t>
      </w:r>
    </w:p>
    <w:p w14:paraId="00CE0CAC" w14:textId="00AB4F38" w:rsidR="00F97A38" w:rsidRDefault="00F97A38" w:rsidP="00113811">
      <w:pPr>
        <w:pBdr>
          <w:top w:val="nil"/>
          <w:left w:val="nil"/>
          <w:bottom w:val="nil"/>
          <w:right w:val="nil"/>
          <w:between w:val="nil"/>
        </w:pBdr>
        <w:rPr>
          <w:b/>
          <w:bCs/>
          <w:color w:val="000000"/>
        </w:rPr>
      </w:pPr>
      <w:r>
        <w:rPr>
          <w:b/>
          <w:bCs/>
          <w:color w:val="000000"/>
        </w:rPr>
        <w:lastRenderedPageBreak/>
        <w:t xml:space="preserve">Stock turnover ratio: </w:t>
      </w:r>
      <w:r>
        <w:rPr>
          <w:color w:val="000000"/>
        </w:rPr>
        <w:t xml:space="preserve">Similarly, </w:t>
      </w:r>
      <w:r w:rsidR="00AD1B57">
        <w:rPr>
          <w:color w:val="000000"/>
        </w:rPr>
        <w:t xml:space="preserve">the </w:t>
      </w:r>
      <w:r>
        <w:rPr>
          <w:color w:val="000000"/>
        </w:rPr>
        <w:t>stock turnover ratio shows how often a company replaces its stocks and refills its inventory</w:t>
      </w:r>
      <w:r w:rsidR="00623352">
        <w:rPr>
          <w:color w:val="000000"/>
        </w:rPr>
        <w:t xml:space="preserve"> </w:t>
      </w:r>
      <w:r w:rsidR="00623352" w:rsidRPr="00623352">
        <w:rPr>
          <w:color w:val="000000"/>
        </w:rPr>
        <w:t>(Aktas, Croci and Petmezas, 2015)</w:t>
      </w:r>
      <w:r>
        <w:rPr>
          <w:color w:val="000000"/>
        </w:rPr>
        <w:t xml:space="preserve">. AstraZeneca, being a pharmaceutical company, replaced its stocks less than 2 times in the previous year, which is quite normal. </w:t>
      </w:r>
    </w:p>
    <w:p w14:paraId="7BC8CEEA" w14:textId="77777777" w:rsidR="00F97A38" w:rsidRDefault="00F97A38" w:rsidP="00113811">
      <w:pPr>
        <w:pBdr>
          <w:top w:val="nil"/>
          <w:left w:val="nil"/>
          <w:bottom w:val="nil"/>
          <w:right w:val="nil"/>
          <w:between w:val="nil"/>
        </w:pBdr>
        <w:jc w:val="left"/>
        <w:rPr>
          <w:color w:val="000000"/>
        </w:rPr>
      </w:pPr>
      <w:r>
        <w:rPr>
          <w:b/>
          <w:bCs/>
          <w:color w:val="000000"/>
        </w:rPr>
        <w:t>Stock turnover ratio of AstraZeneca for the year 2025:</w:t>
      </w:r>
      <w:r>
        <w:rPr>
          <w:color w:val="000000"/>
        </w:rPr>
        <w:t xml:space="preserve"> 1.7 times</w:t>
      </w:r>
    </w:p>
    <w:p w14:paraId="55B8D26D" w14:textId="6AF30D8B" w:rsidR="00F97A38" w:rsidRPr="00BD074C" w:rsidRDefault="003F682D" w:rsidP="00BD074C">
      <w:pPr>
        <w:pBdr>
          <w:top w:val="nil"/>
          <w:left w:val="nil"/>
          <w:bottom w:val="nil"/>
          <w:right w:val="nil"/>
          <w:between w:val="nil"/>
        </w:pBdr>
        <w:jc w:val="left"/>
        <w:rPr>
          <w:color w:val="EE0000"/>
        </w:rPr>
      </w:pPr>
      <w:r w:rsidRPr="003F682D">
        <w:rPr>
          <w:color w:val="EE0000"/>
        </w:rPr>
        <w:t>Stock turnover was 1.7 times, indicating that stock was slowly replaced during the year. Not very efficient, but it could be understandable for AstraZeneca as pharmaceutical products can take a longer time to produce and have a longer time in the QC process.</w:t>
      </w:r>
    </w:p>
    <w:p w14:paraId="3CFA5FC5" w14:textId="205FC020" w:rsidR="00F97A38" w:rsidRDefault="00F97A38" w:rsidP="007436EE">
      <w:pPr>
        <w:pStyle w:val="Heading2"/>
      </w:pPr>
      <w:bookmarkStart w:id="7" w:name="_6sdh8n725blt" w:colFirst="0" w:colLast="0"/>
      <w:bookmarkStart w:id="8" w:name="_Toc233498876"/>
      <w:bookmarkEnd w:id="7"/>
      <w:r>
        <w:t>Liquidity Ratios</w:t>
      </w:r>
      <w:bookmarkEnd w:id="8"/>
    </w:p>
    <w:p w14:paraId="6C331D06" w14:textId="02159D58" w:rsidR="00F97A38" w:rsidRDefault="00F97A38" w:rsidP="00113811">
      <w:r>
        <w:t xml:space="preserve">Liquidity ratios help measure its ability to pay </w:t>
      </w:r>
      <w:r w:rsidR="00AD1B57">
        <w:t>off</w:t>
      </w:r>
      <w:r>
        <w:t xml:space="preserve"> its current liabilities with its current assets. The ratios being consistently below 1 pose </w:t>
      </w:r>
      <w:r w:rsidR="00AD1B57">
        <w:t xml:space="preserve">a </w:t>
      </w:r>
      <w:r>
        <w:t>high risk for future liquidity crisis and may lead to bankruptcy as the worst-case scenario</w:t>
      </w:r>
      <w:r w:rsidR="00623352">
        <w:t xml:space="preserve"> </w:t>
      </w:r>
      <w:r w:rsidR="00623352" w:rsidRPr="00623352">
        <w:t>(Akgun and Karatas, 2020)</w:t>
      </w:r>
      <w:r>
        <w:t>. However, for big and stable companies, the criterion is more flexible compared to a start-up. Two of the most used liquidity ratios for the years 2-24 and 2025 have been calculated for both companies:</w:t>
      </w:r>
    </w:p>
    <w:p w14:paraId="7FED52C1" w14:textId="37319A15" w:rsidR="00F97A38" w:rsidRDefault="00F97A38" w:rsidP="00113811">
      <w:pPr>
        <w:pBdr>
          <w:top w:val="nil"/>
          <w:left w:val="nil"/>
          <w:bottom w:val="nil"/>
          <w:right w:val="nil"/>
          <w:between w:val="nil"/>
        </w:pBdr>
        <w:rPr>
          <w:b/>
          <w:bCs/>
          <w:color w:val="000000"/>
        </w:rPr>
      </w:pPr>
      <w:r>
        <w:rPr>
          <w:b/>
          <w:bCs/>
          <w:color w:val="000000"/>
        </w:rPr>
        <w:t xml:space="preserve">Current ratio: </w:t>
      </w:r>
      <w:r w:rsidR="00AD1B57">
        <w:rPr>
          <w:color w:val="000000"/>
        </w:rPr>
        <w:t>The current</w:t>
      </w:r>
      <w:r>
        <w:rPr>
          <w:color w:val="000000"/>
        </w:rPr>
        <w:t xml:space="preserve"> ratio is the most common ratio to measure a company’s ability to pay off short-term debts</w:t>
      </w:r>
      <w:r w:rsidR="00623352">
        <w:rPr>
          <w:color w:val="000000"/>
        </w:rPr>
        <w:t xml:space="preserve"> </w:t>
      </w:r>
      <w:r w:rsidR="00623352" w:rsidRPr="00623352">
        <w:rPr>
          <w:color w:val="000000"/>
        </w:rPr>
        <w:t>(OpenStax, 2022)</w:t>
      </w:r>
      <w:r>
        <w:rPr>
          <w:color w:val="000000"/>
        </w:rPr>
        <w:t xml:space="preserve">. </w:t>
      </w:r>
    </w:p>
    <w:p w14:paraId="759D4E1A" w14:textId="77777777" w:rsidR="00280B59" w:rsidRDefault="00F97A38" w:rsidP="00113811">
      <w:pPr>
        <w:rPr>
          <w:b/>
          <w:bCs/>
        </w:rPr>
      </w:pPr>
      <w:r>
        <w:rPr>
          <w:b/>
          <w:bCs/>
        </w:rPr>
        <w:t>Current ratio for the year 2024:</w:t>
      </w:r>
    </w:p>
    <w:p w14:paraId="098B3889" w14:textId="5A652730" w:rsidR="00F97A38" w:rsidRPr="00280B59" w:rsidRDefault="00F97A38" w:rsidP="00113811">
      <w:pPr>
        <w:rPr>
          <w:b/>
          <w:bCs/>
        </w:rPr>
      </w:pPr>
      <w:r>
        <w:t>AstraZeneca = .92</w:t>
      </w:r>
    </w:p>
    <w:p w14:paraId="73CE06D7" w14:textId="0EF0B64D" w:rsidR="00F97A38" w:rsidRDefault="00F97A38" w:rsidP="00113811">
      <w:pPr>
        <w:rPr>
          <w:b/>
          <w:bCs/>
        </w:rPr>
      </w:pPr>
      <w:r>
        <w:rPr>
          <w:b/>
          <w:bCs/>
        </w:rPr>
        <w:t>Current ratio for the year 2025:</w:t>
      </w:r>
    </w:p>
    <w:p w14:paraId="41E95C0B" w14:textId="4D010DA2" w:rsidR="00F97A38" w:rsidRDefault="00F97A38" w:rsidP="00113811">
      <w:r>
        <w:t>AstraZeneca = .93</w:t>
      </w:r>
    </w:p>
    <w:p w14:paraId="310FD434" w14:textId="2B0D86A9" w:rsidR="00BD074C" w:rsidRPr="00BF557B" w:rsidRDefault="00F82F11" w:rsidP="00113811">
      <w:pPr>
        <w:rPr>
          <w:color w:val="EE0000"/>
        </w:rPr>
      </w:pPr>
      <w:r w:rsidRPr="00F82F11">
        <w:rPr>
          <w:color w:val="EE0000"/>
        </w:rPr>
        <w:t xml:space="preserve">The current ratio improved slightly from 0.92 in 2024 to 0.93 in 2025. The ratio is good, although it is not 1:1, meaning that there </w:t>
      </w:r>
      <w:r w:rsidR="00AD1B57">
        <w:rPr>
          <w:color w:val="EE0000"/>
        </w:rPr>
        <w:t>are</w:t>
      </w:r>
      <w:r w:rsidRPr="00F82F11">
        <w:rPr>
          <w:color w:val="EE0000"/>
        </w:rPr>
        <w:t xml:space="preserve"> not enough current assets to cover current liabilities, but liquidity should be monitored.</w:t>
      </w:r>
    </w:p>
    <w:p w14:paraId="177CDB26" w14:textId="097B1C46" w:rsidR="00F97A38" w:rsidRDefault="00F97A38" w:rsidP="00113811">
      <w:pPr>
        <w:pBdr>
          <w:top w:val="nil"/>
          <w:left w:val="nil"/>
          <w:bottom w:val="nil"/>
          <w:right w:val="nil"/>
          <w:between w:val="nil"/>
        </w:pBdr>
        <w:rPr>
          <w:color w:val="000000"/>
        </w:rPr>
      </w:pPr>
      <w:r>
        <w:rPr>
          <w:b/>
          <w:bCs/>
          <w:color w:val="000000"/>
        </w:rPr>
        <w:t xml:space="preserve">Quick ratio: </w:t>
      </w:r>
      <w:r>
        <w:rPr>
          <w:color w:val="000000"/>
        </w:rPr>
        <w:t>Quick ratio measures if the company can pay off its short-term debt using only its most liquid assets like cash</w:t>
      </w:r>
      <w:r w:rsidR="00623352">
        <w:rPr>
          <w:color w:val="000000"/>
        </w:rPr>
        <w:t xml:space="preserve"> </w:t>
      </w:r>
      <w:r w:rsidR="00623352" w:rsidRPr="00623352">
        <w:rPr>
          <w:color w:val="000000"/>
        </w:rPr>
        <w:t>(Koller, Goedhart and Wessels, 2020)</w:t>
      </w:r>
      <w:r>
        <w:rPr>
          <w:color w:val="000000"/>
        </w:rPr>
        <w:t xml:space="preserve">. </w:t>
      </w:r>
    </w:p>
    <w:p w14:paraId="2BEFFD0C" w14:textId="77777777" w:rsidR="00F97A38" w:rsidRDefault="00F97A38" w:rsidP="00113811">
      <w:pPr>
        <w:rPr>
          <w:b/>
          <w:bCs/>
        </w:rPr>
      </w:pPr>
      <w:r>
        <w:rPr>
          <w:b/>
          <w:bCs/>
        </w:rPr>
        <w:t>Quick ratio for the year 2024:</w:t>
      </w:r>
    </w:p>
    <w:p w14:paraId="30CB90B3" w14:textId="77777777" w:rsidR="00F97A38" w:rsidRDefault="00F97A38" w:rsidP="00113811">
      <w:pPr>
        <w:pBdr>
          <w:top w:val="nil"/>
          <w:left w:val="nil"/>
          <w:bottom w:val="nil"/>
          <w:right w:val="nil"/>
          <w:between w:val="nil"/>
        </w:pBdr>
        <w:jc w:val="left"/>
        <w:rPr>
          <w:color w:val="000000"/>
        </w:rPr>
      </w:pPr>
      <w:r>
        <w:rPr>
          <w:color w:val="000000"/>
        </w:rPr>
        <w:t>AstraZeneca = .71</w:t>
      </w:r>
    </w:p>
    <w:p w14:paraId="61EDE8BA" w14:textId="3C74E71A" w:rsidR="00F97A38" w:rsidRDefault="00F97A38" w:rsidP="00113811">
      <w:pPr>
        <w:rPr>
          <w:b/>
          <w:bCs/>
        </w:rPr>
      </w:pPr>
      <w:r>
        <w:rPr>
          <w:b/>
          <w:bCs/>
        </w:rPr>
        <w:t>Quick ratio for the year 2025:</w:t>
      </w:r>
    </w:p>
    <w:p w14:paraId="4866D640" w14:textId="77777777" w:rsidR="00280B59" w:rsidRDefault="00F97A38" w:rsidP="00113811">
      <w:r>
        <w:t>AstraZeneca = .73</w:t>
      </w:r>
    </w:p>
    <w:p w14:paraId="3F31DF79" w14:textId="0E9F04E9" w:rsidR="00F97A38" w:rsidRPr="009E57D0" w:rsidRDefault="0029761F" w:rsidP="00113811">
      <w:pPr>
        <w:rPr>
          <w:color w:val="EE0000"/>
        </w:rPr>
      </w:pPr>
      <w:r w:rsidRPr="0029761F">
        <w:rPr>
          <w:color w:val="EE0000"/>
        </w:rPr>
        <w:lastRenderedPageBreak/>
        <w:t>The quick ratio increased from 0.71 in 2024 to 0.73 in 2025. While this is a small improvement, the ratio is still less than one</w:t>
      </w:r>
      <w:r w:rsidR="00AD1B57">
        <w:rPr>
          <w:color w:val="EE0000"/>
        </w:rPr>
        <w:t>,</w:t>
      </w:r>
      <w:r w:rsidRPr="0029761F">
        <w:rPr>
          <w:color w:val="EE0000"/>
        </w:rPr>
        <w:t xml:space="preserve"> indicating that AstraZeneca may still be looking to cash generation and working capital management to cover short-term obligations</w:t>
      </w:r>
      <w:r w:rsidR="00623352">
        <w:rPr>
          <w:color w:val="EE0000"/>
        </w:rPr>
        <w:t xml:space="preserve"> </w:t>
      </w:r>
      <w:r w:rsidR="00623352" w:rsidRPr="00623352">
        <w:rPr>
          <w:color w:val="EE0000"/>
        </w:rPr>
        <w:t>(Koller, Goedhart and Wessels, 2020)</w:t>
      </w:r>
      <w:r w:rsidRPr="0029761F">
        <w:rPr>
          <w:color w:val="EE0000"/>
        </w:rPr>
        <w:t>.</w:t>
      </w:r>
    </w:p>
    <w:p w14:paraId="77570D1B" w14:textId="73BE3EFF" w:rsidR="00F97A38" w:rsidRDefault="00F97A38" w:rsidP="007436EE">
      <w:pPr>
        <w:pStyle w:val="Heading2"/>
      </w:pPr>
      <w:bookmarkStart w:id="9" w:name="_3re19aiacn1w" w:colFirst="0" w:colLast="0"/>
      <w:bookmarkStart w:id="10" w:name="_Toc233498877"/>
      <w:bookmarkEnd w:id="9"/>
      <w:r>
        <w:t>Investment Ratios</w:t>
      </w:r>
      <w:bookmarkEnd w:id="10"/>
    </w:p>
    <w:p w14:paraId="1FFC383D" w14:textId="6995CE5E" w:rsidR="00F97A38" w:rsidRDefault="00F97A38" w:rsidP="00113811">
      <w:pPr>
        <w:pBdr>
          <w:top w:val="nil"/>
          <w:left w:val="nil"/>
          <w:bottom w:val="nil"/>
          <w:right w:val="nil"/>
          <w:between w:val="nil"/>
        </w:pBdr>
        <w:rPr>
          <w:b/>
          <w:bCs/>
          <w:color w:val="000000"/>
        </w:rPr>
      </w:pPr>
      <w:r>
        <w:rPr>
          <w:b/>
          <w:bCs/>
          <w:color w:val="000000"/>
        </w:rPr>
        <w:t xml:space="preserve">Earnings per share (EPS): </w:t>
      </w:r>
      <w:r>
        <w:rPr>
          <w:color w:val="000000"/>
        </w:rPr>
        <w:t xml:space="preserve">EPS is perhaps the most common metric for shareholders to choose a stock. AstraZeneca had a massive 45% within a year. </w:t>
      </w:r>
    </w:p>
    <w:p w14:paraId="2A064C2F" w14:textId="77777777" w:rsidR="00F97A38" w:rsidRDefault="00F97A38" w:rsidP="00113811">
      <w:pPr>
        <w:pBdr>
          <w:top w:val="nil"/>
          <w:left w:val="nil"/>
          <w:bottom w:val="nil"/>
          <w:right w:val="nil"/>
          <w:between w:val="nil"/>
        </w:pBdr>
        <w:rPr>
          <w:b/>
          <w:bCs/>
          <w:color w:val="000000"/>
        </w:rPr>
      </w:pPr>
      <w:r>
        <w:rPr>
          <w:b/>
          <w:bCs/>
          <w:color w:val="000000"/>
        </w:rPr>
        <w:t>EPS for the year 2024:</w:t>
      </w:r>
    </w:p>
    <w:p w14:paraId="3E43E333" w14:textId="77777777" w:rsidR="00F97A38" w:rsidRDefault="00F97A38" w:rsidP="00113811">
      <w:pPr>
        <w:pBdr>
          <w:top w:val="nil"/>
          <w:left w:val="nil"/>
          <w:bottom w:val="nil"/>
          <w:right w:val="nil"/>
          <w:between w:val="nil"/>
        </w:pBdr>
        <w:rPr>
          <w:color w:val="000000"/>
        </w:rPr>
      </w:pPr>
      <w:r>
        <w:rPr>
          <w:color w:val="000000"/>
        </w:rPr>
        <w:t>AstraZeneca = 4.54</w:t>
      </w:r>
    </w:p>
    <w:p w14:paraId="4D6FDF0A" w14:textId="77777777" w:rsidR="00F97A38" w:rsidRDefault="00F97A38" w:rsidP="00113811">
      <w:pPr>
        <w:pBdr>
          <w:top w:val="nil"/>
          <w:left w:val="nil"/>
          <w:bottom w:val="nil"/>
          <w:right w:val="nil"/>
          <w:between w:val="nil"/>
        </w:pBdr>
        <w:rPr>
          <w:b/>
          <w:bCs/>
          <w:color w:val="000000"/>
        </w:rPr>
      </w:pPr>
      <w:r>
        <w:rPr>
          <w:b/>
          <w:bCs/>
          <w:color w:val="000000"/>
        </w:rPr>
        <w:t>EPS for the year 2025:</w:t>
      </w:r>
    </w:p>
    <w:p w14:paraId="540D5643" w14:textId="77777777" w:rsidR="00F97A38" w:rsidRDefault="00F97A38" w:rsidP="00113811">
      <w:pPr>
        <w:pBdr>
          <w:top w:val="nil"/>
          <w:left w:val="nil"/>
          <w:bottom w:val="nil"/>
          <w:right w:val="nil"/>
          <w:between w:val="nil"/>
        </w:pBdr>
        <w:rPr>
          <w:color w:val="000000"/>
        </w:rPr>
      </w:pPr>
      <w:r>
        <w:rPr>
          <w:color w:val="000000"/>
        </w:rPr>
        <w:t>AstraZeneca = 6.6</w:t>
      </w:r>
    </w:p>
    <w:p w14:paraId="3EF3DA7E" w14:textId="5CEB73CE" w:rsidR="00D81501" w:rsidRDefault="00C76D3D" w:rsidP="00113811">
      <w:pPr>
        <w:pBdr>
          <w:top w:val="nil"/>
          <w:left w:val="nil"/>
          <w:bottom w:val="nil"/>
          <w:right w:val="nil"/>
          <w:between w:val="nil"/>
        </w:pBdr>
        <w:rPr>
          <w:color w:val="000000"/>
        </w:rPr>
      </w:pPr>
      <w:r w:rsidRPr="00C76D3D">
        <w:rPr>
          <w:color w:val="EE0000"/>
        </w:rPr>
        <w:t xml:space="preserve">EPS increased from 4.54 in 2024 to 6.60 in 2025. This is </w:t>
      </w:r>
      <w:r w:rsidR="00AD1B57">
        <w:rPr>
          <w:color w:val="EE0000"/>
        </w:rPr>
        <w:t>favourable</w:t>
      </w:r>
      <w:r w:rsidRPr="00C76D3D">
        <w:rPr>
          <w:color w:val="EE0000"/>
        </w:rPr>
        <w:t xml:space="preserve"> to the shareholders as it indicates greater earnings per ordinary share</w:t>
      </w:r>
      <w:r w:rsidR="00AD1B57">
        <w:rPr>
          <w:color w:val="EE0000"/>
        </w:rPr>
        <w:t>,</w:t>
      </w:r>
      <w:r w:rsidRPr="00C76D3D">
        <w:rPr>
          <w:color w:val="EE0000"/>
        </w:rPr>
        <w:t xml:space="preserve"> making the company more interesting to the investors</w:t>
      </w:r>
      <w:r w:rsidR="00623352">
        <w:rPr>
          <w:color w:val="EE0000"/>
        </w:rPr>
        <w:t xml:space="preserve"> </w:t>
      </w:r>
      <w:r w:rsidR="00623352" w:rsidRPr="00623352">
        <w:rPr>
          <w:color w:val="EE0000"/>
        </w:rPr>
        <w:t xml:space="preserve">(Hillier </w:t>
      </w:r>
      <w:r w:rsidR="00AD1B57" w:rsidRPr="00AD1B57">
        <w:rPr>
          <w:i/>
          <w:iCs/>
          <w:color w:val="EE0000"/>
        </w:rPr>
        <w:t>et al</w:t>
      </w:r>
      <w:r w:rsidR="00623352" w:rsidRPr="00623352">
        <w:rPr>
          <w:color w:val="EE0000"/>
        </w:rPr>
        <w:t>., 2020)</w:t>
      </w:r>
      <w:r w:rsidRPr="00C76D3D">
        <w:rPr>
          <w:color w:val="EE0000"/>
        </w:rPr>
        <w:t>.</w:t>
      </w:r>
    </w:p>
    <w:p w14:paraId="70DE6085" w14:textId="77777777" w:rsidR="00D25CD8" w:rsidRDefault="00D25CD8" w:rsidP="0002065A">
      <w:pPr>
        <w:pStyle w:val="Heading2"/>
      </w:pPr>
      <w:bookmarkStart w:id="11" w:name="_usw32hnveuod" w:colFirst="0" w:colLast="0"/>
      <w:bookmarkStart w:id="12" w:name="_Toc233498878"/>
      <w:bookmarkEnd w:id="11"/>
      <w:r w:rsidRPr="00D25CD8">
        <w:t>Summary of Financial Position</w:t>
      </w:r>
      <w:bookmarkEnd w:id="12"/>
    </w:p>
    <w:p w14:paraId="2A10D9E9" w14:textId="0CDB24FC" w:rsidR="001A7873" w:rsidRPr="001A7873" w:rsidRDefault="005D50C4" w:rsidP="001A7873">
      <w:pPr>
        <w:rPr>
          <w:color w:val="EE0000"/>
          <w:lang w:val="en-US"/>
        </w:rPr>
      </w:pPr>
      <w:r w:rsidRPr="005D50C4">
        <w:rPr>
          <w:color w:val="EE0000"/>
          <w:lang w:val="en-US"/>
        </w:rPr>
        <w:t xml:space="preserve">In terms of profitability, AstraZeneca has excellent financial health; its situation in terms of shareholder value is also </w:t>
      </w:r>
      <w:proofErr w:type="spellStart"/>
      <w:r w:rsidR="00AD1B57">
        <w:rPr>
          <w:color w:val="EE0000"/>
          <w:lang w:val="en-US"/>
        </w:rPr>
        <w:t>favourable</w:t>
      </w:r>
      <w:proofErr w:type="spellEnd"/>
      <w:r w:rsidRPr="005D50C4">
        <w:rPr>
          <w:color w:val="EE0000"/>
          <w:lang w:val="en-US"/>
        </w:rPr>
        <w:t xml:space="preserve">; working capital efficiency is not; and short-term liquidity is </w:t>
      </w:r>
      <w:proofErr w:type="spellStart"/>
      <w:r w:rsidR="00AD1B57">
        <w:rPr>
          <w:color w:val="EE0000"/>
          <w:lang w:val="en-US"/>
        </w:rPr>
        <w:t>unfavourable</w:t>
      </w:r>
      <w:proofErr w:type="spellEnd"/>
      <w:r w:rsidRPr="005D50C4">
        <w:rPr>
          <w:color w:val="EE0000"/>
          <w:lang w:val="en-US"/>
        </w:rPr>
        <w:t>. Gross profit margin, net profit margin and ROCE in 2025 are higher, indicating that the company earned higher profit from sales and capital invested in 2025. That's good, as it shows improved operating performance and value creation. But the efficiency ratios tell a more conservative story. The asset turnover was unchanged, debtor days, creditor days and inventory days were all high, indicating that cash is locked up for extended periods in the receivables and stock</w:t>
      </w:r>
      <w:r w:rsidR="00623352">
        <w:rPr>
          <w:color w:val="EE0000"/>
          <w:lang w:val="en-US"/>
        </w:rPr>
        <w:t xml:space="preserve"> </w:t>
      </w:r>
      <w:r w:rsidR="00623352" w:rsidRPr="00623352">
        <w:rPr>
          <w:color w:val="EE0000"/>
          <w:lang w:val="en-US"/>
        </w:rPr>
        <w:t>(Damodaran, 2017)</w:t>
      </w:r>
      <w:r w:rsidRPr="005D50C4">
        <w:rPr>
          <w:color w:val="EE0000"/>
          <w:lang w:val="en-US"/>
        </w:rPr>
        <w:t>. While this can be due to the pharmaceutical business, it nonetheless puts strain on working capital. Liquidity is also an issue</w:t>
      </w:r>
      <w:r w:rsidR="00AD1B57">
        <w:rPr>
          <w:color w:val="EE0000"/>
          <w:lang w:val="en-US"/>
        </w:rPr>
        <w:t>,</w:t>
      </w:r>
      <w:r w:rsidRPr="005D50C4">
        <w:rPr>
          <w:color w:val="EE0000"/>
          <w:lang w:val="en-US"/>
        </w:rPr>
        <w:t xml:space="preserve"> as both the current ratio and quick ratio are less than 1. Hence, AstraZeneca is profitable and an attractive company for investors</w:t>
      </w:r>
      <w:r w:rsidR="00AD1B57">
        <w:rPr>
          <w:color w:val="EE0000"/>
          <w:lang w:val="en-US"/>
        </w:rPr>
        <w:t>;</w:t>
      </w:r>
      <w:r w:rsidRPr="005D50C4">
        <w:rPr>
          <w:color w:val="EE0000"/>
          <w:lang w:val="en-US"/>
        </w:rPr>
        <w:t xml:space="preserve"> </w:t>
      </w:r>
      <w:r w:rsidR="00AD1B57">
        <w:rPr>
          <w:color w:val="EE0000"/>
          <w:lang w:val="en-US"/>
        </w:rPr>
        <w:t>its</w:t>
      </w:r>
      <w:r w:rsidRPr="005D50C4">
        <w:rPr>
          <w:color w:val="EE0000"/>
          <w:lang w:val="en-US"/>
        </w:rPr>
        <w:t xml:space="preserve"> liquidity and working capital management should be monitored.</w:t>
      </w:r>
    </w:p>
    <w:p w14:paraId="660BD256" w14:textId="07A570A0" w:rsidR="00A46845" w:rsidRDefault="00A46845">
      <w:r>
        <w:br w:type="page"/>
      </w:r>
    </w:p>
    <w:p w14:paraId="5172609F" w14:textId="39FA6ECB" w:rsidR="007436EE" w:rsidRDefault="007436EE" w:rsidP="007436EE">
      <w:pPr>
        <w:pStyle w:val="Heading1"/>
      </w:pPr>
      <w:bookmarkStart w:id="13" w:name="_Toc233498879"/>
      <w:r>
        <w:lastRenderedPageBreak/>
        <w:t>PART II</w:t>
      </w:r>
      <w:bookmarkEnd w:id="13"/>
    </w:p>
    <w:p w14:paraId="7DA49D22" w14:textId="65BAFC6A" w:rsidR="007436EE" w:rsidRDefault="007436EE" w:rsidP="008E4448">
      <w:pPr>
        <w:pStyle w:val="Heading2"/>
      </w:pPr>
      <w:bookmarkStart w:id="14" w:name="_Toc233498880"/>
      <w:r>
        <w:t>Analysis of Net Present Value and Internal Rate of Return</w:t>
      </w:r>
      <w:bookmarkEnd w:id="14"/>
    </w:p>
    <w:p w14:paraId="52A381E4" w14:textId="45F18069" w:rsidR="007436EE" w:rsidRDefault="007436EE" w:rsidP="007436EE">
      <w:r>
        <w:t xml:space="preserve">Many methods can be used to determine which project is to be undertaken. One of them is the </w:t>
      </w:r>
      <w:r>
        <w:br/>
        <w:t xml:space="preserve">Net present value (NPV) is a method used to calculate the present value of all expected future year-end </w:t>
      </w:r>
      <w:r w:rsidR="00AD1B57">
        <w:t>cash flows</w:t>
      </w:r>
      <w:r>
        <w:t xml:space="preserve"> of each of the projects for comparison</w:t>
      </w:r>
      <w:r w:rsidR="001D2756">
        <w:t xml:space="preserve"> </w:t>
      </w:r>
      <w:r w:rsidR="00E4797A" w:rsidRPr="00E4797A">
        <w:t>(Franklin, Graybeal and Cooper, 2019a)</w:t>
      </w:r>
      <w:r>
        <w:t xml:space="preserve">. The project with the highest NPV is considered the most profitable in </w:t>
      </w:r>
      <w:r w:rsidR="00AD1B57">
        <w:t>terms</w:t>
      </w:r>
      <w:r>
        <w:t xml:space="preserve"> of the project and is selected.</w:t>
      </w:r>
      <w:r w:rsidR="00E4797A">
        <w:t xml:space="preserve"> </w:t>
      </w:r>
      <w:r>
        <w:t>Money devalues or gains in value over time due to inflation and deflation. Therefore, £1 today does not hold the same value as £1 a year later, which makes it hard for a decision-maker to compare among projects in different time periods</w:t>
      </w:r>
      <w:r w:rsidR="001D2756">
        <w:t xml:space="preserve"> </w:t>
      </w:r>
      <w:r w:rsidR="001D2756" w:rsidRPr="001D2756">
        <w:t>(Damodaran, 2017)</w:t>
      </w:r>
      <w:r>
        <w:t xml:space="preserve">. A discount rate is used to discount the future value into the present. The discount rate used in this report is the 5% cost of capital. To calculate NPV, all the expected future year-end </w:t>
      </w:r>
      <w:r w:rsidR="00AD1B57">
        <w:t>cash flows</w:t>
      </w:r>
      <w:r>
        <w:t xml:space="preserve"> are summed up and divided </w:t>
      </w:r>
      <w:r w:rsidR="00AD1B57">
        <w:t>by</w:t>
      </w:r>
      <w:r>
        <w:t xml:space="preserve"> the discount rate. The initial expense is then subtracted to derive the expected future profit in the present period.</w:t>
      </w:r>
    </w:p>
    <w:p w14:paraId="4E5BD5BF" w14:textId="2F07A075" w:rsidR="007436EE" w:rsidRDefault="007436EE" w:rsidP="007436EE">
      <w:r>
        <w:t>Using the table above, NPVs of each of the three projects have been calculated below:</w:t>
      </w:r>
    </w:p>
    <w:p w14:paraId="5E695563" w14:textId="77777777" w:rsidR="007436EE" w:rsidRDefault="007436EE" w:rsidP="004561F2">
      <w:pPr>
        <w:jc w:val="center"/>
      </w:pPr>
      <w:r>
        <w:rPr>
          <w:b/>
          <w:bCs/>
        </w:rPr>
        <w:t>NPV of project (A):</w:t>
      </w:r>
      <w:r>
        <w:t xml:space="preserve"> </w:t>
      </w:r>
      <m:oMath>
        <m:nary>
          <m:naryPr>
            <m:chr m:val="∑"/>
            <m:ctrlPr>
              <w:rPr>
                <w:rFonts w:ascii="Cambria Math" w:eastAsia="Cambria Math" w:hAnsi="Cambria Math" w:cs="Cambria Math"/>
              </w:rPr>
            </m:ctrlPr>
          </m:naryPr>
          <m:sub>
            <m:r>
              <w:rPr>
                <w:rFonts w:ascii="Cambria Math" w:eastAsia="Cambria Math" w:hAnsi="Cambria Math" w:cs="Cambria Math"/>
              </w:rPr>
              <m:t>t=0</m:t>
            </m:r>
          </m:sub>
          <m:sup>
            <m:r>
              <w:rPr>
                <w:rFonts w:ascii="Cambria Math" w:eastAsia="Cambria Math" w:hAnsi="Cambria Math" w:cs="Cambria Math"/>
              </w:rPr>
              <m:t>T</m:t>
            </m:r>
          </m:sup>
          <m:e/>
        </m:nary>
        <m:f>
          <m:fPr>
            <m:ctrlPr>
              <w:rPr>
                <w:rFonts w:ascii="Cambria Math" w:eastAsia="Cambria Math" w:hAnsi="Cambria Math" w:cs="Cambria Math"/>
              </w:rPr>
            </m:ctrlPr>
          </m:fPr>
          <m:num>
            <m:r>
              <w:rPr>
                <w:rFonts w:ascii="Cambria Math" w:eastAsia="Cambria Math" w:hAnsi="Cambria Math" w:cs="Cambria Math"/>
              </w:rPr>
              <m:t>100,000+180,000+210,000+200,000</m:t>
            </m:r>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.05)</m:t>
                </m:r>
              </m:e>
              <m:sup>
                <m:r>
                  <w:rPr>
                    <w:rFonts w:ascii="Cambria Math" w:eastAsia="Cambria Math" w:hAnsi="Cambria Math" w:cs="Cambria Math"/>
                  </w:rPr>
                  <m:t>4</m:t>
                </m:r>
              </m:sup>
            </m:sSup>
          </m:den>
        </m:f>
        <m:r>
          <w:rPr>
            <w:rFonts w:ascii="Cambria Math" w:eastAsia="Cambria Math" w:hAnsi="Cambria Math" w:cs="Cambria Math"/>
          </w:rPr>
          <m:t>-600,000=£4,237.90</m:t>
        </m:r>
      </m:oMath>
    </w:p>
    <w:p w14:paraId="09FDA4F7" w14:textId="77777777" w:rsidR="007436EE" w:rsidRDefault="007436EE" w:rsidP="004561F2">
      <w:pPr>
        <w:jc w:val="center"/>
      </w:pPr>
      <w:r>
        <w:rPr>
          <w:b/>
          <w:bCs/>
        </w:rPr>
        <w:t>NPV of project (B):</w:t>
      </w:r>
      <w:r>
        <w:t xml:space="preserve"> </w:t>
      </w:r>
      <m:oMath>
        <m:nary>
          <m:naryPr>
            <m:chr m:val="∑"/>
            <m:ctrlPr>
              <w:rPr>
                <w:rFonts w:ascii="Cambria Math" w:eastAsia="Cambria Math" w:hAnsi="Cambria Math" w:cs="Cambria Math"/>
              </w:rPr>
            </m:ctrlPr>
          </m:naryPr>
          <m:sub>
            <m:r>
              <w:rPr>
                <w:rFonts w:ascii="Cambria Math" w:eastAsia="Cambria Math" w:hAnsi="Cambria Math" w:cs="Cambria Math"/>
              </w:rPr>
              <m:t>t=0</m:t>
            </m:r>
          </m:sub>
          <m:sup>
            <m:r>
              <w:rPr>
                <w:rFonts w:ascii="Cambria Math" w:eastAsia="Cambria Math" w:hAnsi="Cambria Math" w:cs="Cambria Math"/>
              </w:rPr>
              <m:t>T</m:t>
            </m:r>
          </m:sup>
          <m:e/>
        </m:nary>
        <m:f>
          <m:fPr>
            <m:ctrlPr>
              <w:rPr>
                <w:rFonts w:ascii="Cambria Math" w:eastAsia="Cambria Math" w:hAnsi="Cambria Math" w:cs="Cambria Math"/>
              </w:rPr>
            </m:ctrlPr>
          </m:fPr>
          <m:num>
            <m:r>
              <w:rPr>
                <w:rFonts w:ascii="Cambria Math" w:eastAsia="Cambria Math" w:hAnsi="Cambria Math" w:cs="Cambria Math"/>
              </w:rPr>
              <m:t>220,000+270,000+350,000+400,000</m:t>
            </m:r>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.05)</m:t>
                </m:r>
              </m:e>
              <m:sup>
                <m:r>
                  <w:rPr>
                    <w:rFonts w:ascii="Cambria Math" w:eastAsia="Cambria Math" w:hAnsi="Cambria Math" w:cs="Cambria Math"/>
                  </w:rPr>
                  <m:t>4</m:t>
                </m:r>
              </m:sup>
            </m:sSup>
          </m:den>
        </m:f>
        <m:r>
          <w:rPr>
            <w:rFonts w:ascii="Cambria Math" w:eastAsia="Cambria Math" w:hAnsi="Cambria Math" w:cs="Cambria Math"/>
          </w:rPr>
          <m:t>-900,000=£176,996.11</m:t>
        </m:r>
      </m:oMath>
    </w:p>
    <w:p w14:paraId="62AE3DB8" w14:textId="77777777" w:rsidR="007436EE" w:rsidRDefault="007436EE" w:rsidP="004561F2">
      <w:pPr>
        <w:jc w:val="center"/>
      </w:pPr>
      <w:r>
        <w:rPr>
          <w:b/>
          <w:bCs/>
        </w:rPr>
        <w:t>NPV of project (C):</w:t>
      </w:r>
      <w:r>
        <w:t xml:space="preserve"> </w:t>
      </w:r>
      <m:oMath>
        <m:nary>
          <m:naryPr>
            <m:chr m:val="∑"/>
            <m:ctrlPr>
              <w:rPr>
                <w:rFonts w:ascii="Cambria Math" w:eastAsia="Cambria Math" w:hAnsi="Cambria Math" w:cs="Cambria Math"/>
              </w:rPr>
            </m:ctrlPr>
          </m:naryPr>
          <m:sub>
            <m:r>
              <w:rPr>
                <w:rFonts w:ascii="Cambria Math" w:eastAsia="Cambria Math" w:hAnsi="Cambria Math" w:cs="Cambria Math"/>
              </w:rPr>
              <m:t>t=0</m:t>
            </m:r>
          </m:sub>
          <m:sup>
            <m:r>
              <w:rPr>
                <w:rFonts w:ascii="Cambria Math" w:eastAsia="Cambria Math" w:hAnsi="Cambria Math" w:cs="Cambria Math"/>
              </w:rPr>
              <m:t>T</m:t>
            </m:r>
          </m:sup>
          <m:e/>
        </m:nary>
        <m:f>
          <m:fPr>
            <m:ctrlPr>
              <w:rPr>
                <w:rFonts w:ascii="Cambria Math" w:eastAsia="Cambria Math" w:hAnsi="Cambria Math" w:cs="Cambria Math"/>
              </w:rPr>
            </m:ctrlPr>
          </m:fPr>
          <m:num>
            <m:r>
              <w:rPr>
                <w:rFonts w:ascii="Cambria Math" w:eastAsia="Cambria Math" w:hAnsi="Cambria Math" w:cs="Cambria Math"/>
              </w:rPr>
              <m:t>250,000+310,000+400,000+430,000</m:t>
            </m:r>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.05)</m:t>
                </m:r>
              </m:e>
              <m:sup>
                <m:r>
                  <w:rPr>
                    <w:rFonts w:ascii="Cambria Math" w:eastAsia="Cambria Math" w:hAnsi="Cambria Math" w:cs="Cambria Math"/>
                  </w:rPr>
                  <m:t>4</m:t>
                </m:r>
              </m:sup>
            </m:sSup>
          </m:den>
        </m:f>
        <m:r>
          <w:rPr>
            <w:rFonts w:ascii="Cambria Math" w:eastAsia="Cambria Math" w:hAnsi="Cambria Math" w:cs="Cambria Math"/>
          </w:rPr>
          <m:t>-1,000,000=£208,163.31</m:t>
        </m:r>
      </m:oMath>
    </w:p>
    <w:p w14:paraId="1A3C462C" w14:textId="382E5620" w:rsidR="007436EE" w:rsidRDefault="007436EE" w:rsidP="007436EE">
      <w:r>
        <w:t>NPV of project (C) is £208,163.31, which is the highest among all three projects. Therefore, this is the most profitable project and should be selected.</w:t>
      </w:r>
    </w:p>
    <w:p w14:paraId="20EA998D" w14:textId="77777777" w:rsidR="007436EE" w:rsidRDefault="007436EE" w:rsidP="007436EE">
      <w:r>
        <w:t>Internal rate of return (IRR), on the other hand, denotes the expected annual return percentage of an investment. IRR makes the NPV equal to zero, or it is the break-even interest rate. IRR also considers the time value of money. IRR can be calculated in more than one way. IRRs of each of the projects have been calculated below:</w:t>
      </w:r>
    </w:p>
    <w:p w14:paraId="2FE5549F" w14:textId="77777777" w:rsidR="007436EE" w:rsidRDefault="007436EE" w:rsidP="004561F2">
      <w:pPr>
        <w:jc w:val="center"/>
      </w:pPr>
      <w:r>
        <w:rPr>
          <w:b/>
          <w:bCs/>
        </w:rPr>
        <w:t>IRR of project (A):</w:t>
      </w:r>
      <w:r>
        <w:t xml:space="preserve"> 0 = </w:t>
      </w:r>
      <m:oMath>
        <m:nary>
          <m:naryPr>
            <m:chr m:val="∑"/>
            <m:ctrlPr>
              <w:rPr>
                <w:rFonts w:ascii="Cambria Math" w:eastAsia="Cambria Math" w:hAnsi="Cambria Math" w:cs="Cambria Math"/>
              </w:rPr>
            </m:ctrlPr>
          </m:naryPr>
          <m:sub>
            <m:r>
              <w:rPr>
                <w:rFonts w:ascii="Cambria Math" w:eastAsia="Cambria Math" w:hAnsi="Cambria Math" w:cs="Cambria Math"/>
              </w:rPr>
              <m:t>t=0</m:t>
            </m:r>
          </m:sub>
          <m:sup>
            <m:r>
              <w:rPr>
                <w:rFonts w:ascii="Cambria Math" w:eastAsia="Cambria Math" w:hAnsi="Cambria Math" w:cs="Cambria Math"/>
              </w:rPr>
              <m:t>n</m:t>
            </m:r>
          </m:sup>
          <m:e/>
        </m:nary>
        <m:f>
          <m:fPr>
            <m:ctrlPr>
              <w:rPr>
                <w:rFonts w:ascii="Cambria Math" w:eastAsia="Cambria Math" w:hAnsi="Cambria Math" w:cs="Cambria Math"/>
              </w:rPr>
            </m:ctrlPr>
          </m:fPr>
          <m:num>
            <m:r>
              <w:rPr>
                <w:rFonts w:ascii="Cambria Math" w:eastAsia="Cambria Math" w:hAnsi="Cambria Math" w:cs="Cambria Math"/>
              </w:rPr>
              <m:t>100,000+180,000+210,000+200,000</m:t>
            </m:r>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r)</m:t>
                </m:r>
              </m:e>
              <m:sup>
                <m:r>
                  <w:rPr>
                    <w:rFonts w:ascii="Cambria Math" w:eastAsia="Cambria Math" w:hAnsi="Cambria Math" w:cs="Cambria Math"/>
                  </w:rPr>
                  <m:t>4</m:t>
                </m:r>
              </m:sup>
            </m:sSup>
          </m:den>
        </m:f>
        <m:r>
          <w:rPr>
            <w:rFonts w:ascii="Cambria Math" w:eastAsia="Cambria Math" w:hAnsi="Cambria Math" w:cs="Cambria Math"/>
          </w:rPr>
          <m:t>or 5%</m:t>
        </m:r>
      </m:oMath>
    </w:p>
    <w:p w14:paraId="0BEC1D99" w14:textId="77777777" w:rsidR="007436EE" w:rsidRDefault="007436EE" w:rsidP="004561F2">
      <w:pPr>
        <w:jc w:val="center"/>
      </w:pPr>
      <w:r>
        <w:rPr>
          <w:b/>
          <w:bCs/>
        </w:rPr>
        <w:t>IRR of project (B):</w:t>
      </w:r>
      <w:r>
        <w:t xml:space="preserve"> 0 = </w:t>
      </w:r>
      <m:oMath>
        <m:nary>
          <m:naryPr>
            <m:chr m:val="∑"/>
            <m:ctrlPr>
              <w:rPr>
                <w:rFonts w:ascii="Cambria Math" w:eastAsia="Cambria Math" w:hAnsi="Cambria Math" w:cs="Cambria Math"/>
              </w:rPr>
            </m:ctrlPr>
          </m:naryPr>
          <m:sub>
            <m:r>
              <w:rPr>
                <w:rFonts w:ascii="Cambria Math" w:eastAsia="Cambria Math" w:hAnsi="Cambria Math" w:cs="Cambria Math"/>
              </w:rPr>
              <m:t>t=0</m:t>
            </m:r>
          </m:sub>
          <m:sup>
            <m:r>
              <w:rPr>
                <w:rFonts w:ascii="Cambria Math" w:eastAsia="Cambria Math" w:hAnsi="Cambria Math" w:cs="Cambria Math"/>
              </w:rPr>
              <m:t>n</m:t>
            </m:r>
          </m:sup>
          <m:e/>
        </m:nary>
        <m:f>
          <m:fPr>
            <m:ctrlPr>
              <w:rPr>
                <w:rFonts w:ascii="Cambria Math" w:eastAsia="Cambria Math" w:hAnsi="Cambria Math" w:cs="Cambria Math"/>
              </w:rPr>
            </m:ctrlPr>
          </m:fPr>
          <m:num>
            <m:r>
              <w:rPr>
                <w:rFonts w:ascii="Cambria Math" w:eastAsia="Cambria Math" w:hAnsi="Cambria Math" w:cs="Cambria Math"/>
              </w:rPr>
              <m:t>220,000+270,000+350,000+400,000</m:t>
            </m:r>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r)</m:t>
                </m:r>
              </m:e>
              <m:sup>
                <m:r>
                  <w:rPr>
                    <w:rFonts w:ascii="Cambria Math" w:eastAsia="Cambria Math" w:hAnsi="Cambria Math" w:cs="Cambria Math"/>
                  </w:rPr>
                  <m:t>4</m:t>
                </m:r>
              </m:sup>
            </m:sSup>
          </m:den>
        </m:f>
        <m:r>
          <w:rPr>
            <w:rFonts w:ascii="Cambria Math" w:eastAsia="Cambria Math" w:hAnsi="Cambria Math" w:cs="Cambria Math"/>
          </w:rPr>
          <m:t>or 13%</m:t>
        </m:r>
      </m:oMath>
    </w:p>
    <w:p w14:paraId="7C383525" w14:textId="77777777" w:rsidR="007436EE" w:rsidRDefault="007436EE" w:rsidP="004561F2">
      <w:pPr>
        <w:jc w:val="center"/>
      </w:pPr>
      <w:r>
        <w:rPr>
          <w:b/>
          <w:bCs/>
        </w:rPr>
        <w:t>IRR of project (C):</w:t>
      </w:r>
      <w:r>
        <w:t xml:space="preserve"> 0 = </w:t>
      </w:r>
      <m:oMath>
        <m:nary>
          <m:naryPr>
            <m:chr m:val="∑"/>
            <m:ctrlPr>
              <w:rPr>
                <w:rFonts w:ascii="Cambria Math" w:eastAsia="Cambria Math" w:hAnsi="Cambria Math" w:cs="Cambria Math"/>
              </w:rPr>
            </m:ctrlPr>
          </m:naryPr>
          <m:sub>
            <m:r>
              <w:rPr>
                <w:rFonts w:ascii="Cambria Math" w:eastAsia="Cambria Math" w:hAnsi="Cambria Math" w:cs="Cambria Math"/>
              </w:rPr>
              <m:t>t=0</m:t>
            </m:r>
          </m:sub>
          <m:sup>
            <m:r>
              <w:rPr>
                <w:rFonts w:ascii="Cambria Math" w:eastAsia="Cambria Math" w:hAnsi="Cambria Math" w:cs="Cambria Math"/>
              </w:rPr>
              <m:t>n</m:t>
            </m:r>
          </m:sup>
          <m:e/>
        </m:nary>
        <m:f>
          <m:fPr>
            <m:ctrlPr>
              <w:rPr>
                <w:rFonts w:ascii="Cambria Math" w:eastAsia="Cambria Math" w:hAnsi="Cambria Math" w:cs="Cambria Math"/>
              </w:rPr>
            </m:ctrlPr>
          </m:fPr>
          <m:num>
            <m:r>
              <w:rPr>
                <w:rFonts w:ascii="Cambria Math" w:eastAsia="Cambria Math" w:hAnsi="Cambria Math" w:cs="Cambria Math"/>
              </w:rPr>
              <m:t>250,000+310,000+400,000+430,000</m:t>
            </m:r>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r)</m:t>
                </m:r>
              </m:e>
              <m:sup>
                <m:r>
                  <w:rPr>
                    <w:rFonts w:ascii="Cambria Math" w:eastAsia="Cambria Math" w:hAnsi="Cambria Math" w:cs="Cambria Math"/>
                  </w:rPr>
                  <m:t>4</m:t>
                </m:r>
              </m:sup>
            </m:sSup>
          </m:den>
        </m:f>
        <m:r>
          <w:rPr>
            <w:rFonts w:ascii="Cambria Math" w:eastAsia="Cambria Math" w:hAnsi="Cambria Math" w:cs="Cambria Math"/>
          </w:rPr>
          <m:t>or 13%</m:t>
        </m:r>
      </m:oMath>
    </w:p>
    <w:p w14:paraId="41E0DD9F" w14:textId="77777777" w:rsidR="007436EE" w:rsidRDefault="007436EE" w:rsidP="007436EE">
      <w:r>
        <w:lastRenderedPageBreak/>
        <w:t>Project (A) has the lowest IRR and NPV both. Besides, the IRR is the same as the cost of capital. So, this project should not be chosen. Project (B) and (C), however, have the same IRR of 13%, which is 8% greater than the cost of capital, ensuring the perfect recovery of the cost. In this case, the one with the highest NPV or project (C) should be chosen.</w:t>
      </w:r>
    </w:p>
    <w:p w14:paraId="06040457" w14:textId="0D9B5BD5" w:rsidR="007436EE" w:rsidRDefault="007436EE" w:rsidP="007436EE">
      <w:r>
        <w:t xml:space="preserve">NPV is considered the best method for investment appraisal, because it is very realistically applied to find which investment has the </w:t>
      </w:r>
      <w:r w:rsidR="00AD1B57">
        <w:t>highest</w:t>
      </w:r>
      <w:r>
        <w:t xml:space="preserve"> yield in terms of wealth in today’s monetary value. The cost of capital, used to discount the future values, is a realistic market-based rate derived from the actual cost of the investment, and </w:t>
      </w:r>
      <w:r w:rsidR="00AD1B57">
        <w:t>it is</w:t>
      </w:r>
      <w:r>
        <w:t xml:space="preserve"> thought that the </w:t>
      </w:r>
      <w:r w:rsidR="00AD1B57">
        <w:t>cash flows</w:t>
      </w:r>
      <w:r>
        <w:t xml:space="preserve"> are </w:t>
      </w:r>
      <w:r w:rsidR="00AD1B57">
        <w:t>reinvested</w:t>
      </w:r>
      <w:r>
        <w:t xml:space="preserve"> at this rate</w:t>
      </w:r>
      <w:r w:rsidR="001D2756">
        <w:t xml:space="preserve"> </w:t>
      </w:r>
      <w:r w:rsidR="001D2756" w:rsidRPr="001D2756">
        <w:t xml:space="preserve">(Brealey </w:t>
      </w:r>
      <w:r w:rsidR="00AD1B57" w:rsidRPr="00AD1B57">
        <w:rPr>
          <w:i/>
          <w:iCs/>
        </w:rPr>
        <w:t>et al</w:t>
      </w:r>
      <w:r w:rsidR="001D2756" w:rsidRPr="001D2756">
        <w:t>., 2022)</w:t>
      </w:r>
      <w:r>
        <w:t xml:space="preserve">. Besides, NPV follows the concept of time value of money, or that it discounts the future </w:t>
      </w:r>
      <w:r w:rsidR="00AD1B57">
        <w:t>cash flows</w:t>
      </w:r>
      <w:r>
        <w:t xml:space="preserve"> back to their present values, which helps in realistic comparison among yields from projects throughout different time periods.</w:t>
      </w:r>
    </w:p>
    <w:p w14:paraId="7287194E" w14:textId="5E40ADD2" w:rsidR="007436EE" w:rsidRDefault="007436EE" w:rsidP="007436EE">
      <w:r>
        <w:t xml:space="preserve">IRR is less reliable because it considers that re-investment occurs at the rate of IRR, which is quite high, such as it’s as high as 13% for </w:t>
      </w:r>
      <w:r w:rsidR="00AD1B57">
        <w:t>projects</w:t>
      </w:r>
      <w:r>
        <w:t xml:space="preserve"> (B) and (C). IRR is a percentage and does not give a clear figure like NPV. So, it’s not always applicable in some analyses and makes its use limited. IRR also doesn’t account for the change in cost of capital. So, it provides the same rate despite an increase or decrease in capital expenditure</w:t>
      </w:r>
      <w:r w:rsidR="001D2756">
        <w:t xml:space="preserve"> </w:t>
      </w:r>
      <w:r w:rsidR="001D2756" w:rsidRPr="001D2756">
        <w:t>(Chen and Kieschnick, 2018)</w:t>
      </w:r>
      <w:r>
        <w:t xml:space="preserve">. IRR can also give two different rates for the same project. In case of conventional cashflows, there’s a big outflow at the start </w:t>
      </w:r>
      <w:r w:rsidR="00AD1B57">
        <w:t>of the</w:t>
      </w:r>
      <w:r>
        <w:t xml:space="preserve"> year 0 or the initial investment and provides inflows throughout the consecutive years. In case of non-conventional cashflows, there’s a major outflow at first, known as the initial investment, followed by inflows for perhaps a couple of consecutive years and outflows again, which generally happens if the project requires a major fee or incurs a huge cost in the near future. IRR isn’t flexible enough to account for non-conventional </w:t>
      </w:r>
      <w:r w:rsidR="00AD1B57">
        <w:t>cash flows</w:t>
      </w:r>
      <w:r>
        <w:t xml:space="preserve"> and ends up giving two different percentages, which becomes confusing in terms of decision-making. Surely, NPV is again the better choice of the two.</w:t>
      </w:r>
    </w:p>
    <w:p w14:paraId="6CEF3A65" w14:textId="17EE1C75" w:rsidR="007436EE" w:rsidRDefault="007436EE" w:rsidP="007436EE">
      <w:r>
        <w:t xml:space="preserve">Despite NPV </w:t>
      </w:r>
      <w:r w:rsidR="00AD1B57">
        <w:t xml:space="preserve">being </w:t>
      </w:r>
      <w:r>
        <w:t>allegedly considered to be the best method, non-discounting methods, such as accounting rate of return (ARR), the payback period, profitability index (PI), etc.</w:t>
      </w:r>
      <w:r w:rsidR="00AD1B57">
        <w:t>,</w:t>
      </w:r>
      <w:r>
        <w:t xml:space="preserve"> are getting popular among decision-makers, because the discounting rate is sometimes hard to find and can be subjective. In such cases, non-discounting is the feasible option. In some volatile industries, </w:t>
      </w:r>
      <w:r w:rsidR="00AD1B57">
        <w:t>cash flows</w:t>
      </w:r>
      <w:r>
        <w:t xml:space="preserve"> in the far future are uncertain</w:t>
      </w:r>
      <w:r w:rsidR="001D2756">
        <w:t xml:space="preserve"> </w:t>
      </w:r>
      <w:r w:rsidR="001D2756" w:rsidRPr="001D2756">
        <w:t>(</w:t>
      </w:r>
      <w:proofErr w:type="spellStart"/>
      <w:r w:rsidR="001D2756" w:rsidRPr="001D2756">
        <w:t>Boțoc</w:t>
      </w:r>
      <w:proofErr w:type="spellEnd"/>
      <w:r w:rsidR="001D2756" w:rsidRPr="001D2756">
        <w:t xml:space="preserve"> and Anton, 2017)</w:t>
      </w:r>
      <w:r>
        <w:t>. Methods like NPV are not very helpful here. Also, methods like the payback period are easy to understand and interpret.</w:t>
      </w:r>
    </w:p>
    <w:p w14:paraId="0876DC6E" w14:textId="043633D7" w:rsidR="007436EE" w:rsidRDefault="007436EE" w:rsidP="008E4448">
      <w:pPr>
        <w:pStyle w:val="Heading2"/>
      </w:pPr>
      <w:bookmarkStart w:id="15" w:name="_65ybzhxmbz13" w:colFirst="0" w:colLast="0"/>
      <w:bookmarkStart w:id="16" w:name="_Toc233498881"/>
      <w:bookmarkEnd w:id="15"/>
      <w:r>
        <w:lastRenderedPageBreak/>
        <w:t>Other Factors of Consideration</w:t>
      </w:r>
      <w:bookmarkEnd w:id="16"/>
    </w:p>
    <w:p w14:paraId="51CF9C1C" w14:textId="77777777" w:rsidR="007436EE" w:rsidRDefault="007436EE" w:rsidP="007436EE">
      <w:r>
        <w:t>There are multiple other financial and non-financial factors that should be considered before choosing an investment. Financial methods other than NPV and IRR used to select a project are:</w:t>
      </w:r>
    </w:p>
    <w:p w14:paraId="6172D763" w14:textId="7B9B2AC6" w:rsidR="007436EE" w:rsidRDefault="007436EE" w:rsidP="007436EE">
      <w:pPr>
        <w:numPr>
          <w:ilvl w:val="0"/>
          <w:numId w:val="11"/>
        </w:numPr>
        <w:pBdr>
          <w:top w:val="nil"/>
          <w:left w:val="nil"/>
          <w:bottom w:val="nil"/>
          <w:right w:val="nil"/>
          <w:between w:val="nil"/>
        </w:pBdr>
        <w:spacing w:before="0" w:after="0"/>
        <w:rPr>
          <w:color w:val="000000"/>
        </w:rPr>
      </w:pPr>
      <w:r>
        <w:rPr>
          <w:b/>
          <w:bCs/>
          <w:color w:val="000000"/>
        </w:rPr>
        <w:t>Payback period:</w:t>
      </w:r>
      <w:r>
        <w:rPr>
          <w:color w:val="000000"/>
        </w:rPr>
        <w:t xml:space="preserve"> </w:t>
      </w:r>
      <w:r w:rsidR="00AD1B57">
        <w:rPr>
          <w:color w:val="000000"/>
        </w:rPr>
        <w:t>This</w:t>
      </w:r>
      <w:r>
        <w:rPr>
          <w:color w:val="000000"/>
        </w:rPr>
        <w:t xml:space="preserve"> method shows the amount of time it takes for the investment to recover the initial expenses. The project with the potential </w:t>
      </w:r>
      <w:r w:rsidR="00AD1B57">
        <w:rPr>
          <w:color w:val="000000"/>
        </w:rPr>
        <w:t>for</w:t>
      </w:r>
      <w:r>
        <w:rPr>
          <w:color w:val="000000"/>
        </w:rPr>
        <w:t xml:space="preserve"> the earliest recovery is chosen. There’s a method of discounted payback period, where it accounts for the time value of money too, which makes the method more realistic and applicable</w:t>
      </w:r>
      <w:r w:rsidR="001D2756">
        <w:rPr>
          <w:color w:val="000000"/>
        </w:rPr>
        <w:t xml:space="preserve"> </w:t>
      </w:r>
      <w:r w:rsidR="001D2756" w:rsidRPr="001D2756">
        <w:rPr>
          <w:color w:val="000000"/>
        </w:rPr>
        <w:t>(Baños-Caballero, García-Teruel and Martínez-Solano, 2020)</w:t>
      </w:r>
      <w:r>
        <w:rPr>
          <w:color w:val="000000"/>
        </w:rPr>
        <w:t xml:space="preserve">. The calculation requires the initial investment to be divided by the annual </w:t>
      </w:r>
      <w:r w:rsidR="00AD1B57">
        <w:rPr>
          <w:color w:val="000000"/>
        </w:rPr>
        <w:t>cash flow</w:t>
      </w:r>
      <w:r>
        <w:rPr>
          <w:color w:val="000000"/>
        </w:rPr>
        <w:t>. This method is highly used for its simplicity.</w:t>
      </w:r>
    </w:p>
    <w:p w14:paraId="0DBDC8A2" w14:textId="599508D0" w:rsidR="007436EE" w:rsidRDefault="007436EE" w:rsidP="007436EE">
      <w:pPr>
        <w:numPr>
          <w:ilvl w:val="0"/>
          <w:numId w:val="11"/>
        </w:numPr>
        <w:pBdr>
          <w:top w:val="nil"/>
          <w:left w:val="nil"/>
          <w:bottom w:val="nil"/>
          <w:right w:val="nil"/>
          <w:between w:val="nil"/>
        </w:pBdr>
        <w:spacing w:before="0" w:after="0"/>
        <w:rPr>
          <w:color w:val="000000"/>
        </w:rPr>
      </w:pPr>
      <w:r>
        <w:rPr>
          <w:b/>
          <w:bCs/>
          <w:color w:val="000000"/>
        </w:rPr>
        <w:t>Accounting rate of return (ARR):</w:t>
      </w:r>
      <w:r>
        <w:rPr>
          <w:color w:val="000000"/>
        </w:rPr>
        <w:t xml:space="preserve"> ARR takes non-cash items like depreciation, amortisation, and accruals into account. ARR is the average profit expected over the lifetime of a project relative to the capital invested. In this method, the average annual accounting profit is divided by the initial investment or the average investment</w:t>
      </w:r>
      <w:r w:rsidR="001D2756">
        <w:rPr>
          <w:color w:val="000000"/>
        </w:rPr>
        <w:t xml:space="preserve"> </w:t>
      </w:r>
      <w:r w:rsidR="001D2756" w:rsidRPr="001D2756">
        <w:rPr>
          <w:color w:val="000000"/>
        </w:rPr>
        <w:t xml:space="preserve">(Anton and </w:t>
      </w:r>
      <w:proofErr w:type="spellStart"/>
      <w:r w:rsidR="001D2756" w:rsidRPr="001D2756">
        <w:rPr>
          <w:color w:val="000000"/>
        </w:rPr>
        <w:t>Afloarei</w:t>
      </w:r>
      <w:proofErr w:type="spellEnd"/>
      <w:r w:rsidR="001D2756" w:rsidRPr="001D2756">
        <w:rPr>
          <w:color w:val="000000"/>
        </w:rPr>
        <w:t xml:space="preserve"> </w:t>
      </w:r>
      <w:proofErr w:type="spellStart"/>
      <w:r w:rsidR="001D2756" w:rsidRPr="001D2756">
        <w:rPr>
          <w:color w:val="000000"/>
        </w:rPr>
        <w:t>Nucu</w:t>
      </w:r>
      <w:proofErr w:type="spellEnd"/>
      <w:r w:rsidR="001D2756" w:rsidRPr="001D2756">
        <w:rPr>
          <w:color w:val="000000"/>
        </w:rPr>
        <w:t>, 2021)</w:t>
      </w:r>
      <w:r>
        <w:rPr>
          <w:color w:val="000000"/>
        </w:rPr>
        <w:t>. The project with the highest average profit is selected. NPV or IRR can be used for a short period of time, but since ARR uses the whole lifetime, it’s often unrealistic and far-fetched, making it inapplicable for a lot of companies</w:t>
      </w:r>
      <w:r w:rsidR="001D2756">
        <w:rPr>
          <w:color w:val="000000"/>
        </w:rPr>
        <w:t xml:space="preserve"> </w:t>
      </w:r>
      <w:r w:rsidR="001D2756" w:rsidRPr="001D2756">
        <w:rPr>
          <w:color w:val="000000"/>
        </w:rPr>
        <w:t>(Altaf and Shah, 2018)</w:t>
      </w:r>
      <w:r>
        <w:rPr>
          <w:color w:val="000000"/>
        </w:rPr>
        <w:t>. The more we calculate into the future, the more assumptive it turns, which is highly risky. Besides, this method doesn’t account for the time value of money. Still, managers might use ARR to align with the profit &amp; loss statement or for its simplicity.</w:t>
      </w:r>
    </w:p>
    <w:p w14:paraId="44C6B642" w14:textId="43843A26" w:rsidR="007436EE" w:rsidRDefault="007436EE" w:rsidP="007436EE">
      <w:pPr>
        <w:numPr>
          <w:ilvl w:val="0"/>
          <w:numId w:val="11"/>
        </w:numPr>
        <w:pBdr>
          <w:top w:val="nil"/>
          <w:left w:val="nil"/>
          <w:bottom w:val="nil"/>
          <w:right w:val="nil"/>
          <w:between w:val="nil"/>
        </w:pBdr>
        <w:spacing w:before="0" w:after="0"/>
        <w:rPr>
          <w:color w:val="000000"/>
        </w:rPr>
      </w:pPr>
      <w:r>
        <w:rPr>
          <w:b/>
          <w:bCs/>
          <w:color w:val="000000"/>
        </w:rPr>
        <w:t>Profitability index (PI):</w:t>
      </w:r>
      <w:r>
        <w:rPr>
          <w:color w:val="000000"/>
        </w:rPr>
        <w:t xml:space="preserve"> PI is the ratio of </w:t>
      </w:r>
      <w:r w:rsidR="00AD1B57">
        <w:rPr>
          <w:color w:val="000000"/>
        </w:rPr>
        <w:t xml:space="preserve">the </w:t>
      </w:r>
      <w:r>
        <w:rPr>
          <w:color w:val="000000"/>
        </w:rPr>
        <w:t>payoff of investment</w:t>
      </w:r>
      <w:r w:rsidR="00AD1B57">
        <w:rPr>
          <w:color w:val="000000"/>
        </w:rPr>
        <w:t>,</w:t>
      </w:r>
      <w:r>
        <w:rPr>
          <w:color w:val="000000"/>
        </w:rPr>
        <w:t xml:space="preserve"> or simply, how much money a project generates for every pound invested in it. If it’s greater than 1, the project is profitable, and the most profitable project is selected.</w:t>
      </w:r>
    </w:p>
    <w:p w14:paraId="51780BBE" w14:textId="1671BDF2" w:rsidR="007436EE" w:rsidRDefault="007436EE" w:rsidP="007436EE">
      <w:r>
        <w:t xml:space="preserve">Non-financial factors should include, but not </w:t>
      </w:r>
      <w:r w:rsidR="00AD1B57">
        <w:t xml:space="preserve">be </w:t>
      </w:r>
      <w:r>
        <w:t>limited to, the following:</w:t>
      </w:r>
    </w:p>
    <w:p w14:paraId="05675D2E" w14:textId="677C424A" w:rsidR="007436EE" w:rsidRDefault="007436EE" w:rsidP="007436EE">
      <w:pPr>
        <w:numPr>
          <w:ilvl w:val="0"/>
          <w:numId w:val="10"/>
        </w:numPr>
        <w:pBdr>
          <w:top w:val="nil"/>
          <w:left w:val="nil"/>
          <w:bottom w:val="nil"/>
          <w:right w:val="nil"/>
          <w:between w:val="nil"/>
        </w:pBdr>
        <w:spacing w:before="0" w:after="0"/>
        <w:rPr>
          <w:color w:val="000000"/>
        </w:rPr>
      </w:pPr>
      <w:r>
        <w:rPr>
          <w:color w:val="000000"/>
        </w:rPr>
        <w:t>Even with a comparatively higher NPV, if the return is sensitive to fluctuations, it’s a high-risk project, and better be avoided. For example, some industries are very volatile</w:t>
      </w:r>
      <w:r w:rsidR="00AD1B57">
        <w:rPr>
          <w:color w:val="000000"/>
        </w:rPr>
        <w:t>,</w:t>
      </w:r>
      <w:r>
        <w:rPr>
          <w:color w:val="000000"/>
        </w:rPr>
        <w:t xml:space="preserve"> and a little setback may push the project to face a huge loss. Sometimes, the higher the risk, the higher the </w:t>
      </w:r>
      <w:r w:rsidR="00AD1B57">
        <w:rPr>
          <w:color w:val="000000"/>
        </w:rPr>
        <w:t>profit/loss</w:t>
      </w:r>
      <w:r>
        <w:rPr>
          <w:color w:val="000000"/>
        </w:rPr>
        <w:t>. Most businesses prefer a healthy amount of risk.</w:t>
      </w:r>
    </w:p>
    <w:p w14:paraId="696E696D" w14:textId="5DF42014" w:rsidR="007436EE" w:rsidRDefault="007436EE" w:rsidP="007436EE">
      <w:pPr>
        <w:numPr>
          <w:ilvl w:val="0"/>
          <w:numId w:val="10"/>
        </w:numPr>
        <w:pBdr>
          <w:top w:val="nil"/>
          <w:left w:val="nil"/>
          <w:bottom w:val="nil"/>
          <w:right w:val="nil"/>
          <w:between w:val="nil"/>
        </w:pBdr>
        <w:spacing w:before="0" w:after="0"/>
        <w:rPr>
          <w:color w:val="000000"/>
        </w:rPr>
      </w:pPr>
      <w:r>
        <w:rPr>
          <w:color w:val="000000"/>
        </w:rPr>
        <w:t xml:space="preserve">There might be qualitative factors in disfavour of some of the projects, such as a project that requires deep-sea drilling or deforestation has a high environmental impact, </w:t>
      </w:r>
      <w:r w:rsidR="00AD1B57">
        <w:rPr>
          <w:color w:val="000000"/>
        </w:rPr>
        <w:t xml:space="preserve">a </w:t>
      </w:r>
      <w:r>
        <w:rPr>
          <w:color w:val="000000"/>
        </w:rPr>
        <w:lastRenderedPageBreak/>
        <w:t>gambling expansion or data monetisation usually has risks of negative public perception, or a project dealing with open-pit mining or high-altitude construction may create a risky work environment</w:t>
      </w:r>
      <w:r w:rsidR="001D2756">
        <w:rPr>
          <w:color w:val="000000"/>
        </w:rPr>
        <w:t xml:space="preserve"> </w:t>
      </w:r>
      <w:r w:rsidR="001D2756" w:rsidRPr="001D2756">
        <w:rPr>
          <w:color w:val="000000"/>
        </w:rPr>
        <w:t>(Aktas, Croci and Petmezas, 2015)</w:t>
      </w:r>
      <w:r>
        <w:rPr>
          <w:color w:val="000000"/>
        </w:rPr>
        <w:t>. If the company cannot proceed with enough safety measures, despite profitability, such projects should not be chosen over a safe and ethical, but less profitable one.</w:t>
      </w:r>
    </w:p>
    <w:p w14:paraId="4BCF71E2" w14:textId="17E10EF2" w:rsidR="007436EE" w:rsidRDefault="007436EE" w:rsidP="007436EE">
      <w:pPr>
        <w:numPr>
          <w:ilvl w:val="0"/>
          <w:numId w:val="10"/>
        </w:numPr>
        <w:pBdr>
          <w:top w:val="nil"/>
          <w:left w:val="nil"/>
          <w:bottom w:val="nil"/>
          <w:right w:val="nil"/>
          <w:between w:val="nil"/>
        </w:pBdr>
        <w:spacing w:before="0" w:after="0"/>
        <w:rPr>
          <w:color w:val="000000"/>
        </w:rPr>
      </w:pPr>
      <w:r>
        <w:rPr>
          <w:color w:val="000000"/>
        </w:rPr>
        <w:t xml:space="preserve">The legal and political environment can cause some projects to </w:t>
      </w:r>
      <w:r w:rsidR="00AD1B57">
        <w:rPr>
          <w:color w:val="000000"/>
        </w:rPr>
        <w:t>not be</w:t>
      </w:r>
      <w:r>
        <w:rPr>
          <w:color w:val="000000"/>
        </w:rPr>
        <w:t xml:space="preserve"> accepted despite the </w:t>
      </w:r>
      <w:r w:rsidR="00AD1B57">
        <w:rPr>
          <w:color w:val="000000"/>
        </w:rPr>
        <w:t>theoretical</w:t>
      </w:r>
      <w:r>
        <w:rPr>
          <w:color w:val="000000"/>
        </w:rPr>
        <w:t xml:space="preserve"> high profitability. Such as, discounting rates turn volatile in a politically and economically unstable country</w:t>
      </w:r>
      <w:r w:rsidR="001D2756">
        <w:rPr>
          <w:color w:val="000000"/>
        </w:rPr>
        <w:t xml:space="preserve"> </w:t>
      </w:r>
      <w:r w:rsidR="001D2756" w:rsidRPr="001D2756">
        <w:rPr>
          <w:color w:val="000000"/>
        </w:rPr>
        <w:t>(Akgun and Karatas, 2020)</w:t>
      </w:r>
      <w:r>
        <w:rPr>
          <w:color w:val="000000"/>
        </w:rPr>
        <w:t xml:space="preserve">. The discount rates can vary </w:t>
      </w:r>
      <w:r w:rsidR="00AD1B57">
        <w:rPr>
          <w:color w:val="000000"/>
        </w:rPr>
        <w:t>unpredictably</w:t>
      </w:r>
      <w:r>
        <w:rPr>
          <w:color w:val="000000"/>
        </w:rPr>
        <w:t xml:space="preserve">, which makes the equations impractical. Definitely, the non-discounting methods can </w:t>
      </w:r>
      <w:r w:rsidR="00AD1B57">
        <w:rPr>
          <w:color w:val="000000"/>
        </w:rPr>
        <w:t>still be used here</w:t>
      </w:r>
      <w:r>
        <w:rPr>
          <w:color w:val="000000"/>
        </w:rPr>
        <w:t>. But most would rather invest in a politically stable country where the future of the investment can be more reliably predicted.</w:t>
      </w:r>
    </w:p>
    <w:p w14:paraId="7050CB88" w14:textId="69E36CA7" w:rsidR="007436EE" w:rsidRDefault="007436EE" w:rsidP="007436EE">
      <w:pPr>
        <w:numPr>
          <w:ilvl w:val="0"/>
          <w:numId w:val="10"/>
        </w:numPr>
        <w:pBdr>
          <w:top w:val="nil"/>
          <w:left w:val="nil"/>
          <w:bottom w:val="nil"/>
          <w:right w:val="nil"/>
          <w:between w:val="nil"/>
        </w:pBdr>
        <w:spacing w:before="0" w:after="0"/>
        <w:rPr>
          <w:color w:val="000000"/>
        </w:rPr>
      </w:pPr>
      <w:r>
        <w:rPr>
          <w:color w:val="000000"/>
        </w:rPr>
        <w:t xml:space="preserve">The investment has to align with the company’s long-term goal. It can be a pilot project or a long-term one, but the project must be a strategic fit. The company should be able to provide the resources and a feasible condition to carry out the project. If it lacks technical feasibility, practicality, </w:t>
      </w:r>
      <w:r w:rsidR="00AD1B57">
        <w:rPr>
          <w:color w:val="000000"/>
        </w:rPr>
        <w:t xml:space="preserve">or </w:t>
      </w:r>
      <w:r>
        <w:rPr>
          <w:color w:val="000000"/>
        </w:rPr>
        <w:t>resources, this creates a higher risk and always a higher potential condition of failure</w:t>
      </w:r>
      <w:r w:rsidR="001D2756">
        <w:rPr>
          <w:color w:val="000000"/>
        </w:rPr>
        <w:t xml:space="preserve"> </w:t>
      </w:r>
      <w:r w:rsidR="001D2756" w:rsidRPr="001D2756">
        <w:rPr>
          <w:color w:val="000000"/>
        </w:rPr>
        <w:t>(OpenStax, 2022)</w:t>
      </w:r>
      <w:r>
        <w:rPr>
          <w:color w:val="000000"/>
        </w:rPr>
        <w:t>. A company may often choose a more practical, predictable, and feasible project with moderate expected revenue over a high-risk, high-profit project.</w:t>
      </w:r>
    </w:p>
    <w:p w14:paraId="33A881A0" w14:textId="600B9873" w:rsidR="007436EE" w:rsidRDefault="007436EE" w:rsidP="008E4448">
      <w:pPr>
        <w:pStyle w:val="Heading2"/>
      </w:pPr>
      <w:bookmarkStart w:id="17" w:name="_9gl898ku8th1" w:colFirst="0" w:colLast="0"/>
      <w:bookmarkStart w:id="18" w:name="_Toc233498882"/>
      <w:bookmarkEnd w:id="17"/>
      <w:r>
        <w:t>Optimal Investment Policy for Beard Plc.</w:t>
      </w:r>
      <w:bookmarkEnd w:id="18"/>
    </w:p>
    <w:p w14:paraId="23F8EAB5" w14:textId="016CE6F8" w:rsidR="007436EE" w:rsidRDefault="007436EE" w:rsidP="007436EE">
      <w:r>
        <w:t xml:space="preserve">If funds are limited to £1,500,000, the company should undertake divisible projects or fractions of </w:t>
      </w:r>
      <w:r w:rsidR="00AD1B57">
        <w:t xml:space="preserve">a </w:t>
      </w:r>
      <w:r>
        <w:t>project. The optimal investment policy is a strategic framework to reach a business’s goals efficiently for a given level of risk or to minimise risks for a targeted amount of profit. Simply defined, this policy is the structure of investment that provides the maximum total NPV. So, multiple assets or investments are mixed</w:t>
      </w:r>
      <w:r w:rsidR="001D2756">
        <w:t xml:space="preserve"> </w:t>
      </w:r>
      <w:r w:rsidR="001D2756" w:rsidRPr="001D2756">
        <w:t>(Koller, Goedhart and Wessels, 2020)</w:t>
      </w:r>
      <w:r>
        <w:t>. There are a lot of different ways to create and apply the optimal investment policy, but given the limited funds and the divisibility of the projects, in this case, the policy can be ideally framed using the profitability index or PI.</w:t>
      </w:r>
    </w:p>
    <w:p w14:paraId="7D52D01C" w14:textId="6181AAE6" w:rsidR="007436EE" w:rsidRDefault="007436EE" w:rsidP="007436EE">
      <w:r>
        <w:t xml:space="preserve">The profitability index (PI) (also called the value investment ratio) shows which project generates the most money per pound. This ensures the highest total NPV is earned within a fixed budget. If the budget is larger than the expenditure required to undertake the most profitable project, the rest of the fund is invested in the second most profitable one and a third </w:t>
      </w:r>
      <w:r>
        <w:lastRenderedPageBreak/>
        <w:t>or in fractions</w:t>
      </w:r>
      <w:r w:rsidR="001D2756">
        <w:t xml:space="preserve"> </w:t>
      </w:r>
      <w:r w:rsidR="001D2756" w:rsidRPr="001D2756">
        <w:t xml:space="preserve">(Hillier </w:t>
      </w:r>
      <w:r w:rsidR="00AD1B57" w:rsidRPr="00AD1B57">
        <w:rPr>
          <w:i/>
          <w:iCs/>
        </w:rPr>
        <w:t>et al</w:t>
      </w:r>
      <w:r w:rsidR="001D2756" w:rsidRPr="001D2756">
        <w:t>., 2020)</w:t>
      </w:r>
      <w:r>
        <w:t xml:space="preserve">. There are two formulas for this. Both </w:t>
      </w:r>
      <w:r w:rsidR="00AD1B57">
        <w:t>provide</w:t>
      </w:r>
      <w:r>
        <w:t xml:space="preserve"> the same value, but </w:t>
      </w:r>
      <w:r w:rsidR="00AD1B57">
        <w:t>are</w:t>
      </w:r>
      <w:r>
        <w:t xml:space="preserve"> chosen based on the information at hand. The formulas are:</w:t>
      </w:r>
    </w:p>
    <w:p w14:paraId="6D06AB38" w14:textId="02AA1169" w:rsidR="007436EE" w:rsidRDefault="007436EE" w:rsidP="007436EE">
      <w:pPr>
        <w:numPr>
          <w:ilvl w:val="0"/>
          <w:numId w:val="12"/>
        </w:numPr>
        <w:pBdr>
          <w:top w:val="nil"/>
          <w:left w:val="nil"/>
          <w:bottom w:val="nil"/>
          <w:right w:val="nil"/>
          <w:between w:val="nil"/>
        </w:pBdr>
        <w:spacing w:before="0" w:after="0"/>
        <w:rPr>
          <w:color w:val="000000"/>
        </w:rPr>
      </w:pPr>
      <w:r>
        <w:rPr>
          <w:color w:val="000000"/>
        </w:rPr>
        <w:t xml:space="preserve">The standard formula requires the division of the present values of all future </w:t>
      </w:r>
      <w:r w:rsidR="00AD1B57">
        <w:rPr>
          <w:color w:val="000000"/>
        </w:rPr>
        <w:t>cash flows</w:t>
      </w:r>
      <w:r>
        <w:rPr>
          <w:color w:val="000000"/>
        </w:rPr>
        <w:t xml:space="preserve"> by the initial investments.</w:t>
      </w:r>
    </w:p>
    <w:p w14:paraId="33E376A9" w14:textId="77777777" w:rsidR="007436EE" w:rsidRDefault="007436EE" w:rsidP="007436EE">
      <w:pPr>
        <w:numPr>
          <w:ilvl w:val="0"/>
          <w:numId w:val="12"/>
        </w:numPr>
        <w:pBdr>
          <w:top w:val="nil"/>
          <w:left w:val="nil"/>
          <w:bottom w:val="nil"/>
          <w:right w:val="nil"/>
          <w:between w:val="nil"/>
        </w:pBdr>
        <w:spacing w:before="0" w:after="0"/>
        <w:rPr>
          <w:color w:val="000000"/>
        </w:rPr>
      </w:pPr>
      <w:r>
        <w:rPr>
          <w:color w:val="000000"/>
        </w:rPr>
        <w:t>The NPV-based formula requires the NPVs to be divided by the initial investments and added to 1.</w:t>
      </w:r>
    </w:p>
    <w:p w14:paraId="55BCEC79" w14:textId="77777777" w:rsidR="007436EE" w:rsidRDefault="007436EE" w:rsidP="007436EE">
      <w:r>
        <w:t>The decision rules of PI are:</w:t>
      </w:r>
    </w:p>
    <w:p w14:paraId="4BC8B459" w14:textId="77777777" w:rsidR="007436EE" w:rsidRDefault="007436EE" w:rsidP="007436EE">
      <w:pPr>
        <w:numPr>
          <w:ilvl w:val="0"/>
          <w:numId w:val="13"/>
        </w:numPr>
        <w:pBdr>
          <w:top w:val="nil"/>
          <w:left w:val="nil"/>
          <w:bottom w:val="nil"/>
          <w:right w:val="nil"/>
          <w:between w:val="nil"/>
        </w:pBdr>
        <w:spacing w:before="0" w:after="0"/>
        <w:rPr>
          <w:color w:val="000000"/>
        </w:rPr>
      </w:pPr>
      <w:r>
        <w:rPr>
          <w:color w:val="000000"/>
        </w:rPr>
        <w:t>PI &gt; 1: accept the project as it generates more revenue than the investment</w:t>
      </w:r>
    </w:p>
    <w:p w14:paraId="6DBBA4BA" w14:textId="77777777" w:rsidR="007436EE" w:rsidRDefault="007436EE" w:rsidP="007436EE">
      <w:pPr>
        <w:numPr>
          <w:ilvl w:val="0"/>
          <w:numId w:val="13"/>
        </w:numPr>
        <w:pBdr>
          <w:top w:val="nil"/>
          <w:left w:val="nil"/>
          <w:bottom w:val="nil"/>
          <w:right w:val="nil"/>
          <w:between w:val="nil"/>
        </w:pBdr>
        <w:spacing w:before="0" w:after="0"/>
        <w:rPr>
          <w:color w:val="000000"/>
        </w:rPr>
      </w:pPr>
      <w:r>
        <w:rPr>
          <w:color w:val="000000"/>
        </w:rPr>
        <w:t>PI = 1: break-even point</w:t>
      </w:r>
    </w:p>
    <w:p w14:paraId="52AB7113" w14:textId="77777777" w:rsidR="007436EE" w:rsidRDefault="007436EE" w:rsidP="007436EE">
      <w:pPr>
        <w:numPr>
          <w:ilvl w:val="0"/>
          <w:numId w:val="13"/>
        </w:numPr>
        <w:pBdr>
          <w:top w:val="nil"/>
          <w:left w:val="nil"/>
          <w:bottom w:val="nil"/>
          <w:right w:val="nil"/>
          <w:between w:val="nil"/>
        </w:pBdr>
        <w:spacing w:before="0" w:after="0"/>
        <w:rPr>
          <w:color w:val="000000"/>
        </w:rPr>
      </w:pPr>
      <w:r>
        <w:rPr>
          <w:color w:val="000000"/>
        </w:rPr>
        <w:t>PI &lt; 1: reject the project as it yields less than the initial investment</w:t>
      </w:r>
    </w:p>
    <w:p w14:paraId="0FC19D25" w14:textId="71179F17" w:rsidR="007436EE" w:rsidRDefault="007436EE" w:rsidP="007436EE">
      <w:r>
        <w:t xml:space="preserve">The calculation of </w:t>
      </w:r>
      <w:r w:rsidR="00AD1B57">
        <w:t xml:space="preserve">the </w:t>
      </w:r>
      <w:r>
        <w:t xml:space="preserve">individual PI for each project </w:t>
      </w:r>
      <w:r w:rsidR="00AD1B57">
        <w:t>is shown</w:t>
      </w:r>
      <w:r>
        <w:t xml:space="preserve"> below:</w:t>
      </w:r>
    </w:p>
    <w:p w14:paraId="11B65110" w14:textId="77777777" w:rsidR="007436EE" w:rsidRDefault="007436EE" w:rsidP="004561F2">
      <w:pPr>
        <w:jc w:val="center"/>
      </w:pPr>
      <w:r>
        <w:rPr>
          <w:b/>
          <w:bCs/>
        </w:rPr>
        <w:t>Project (A):</w:t>
      </w:r>
      <w:r>
        <w:t xml:space="preserve"> </w:t>
      </w:r>
      <m:oMath>
        <m:r>
          <w:rPr>
            <w:rFonts w:ascii="Cambria Math" w:eastAsia="Cambria Math" w:hAnsi="Cambria Math" w:cs="Cambria Math"/>
          </w:rPr>
          <m:t>1+</m:t>
        </m:r>
        <m:f>
          <m:fPr>
            <m:ctrlPr>
              <w:rPr>
                <w:rFonts w:ascii="Cambria Math" w:eastAsia="Cambria Math" w:hAnsi="Cambria Math" w:cs="Cambria Math"/>
              </w:rPr>
            </m:ctrlPr>
          </m:fPr>
          <m:num>
            <m:r>
              <w:rPr>
                <w:rFonts w:ascii="Cambria Math" w:eastAsia="Cambria Math" w:hAnsi="Cambria Math" w:cs="Cambria Math"/>
              </w:rPr>
              <m:t>4,237.90</m:t>
            </m:r>
          </m:num>
          <m:den>
            <m:r>
              <w:rPr>
                <w:rFonts w:ascii="Cambria Math" w:eastAsia="Cambria Math" w:hAnsi="Cambria Math" w:cs="Cambria Math"/>
              </w:rPr>
              <m:t>600,000</m:t>
            </m:r>
          </m:den>
        </m:f>
        <m:r>
          <w:rPr>
            <w:rFonts w:ascii="Cambria Math" w:eastAsia="Cambria Math" w:hAnsi="Cambria Math" w:cs="Cambria Math"/>
          </w:rPr>
          <m:t>=1.0071</m:t>
        </m:r>
      </m:oMath>
    </w:p>
    <w:p w14:paraId="1A508445" w14:textId="77777777" w:rsidR="007436EE" w:rsidRDefault="007436EE" w:rsidP="004561F2">
      <w:pPr>
        <w:jc w:val="center"/>
      </w:pPr>
      <w:r>
        <w:rPr>
          <w:b/>
          <w:bCs/>
        </w:rPr>
        <w:t>Project (B):</w:t>
      </w:r>
      <w:r>
        <w:t xml:space="preserve"> </w:t>
      </w:r>
      <m:oMath>
        <m:r>
          <w:rPr>
            <w:rFonts w:ascii="Cambria Math" w:eastAsia="Cambria Math" w:hAnsi="Cambria Math" w:cs="Cambria Math"/>
          </w:rPr>
          <m:t>1+</m:t>
        </m:r>
        <m:f>
          <m:fPr>
            <m:ctrlPr>
              <w:rPr>
                <w:rFonts w:ascii="Cambria Math" w:eastAsia="Cambria Math" w:hAnsi="Cambria Math" w:cs="Cambria Math"/>
              </w:rPr>
            </m:ctrlPr>
          </m:fPr>
          <m:num>
            <m:r>
              <w:rPr>
                <w:rFonts w:ascii="Cambria Math" w:eastAsia="Cambria Math" w:hAnsi="Cambria Math" w:cs="Cambria Math"/>
              </w:rPr>
              <m:t>176,996.11</m:t>
            </m:r>
          </m:num>
          <m:den>
            <m:r>
              <w:rPr>
                <w:rFonts w:ascii="Cambria Math" w:eastAsia="Cambria Math" w:hAnsi="Cambria Math" w:cs="Cambria Math"/>
              </w:rPr>
              <m:t>900,000</m:t>
            </m:r>
          </m:den>
        </m:f>
        <m:r>
          <w:rPr>
            <w:rFonts w:ascii="Cambria Math" w:eastAsia="Cambria Math" w:hAnsi="Cambria Math" w:cs="Cambria Math"/>
          </w:rPr>
          <m:t>=1.1967</m:t>
        </m:r>
      </m:oMath>
    </w:p>
    <w:p w14:paraId="1DEEFA0D" w14:textId="77777777" w:rsidR="007436EE" w:rsidRDefault="007436EE" w:rsidP="004561F2">
      <w:pPr>
        <w:jc w:val="center"/>
      </w:pPr>
      <w:r>
        <w:rPr>
          <w:b/>
          <w:bCs/>
        </w:rPr>
        <w:t xml:space="preserve">Project (C): </w:t>
      </w:r>
      <m:oMath>
        <m:r>
          <w:rPr>
            <w:rFonts w:ascii="Cambria Math" w:eastAsia="Cambria Math" w:hAnsi="Cambria Math" w:cs="Cambria Math"/>
          </w:rPr>
          <m:t>1+</m:t>
        </m:r>
        <m:f>
          <m:fPr>
            <m:ctrlPr>
              <w:rPr>
                <w:rFonts w:ascii="Cambria Math" w:eastAsia="Cambria Math" w:hAnsi="Cambria Math" w:cs="Cambria Math"/>
              </w:rPr>
            </m:ctrlPr>
          </m:fPr>
          <m:num>
            <m:r>
              <w:rPr>
                <w:rFonts w:ascii="Cambria Math" w:eastAsia="Cambria Math" w:hAnsi="Cambria Math" w:cs="Cambria Math"/>
              </w:rPr>
              <m:t>208,163.31</m:t>
            </m:r>
          </m:num>
          <m:den>
            <m:r>
              <w:rPr>
                <w:rFonts w:ascii="Cambria Math" w:eastAsia="Cambria Math" w:hAnsi="Cambria Math" w:cs="Cambria Math"/>
              </w:rPr>
              <m:t>1,000,000</m:t>
            </m:r>
          </m:den>
        </m:f>
        <m:r>
          <w:rPr>
            <w:rFonts w:ascii="Cambria Math" w:eastAsia="Cambria Math" w:hAnsi="Cambria Math" w:cs="Cambria Math"/>
          </w:rPr>
          <m:t>=3.0816</m:t>
        </m:r>
      </m:oMath>
    </w:p>
    <w:p w14:paraId="109B3593" w14:textId="3AE91B41" w:rsidR="007436EE" w:rsidRDefault="007436EE" w:rsidP="007436EE">
      <w:r>
        <w:t>Project (C) generates the highest value, because for every £1 invested, the yield is £3.08. This project should be given the utmost priority, followed by projects (B) and (A)</w:t>
      </w:r>
      <w:r w:rsidR="00AD1B57">
        <w:t>,</w:t>
      </w:r>
      <w:r>
        <w:t xml:space="preserve"> which yield £.19 and £.007 respectively for each £1 invested. Based on this decision, the investment policy requires £100,000 to be invested in project (C)</w:t>
      </w:r>
      <w:r w:rsidR="001D2756">
        <w:t xml:space="preserve"> </w:t>
      </w:r>
      <w:r w:rsidR="001D2756" w:rsidRPr="001D2756">
        <w:t>(Franklin, Graybeal and Cooper, 2019b)</w:t>
      </w:r>
      <w:r>
        <w:t xml:space="preserve">. The remaining £50,000 should be invested in the second most lucrative project, which is (B). With this fund, only (100/900,000x50,000) 5.55% of the total expense can be </w:t>
      </w:r>
      <w:r w:rsidR="00AD1B57">
        <w:t>borne by</w:t>
      </w:r>
      <w:r>
        <w:t xml:space="preserve"> the second project.</w:t>
      </w:r>
    </w:p>
    <w:p w14:paraId="4A0C70E9" w14:textId="77777777" w:rsidR="007436EE" w:rsidRDefault="007436EE" w:rsidP="007436EE">
      <w:r>
        <w:t>The resulting total NPV from this investment policy has been calculated below:</w:t>
      </w:r>
    </w:p>
    <w:p w14:paraId="5A546B31" w14:textId="77777777" w:rsidR="007436EE" w:rsidRDefault="007436EE" w:rsidP="007436EE">
      <w:pPr>
        <w:jc w:val="center"/>
        <w:rPr>
          <w:rFonts w:ascii="Cambria Math" w:eastAsia="Cambria Math" w:hAnsi="Cambria Math" w:cs="Cambria Math"/>
        </w:rPr>
      </w:pPr>
      <m:oMathPara>
        <m:oMath>
          <m:r>
            <w:rPr>
              <w:rFonts w:ascii="Cambria Math" w:eastAsia="Cambria Math" w:hAnsi="Cambria Math" w:cs="Cambria Math"/>
            </w:rPr>
            <m:t>NPV=208,163.11×1+176,996×.055=217,897.89</m:t>
          </m:r>
        </m:oMath>
      </m:oMathPara>
    </w:p>
    <w:p w14:paraId="068C43CB" w14:textId="3B0B54EF" w:rsidR="007436EE" w:rsidRDefault="007436EE" w:rsidP="007436EE">
      <w:r>
        <w:t xml:space="preserve"> Utilising the limited fund of £150,000, investing both in </w:t>
      </w:r>
      <w:r w:rsidR="00AD1B57">
        <w:t>projects</w:t>
      </w:r>
      <w:r>
        <w:t xml:space="preserve"> (C) and (B) fractionally gives us the NPV of £217,897.89, which is the highest NPV possibly derived from a mix of investments, using the optimal investment policy.</w:t>
      </w:r>
    </w:p>
    <w:p w14:paraId="6F55D176" w14:textId="421D5284" w:rsidR="00F97A38" w:rsidRDefault="00F97A38" w:rsidP="007436EE">
      <w:bookmarkStart w:id="19" w:name="_5i10n0433kbe" w:colFirst="0" w:colLast="0"/>
      <w:bookmarkEnd w:id="19"/>
    </w:p>
    <w:p w14:paraId="6CD6609F" w14:textId="7745AE44" w:rsidR="007F574A" w:rsidRDefault="007F574A">
      <w:r>
        <w:br w:type="page"/>
      </w:r>
    </w:p>
    <w:p w14:paraId="473B664E" w14:textId="4DC47C93" w:rsidR="007F574A" w:rsidRDefault="007F574A" w:rsidP="00672524">
      <w:pPr>
        <w:pStyle w:val="Heading1"/>
      </w:pPr>
      <w:bookmarkStart w:id="20" w:name="_Toc233498883"/>
      <w:r>
        <w:lastRenderedPageBreak/>
        <w:t>Conclusion</w:t>
      </w:r>
      <w:bookmarkEnd w:id="20"/>
    </w:p>
    <w:p w14:paraId="75CA1A9F" w14:textId="2B55255C" w:rsidR="000E3B84" w:rsidRPr="000E3B84" w:rsidRDefault="000E3B84" w:rsidP="000E3B84">
      <w:pPr>
        <w:rPr>
          <w:color w:val="EE0000"/>
          <w:lang w:val="en-US"/>
        </w:rPr>
      </w:pPr>
      <w:r w:rsidRPr="000E3B84">
        <w:rPr>
          <w:color w:val="EE0000"/>
          <w:lang w:val="en-US"/>
        </w:rPr>
        <w:t>In conclusion, the analysis reveals that the financial performance of AstraZeneca has positively increased in 2025, especially in terms of profitability and shareholder value. The positive development of gross profit margin, net profit margin, return on capital employed</w:t>
      </w:r>
      <w:r w:rsidR="00AD1B57">
        <w:rPr>
          <w:color w:val="EE0000"/>
          <w:lang w:val="en-US"/>
        </w:rPr>
        <w:t>,</w:t>
      </w:r>
      <w:r w:rsidRPr="000E3B84">
        <w:rPr>
          <w:color w:val="EE0000"/>
          <w:lang w:val="en-US"/>
        </w:rPr>
        <w:t xml:space="preserve"> and earnings per share shows that the company was more successful in turning sales and capital into profit. This is good news for investors and indicates good business. But the analysis also reveals that making AstraZeneca profitable is not the only approach that can be taken to measure the company's financial standing</w:t>
      </w:r>
      <w:r w:rsidR="001D2756">
        <w:rPr>
          <w:color w:val="EE0000"/>
          <w:lang w:val="en-US"/>
        </w:rPr>
        <w:t xml:space="preserve"> </w:t>
      </w:r>
      <w:r w:rsidR="001D2756" w:rsidRPr="001D2756">
        <w:rPr>
          <w:color w:val="EE0000"/>
          <w:lang w:val="en-US"/>
        </w:rPr>
        <w:t>(Damodaran, 2017)</w:t>
      </w:r>
      <w:r w:rsidRPr="000E3B84">
        <w:rPr>
          <w:color w:val="EE0000"/>
          <w:lang w:val="en-US"/>
        </w:rPr>
        <w:t xml:space="preserve">. A less optimistic picture is formed by the efficiency and liquidity ratios of the company. Higher days in inventory, days in creditors and debtor days </w:t>
      </w:r>
      <w:r w:rsidR="00AD1B57">
        <w:rPr>
          <w:color w:val="EE0000"/>
          <w:lang w:val="en-US"/>
        </w:rPr>
        <w:t>indicate</w:t>
      </w:r>
      <w:r w:rsidRPr="000E3B84">
        <w:rPr>
          <w:color w:val="EE0000"/>
          <w:lang w:val="en-US"/>
        </w:rPr>
        <w:t xml:space="preserve"> that working capital is tied up in the operating cycle for a long period of time. Current and quick ratios </w:t>
      </w:r>
      <w:r w:rsidR="00AD1B57">
        <w:rPr>
          <w:color w:val="EE0000"/>
          <w:lang w:val="en-US"/>
        </w:rPr>
        <w:t>were also</w:t>
      </w:r>
      <w:r w:rsidRPr="000E3B84">
        <w:rPr>
          <w:color w:val="EE0000"/>
          <w:lang w:val="en-US"/>
        </w:rPr>
        <w:t xml:space="preserve"> less than 1, indicating that short-term liquidity needs to be closely monitored.</w:t>
      </w:r>
    </w:p>
    <w:p w14:paraId="40BD204A" w14:textId="4AE91AA0" w:rsidR="004B0CE4" w:rsidRPr="004B0CE4" w:rsidRDefault="000E3B84" w:rsidP="000E3B84">
      <w:pPr>
        <w:rPr>
          <w:color w:val="EE0000"/>
          <w:lang w:val="en-US"/>
        </w:rPr>
      </w:pPr>
      <w:r w:rsidRPr="000E3B84">
        <w:rPr>
          <w:color w:val="EE0000"/>
          <w:lang w:val="en-US"/>
        </w:rPr>
        <w:t>Based on the investment appraisal of Beard Plc, Project C is the most attractive one as it has the highest net present value and has a good internal rate of return. Project B also has a positive IRR</w:t>
      </w:r>
      <w:r w:rsidR="00AD1B57">
        <w:rPr>
          <w:color w:val="EE0000"/>
          <w:lang w:val="en-US"/>
        </w:rPr>
        <w:t>,</w:t>
      </w:r>
      <w:r w:rsidRPr="000E3B84">
        <w:rPr>
          <w:color w:val="EE0000"/>
          <w:lang w:val="en-US"/>
        </w:rPr>
        <w:t xml:space="preserve"> but </w:t>
      </w:r>
      <w:r w:rsidR="00AD1B57">
        <w:rPr>
          <w:color w:val="EE0000"/>
          <w:lang w:val="en-US"/>
        </w:rPr>
        <w:t>Project</w:t>
      </w:r>
      <w:r w:rsidRPr="000E3B84">
        <w:rPr>
          <w:color w:val="EE0000"/>
          <w:lang w:val="en-US"/>
        </w:rPr>
        <w:t xml:space="preserve"> C generates more value</w:t>
      </w:r>
      <w:r w:rsidR="001D2756">
        <w:rPr>
          <w:color w:val="EE0000"/>
          <w:lang w:val="en-US"/>
        </w:rPr>
        <w:t xml:space="preserve"> </w:t>
      </w:r>
      <w:r w:rsidR="001D2756" w:rsidRPr="001D2756">
        <w:rPr>
          <w:color w:val="EE0000"/>
          <w:lang w:val="en-US"/>
        </w:rPr>
        <w:t>(Franklin, Graybeal and Cooper, 2019a)</w:t>
      </w:r>
      <w:r w:rsidRPr="000E3B84">
        <w:rPr>
          <w:color w:val="EE0000"/>
          <w:lang w:val="en-US"/>
        </w:rPr>
        <w:t>. Project A is the worst alternative and should be eliminated. Final decision should not be based only on numerical appraisal, however. Additionally, prior to implementation, one should consider the risk, sensitivity to market fluctuations, environmental footprint, legal issues, and strategic fit.</w:t>
      </w:r>
    </w:p>
    <w:p w14:paraId="328C9957" w14:textId="77777777" w:rsidR="004B0CE4" w:rsidRPr="004B0CE4" w:rsidRDefault="004B0CE4" w:rsidP="004B0CE4">
      <w:pPr>
        <w:rPr>
          <w:color w:val="EE0000"/>
          <w:lang w:val="en-US"/>
        </w:rPr>
      </w:pPr>
      <w:r w:rsidRPr="004B0CE4">
        <w:rPr>
          <w:b/>
          <w:bCs/>
          <w:color w:val="EE0000"/>
          <w:lang w:val="en-US"/>
        </w:rPr>
        <w:t>Final Recommendation</w:t>
      </w:r>
    </w:p>
    <w:p w14:paraId="16FE7F99" w14:textId="49E1F7F1" w:rsidR="001A4270" w:rsidRPr="001A4270" w:rsidRDefault="001A4270" w:rsidP="001A4270">
      <w:pPr>
        <w:rPr>
          <w:color w:val="EE0000"/>
          <w:lang w:val="en-US"/>
        </w:rPr>
      </w:pPr>
      <w:r w:rsidRPr="001A4270">
        <w:rPr>
          <w:color w:val="EE0000"/>
          <w:lang w:val="en-US"/>
        </w:rPr>
        <w:t>The maximum contribution to shareholder wealth (in terms of NPV) is Project C</w:t>
      </w:r>
      <w:r w:rsidR="00AD1B57">
        <w:rPr>
          <w:color w:val="EE0000"/>
          <w:lang w:val="en-US"/>
        </w:rPr>
        <w:t>,</w:t>
      </w:r>
      <w:r w:rsidRPr="001A4270">
        <w:rPr>
          <w:color w:val="EE0000"/>
          <w:lang w:val="en-US"/>
        </w:rPr>
        <w:t xml:space="preserve"> which should be selected by Beard Plc. If money is in short supply, the project with the highest profitability index (Project C) should be done first</w:t>
      </w:r>
      <w:r w:rsidR="00AD1B57">
        <w:rPr>
          <w:color w:val="EE0000"/>
          <w:lang w:val="en-US"/>
        </w:rPr>
        <w:t>,</w:t>
      </w:r>
      <w:r w:rsidRPr="001A4270">
        <w:rPr>
          <w:color w:val="EE0000"/>
          <w:lang w:val="en-US"/>
        </w:rPr>
        <w:t xml:space="preserve"> and the rest of the available funds </w:t>
      </w:r>
      <w:r w:rsidR="00AD1B57">
        <w:rPr>
          <w:color w:val="EE0000"/>
          <w:lang w:val="en-US"/>
        </w:rPr>
        <w:t xml:space="preserve">should be </w:t>
      </w:r>
      <w:r w:rsidRPr="001A4270">
        <w:rPr>
          <w:color w:val="EE0000"/>
          <w:lang w:val="en-US"/>
        </w:rPr>
        <w:t>used for Project B. This is because, if no further funding is forthcoming after the "good projects" have been investigated, Project A should not be considered</w:t>
      </w:r>
      <w:r w:rsidR="001D2756">
        <w:rPr>
          <w:color w:val="EE0000"/>
          <w:lang w:val="en-US"/>
        </w:rPr>
        <w:t xml:space="preserve"> </w:t>
      </w:r>
      <w:r w:rsidR="001D2756" w:rsidRPr="001D2756">
        <w:rPr>
          <w:color w:val="EE0000"/>
          <w:lang w:val="en-US"/>
        </w:rPr>
        <w:t xml:space="preserve">(Brealey </w:t>
      </w:r>
      <w:r w:rsidR="00AD1B57" w:rsidRPr="00AD1B57">
        <w:rPr>
          <w:i/>
          <w:iCs/>
          <w:color w:val="EE0000"/>
          <w:lang w:val="en-US"/>
        </w:rPr>
        <w:t>et al</w:t>
      </w:r>
      <w:r w:rsidR="001D2756" w:rsidRPr="001D2756">
        <w:rPr>
          <w:color w:val="EE0000"/>
          <w:lang w:val="en-US"/>
        </w:rPr>
        <w:t>., 2022)</w:t>
      </w:r>
      <w:r w:rsidRPr="001A4270">
        <w:rPr>
          <w:color w:val="EE0000"/>
          <w:lang w:val="en-US"/>
        </w:rPr>
        <w:t>.</w:t>
      </w:r>
    </w:p>
    <w:p w14:paraId="45EDE139" w14:textId="586A9150" w:rsidR="00282D0F" w:rsidRPr="00FD1B1F" w:rsidRDefault="001A4270">
      <w:pPr>
        <w:rPr>
          <w:color w:val="EE0000"/>
          <w:lang w:val="en-US"/>
        </w:rPr>
      </w:pPr>
      <w:r w:rsidRPr="001A4270">
        <w:rPr>
          <w:color w:val="EE0000"/>
          <w:lang w:val="en-US"/>
        </w:rPr>
        <w:t>Prior to final approval, the long-term strategy</w:t>
      </w:r>
      <w:r w:rsidR="00AD1B57">
        <w:rPr>
          <w:color w:val="EE0000"/>
          <w:lang w:val="en-US"/>
        </w:rPr>
        <w:t>,</w:t>
      </w:r>
      <w:r w:rsidRPr="001A4270">
        <w:rPr>
          <w:color w:val="EE0000"/>
          <w:lang w:val="en-US"/>
        </w:rPr>
        <w:t xml:space="preserve"> market uncertainty and feasibility of operation</w:t>
      </w:r>
      <w:r w:rsidR="00AD1B57">
        <w:rPr>
          <w:color w:val="EE0000"/>
          <w:lang w:val="en-US"/>
        </w:rPr>
        <w:t>,</w:t>
      </w:r>
      <w:r w:rsidRPr="001A4270">
        <w:rPr>
          <w:color w:val="EE0000"/>
          <w:lang w:val="en-US"/>
        </w:rPr>
        <w:t xml:space="preserve"> environmental impact, legal requirements, etc.</w:t>
      </w:r>
      <w:r w:rsidR="00AD1B57">
        <w:rPr>
          <w:color w:val="EE0000"/>
          <w:lang w:val="en-US"/>
        </w:rPr>
        <w:t>,</w:t>
      </w:r>
      <w:r w:rsidRPr="001A4270">
        <w:rPr>
          <w:color w:val="EE0000"/>
          <w:lang w:val="en-US"/>
        </w:rPr>
        <w:t xml:space="preserve"> non-financial risks for Project C also need to be reviewed by the Board. Sometimes a project that has the greatest monetary return could be inappropriate because too much risk is involved or too little fit is. As such, Project C is recommended, provided a satisfactory risk and feasibility assessment is carried out.</w:t>
      </w:r>
      <w:r w:rsidR="00282D0F">
        <w:br w:type="page"/>
      </w:r>
    </w:p>
    <w:p w14:paraId="1EE94975" w14:textId="0C80021F" w:rsidR="007F574A" w:rsidRDefault="00282D0F" w:rsidP="001E61DA">
      <w:pPr>
        <w:pStyle w:val="Heading1"/>
      </w:pPr>
      <w:bookmarkStart w:id="21" w:name="_Toc233498884"/>
      <w:r>
        <w:lastRenderedPageBreak/>
        <w:t>References</w:t>
      </w:r>
      <w:bookmarkEnd w:id="21"/>
    </w:p>
    <w:p w14:paraId="17C05525" w14:textId="77777777" w:rsidR="00AD1B57" w:rsidRPr="003C04E0" w:rsidRDefault="00AD1B57" w:rsidP="003C04E0">
      <w:pPr>
        <w:rPr>
          <w:lang w:val="en-US"/>
        </w:rPr>
      </w:pPr>
      <w:r w:rsidRPr="003C04E0">
        <w:rPr>
          <w:lang w:val="en-US"/>
        </w:rPr>
        <w:t xml:space="preserve">Akgun, A.I. and Karatas, A.M. (2020) ‘Investigating the relationship between working capital management and business performance: Evidence from the 2008 financial crisis of EU-28’, </w:t>
      </w:r>
      <w:r w:rsidRPr="003C04E0">
        <w:rPr>
          <w:i/>
          <w:iCs/>
          <w:lang w:val="en-US"/>
        </w:rPr>
        <w:t>International Journal of Managerial Finance</w:t>
      </w:r>
      <w:r w:rsidRPr="003C04E0">
        <w:rPr>
          <w:lang w:val="en-US"/>
        </w:rPr>
        <w:t xml:space="preserve">. Available at: </w:t>
      </w:r>
      <w:hyperlink r:id="rId10" w:history="1">
        <w:r w:rsidRPr="003C04E0">
          <w:rPr>
            <w:rStyle w:val="Hyperlink"/>
            <w:lang w:val="en-US"/>
          </w:rPr>
          <w:t>https://doi.org/10.1108/IJMF-08-2019-0294</w:t>
        </w:r>
      </w:hyperlink>
      <w:r w:rsidRPr="003C04E0">
        <w:rPr>
          <w:lang w:val="en-US"/>
        </w:rPr>
        <w:t xml:space="preserve"> (Accessed: 27 June 2026).</w:t>
      </w:r>
    </w:p>
    <w:p w14:paraId="488F31C0" w14:textId="77777777" w:rsidR="00AD1B57" w:rsidRPr="003C04E0" w:rsidRDefault="00AD1B57" w:rsidP="003C04E0">
      <w:pPr>
        <w:rPr>
          <w:lang w:val="en-US"/>
        </w:rPr>
      </w:pPr>
      <w:r w:rsidRPr="003C04E0">
        <w:rPr>
          <w:lang w:val="en-US"/>
        </w:rPr>
        <w:t xml:space="preserve">Aktas, N., Croci, E. and Petmezas, D. (2015) ‘Is working capital management value-enhancing? Evidence from firm performance and investments’, </w:t>
      </w:r>
      <w:r w:rsidRPr="003C04E0">
        <w:rPr>
          <w:i/>
          <w:iCs/>
          <w:lang w:val="en-US"/>
        </w:rPr>
        <w:t>Journal of Corporate Finance</w:t>
      </w:r>
      <w:r w:rsidRPr="003C04E0">
        <w:rPr>
          <w:lang w:val="en-US"/>
        </w:rPr>
        <w:t xml:space="preserve">, 30, pp. 98–113. Available at: </w:t>
      </w:r>
      <w:hyperlink r:id="rId11" w:history="1">
        <w:r w:rsidRPr="003C04E0">
          <w:rPr>
            <w:rStyle w:val="Hyperlink"/>
            <w:lang w:val="en-US"/>
          </w:rPr>
          <w:t>https://doi.org/10.1016/j.jcorpfin.2014.12.008</w:t>
        </w:r>
      </w:hyperlink>
      <w:r w:rsidRPr="003C04E0">
        <w:rPr>
          <w:lang w:val="en-US"/>
        </w:rPr>
        <w:t xml:space="preserve"> (Accessed: 27 June 2026).</w:t>
      </w:r>
    </w:p>
    <w:p w14:paraId="38746D44" w14:textId="77777777" w:rsidR="00AD1B57" w:rsidRPr="003C04E0" w:rsidRDefault="00AD1B57" w:rsidP="003C04E0">
      <w:pPr>
        <w:rPr>
          <w:lang w:val="en-US"/>
        </w:rPr>
      </w:pPr>
      <w:r w:rsidRPr="003C04E0">
        <w:rPr>
          <w:lang w:val="en-US"/>
        </w:rPr>
        <w:t xml:space="preserve">Altaf, N. and Shah, F.A. (2018) ‘How does working capital management affect the profitability of Indian companies?’, </w:t>
      </w:r>
      <w:r w:rsidRPr="003C04E0">
        <w:rPr>
          <w:i/>
          <w:iCs/>
          <w:lang w:val="en-US"/>
        </w:rPr>
        <w:t>Journal of Advances in Management Research</w:t>
      </w:r>
      <w:r w:rsidRPr="003C04E0">
        <w:rPr>
          <w:lang w:val="en-US"/>
        </w:rPr>
        <w:t xml:space="preserve">, 15, pp. 347–366. Available at: </w:t>
      </w:r>
      <w:hyperlink r:id="rId12" w:history="1">
        <w:r w:rsidRPr="003C04E0">
          <w:rPr>
            <w:rStyle w:val="Hyperlink"/>
            <w:lang w:val="en-US"/>
          </w:rPr>
          <w:t>https://doi.org/10.1108/JAMR-06-2017-0076</w:t>
        </w:r>
      </w:hyperlink>
      <w:r w:rsidRPr="003C04E0">
        <w:rPr>
          <w:lang w:val="en-US"/>
        </w:rPr>
        <w:t xml:space="preserve"> (Accessed: 27 June 2026).</w:t>
      </w:r>
    </w:p>
    <w:p w14:paraId="65908D5D" w14:textId="77777777" w:rsidR="00AD1B57" w:rsidRPr="003C04E0" w:rsidRDefault="00AD1B57" w:rsidP="003C04E0">
      <w:pPr>
        <w:rPr>
          <w:lang w:val="en-US"/>
        </w:rPr>
      </w:pPr>
      <w:r w:rsidRPr="003C04E0">
        <w:rPr>
          <w:lang w:val="en-US"/>
        </w:rPr>
        <w:t xml:space="preserve">Anton, S.G. and </w:t>
      </w:r>
      <w:proofErr w:type="spellStart"/>
      <w:r w:rsidRPr="003C04E0">
        <w:rPr>
          <w:lang w:val="en-US"/>
        </w:rPr>
        <w:t>Afloarei</w:t>
      </w:r>
      <w:proofErr w:type="spellEnd"/>
      <w:r w:rsidRPr="003C04E0">
        <w:rPr>
          <w:lang w:val="en-US"/>
        </w:rPr>
        <w:t xml:space="preserve"> </w:t>
      </w:r>
      <w:proofErr w:type="spellStart"/>
      <w:r w:rsidRPr="003C04E0">
        <w:rPr>
          <w:lang w:val="en-US"/>
        </w:rPr>
        <w:t>Nucu</w:t>
      </w:r>
      <w:proofErr w:type="spellEnd"/>
      <w:r w:rsidRPr="003C04E0">
        <w:rPr>
          <w:lang w:val="en-US"/>
        </w:rPr>
        <w:t xml:space="preserve">, A.E. (2021) ‘The impact of working capital management on firm profitability: Empirical evidence from the Polish listed firms’, </w:t>
      </w:r>
      <w:r w:rsidRPr="003C04E0">
        <w:rPr>
          <w:i/>
          <w:iCs/>
          <w:lang w:val="en-US"/>
        </w:rPr>
        <w:t>Journal of Risk and Financial Management</w:t>
      </w:r>
      <w:r w:rsidRPr="003C04E0">
        <w:rPr>
          <w:lang w:val="en-US"/>
        </w:rPr>
        <w:t xml:space="preserve">, 14(1), article 9. Available at: </w:t>
      </w:r>
      <w:hyperlink r:id="rId13" w:history="1">
        <w:r w:rsidRPr="003C04E0">
          <w:rPr>
            <w:rStyle w:val="Hyperlink"/>
            <w:lang w:val="en-US"/>
          </w:rPr>
          <w:t>https://doi.org/10.3390/jrfm14010009</w:t>
        </w:r>
      </w:hyperlink>
      <w:r w:rsidRPr="003C04E0">
        <w:rPr>
          <w:lang w:val="en-US"/>
        </w:rPr>
        <w:t xml:space="preserve"> (Accessed: 27 June 2026).</w:t>
      </w:r>
    </w:p>
    <w:p w14:paraId="758C0372" w14:textId="77777777" w:rsidR="00AD1B57" w:rsidRPr="003C04E0" w:rsidRDefault="00AD1B57" w:rsidP="003C04E0">
      <w:pPr>
        <w:rPr>
          <w:lang w:val="en-US"/>
        </w:rPr>
      </w:pPr>
      <w:r w:rsidRPr="003C04E0">
        <w:rPr>
          <w:lang w:val="en-US"/>
        </w:rPr>
        <w:t xml:space="preserve">Baños-Caballero, S., García-Teruel, P.J. and Martínez-Solano, P. (2020) ‘Net operating working capital and firm value: A cross-country analysis’, </w:t>
      </w:r>
      <w:r w:rsidRPr="003C04E0">
        <w:rPr>
          <w:i/>
          <w:iCs/>
          <w:lang w:val="en-US"/>
        </w:rPr>
        <w:t>BRQ Business Research Quarterly</w:t>
      </w:r>
      <w:r w:rsidRPr="003C04E0">
        <w:rPr>
          <w:lang w:val="en-US"/>
        </w:rPr>
        <w:t xml:space="preserve">, 23, pp. 234–251. Available at: </w:t>
      </w:r>
      <w:hyperlink r:id="rId14" w:history="1">
        <w:r w:rsidRPr="003C04E0">
          <w:rPr>
            <w:rStyle w:val="Hyperlink"/>
            <w:lang w:val="en-US"/>
          </w:rPr>
          <w:t>https://doi.org/10.1177/2340944420941464</w:t>
        </w:r>
      </w:hyperlink>
      <w:r w:rsidRPr="003C04E0">
        <w:rPr>
          <w:lang w:val="en-US"/>
        </w:rPr>
        <w:t xml:space="preserve"> (Accessed: 27 June 2026).</w:t>
      </w:r>
    </w:p>
    <w:p w14:paraId="176D2461" w14:textId="77777777" w:rsidR="00AD1B57" w:rsidRPr="003C04E0" w:rsidRDefault="00AD1B57" w:rsidP="003C04E0">
      <w:pPr>
        <w:rPr>
          <w:lang w:val="en-US"/>
        </w:rPr>
      </w:pPr>
      <w:proofErr w:type="spellStart"/>
      <w:r w:rsidRPr="003C04E0">
        <w:rPr>
          <w:lang w:val="en-US"/>
        </w:rPr>
        <w:t>Boțoc</w:t>
      </w:r>
      <w:proofErr w:type="spellEnd"/>
      <w:r w:rsidRPr="003C04E0">
        <w:rPr>
          <w:lang w:val="en-US"/>
        </w:rPr>
        <w:t xml:space="preserve">, C. and Anton, S.G. (2017) ‘Is profitability driven by working capital management? Evidence for high-growth firms from emerging Europe’, </w:t>
      </w:r>
      <w:r w:rsidRPr="003C04E0">
        <w:rPr>
          <w:i/>
          <w:iCs/>
          <w:lang w:val="en-US"/>
        </w:rPr>
        <w:t>Journal of Business Economics and Management</w:t>
      </w:r>
      <w:r w:rsidRPr="003C04E0">
        <w:rPr>
          <w:lang w:val="en-US"/>
        </w:rPr>
        <w:t xml:space="preserve">, 18(6), pp. 1135–1155. Available at: </w:t>
      </w:r>
      <w:hyperlink r:id="rId15" w:history="1">
        <w:r w:rsidRPr="003C04E0">
          <w:rPr>
            <w:rStyle w:val="Hyperlink"/>
            <w:lang w:val="en-US"/>
          </w:rPr>
          <w:t>https://doi.org/10.3846/16111699.2017.1402362</w:t>
        </w:r>
      </w:hyperlink>
      <w:r w:rsidRPr="003C04E0">
        <w:rPr>
          <w:lang w:val="en-US"/>
        </w:rPr>
        <w:t xml:space="preserve"> (Accessed: 27 June 2026).</w:t>
      </w:r>
    </w:p>
    <w:p w14:paraId="5119495F" w14:textId="77777777" w:rsidR="00AD1B57" w:rsidRPr="003C04E0" w:rsidRDefault="00AD1B57" w:rsidP="003C04E0">
      <w:pPr>
        <w:rPr>
          <w:lang w:val="en-US"/>
        </w:rPr>
      </w:pPr>
      <w:r w:rsidRPr="003C04E0">
        <w:rPr>
          <w:lang w:val="en-US"/>
        </w:rPr>
        <w:t xml:space="preserve">Brealey, R.A., Myers, S.C., Allen, F. and Edmans, A. (2022) </w:t>
      </w:r>
      <w:r w:rsidRPr="003C04E0">
        <w:rPr>
          <w:i/>
          <w:iCs/>
          <w:lang w:val="en-US"/>
        </w:rPr>
        <w:t>Principles of Corporate Finance</w:t>
      </w:r>
      <w:r w:rsidRPr="003C04E0">
        <w:rPr>
          <w:lang w:val="en-US"/>
        </w:rPr>
        <w:t xml:space="preserve">. 14th </w:t>
      </w:r>
      <w:proofErr w:type="spellStart"/>
      <w:r w:rsidRPr="003C04E0">
        <w:rPr>
          <w:lang w:val="en-US"/>
        </w:rPr>
        <w:t>edn</w:t>
      </w:r>
      <w:proofErr w:type="spellEnd"/>
      <w:r w:rsidRPr="003C04E0">
        <w:rPr>
          <w:lang w:val="en-US"/>
        </w:rPr>
        <w:t xml:space="preserve">. New York: McGraw-Hill. Available at: </w:t>
      </w:r>
      <w:hyperlink r:id="rId16" w:history="1">
        <w:r w:rsidRPr="003C04E0">
          <w:rPr>
            <w:rStyle w:val="Hyperlink"/>
            <w:lang w:val="en-US"/>
          </w:rPr>
          <w:t>https://www.mheducation.com/highered/product/principles-corporate-finance-brealey-myers/M9781264080946.html</w:t>
        </w:r>
      </w:hyperlink>
      <w:r w:rsidRPr="003C04E0">
        <w:rPr>
          <w:lang w:val="en-US"/>
        </w:rPr>
        <w:t xml:space="preserve"> (Accessed: 27 June 2026).</w:t>
      </w:r>
    </w:p>
    <w:p w14:paraId="52209AD3" w14:textId="77777777" w:rsidR="00AD1B57" w:rsidRPr="003C04E0" w:rsidRDefault="00AD1B57" w:rsidP="003C04E0">
      <w:pPr>
        <w:rPr>
          <w:lang w:val="en-US"/>
        </w:rPr>
      </w:pPr>
      <w:r w:rsidRPr="003C04E0">
        <w:rPr>
          <w:lang w:val="en-US"/>
        </w:rPr>
        <w:t xml:space="preserve">Chen, C. and Kieschnick, R. (2018) ‘Bank credit and corporate working capital management’, </w:t>
      </w:r>
      <w:r w:rsidRPr="003C04E0">
        <w:rPr>
          <w:i/>
          <w:iCs/>
          <w:lang w:val="en-US"/>
        </w:rPr>
        <w:t>Journal of Corporate Finance</w:t>
      </w:r>
      <w:r w:rsidRPr="003C04E0">
        <w:rPr>
          <w:lang w:val="en-US"/>
        </w:rPr>
        <w:t xml:space="preserve">, 48, pp. 579–596. Available at: </w:t>
      </w:r>
      <w:hyperlink r:id="rId17" w:history="1">
        <w:r w:rsidRPr="003C04E0">
          <w:rPr>
            <w:rStyle w:val="Hyperlink"/>
            <w:lang w:val="en-US"/>
          </w:rPr>
          <w:t>https://doi.org/10.1016/j.jcorpfin.2017.12.013</w:t>
        </w:r>
      </w:hyperlink>
      <w:r w:rsidRPr="003C04E0">
        <w:rPr>
          <w:lang w:val="en-US"/>
        </w:rPr>
        <w:t xml:space="preserve"> (Accessed: 27 June 2026).</w:t>
      </w:r>
    </w:p>
    <w:p w14:paraId="47E07E46" w14:textId="77777777" w:rsidR="00AD1B57" w:rsidRPr="003C04E0" w:rsidRDefault="00AD1B57" w:rsidP="003C04E0">
      <w:pPr>
        <w:rPr>
          <w:lang w:val="en-US"/>
        </w:rPr>
      </w:pPr>
      <w:r w:rsidRPr="003C04E0">
        <w:rPr>
          <w:lang w:val="en-US"/>
        </w:rPr>
        <w:lastRenderedPageBreak/>
        <w:t xml:space="preserve">Damodaran, A. (2017) </w:t>
      </w:r>
      <w:r w:rsidRPr="003C04E0">
        <w:rPr>
          <w:i/>
          <w:iCs/>
          <w:lang w:val="en-US"/>
        </w:rPr>
        <w:t>Narrative and Numbers: The Value of Stories in Business</w:t>
      </w:r>
      <w:r w:rsidRPr="003C04E0">
        <w:rPr>
          <w:lang w:val="en-US"/>
        </w:rPr>
        <w:t xml:space="preserve">. New York: Columbia University Press. Available at: </w:t>
      </w:r>
      <w:hyperlink r:id="rId18" w:history="1">
        <w:r w:rsidRPr="003C04E0">
          <w:rPr>
            <w:rStyle w:val="Hyperlink"/>
            <w:lang w:val="en-US"/>
          </w:rPr>
          <w:t>https://cup.columbia.edu/book/narrative-and-numbers/9780231180481/</w:t>
        </w:r>
      </w:hyperlink>
      <w:r w:rsidRPr="003C04E0">
        <w:rPr>
          <w:lang w:val="en-US"/>
        </w:rPr>
        <w:t xml:space="preserve"> (Accessed: 27 June 2026).</w:t>
      </w:r>
    </w:p>
    <w:p w14:paraId="0A59134F" w14:textId="77777777" w:rsidR="00AD1B57" w:rsidRPr="003C04E0" w:rsidRDefault="00AD1B57" w:rsidP="003C04E0">
      <w:pPr>
        <w:rPr>
          <w:lang w:val="en-US"/>
        </w:rPr>
      </w:pPr>
      <w:r w:rsidRPr="003C04E0">
        <w:rPr>
          <w:lang w:val="en-US"/>
        </w:rPr>
        <w:t xml:space="preserve">Franklin, M., Graybeal, P. and Cooper, D. (2019a) </w:t>
      </w:r>
      <w:r w:rsidRPr="003C04E0">
        <w:rPr>
          <w:i/>
          <w:iCs/>
          <w:lang w:val="en-US"/>
        </w:rPr>
        <w:t>Principles of Accounting, Volume 1: Financial Accounting</w:t>
      </w:r>
      <w:r w:rsidRPr="003C04E0">
        <w:rPr>
          <w:lang w:val="en-US"/>
        </w:rPr>
        <w:t xml:space="preserve">. Houston, TX: OpenStax. Available at: </w:t>
      </w:r>
      <w:hyperlink r:id="rId19" w:history="1">
        <w:r w:rsidRPr="003C04E0">
          <w:rPr>
            <w:rStyle w:val="Hyperlink"/>
            <w:lang w:val="en-US"/>
          </w:rPr>
          <w:t>https://openstax.org/details/books/principles-financial-accounting</w:t>
        </w:r>
      </w:hyperlink>
      <w:r w:rsidRPr="003C04E0">
        <w:rPr>
          <w:lang w:val="en-US"/>
        </w:rPr>
        <w:t xml:space="preserve"> (Accessed: 27 June 2026).</w:t>
      </w:r>
    </w:p>
    <w:p w14:paraId="164662F1" w14:textId="77777777" w:rsidR="00AD1B57" w:rsidRPr="003C04E0" w:rsidRDefault="00AD1B57" w:rsidP="003C04E0">
      <w:pPr>
        <w:rPr>
          <w:lang w:val="en-US"/>
        </w:rPr>
      </w:pPr>
      <w:r w:rsidRPr="003C04E0">
        <w:rPr>
          <w:lang w:val="en-US"/>
        </w:rPr>
        <w:t xml:space="preserve">Franklin, M., Graybeal, P. and Cooper, D. (2019b) </w:t>
      </w:r>
      <w:r w:rsidRPr="003C04E0">
        <w:rPr>
          <w:i/>
          <w:iCs/>
          <w:lang w:val="en-US"/>
        </w:rPr>
        <w:t>Principles of Accounting, Volume 2: Managerial Accounting</w:t>
      </w:r>
      <w:r w:rsidRPr="003C04E0">
        <w:rPr>
          <w:lang w:val="en-US"/>
        </w:rPr>
        <w:t xml:space="preserve">. Houston, TX: OpenStax. Available at: </w:t>
      </w:r>
      <w:hyperlink r:id="rId20" w:history="1">
        <w:r w:rsidRPr="003C04E0">
          <w:rPr>
            <w:rStyle w:val="Hyperlink"/>
            <w:lang w:val="en-US"/>
          </w:rPr>
          <w:t>https://openstax.org/details/books/principles-managerial-accounting</w:t>
        </w:r>
      </w:hyperlink>
      <w:r w:rsidRPr="003C04E0">
        <w:rPr>
          <w:lang w:val="en-US"/>
        </w:rPr>
        <w:t xml:space="preserve"> (Accessed: 27 June 2026).</w:t>
      </w:r>
    </w:p>
    <w:p w14:paraId="254E7598" w14:textId="77777777" w:rsidR="00AD1B57" w:rsidRPr="003C04E0" w:rsidRDefault="00AD1B57" w:rsidP="003C04E0">
      <w:pPr>
        <w:rPr>
          <w:lang w:val="en-US"/>
        </w:rPr>
      </w:pPr>
      <w:r w:rsidRPr="003C04E0">
        <w:rPr>
          <w:lang w:val="en-US"/>
        </w:rPr>
        <w:t xml:space="preserve">Hillier, D., Clacher, I., Ross, S., </w:t>
      </w:r>
      <w:proofErr w:type="spellStart"/>
      <w:r w:rsidRPr="003C04E0">
        <w:rPr>
          <w:lang w:val="en-US"/>
        </w:rPr>
        <w:t>Westerfield</w:t>
      </w:r>
      <w:proofErr w:type="spellEnd"/>
      <w:r w:rsidRPr="003C04E0">
        <w:rPr>
          <w:lang w:val="en-US"/>
        </w:rPr>
        <w:t xml:space="preserve">, R., Jaffe, J. and Jordan, B. (2020) </w:t>
      </w:r>
      <w:r w:rsidRPr="003C04E0">
        <w:rPr>
          <w:i/>
          <w:iCs/>
          <w:lang w:val="en-US"/>
        </w:rPr>
        <w:t>Fundamentals of Corporate Finance</w:t>
      </w:r>
      <w:r w:rsidRPr="003C04E0">
        <w:rPr>
          <w:lang w:val="en-US"/>
        </w:rPr>
        <w:t xml:space="preserve">. 4th European </w:t>
      </w:r>
      <w:proofErr w:type="spellStart"/>
      <w:r w:rsidRPr="003C04E0">
        <w:rPr>
          <w:lang w:val="en-US"/>
        </w:rPr>
        <w:t>edn</w:t>
      </w:r>
      <w:proofErr w:type="spellEnd"/>
      <w:r w:rsidRPr="003C04E0">
        <w:rPr>
          <w:lang w:val="en-US"/>
        </w:rPr>
        <w:t xml:space="preserve">. Maidenhead: McGraw-Hill Education. Available at: </w:t>
      </w:r>
      <w:hyperlink r:id="rId21" w:history="1">
        <w:r w:rsidRPr="003C04E0">
          <w:rPr>
            <w:rStyle w:val="Hyperlink"/>
            <w:lang w:val="en-US"/>
          </w:rPr>
          <w:t>https://books.google.com/books?isbn=152684862X</w:t>
        </w:r>
      </w:hyperlink>
      <w:r w:rsidRPr="003C04E0">
        <w:rPr>
          <w:lang w:val="en-US"/>
        </w:rPr>
        <w:t xml:space="preserve"> (Accessed: 27 June 2026).</w:t>
      </w:r>
    </w:p>
    <w:p w14:paraId="4E020AFB" w14:textId="77777777" w:rsidR="00AD1B57" w:rsidRPr="003C04E0" w:rsidRDefault="00AD1B57" w:rsidP="003C04E0">
      <w:pPr>
        <w:rPr>
          <w:lang w:val="en-US"/>
        </w:rPr>
      </w:pPr>
      <w:r w:rsidRPr="003C04E0">
        <w:rPr>
          <w:lang w:val="en-US"/>
        </w:rPr>
        <w:t xml:space="preserve">Koller, T., Goedhart, M. and Wessels, D. (2020) </w:t>
      </w:r>
      <w:r w:rsidRPr="003C04E0">
        <w:rPr>
          <w:i/>
          <w:iCs/>
          <w:lang w:val="en-US"/>
        </w:rPr>
        <w:t>Valuation: Measuring and Managing the Value of Companies</w:t>
      </w:r>
      <w:r w:rsidRPr="003C04E0">
        <w:rPr>
          <w:lang w:val="en-US"/>
        </w:rPr>
        <w:t xml:space="preserve">. 7th </w:t>
      </w:r>
      <w:proofErr w:type="spellStart"/>
      <w:r w:rsidRPr="003C04E0">
        <w:rPr>
          <w:lang w:val="en-US"/>
        </w:rPr>
        <w:t>edn</w:t>
      </w:r>
      <w:proofErr w:type="spellEnd"/>
      <w:r w:rsidRPr="003C04E0">
        <w:rPr>
          <w:lang w:val="en-US"/>
        </w:rPr>
        <w:t xml:space="preserve">. Hoboken, NJ: Wiley. Available at: </w:t>
      </w:r>
      <w:hyperlink r:id="rId22" w:history="1">
        <w:r w:rsidRPr="003C04E0">
          <w:rPr>
            <w:rStyle w:val="Hyperlink"/>
            <w:lang w:val="en-US"/>
          </w:rPr>
          <w:t>https://www.wiley.com/en-us/Valuation%3A+Measuring+and+Managing+the+Value+of+Companies%2C+7th+Edition-p-9781119610885</w:t>
        </w:r>
      </w:hyperlink>
      <w:r w:rsidRPr="003C04E0">
        <w:rPr>
          <w:lang w:val="en-US"/>
        </w:rPr>
        <w:t xml:space="preserve"> (Accessed: 27 June 2026).</w:t>
      </w:r>
    </w:p>
    <w:p w14:paraId="3F6C12F4" w14:textId="77777777" w:rsidR="00AD1B57" w:rsidRPr="003C04E0" w:rsidRDefault="00AD1B57" w:rsidP="003C04E0">
      <w:pPr>
        <w:rPr>
          <w:lang w:val="en-US"/>
        </w:rPr>
      </w:pPr>
      <w:r w:rsidRPr="003C04E0">
        <w:rPr>
          <w:lang w:val="en-US"/>
        </w:rPr>
        <w:t xml:space="preserve">OpenStax (2022) </w:t>
      </w:r>
      <w:r w:rsidRPr="003C04E0">
        <w:rPr>
          <w:i/>
          <w:iCs/>
          <w:lang w:val="en-US"/>
        </w:rPr>
        <w:t>Principles of Finance</w:t>
      </w:r>
      <w:r w:rsidRPr="003C04E0">
        <w:rPr>
          <w:lang w:val="en-US"/>
        </w:rPr>
        <w:t xml:space="preserve">. Houston, TX: OpenStax. Available at: </w:t>
      </w:r>
      <w:hyperlink r:id="rId23" w:history="1">
        <w:r w:rsidRPr="003C04E0">
          <w:rPr>
            <w:rStyle w:val="Hyperlink"/>
            <w:lang w:val="en-US"/>
          </w:rPr>
          <w:t>https://openstax.org/details/books/principles-finance</w:t>
        </w:r>
      </w:hyperlink>
      <w:r w:rsidRPr="003C04E0">
        <w:rPr>
          <w:lang w:val="en-US"/>
        </w:rPr>
        <w:t xml:space="preserve"> (Accessed: 27 June 2026).</w:t>
      </w:r>
    </w:p>
    <w:p w14:paraId="55FCF1C0" w14:textId="77777777" w:rsidR="00282D0F" w:rsidRDefault="00282D0F" w:rsidP="007436EE"/>
    <w:sectPr w:rsidR="00282D0F" w:rsidSect="00AD1B57">
      <w:footerReference w:type="default" r:id="rId2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522DC" w14:textId="77777777" w:rsidR="002B3746" w:rsidRDefault="002B3746" w:rsidP="001E61DA">
      <w:pPr>
        <w:spacing w:before="0" w:after="0" w:line="240" w:lineRule="auto"/>
      </w:pPr>
      <w:r>
        <w:separator/>
      </w:r>
    </w:p>
  </w:endnote>
  <w:endnote w:type="continuationSeparator" w:id="0">
    <w:p w14:paraId="0EFBCBC5" w14:textId="77777777" w:rsidR="002B3746" w:rsidRDefault="002B3746" w:rsidP="001E61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746167"/>
      <w:docPartObj>
        <w:docPartGallery w:val="Page Numbers (Bottom of Page)"/>
        <w:docPartUnique/>
      </w:docPartObj>
    </w:sdtPr>
    <w:sdtEndPr>
      <w:rPr>
        <w:noProof/>
      </w:rPr>
    </w:sdtEndPr>
    <w:sdtContent>
      <w:p w14:paraId="7895720E" w14:textId="4FD95A7B" w:rsidR="001E61DA" w:rsidRDefault="001E61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7725B6" w14:textId="77777777" w:rsidR="001E61DA" w:rsidRDefault="001E6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FAA3C" w14:textId="77777777" w:rsidR="002B3746" w:rsidRDefault="002B3746" w:rsidP="001E61DA">
      <w:pPr>
        <w:spacing w:before="0" w:after="0" w:line="240" w:lineRule="auto"/>
      </w:pPr>
      <w:r>
        <w:separator/>
      </w:r>
    </w:p>
  </w:footnote>
  <w:footnote w:type="continuationSeparator" w:id="0">
    <w:p w14:paraId="25FAF2ED" w14:textId="77777777" w:rsidR="002B3746" w:rsidRDefault="002B3746" w:rsidP="001E61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02DF0"/>
    <w:multiLevelType w:val="multilevel"/>
    <w:tmpl w:val="111843A4"/>
    <w:lvl w:ilvl="0">
      <w:start w:val="1"/>
      <w:numFmt w:val="decimal"/>
      <w:lvlText w:val="%1"/>
      <w:lvlJc w:val="left"/>
      <w:pPr>
        <w:ind w:left="420" w:hanging="420"/>
      </w:pPr>
    </w:lvl>
    <w:lvl w:ilvl="1">
      <w:start w:val="1"/>
      <w:numFmt w:val="decimal"/>
      <w:lvlText w:val="%1.%2"/>
      <w:lvlJc w:val="left"/>
      <w:pPr>
        <w:ind w:left="420" w:hanging="42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0E8F38CA"/>
    <w:multiLevelType w:val="multilevel"/>
    <w:tmpl w:val="C0728C22"/>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8C0349F"/>
    <w:multiLevelType w:val="multilevel"/>
    <w:tmpl w:val="D4AA01CE"/>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4562B26"/>
    <w:multiLevelType w:val="multilevel"/>
    <w:tmpl w:val="2C68F3F0"/>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0B808CD"/>
    <w:multiLevelType w:val="multilevel"/>
    <w:tmpl w:val="90F2F9EA"/>
    <w:lvl w:ilvl="0">
      <w:start w:val="1"/>
      <w:numFmt w:val="lowerRoman"/>
      <w:lvlText w:val="%1)"/>
      <w:lvlJc w:val="left"/>
      <w:pPr>
        <w:ind w:left="720" w:hanging="72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5" w15:restartNumberingAfterBreak="0">
    <w:nsid w:val="49446AFD"/>
    <w:multiLevelType w:val="multilevel"/>
    <w:tmpl w:val="87C88D24"/>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B0219A4"/>
    <w:multiLevelType w:val="multilevel"/>
    <w:tmpl w:val="B8D20242"/>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BA46E9B"/>
    <w:multiLevelType w:val="multilevel"/>
    <w:tmpl w:val="ECA872EA"/>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8" w15:restartNumberingAfterBreak="0">
    <w:nsid w:val="5C711AD1"/>
    <w:multiLevelType w:val="multilevel"/>
    <w:tmpl w:val="E7C873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36E364C"/>
    <w:multiLevelType w:val="multilevel"/>
    <w:tmpl w:val="98847204"/>
    <w:lvl w:ilvl="0">
      <w:start w:val="1"/>
      <w:numFmt w:val="lowerRoman"/>
      <w:lvlText w:val="%1)"/>
      <w:lvlJc w:val="left"/>
      <w:pPr>
        <w:ind w:left="1080" w:hanging="720"/>
      </w:pPr>
      <w:rPr>
        <w:b/>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795925A6"/>
    <w:multiLevelType w:val="multilevel"/>
    <w:tmpl w:val="37DE9C4A"/>
    <w:lvl w:ilvl="0">
      <w:start w:val="1"/>
      <w:numFmt w:val="lowerRoman"/>
      <w:lvlText w:val="%1)"/>
      <w:lvlJc w:val="left"/>
      <w:pPr>
        <w:ind w:left="720" w:hanging="720"/>
      </w:pPr>
      <w:rPr>
        <w:b/>
        <w:bCs/>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935945716">
    <w:abstractNumId w:val="7"/>
  </w:num>
  <w:num w:numId="2" w16cid:durableId="1397121046">
    <w:abstractNumId w:val="7"/>
  </w:num>
  <w:num w:numId="3" w16cid:durableId="903832962">
    <w:abstractNumId w:val="7"/>
  </w:num>
  <w:num w:numId="4" w16cid:durableId="1845247482">
    <w:abstractNumId w:val="5"/>
  </w:num>
  <w:num w:numId="5" w16cid:durableId="1493645746">
    <w:abstractNumId w:val="2"/>
  </w:num>
  <w:num w:numId="6" w16cid:durableId="1295647360">
    <w:abstractNumId w:val="6"/>
  </w:num>
  <w:num w:numId="7" w16cid:durableId="1934974572">
    <w:abstractNumId w:val="3"/>
  </w:num>
  <w:num w:numId="8" w16cid:durableId="76364082">
    <w:abstractNumId w:val="0"/>
  </w:num>
  <w:num w:numId="9" w16cid:durableId="1835804924">
    <w:abstractNumId w:val="9"/>
  </w:num>
  <w:num w:numId="10" w16cid:durableId="1032531164">
    <w:abstractNumId w:val="4"/>
  </w:num>
  <w:num w:numId="11" w16cid:durableId="480118161">
    <w:abstractNumId w:val="10"/>
  </w:num>
  <w:num w:numId="12" w16cid:durableId="267855845">
    <w:abstractNumId w:val="1"/>
  </w:num>
  <w:num w:numId="13" w16cid:durableId="498827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03B"/>
    <w:rsid w:val="0000172F"/>
    <w:rsid w:val="0002065A"/>
    <w:rsid w:val="00052863"/>
    <w:rsid w:val="00072757"/>
    <w:rsid w:val="00083074"/>
    <w:rsid w:val="000A1D35"/>
    <w:rsid w:val="000E3B84"/>
    <w:rsid w:val="00113811"/>
    <w:rsid w:val="001461FE"/>
    <w:rsid w:val="0016759E"/>
    <w:rsid w:val="001A4270"/>
    <w:rsid w:val="001A7873"/>
    <w:rsid w:val="001B4BCE"/>
    <w:rsid w:val="001B7B35"/>
    <w:rsid w:val="001D1C12"/>
    <w:rsid w:val="001D2756"/>
    <w:rsid w:val="001E61DA"/>
    <w:rsid w:val="00256EFA"/>
    <w:rsid w:val="00280B59"/>
    <w:rsid w:val="00282D0F"/>
    <w:rsid w:val="0029042A"/>
    <w:rsid w:val="0029761F"/>
    <w:rsid w:val="002B3746"/>
    <w:rsid w:val="0032283F"/>
    <w:rsid w:val="003C04E0"/>
    <w:rsid w:val="003F682D"/>
    <w:rsid w:val="00434172"/>
    <w:rsid w:val="004561F2"/>
    <w:rsid w:val="00486058"/>
    <w:rsid w:val="004A07D7"/>
    <w:rsid w:val="004B0CE4"/>
    <w:rsid w:val="004E246E"/>
    <w:rsid w:val="005026A1"/>
    <w:rsid w:val="00504B6F"/>
    <w:rsid w:val="00504E25"/>
    <w:rsid w:val="0054459C"/>
    <w:rsid w:val="005700DC"/>
    <w:rsid w:val="005716C6"/>
    <w:rsid w:val="00594DBB"/>
    <w:rsid w:val="005D50C4"/>
    <w:rsid w:val="005F1DA5"/>
    <w:rsid w:val="00600744"/>
    <w:rsid w:val="0060746E"/>
    <w:rsid w:val="00623352"/>
    <w:rsid w:val="006558A8"/>
    <w:rsid w:val="00666C6C"/>
    <w:rsid w:val="00672524"/>
    <w:rsid w:val="0072297B"/>
    <w:rsid w:val="007436EE"/>
    <w:rsid w:val="0074403B"/>
    <w:rsid w:val="00762380"/>
    <w:rsid w:val="00781CCE"/>
    <w:rsid w:val="007906C8"/>
    <w:rsid w:val="007A5235"/>
    <w:rsid w:val="007D36A1"/>
    <w:rsid w:val="007E644E"/>
    <w:rsid w:val="007F574A"/>
    <w:rsid w:val="008324B1"/>
    <w:rsid w:val="00836DAA"/>
    <w:rsid w:val="0085310D"/>
    <w:rsid w:val="008E4448"/>
    <w:rsid w:val="00900631"/>
    <w:rsid w:val="0090702D"/>
    <w:rsid w:val="00932E99"/>
    <w:rsid w:val="00943498"/>
    <w:rsid w:val="00980DC0"/>
    <w:rsid w:val="00994DB0"/>
    <w:rsid w:val="009E57D0"/>
    <w:rsid w:val="00A0251A"/>
    <w:rsid w:val="00A27F46"/>
    <w:rsid w:val="00A46845"/>
    <w:rsid w:val="00A75C07"/>
    <w:rsid w:val="00A80DA8"/>
    <w:rsid w:val="00AD0A70"/>
    <w:rsid w:val="00AD1B57"/>
    <w:rsid w:val="00AF2905"/>
    <w:rsid w:val="00B83156"/>
    <w:rsid w:val="00B87067"/>
    <w:rsid w:val="00BA3A33"/>
    <w:rsid w:val="00BC1BCF"/>
    <w:rsid w:val="00BD074C"/>
    <w:rsid w:val="00BE530E"/>
    <w:rsid w:val="00BF557B"/>
    <w:rsid w:val="00C60947"/>
    <w:rsid w:val="00C76D3D"/>
    <w:rsid w:val="00C83930"/>
    <w:rsid w:val="00C9174D"/>
    <w:rsid w:val="00CB1133"/>
    <w:rsid w:val="00CF1ACE"/>
    <w:rsid w:val="00D24A52"/>
    <w:rsid w:val="00D25B3B"/>
    <w:rsid w:val="00D25CD8"/>
    <w:rsid w:val="00D32DC8"/>
    <w:rsid w:val="00D74E3A"/>
    <w:rsid w:val="00D76090"/>
    <w:rsid w:val="00D811B4"/>
    <w:rsid w:val="00D81501"/>
    <w:rsid w:val="00D95F2A"/>
    <w:rsid w:val="00D96A6B"/>
    <w:rsid w:val="00DD732D"/>
    <w:rsid w:val="00E4797A"/>
    <w:rsid w:val="00E62126"/>
    <w:rsid w:val="00EB0B36"/>
    <w:rsid w:val="00ED2B16"/>
    <w:rsid w:val="00F63816"/>
    <w:rsid w:val="00F66F93"/>
    <w:rsid w:val="00F82F11"/>
    <w:rsid w:val="00F97A38"/>
    <w:rsid w:val="00FD1B1F"/>
    <w:rsid w:val="00FE02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14BB5"/>
  <w15:chartTrackingRefBased/>
  <w15:docId w15:val="{7B3D0EB8-4EB0-47C2-9C4F-51E9CA591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03B"/>
    <w:rPr>
      <w:rFonts w:eastAsia="Times New Roman" w:cs="Times New Roman"/>
      <w:kern w:val="0"/>
      <w:lang w:val="en-GB"/>
      <w14:ligatures w14:val="none"/>
    </w:rPr>
  </w:style>
  <w:style w:type="paragraph" w:styleId="Heading1">
    <w:name w:val="heading 1"/>
    <w:basedOn w:val="Normal"/>
    <w:next w:val="Normal"/>
    <w:link w:val="Heading1Char"/>
    <w:autoRedefine/>
    <w:uiPriority w:val="9"/>
    <w:qFormat/>
    <w:rsid w:val="00F97A38"/>
    <w:pPr>
      <w:keepNext/>
      <w:keepLines/>
      <w:outlineLvl w:val="0"/>
    </w:pPr>
    <w:rPr>
      <w:rFonts w:eastAsiaTheme="majorEastAsia" w:cstheme="majorBidi"/>
      <w:b/>
      <w:color w:val="74003D"/>
      <w:sz w:val="32"/>
      <w:szCs w:val="40"/>
    </w:rPr>
  </w:style>
  <w:style w:type="paragraph" w:styleId="Heading2">
    <w:name w:val="heading 2"/>
    <w:basedOn w:val="Normal"/>
    <w:next w:val="Normal"/>
    <w:link w:val="Heading2Char"/>
    <w:autoRedefine/>
    <w:uiPriority w:val="9"/>
    <w:unhideWhenUsed/>
    <w:qFormat/>
    <w:rsid w:val="00FE024B"/>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FE024B"/>
    <w:pPr>
      <w:keepNext/>
      <w:keepLines/>
      <w:spacing w:before="160" w:after="80"/>
      <w:outlineLvl w:val="2"/>
    </w:pPr>
    <w:rPr>
      <w:rFonts w:eastAsiaTheme="majorEastAsia" w:cstheme="majorBidi"/>
      <w:b/>
      <w:color w:val="404040" w:themeColor="text1" w:themeTint="BF"/>
      <w:sz w:val="26"/>
      <w:szCs w:val="28"/>
    </w:rPr>
  </w:style>
  <w:style w:type="paragraph" w:styleId="Heading4">
    <w:name w:val="heading 4"/>
    <w:basedOn w:val="Normal"/>
    <w:next w:val="Normal"/>
    <w:link w:val="Heading4Char"/>
    <w:uiPriority w:val="9"/>
    <w:semiHidden/>
    <w:unhideWhenUsed/>
    <w:qFormat/>
    <w:rsid w:val="0074403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4403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4403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403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403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403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A38"/>
    <w:rPr>
      <w:rFonts w:eastAsiaTheme="majorEastAsia" w:cstheme="majorBidi"/>
      <w:b/>
      <w:color w:val="74003D"/>
      <w:sz w:val="32"/>
      <w:szCs w:val="40"/>
    </w:rPr>
  </w:style>
  <w:style w:type="character" w:customStyle="1" w:styleId="Heading2Char">
    <w:name w:val="Heading 2 Char"/>
    <w:basedOn w:val="DefaultParagraphFont"/>
    <w:link w:val="Heading2"/>
    <w:uiPriority w:val="9"/>
    <w:rsid w:val="00FE024B"/>
    <w:rPr>
      <w:rFonts w:eastAsiaTheme="majorEastAsia" w:cstheme="majorBidi"/>
      <w:b/>
      <w:sz w:val="28"/>
      <w:szCs w:val="32"/>
    </w:rPr>
  </w:style>
  <w:style w:type="character" w:customStyle="1" w:styleId="Heading3Char">
    <w:name w:val="Heading 3 Char"/>
    <w:basedOn w:val="DefaultParagraphFont"/>
    <w:link w:val="Heading3"/>
    <w:uiPriority w:val="9"/>
    <w:rsid w:val="00FE024B"/>
    <w:rPr>
      <w:rFonts w:eastAsiaTheme="majorEastAsia" w:cstheme="majorBidi"/>
      <w:b/>
      <w:color w:val="404040" w:themeColor="text1" w:themeTint="BF"/>
      <w:sz w:val="26"/>
      <w:szCs w:val="28"/>
    </w:rPr>
  </w:style>
  <w:style w:type="character" w:customStyle="1" w:styleId="Heading4Char">
    <w:name w:val="Heading 4 Char"/>
    <w:basedOn w:val="DefaultParagraphFont"/>
    <w:link w:val="Heading4"/>
    <w:uiPriority w:val="9"/>
    <w:semiHidden/>
    <w:rsid w:val="0074403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4403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4403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4403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4403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4403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4403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0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03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03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440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4403B"/>
    <w:rPr>
      <w:i/>
      <w:iCs/>
      <w:color w:val="404040" w:themeColor="text1" w:themeTint="BF"/>
    </w:rPr>
  </w:style>
  <w:style w:type="paragraph" w:styleId="ListParagraph">
    <w:name w:val="List Paragraph"/>
    <w:basedOn w:val="Normal"/>
    <w:uiPriority w:val="34"/>
    <w:qFormat/>
    <w:rsid w:val="0074403B"/>
    <w:pPr>
      <w:ind w:left="720"/>
      <w:contextualSpacing/>
    </w:pPr>
  </w:style>
  <w:style w:type="character" w:styleId="IntenseEmphasis">
    <w:name w:val="Intense Emphasis"/>
    <w:basedOn w:val="DefaultParagraphFont"/>
    <w:uiPriority w:val="21"/>
    <w:qFormat/>
    <w:rsid w:val="0074403B"/>
    <w:rPr>
      <w:i/>
      <w:iCs/>
      <w:color w:val="0F4761" w:themeColor="accent1" w:themeShade="BF"/>
    </w:rPr>
  </w:style>
  <w:style w:type="paragraph" w:styleId="IntenseQuote">
    <w:name w:val="Intense Quote"/>
    <w:basedOn w:val="Normal"/>
    <w:next w:val="Normal"/>
    <w:link w:val="IntenseQuoteChar"/>
    <w:uiPriority w:val="30"/>
    <w:qFormat/>
    <w:rsid w:val="007440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03B"/>
    <w:rPr>
      <w:i/>
      <w:iCs/>
      <w:color w:val="0F4761" w:themeColor="accent1" w:themeShade="BF"/>
    </w:rPr>
  </w:style>
  <w:style w:type="character" w:styleId="IntenseReference">
    <w:name w:val="Intense Reference"/>
    <w:basedOn w:val="DefaultParagraphFont"/>
    <w:uiPriority w:val="32"/>
    <w:qFormat/>
    <w:rsid w:val="0074403B"/>
    <w:rPr>
      <w:b/>
      <w:bCs/>
      <w:smallCaps/>
      <w:color w:val="0F4761" w:themeColor="accent1" w:themeShade="BF"/>
      <w:spacing w:val="5"/>
    </w:rPr>
  </w:style>
  <w:style w:type="paragraph" w:styleId="Header">
    <w:name w:val="header"/>
    <w:basedOn w:val="Normal"/>
    <w:link w:val="HeaderChar"/>
    <w:uiPriority w:val="99"/>
    <w:unhideWhenUsed/>
    <w:rsid w:val="001E61D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E61DA"/>
    <w:rPr>
      <w:rFonts w:eastAsia="Times New Roman" w:cs="Times New Roman"/>
      <w:kern w:val="0"/>
      <w:lang w:val="en-GB"/>
      <w14:ligatures w14:val="none"/>
    </w:rPr>
  </w:style>
  <w:style w:type="paragraph" w:styleId="Footer">
    <w:name w:val="footer"/>
    <w:basedOn w:val="Normal"/>
    <w:link w:val="FooterChar"/>
    <w:uiPriority w:val="99"/>
    <w:unhideWhenUsed/>
    <w:rsid w:val="001E61D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E61DA"/>
    <w:rPr>
      <w:rFonts w:eastAsia="Times New Roman" w:cs="Times New Roman"/>
      <w:kern w:val="0"/>
      <w:lang w:val="en-GB"/>
      <w14:ligatures w14:val="none"/>
    </w:rPr>
  </w:style>
  <w:style w:type="paragraph" w:styleId="TOCHeading">
    <w:name w:val="TOC Heading"/>
    <w:basedOn w:val="Heading1"/>
    <w:next w:val="Normal"/>
    <w:uiPriority w:val="39"/>
    <w:unhideWhenUsed/>
    <w:qFormat/>
    <w:rsid w:val="003C04E0"/>
    <w:pPr>
      <w:spacing w:before="240" w:after="0" w:line="259" w:lineRule="auto"/>
      <w:jc w:val="left"/>
      <w:outlineLvl w:val="9"/>
    </w:pPr>
    <w:rPr>
      <w:rFonts w:asciiTheme="majorHAnsi" w:hAnsiTheme="majorHAnsi"/>
      <w:b w:val="0"/>
      <w:color w:val="0F4761" w:themeColor="accent1" w:themeShade="BF"/>
      <w:szCs w:val="32"/>
      <w:lang w:val="en-US"/>
    </w:rPr>
  </w:style>
  <w:style w:type="paragraph" w:styleId="TOC1">
    <w:name w:val="toc 1"/>
    <w:basedOn w:val="Normal"/>
    <w:next w:val="Normal"/>
    <w:autoRedefine/>
    <w:uiPriority w:val="39"/>
    <w:unhideWhenUsed/>
    <w:rsid w:val="003C04E0"/>
    <w:pPr>
      <w:spacing w:after="100"/>
    </w:pPr>
  </w:style>
  <w:style w:type="paragraph" w:styleId="TOC2">
    <w:name w:val="toc 2"/>
    <w:basedOn w:val="Normal"/>
    <w:next w:val="Normal"/>
    <w:autoRedefine/>
    <w:uiPriority w:val="39"/>
    <w:unhideWhenUsed/>
    <w:rsid w:val="003C04E0"/>
    <w:pPr>
      <w:spacing w:after="100"/>
      <w:ind w:left="240"/>
    </w:pPr>
  </w:style>
  <w:style w:type="character" w:styleId="Hyperlink">
    <w:name w:val="Hyperlink"/>
    <w:basedOn w:val="DefaultParagraphFont"/>
    <w:uiPriority w:val="99"/>
    <w:unhideWhenUsed/>
    <w:rsid w:val="003C04E0"/>
    <w:rPr>
      <w:color w:val="467886" w:themeColor="hyperlink"/>
      <w:u w:val="single"/>
    </w:rPr>
  </w:style>
  <w:style w:type="character" w:styleId="UnresolvedMention">
    <w:name w:val="Unresolved Mention"/>
    <w:basedOn w:val="DefaultParagraphFont"/>
    <w:uiPriority w:val="99"/>
    <w:semiHidden/>
    <w:unhideWhenUsed/>
    <w:rsid w:val="003C04E0"/>
    <w:rPr>
      <w:color w:val="605E5C"/>
      <w:shd w:val="clear" w:color="auto" w:fill="E1DFDD"/>
    </w:rPr>
  </w:style>
  <w:style w:type="paragraph" w:styleId="NoSpacing">
    <w:name w:val="No Spacing"/>
    <w:link w:val="NoSpacingChar"/>
    <w:uiPriority w:val="1"/>
    <w:qFormat/>
    <w:rsid w:val="00762380"/>
    <w:pPr>
      <w:spacing w:before="0" w:after="0" w:line="240" w:lineRule="auto"/>
      <w:jc w:val="left"/>
    </w:pPr>
    <w:rPr>
      <w:rFonts w:asciiTheme="minorHAnsi" w:eastAsiaTheme="minorEastAsia" w:hAnsiTheme="minorHAnsi"/>
      <w:kern w:val="0"/>
      <w:sz w:val="22"/>
      <w:szCs w:val="22"/>
      <w14:ligatures w14:val="none"/>
    </w:rPr>
  </w:style>
  <w:style w:type="character" w:customStyle="1" w:styleId="NoSpacingChar">
    <w:name w:val="No Spacing Char"/>
    <w:basedOn w:val="DefaultParagraphFont"/>
    <w:link w:val="NoSpacing"/>
    <w:uiPriority w:val="1"/>
    <w:rsid w:val="00762380"/>
    <w:rPr>
      <w:rFonts w:asciiTheme="minorHAnsi" w:eastAsiaTheme="minorEastAsia" w:hAnsiTheme="minorHAnsi"/>
      <w:kern w:val="0"/>
      <w:sz w:val="22"/>
      <w:szCs w:val="22"/>
      <w14:ligatures w14:val="none"/>
    </w:rPr>
  </w:style>
  <w:style w:type="table" w:styleId="TableGrid">
    <w:name w:val="Table Grid"/>
    <w:basedOn w:val="TableNormal"/>
    <w:uiPriority w:val="39"/>
    <w:rsid w:val="00762380"/>
    <w:pPr>
      <w:spacing w:before="0" w:after="0" w:line="240" w:lineRule="auto"/>
      <w:jc w:val="left"/>
    </w:pPr>
    <w:rPr>
      <w:rFonts w:asciiTheme="minorHAnsi" w:hAnsi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jrfm14010009" TargetMode="External"/><Relationship Id="rId18" Type="http://schemas.openxmlformats.org/officeDocument/2006/relationships/hyperlink" Target="https://cup.columbia.edu/book/narrative-and-numbers/978023118048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books.google.com/books?isbn=152684862X" TargetMode="External"/><Relationship Id="rId7" Type="http://schemas.openxmlformats.org/officeDocument/2006/relationships/image" Target="media/image1.jpeg"/><Relationship Id="rId12" Type="http://schemas.openxmlformats.org/officeDocument/2006/relationships/hyperlink" Target="https://doi.org/10.1108/JAMR-06-2017-0076" TargetMode="External"/><Relationship Id="rId17" Type="http://schemas.openxmlformats.org/officeDocument/2006/relationships/hyperlink" Target="https://doi.org/10.1016/j.jcorpfin.2017.12.01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heducation.com/highered/product/principles-corporate-finance-brealey-myers/M9781264080946.html" TargetMode="External"/><Relationship Id="rId20" Type="http://schemas.openxmlformats.org/officeDocument/2006/relationships/hyperlink" Target="https://openstax.org/details/books/principles-managerial-account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corpfin.2014.12.008"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3846/16111699.2017.1402362" TargetMode="External"/><Relationship Id="rId23" Type="http://schemas.openxmlformats.org/officeDocument/2006/relationships/hyperlink" Target="https://openstax.org/details/books/principles-finance" TargetMode="External"/><Relationship Id="rId10" Type="http://schemas.openxmlformats.org/officeDocument/2006/relationships/hyperlink" Target="https://doi.org/10.1108/IJMF-08-2019-0294" TargetMode="External"/><Relationship Id="rId19" Type="http://schemas.openxmlformats.org/officeDocument/2006/relationships/hyperlink" Target="https://openstax.org/details/books/principles-financial-accoun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77/2340944420941464" TargetMode="External"/><Relationship Id="rId22" Type="http://schemas.openxmlformats.org/officeDocument/2006/relationships/hyperlink" Target="https://www.wiley.com/en-us/Valuation%3A+Measuring+and+Managing+the+Value+of+Companies%2C+7th+Edition-p-97811196108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5003</Words>
  <Characters>28519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Rishad</dc:creator>
  <cp:keywords/>
  <dc:description/>
  <cp:lastModifiedBy>Tanvir chowdhury Rishad</cp:lastModifiedBy>
  <cp:revision>2</cp:revision>
  <dcterms:created xsi:type="dcterms:W3CDTF">2026-07-29T18:58:00Z</dcterms:created>
  <dcterms:modified xsi:type="dcterms:W3CDTF">2026-07-29T18:58:00Z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116a92a8-54f3-4a79-9314-6f1adae768f6</vt:lpwstr>
  </property>
</Properties>
</file>