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69BC8" w14:textId="77777777" w:rsidR="00923CC0" w:rsidRPr="00693641" w:rsidRDefault="00923CC0">
      <w:pPr>
        <w:rPr>
          <w:rFonts w:ascii="Times New Roman" w:hAnsi="Times New Roman" w:cs="Times New Roman"/>
        </w:rPr>
      </w:pPr>
      <w:r w:rsidRPr="00693641">
        <w:rPr>
          <w:rFonts w:ascii="Times New Roman" w:hAnsi="Times New Roman" w:cs="Times New Roman"/>
        </w:rPr>
        <w:t>How important was the concept of spiritual reward in motivating people to go on crusade?</w:t>
      </w:r>
    </w:p>
    <w:p w14:paraId="0FD32CE3" w14:textId="1C531269" w:rsidR="001335FB" w:rsidRDefault="004D4960">
      <w:pPr>
        <w:rPr>
          <w:rFonts w:ascii="Times New Roman" w:hAnsi="Times New Roman" w:cs="Times New Roman"/>
        </w:rPr>
      </w:pPr>
      <w:r>
        <w:rPr>
          <w:rFonts w:ascii="Times New Roman" w:hAnsi="Times New Roman" w:cs="Times New Roman"/>
        </w:rPr>
        <w:t xml:space="preserve">Pope Urban II called the first crusade in 1095, promising </w:t>
      </w:r>
      <w:r w:rsidR="00714834">
        <w:rPr>
          <w:rFonts w:ascii="Times New Roman" w:hAnsi="Times New Roman" w:cs="Times New Roman"/>
        </w:rPr>
        <w:t>a spiritual indulgence to all of those who died on crusade, this meant that they would get immediate remission of sins – i.e. a ticket straight to heaven.</w:t>
      </w:r>
      <w:r w:rsidR="00714834">
        <w:rPr>
          <w:rStyle w:val="FootnoteReference"/>
          <w:rFonts w:ascii="Times New Roman" w:hAnsi="Times New Roman" w:cs="Times New Roman"/>
        </w:rPr>
        <w:footnoteReference w:id="1"/>
      </w:r>
      <w:r w:rsidR="00714834">
        <w:rPr>
          <w:rFonts w:ascii="Times New Roman" w:hAnsi="Times New Roman" w:cs="Times New Roman"/>
        </w:rPr>
        <w:t xml:space="preserve"> </w:t>
      </w:r>
      <w:r w:rsidR="001335FB" w:rsidRPr="00693641">
        <w:rPr>
          <w:rFonts w:ascii="Times New Roman" w:hAnsi="Times New Roman" w:cs="Times New Roman"/>
        </w:rPr>
        <w:t xml:space="preserve">To discuss the various motivations as to why people went on crusades in the Middle Ages; each individual crusade must be </w:t>
      </w:r>
      <w:r w:rsidR="00DD7B85" w:rsidRPr="00693641">
        <w:rPr>
          <w:rFonts w:ascii="Times New Roman" w:hAnsi="Times New Roman" w:cs="Times New Roman"/>
        </w:rPr>
        <w:t>considered</w:t>
      </w:r>
      <w:r w:rsidR="001335FB" w:rsidRPr="00693641">
        <w:rPr>
          <w:rFonts w:ascii="Times New Roman" w:hAnsi="Times New Roman" w:cs="Times New Roman"/>
        </w:rPr>
        <w:t xml:space="preserve"> as separate events rather than as collectively “the crusades”</w:t>
      </w:r>
      <w:r w:rsidR="00716B39" w:rsidRPr="00693641">
        <w:rPr>
          <w:rFonts w:ascii="Times New Roman" w:hAnsi="Times New Roman" w:cs="Times New Roman"/>
        </w:rPr>
        <w:t xml:space="preserve">, as each crusade provided differing motivations for the crusaders that went on them. A sense of personality also must be considered for the crusaders; numerous social and economic factors such as wealth and social standing provided different motivations for the crusaders. </w:t>
      </w:r>
      <w:r w:rsidR="00693641">
        <w:rPr>
          <w:rFonts w:ascii="Times New Roman" w:hAnsi="Times New Roman" w:cs="Times New Roman"/>
        </w:rPr>
        <w:t xml:space="preserve">Specific examples of the differing motivations between classes include how a knight, a peasant and a merchant (all of whom </w:t>
      </w:r>
      <w:r w:rsidR="005A7473">
        <w:rPr>
          <w:rFonts w:ascii="Times New Roman" w:hAnsi="Times New Roman" w:cs="Times New Roman"/>
        </w:rPr>
        <w:t>would’ve</w:t>
      </w:r>
      <w:r w:rsidR="00693641">
        <w:rPr>
          <w:rFonts w:ascii="Times New Roman" w:hAnsi="Times New Roman" w:cs="Times New Roman"/>
        </w:rPr>
        <w:t xml:space="preserve"> gone on crusade) had different motivations based on wealth and opportunity</w:t>
      </w:r>
      <w:r w:rsidR="00C21B07">
        <w:rPr>
          <w:rFonts w:ascii="Times New Roman" w:hAnsi="Times New Roman" w:cs="Times New Roman"/>
        </w:rPr>
        <w:t xml:space="preserve">. The next point to factor in must be the specific crusade being discussed because each crusade </w:t>
      </w:r>
      <w:r w:rsidR="005A7473">
        <w:rPr>
          <w:rFonts w:ascii="Times New Roman" w:hAnsi="Times New Roman" w:cs="Times New Roman"/>
        </w:rPr>
        <w:t>would’ve</w:t>
      </w:r>
      <w:r w:rsidR="00C21B07">
        <w:rPr>
          <w:rFonts w:ascii="Times New Roman" w:hAnsi="Times New Roman" w:cs="Times New Roman"/>
        </w:rPr>
        <w:t xml:space="preserve"> attracted different classes of people for different reasons. This </w:t>
      </w:r>
      <w:r w:rsidR="00DD7B85" w:rsidRPr="00693641">
        <w:rPr>
          <w:rFonts w:ascii="Times New Roman" w:hAnsi="Times New Roman" w:cs="Times New Roman"/>
        </w:rPr>
        <w:t xml:space="preserve">essay will therefore be focussing on comparing </w:t>
      </w:r>
      <w:r w:rsidR="00716B39" w:rsidRPr="00693641">
        <w:rPr>
          <w:rFonts w:ascii="Times New Roman" w:hAnsi="Times New Roman" w:cs="Times New Roman"/>
        </w:rPr>
        <w:t xml:space="preserve">not only the differing motivations </w:t>
      </w:r>
      <w:r w:rsidR="0050319F" w:rsidRPr="00693641">
        <w:rPr>
          <w:rFonts w:ascii="Times New Roman" w:hAnsi="Times New Roman" w:cs="Times New Roman"/>
        </w:rPr>
        <w:t>that arose between the crusades</w:t>
      </w:r>
      <w:r w:rsidR="004A7A2B">
        <w:rPr>
          <w:rFonts w:ascii="Times New Roman" w:hAnsi="Times New Roman" w:cs="Times New Roman"/>
        </w:rPr>
        <w:t xml:space="preserve"> – focussing mainly on the First Crusade and referencing any consequent crusades back to it -</w:t>
      </w:r>
      <w:r w:rsidR="0050319F" w:rsidRPr="00693641">
        <w:rPr>
          <w:rFonts w:ascii="Times New Roman" w:hAnsi="Times New Roman" w:cs="Times New Roman"/>
        </w:rPr>
        <w:t xml:space="preserve"> but also between the individual crusader and how far spiritual indulgences compare based on these factors.</w:t>
      </w:r>
      <w:r w:rsidR="00693641">
        <w:rPr>
          <w:rFonts w:ascii="Times New Roman" w:hAnsi="Times New Roman" w:cs="Times New Roman"/>
        </w:rPr>
        <w:t xml:space="preserve"> </w:t>
      </w:r>
    </w:p>
    <w:p w14:paraId="336DC327" w14:textId="7DD229B4" w:rsidR="00C21B07" w:rsidRDefault="00461122">
      <w:pPr>
        <w:rPr>
          <w:rFonts w:ascii="Times New Roman" w:hAnsi="Times New Roman" w:cs="Times New Roman"/>
          <w:u w:val="single"/>
        </w:rPr>
      </w:pPr>
      <w:r>
        <w:rPr>
          <w:rFonts w:ascii="Times New Roman" w:hAnsi="Times New Roman" w:cs="Times New Roman"/>
          <w:u w:val="single"/>
        </w:rPr>
        <w:t>The First Crusade</w:t>
      </w:r>
    </w:p>
    <w:p w14:paraId="6616D1D3" w14:textId="5E25D3BE" w:rsidR="00DB732C" w:rsidRDefault="00456282">
      <w:pPr>
        <w:rPr>
          <w:rFonts w:ascii="Times New Roman" w:hAnsi="Times New Roman" w:cs="Times New Roman"/>
        </w:rPr>
      </w:pPr>
      <w:r>
        <w:rPr>
          <w:rFonts w:ascii="Times New Roman" w:hAnsi="Times New Roman" w:cs="Times New Roman"/>
        </w:rPr>
        <w:t>From the beginning of Christendom, and especially in the 11</w:t>
      </w:r>
      <w:r w:rsidRPr="00456282">
        <w:rPr>
          <w:rFonts w:ascii="Times New Roman" w:hAnsi="Times New Roman" w:cs="Times New Roman"/>
          <w:vertAlign w:val="superscript"/>
        </w:rPr>
        <w:t>th</w:t>
      </w:r>
      <w:r>
        <w:rPr>
          <w:rFonts w:ascii="Times New Roman" w:hAnsi="Times New Roman" w:cs="Times New Roman"/>
        </w:rPr>
        <w:t xml:space="preserve"> century</w:t>
      </w:r>
      <w:r w:rsidR="00F92C27">
        <w:rPr>
          <w:rFonts w:ascii="Times New Roman" w:hAnsi="Times New Roman" w:cs="Times New Roman"/>
        </w:rPr>
        <w:t>, Jerusalem was more than just a place, it was an idea that was larger than life and incomprehensible</w:t>
      </w:r>
      <w:r>
        <w:rPr>
          <w:rFonts w:ascii="Times New Roman" w:hAnsi="Times New Roman" w:cs="Times New Roman"/>
        </w:rPr>
        <w:t xml:space="preserve"> </w:t>
      </w:r>
      <w:r w:rsidR="00F92C27">
        <w:rPr>
          <w:rFonts w:ascii="Times New Roman" w:hAnsi="Times New Roman" w:cs="Times New Roman"/>
        </w:rPr>
        <w:t>to most and the idea of going to heaven was based into the cultural roots of Western society – everyone wanted to go to Heaven</w:t>
      </w:r>
      <w:r>
        <w:rPr>
          <w:rFonts w:ascii="Times New Roman" w:hAnsi="Times New Roman" w:cs="Times New Roman"/>
        </w:rPr>
        <w:t>.</w:t>
      </w:r>
      <w:r>
        <w:rPr>
          <w:rStyle w:val="FootnoteReference"/>
          <w:rFonts w:ascii="Times New Roman" w:hAnsi="Times New Roman" w:cs="Times New Roman"/>
        </w:rPr>
        <w:footnoteReference w:id="2"/>
      </w:r>
      <w:r>
        <w:rPr>
          <w:rFonts w:ascii="Times New Roman" w:hAnsi="Times New Roman" w:cs="Times New Roman"/>
        </w:rPr>
        <w:t xml:space="preserve"> The very concept of Heaven, the spiritual and physical land of Jerusalem are concepts that in modern society it is difficult to properly understand and visualise how important it </w:t>
      </w:r>
      <w:r w:rsidR="005A7473">
        <w:rPr>
          <w:rFonts w:ascii="Times New Roman" w:hAnsi="Times New Roman" w:cs="Times New Roman"/>
        </w:rPr>
        <w:t>would’ve</w:t>
      </w:r>
      <w:r>
        <w:rPr>
          <w:rFonts w:ascii="Times New Roman" w:hAnsi="Times New Roman" w:cs="Times New Roman"/>
        </w:rPr>
        <w:t xml:space="preserve"> been to pilgrims</w:t>
      </w:r>
      <w:r w:rsidRPr="00456282">
        <w:rPr>
          <w:rStyle w:val="FootnoteReference"/>
          <w:rFonts w:ascii="Times New Roman" w:hAnsi="Times New Roman" w:cs="Times New Roman"/>
        </w:rPr>
        <w:t xml:space="preserve"> </w:t>
      </w:r>
      <w:r>
        <w:rPr>
          <w:rStyle w:val="FootnoteReference"/>
          <w:rFonts w:ascii="Times New Roman" w:hAnsi="Times New Roman" w:cs="Times New Roman"/>
        </w:rPr>
        <w:footnoteReference w:id="3"/>
      </w:r>
      <w:r w:rsidR="00840FB2">
        <w:rPr>
          <w:rFonts w:ascii="Times New Roman" w:hAnsi="Times New Roman" w:cs="Times New Roman"/>
        </w:rPr>
        <w:t xml:space="preserve">. </w:t>
      </w:r>
      <w:r w:rsidR="009F39C8">
        <w:rPr>
          <w:rFonts w:ascii="Times New Roman" w:hAnsi="Times New Roman" w:cs="Times New Roman"/>
        </w:rPr>
        <w:t>For</w:t>
      </w:r>
      <w:r w:rsidR="002B3522">
        <w:rPr>
          <w:rFonts w:ascii="Times New Roman" w:hAnsi="Times New Roman" w:cs="Times New Roman"/>
        </w:rPr>
        <w:t xml:space="preserve"> medieval</w:t>
      </w:r>
      <w:r w:rsidR="009F39C8">
        <w:rPr>
          <w:rFonts w:ascii="Times New Roman" w:hAnsi="Times New Roman" w:cs="Times New Roman"/>
        </w:rPr>
        <w:t xml:space="preserve"> Knights and men of power, the offer to pilgrimage to the Holy Land on its own was an incredible reward, but to do so with the prospect of an eternity in heaven and all mortal sin absolved </w:t>
      </w:r>
      <w:r w:rsidR="005A7473">
        <w:rPr>
          <w:rFonts w:ascii="Times New Roman" w:hAnsi="Times New Roman" w:cs="Times New Roman"/>
        </w:rPr>
        <w:t>would’ve</w:t>
      </w:r>
      <w:r w:rsidR="009F39C8">
        <w:rPr>
          <w:rFonts w:ascii="Times New Roman" w:hAnsi="Times New Roman" w:cs="Times New Roman"/>
        </w:rPr>
        <w:t xml:space="preserve"> been too much to say no to</w:t>
      </w:r>
      <w:r w:rsidR="005359C9">
        <w:rPr>
          <w:rStyle w:val="FootnoteReference"/>
          <w:rFonts w:ascii="Times New Roman" w:hAnsi="Times New Roman" w:cs="Times New Roman"/>
        </w:rPr>
        <w:footnoteReference w:id="4"/>
      </w:r>
      <w:r w:rsidR="00712441">
        <w:rPr>
          <w:rFonts w:ascii="Times New Roman" w:hAnsi="Times New Roman" w:cs="Times New Roman"/>
        </w:rPr>
        <w:t xml:space="preserve">. </w:t>
      </w:r>
    </w:p>
    <w:p w14:paraId="14E47BF9" w14:textId="748F4F0A" w:rsidR="00915918" w:rsidRDefault="00712441">
      <w:pPr>
        <w:rPr>
          <w:rFonts w:ascii="Times New Roman" w:hAnsi="Times New Roman" w:cs="Times New Roman"/>
        </w:rPr>
      </w:pPr>
      <w:r>
        <w:rPr>
          <w:rFonts w:ascii="Times New Roman" w:hAnsi="Times New Roman" w:cs="Times New Roman"/>
        </w:rPr>
        <w:t xml:space="preserve">However, the prospect of spiritual indulgence </w:t>
      </w:r>
      <w:r w:rsidR="005A7473">
        <w:rPr>
          <w:rFonts w:ascii="Times New Roman" w:hAnsi="Times New Roman" w:cs="Times New Roman"/>
        </w:rPr>
        <w:t>wasn’t</w:t>
      </w:r>
      <w:r>
        <w:rPr>
          <w:rFonts w:ascii="Times New Roman" w:hAnsi="Times New Roman" w:cs="Times New Roman"/>
        </w:rPr>
        <w:t xml:space="preserve"> what drew many men out of their homes: in West Francia the peasantry and everyday man was only too happy to leave their homelands which were stricken with plague and pestilence after years of bad harvests</w:t>
      </w:r>
      <w:r w:rsidR="004D0DF8">
        <w:rPr>
          <w:rStyle w:val="FootnoteReference"/>
          <w:rFonts w:ascii="Times New Roman" w:hAnsi="Times New Roman" w:cs="Times New Roman"/>
        </w:rPr>
        <w:footnoteReference w:id="5"/>
      </w:r>
      <w:r>
        <w:rPr>
          <w:rFonts w:ascii="Times New Roman" w:hAnsi="Times New Roman" w:cs="Times New Roman"/>
        </w:rPr>
        <w:t>, civil war and famines</w:t>
      </w:r>
      <w:r w:rsidR="00AB06F7">
        <w:rPr>
          <w:rStyle w:val="FootnoteReference"/>
          <w:rFonts w:ascii="Times New Roman" w:hAnsi="Times New Roman" w:cs="Times New Roman"/>
        </w:rPr>
        <w:footnoteReference w:id="6"/>
      </w:r>
      <w:r>
        <w:rPr>
          <w:rFonts w:ascii="Times New Roman" w:hAnsi="Times New Roman" w:cs="Times New Roman"/>
        </w:rPr>
        <w:t xml:space="preserve">. These men were being offered a chance to start afresh in a new land, not just any land, but </w:t>
      </w:r>
      <w:r>
        <w:rPr>
          <w:rFonts w:ascii="Times New Roman" w:hAnsi="Times New Roman" w:cs="Times New Roman"/>
          <w:i/>
          <w:iCs/>
        </w:rPr>
        <w:t xml:space="preserve">the </w:t>
      </w:r>
      <w:r>
        <w:rPr>
          <w:rFonts w:ascii="Times New Roman" w:hAnsi="Times New Roman" w:cs="Times New Roman"/>
        </w:rPr>
        <w:t>Holy Land</w:t>
      </w:r>
      <w:r w:rsidR="001E64DB">
        <w:rPr>
          <w:rFonts w:ascii="Times New Roman" w:hAnsi="Times New Roman" w:cs="Times New Roman"/>
        </w:rPr>
        <w:t xml:space="preserve"> which was revered and praised as the centre of both Christendom and the physical world</w:t>
      </w:r>
      <w:r w:rsidR="001E64DB">
        <w:rPr>
          <w:rStyle w:val="FootnoteReference"/>
          <w:rFonts w:ascii="Times New Roman" w:hAnsi="Times New Roman" w:cs="Times New Roman"/>
        </w:rPr>
        <w:footnoteReference w:id="7"/>
      </w:r>
      <w:r w:rsidR="001E64DB">
        <w:rPr>
          <w:rFonts w:ascii="Times New Roman" w:hAnsi="Times New Roman" w:cs="Times New Roman"/>
        </w:rPr>
        <w:t xml:space="preserve">. The idea being that the land was rich, fertile and pure: a </w:t>
      </w:r>
      <w:proofErr w:type="gramStart"/>
      <w:r w:rsidR="001E64DB">
        <w:rPr>
          <w:rFonts w:ascii="Times New Roman" w:hAnsi="Times New Roman" w:cs="Times New Roman"/>
        </w:rPr>
        <w:t>place men</w:t>
      </w:r>
      <w:proofErr w:type="gramEnd"/>
      <w:r w:rsidR="001E64DB">
        <w:rPr>
          <w:rFonts w:ascii="Times New Roman" w:hAnsi="Times New Roman" w:cs="Times New Roman"/>
        </w:rPr>
        <w:t xml:space="preserve"> could start life again and escape the desolation in which they were currently living in the poverty stricken West.</w:t>
      </w:r>
      <w:r w:rsidR="00BE7272">
        <w:rPr>
          <w:rFonts w:ascii="Times New Roman" w:hAnsi="Times New Roman" w:cs="Times New Roman"/>
        </w:rPr>
        <w:t xml:space="preserve"> In Robert The Monk’s translation of Pope Urban’s speech, he pays special attention to the physical appeal of Jerusalem, calling it the “Land of milk and Honey”</w:t>
      </w:r>
      <w:r w:rsidR="00367D1D">
        <w:rPr>
          <w:rStyle w:val="FootnoteReference"/>
          <w:rFonts w:ascii="Times New Roman" w:hAnsi="Times New Roman" w:cs="Times New Roman"/>
        </w:rPr>
        <w:footnoteReference w:id="8"/>
      </w:r>
      <w:r w:rsidR="00BE7272">
        <w:rPr>
          <w:rFonts w:ascii="Times New Roman" w:hAnsi="Times New Roman" w:cs="Times New Roman"/>
        </w:rPr>
        <w:t xml:space="preserve">, which is </w:t>
      </w:r>
      <w:r w:rsidR="00367D1D">
        <w:rPr>
          <w:rFonts w:ascii="Times New Roman" w:hAnsi="Times New Roman" w:cs="Times New Roman"/>
        </w:rPr>
        <w:t>clearly exhibiting the fact that material gain was of great significance to potential crusaders.</w:t>
      </w:r>
      <w:r w:rsidR="001E64DB">
        <w:rPr>
          <w:rFonts w:ascii="Times New Roman" w:hAnsi="Times New Roman" w:cs="Times New Roman"/>
        </w:rPr>
        <w:t xml:space="preserve"> Spiritual indulgence </w:t>
      </w:r>
      <w:r w:rsidR="005A7473">
        <w:rPr>
          <w:rFonts w:ascii="Times New Roman" w:hAnsi="Times New Roman" w:cs="Times New Roman"/>
        </w:rPr>
        <w:t>would’ve</w:t>
      </w:r>
      <w:r w:rsidR="001E64DB">
        <w:rPr>
          <w:rFonts w:ascii="Times New Roman" w:hAnsi="Times New Roman" w:cs="Times New Roman"/>
        </w:rPr>
        <w:t xml:space="preserve"> had little sway in motivating </w:t>
      </w:r>
      <w:r w:rsidR="001E64DB">
        <w:rPr>
          <w:rFonts w:ascii="Times New Roman" w:hAnsi="Times New Roman" w:cs="Times New Roman"/>
        </w:rPr>
        <w:lastRenderedPageBreak/>
        <w:t xml:space="preserve">the peasants and Merchants of West Francia who needed to escape their barren lands and </w:t>
      </w:r>
      <w:r w:rsidR="005A7473">
        <w:rPr>
          <w:rFonts w:ascii="Times New Roman" w:hAnsi="Times New Roman" w:cs="Times New Roman"/>
        </w:rPr>
        <w:t>would’ve</w:t>
      </w:r>
      <w:r w:rsidR="001E64DB">
        <w:rPr>
          <w:rFonts w:ascii="Times New Roman" w:hAnsi="Times New Roman" w:cs="Times New Roman"/>
        </w:rPr>
        <w:t xml:space="preserve"> been more of </w:t>
      </w:r>
      <w:proofErr w:type="gramStart"/>
      <w:r w:rsidR="001E64DB">
        <w:rPr>
          <w:rFonts w:ascii="Times New Roman" w:hAnsi="Times New Roman" w:cs="Times New Roman"/>
        </w:rPr>
        <w:t>an added bonus</w:t>
      </w:r>
      <w:proofErr w:type="gramEnd"/>
      <w:r w:rsidR="001E64DB">
        <w:rPr>
          <w:rFonts w:ascii="Times New Roman" w:hAnsi="Times New Roman" w:cs="Times New Roman"/>
        </w:rPr>
        <w:t xml:space="preserve"> as opposed to a priority compared to the chance to start life anew.</w:t>
      </w:r>
    </w:p>
    <w:p w14:paraId="7E19D966" w14:textId="736761F6" w:rsidR="00465075" w:rsidRDefault="00465075">
      <w:pPr>
        <w:rPr>
          <w:rFonts w:ascii="Times New Roman" w:hAnsi="Times New Roman" w:cs="Times New Roman"/>
        </w:rPr>
      </w:pPr>
      <w:r>
        <w:rPr>
          <w:rFonts w:ascii="Times New Roman" w:hAnsi="Times New Roman" w:cs="Times New Roman"/>
        </w:rPr>
        <w:t xml:space="preserve">Before the official start of the First Crusade came the People’s Crusade, where thousands of Peasants </w:t>
      </w:r>
      <w:r w:rsidR="008A2A89">
        <w:rPr>
          <w:rFonts w:ascii="Times New Roman" w:hAnsi="Times New Roman" w:cs="Times New Roman"/>
        </w:rPr>
        <w:t xml:space="preserve">began crusading </w:t>
      </w:r>
      <w:r>
        <w:rPr>
          <w:rFonts w:ascii="Times New Roman" w:hAnsi="Times New Roman" w:cs="Times New Roman"/>
        </w:rPr>
        <w:t xml:space="preserve">to the Holy Land </w:t>
      </w:r>
      <w:r w:rsidR="008A2A89">
        <w:rPr>
          <w:rFonts w:ascii="Times New Roman" w:hAnsi="Times New Roman" w:cs="Times New Roman"/>
        </w:rPr>
        <w:t>months before what had been planned. These Peasants gave up all they had to go on pilgrimage, they brought their families and their food stocks and left behind their homes to follow Peter the Hermit</w:t>
      </w:r>
      <w:r w:rsidR="00797A01">
        <w:rPr>
          <w:rFonts w:ascii="Times New Roman" w:hAnsi="Times New Roman" w:cs="Times New Roman"/>
        </w:rPr>
        <w:t>.</w:t>
      </w:r>
      <w:r w:rsidR="008A2A89">
        <w:rPr>
          <w:rFonts w:ascii="Times New Roman" w:hAnsi="Times New Roman" w:cs="Times New Roman"/>
        </w:rPr>
        <w:t xml:space="preserve"> </w:t>
      </w:r>
      <w:r w:rsidR="00797A01">
        <w:rPr>
          <w:rFonts w:ascii="Times New Roman" w:hAnsi="Times New Roman" w:cs="Times New Roman"/>
        </w:rPr>
        <w:t>A</w:t>
      </w:r>
      <w:r w:rsidR="008A2A89">
        <w:rPr>
          <w:rFonts w:ascii="Times New Roman" w:hAnsi="Times New Roman" w:cs="Times New Roman"/>
        </w:rPr>
        <w:t xml:space="preserve">s Steven Runciman illustrates in his work </w:t>
      </w:r>
      <w:bookmarkStart w:id="0" w:name="_Hlk30761412"/>
      <w:r w:rsidR="008A2A89">
        <w:rPr>
          <w:rFonts w:ascii="Times New Roman" w:hAnsi="Times New Roman" w:cs="Times New Roman"/>
          <w:i/>
          <w:iCs/>
        </w:rPr>
        <w:t>A History of the Crusades</w:t>
      </w:r>
      <w:r w:rsidR="00797A01">
        <w:rPr>
          <w:rFonts w:ascii="Times New Roman" w:hAnsi="Times New Roman" w:cs="Times New Roman"/>
          <w:i/>
          <w:iCs/>
        </w:rPr>
        <w:t>: The First Crusade</w:t>
      </w:r>
      <w:bookmarkEnd w:id="0"/>
      <w:r w:rsidR="00797A01">
        <w:rPr>
          <w:rFonts w:ascii="Times New Roman" w:hAnsi="Times New Roman" w:cs="Times New Roman"/>
        </w:rPr>
        <w:t>, the peasants came from a variety of different stock (“men from many different districts and many types… peasants… townsfolk… junior members of knightly families”)</w:t>
      </w:r>
      <w:r w:rsidR="00797A01">
        <w:rPr>
          <w:rStyle w:val="FootnoteReference"/>
          <w:rFonts w:ascii="Times New Roman" w:hAnsi="Times New Roman" w:cs="Times New Roman"/>
        </w:rPr>
        <w:footnoteReference w:id="9"/>
      </w:r>
      <w:r w:rsidR="00797A01">
        <w:rPr>
          <w:rFonts w:ascii="Times New Roman" w:hAnsi="Times New Roman" w:cs="Times New Roman"/>
        </w:rPr>
        <w:t xml:space="preserve"> but all seemed to be somewhat wealthy enough as they all had enough provisions to last them</w:t>
      </w:r>
      <w:r w:rsidR="00797A01">
        <w:rPr>
          <w:rStyle w:val="FootnoteReference"/>
          <w:rFonts w:ascii="Times New Roman" w:hAnsi="Times New Roman" w:cs="Times New Roman"/>
        </w:rPr>
        <w:footnoteReference w:id="10"/>
      </w:r>
      <w:r w:rsidR="00797A01">
        <w:rPr>
          <w:rFonts w:ascii="Times New Roman" w:hAnsi="Times New Roman" w:cs="Times New Roman"/>
        </w:rPr>
        <w:t>. Runciman goes on to make point that the only thing that linked these men together was “the fervour of their faith”</w:t>
      </w:r>
      <w:r w:rsidR="00797A01">
        <w:rPr>
          <w:rStyle w:val="FootnoteReference"/>
          <w:rFonts w:ascii="Times New Roman" w:hAnsi="Times New Roman" w:cs="Times New Roman"/>
        </w:rPr>
        <w:footnoteReference w:id="11"/>
      </w:r>
      <w:r w:rsidR="00797A01">
        <w:rPr>
          <w:rFonts w:ascii="Times New Roman" w:hAnsi="Times New Roman" w:cs="Times New Roman"/>
        </w:rPr>
        <w:t>, this could be a counterpoint to the previous made – that, the peasants going on crusade were going mainly for material gain – however it can instead be said that this point neither disproves no supports this notion; instead it reinforces the idea that each crusader was different and the idea of individuality plays a big role in understanding crusader’s motivations.</w:t>
      </w:r>
      <w:r w:rsidR="00EC7244">
        <w:rPr>
          <w:rFonts w:ascii="Times New Roman" w:hAnsi="Times New Roman" w:cs="Times New Roman"/>
        </w:rPr>
        <w:t xml:space="preserve"> </w:t>
      </w:r>
      <w:r w:rsidR="009B6008">
        <w:rPr>
          <w:rFonts w:ascii="Times New Roman" w:hAnsi="Times New Roman" w:cs="Times New Roman"/>
        </w:rPr>
        <w:t>While some men went on crusade in order to make money and material gains</w:t>
      </w:r>
      <w:r w:rsidR="008F7046">
        <w:rPr>
          <w:rStyle w:val="FootnoteReference"/>
          <w:rFonts w:ascii="Times New Roman" w:hAnsi="Times New Roman" w:cs="Times New Roman"/>
        </w:rPr>
        <w:footnoteReference w:id="12"/>
      </w:r>
      <w:r w:rsidR="008F7046">
        <w:rPr>
          <w:rFonts w:ascii="Times New Roman" w:hAnsi="Times New Roman" w:cs="Times New Roman"/>
        </w:rPr>
        <w:t xml:space="preserve"> or to escape the poverty they lived in</w:t>
      </w:r>
      <w:r w:rsidR="008F7046">
        <w:rPr>
          <w:rStyle w:val="FootnoteReference"/>
          <w:rFonts w:ascii="Times New Roman" w:hAnsi="Times New Roman" w:cs="Times New Roman"/>
        </w:rPr>
        <w:footnoteReference w:id="13"/>
      </w:r>
      <w:r w:rsidR="008F7046">
        <w:rPr>
          <w:rFonts w:ascii="Times New Roman" w:hAnsi="Times New Roman" w:cs="Times New Roman"/>
        </w:rPr>
        <w:t xml:space="preserve">, it can also be said with utmost confidence that this </w:t>
      </w:r>
      <w:r w:rsidR="005A7473">
        <w:rPr>
          <w:rFonts w:ascii="Times New Roman" w:hAnsi="Times New Roman" w:cs="Times New Roman"/>
        </w:rPr>
        <w:t>wasn’t</w:t>
      </w:r>
      <w:r w:rsidR="008F7046">
        <w:rPr>
          <w:rFonts w:ascii="Times New Roman" w:hAnsi="Times New Roman" w:cs="Times New Roman"/>
        </w:rPr>
        <w:t xml:space="preserve"> the case for all and the offer of spiritual indulgence was the foremost important motivation for a lot of men</w:t>
      </w:r>
      <w:r w:rsidR="005A7473">
        <w:rPr>
          <w:rFonts w:ascii="Times New Roman" w:hAnsi="Times New Roman" w:cs="Times New Roman"/>
        </w:rPr>
        <w:t>.</w:t>
      </w:r>
      <w:bookmarkStart w:id="2" w:name="_GoBack"/>
      <w:bookmarkEnd w:id="2"/>
    </w:p>
    <w:p w14:paraId="7A4C1D2F" w14:textId="10EE3004" w:rsidR="008F7046" w:rsidRDefault="008F7046">
      <w:pPr>
        <w:rPr>
          <w:rFonts w:ascii="Times New Roman" w:hAnsi="Times New Roman" w:cs="Times New Roman"/>
          <w:u w:val="single"/>
        </w:rPr>
      </w:pPr>
      <w:r>
        <w:rPr>
          <w:rFonts w:ascii="Times New Roman" w:hAnsi="Times New Roman" w:cs="Times New Roman"/>
          <w:u w:val="single"/>
        </w:rPr>
        <w:t>The Second Crusade</w:t>
      </w:r>
    </w:p>
    <w:p w14:paraId="20C141D1" w14:textId="7D427475" w:rsidR="00697BFF" w:rsidRDefault="00697BFF">
      <w:pPr>
        <w:rPr>
          <w:rFonts w:ascii="Times New Roman" w:hAnsi="Times New Roman" w:cs="Times New Roman"/>
        </w:rPr>
      </w:pPr>
      <w:r>
        <w:rPr>
          <w:rFonts w:ascii="Times New Roman" w:hAnsi="Times New Roman" w:cs="Times New Roman"/>
        </w:rPr>
        <w:t xml:space="preserve">The Second Crusade </w:t>
      </w:r>
      <w:r w:rsidR="00BC1AE6">
        <w:rPr>
          <w:rFonts w:ascii="Times New Roman" w:hAnsi="Times New Roman" w:cs="Times New Roman"/>
        </w:rPr>
        <w:t xml:space="preserve">was called because the Seljuk Turks took control of the County of Edessa and Western Christendom could not stand for this, </w:t>
      </w:r>
      <w:r w:rsidR="00B96F1F">
        <w:rPr>
          <w:rFonts w:ascii="Times New Roman" w:hAnsi="Times New Roman" w:cs="Times New Roman"/>
        </w:rPr>
        <w:t>thus</w:t>
      </w:r>
      <w:r w:rsidR="00BC1AE6">
        <w:rPr>
          <w:rFonts w:ascii="Times New Roman" w:hAnsi="Times New Roman" w:cs="Times New Roman"/>
        </w:rPr>
        <w:t xml:space="preserve"> in 1147 Pope Eugenius III called the Second Crusade</w:t>
      </w:r>
      <w:r w:rsidR="00B96F1F">
        <w:rPr>
          <w:rFonts w:ascii="Times New Roman" w:hAnsi="Times New Roman" w:cs="Times New Roman"/>
        </w:rPr>
        <w:t>. Spiritual indulgences were still the forefront of the rewards offered by the Church to entice crusaders to go on crusade but with one major difference: all crusaders who went on crusade would be offered spiritual indulgence</w:t>
      </w:r>
      <w:r w:rsidR="00B96F1F">
        <w:rPr>
          <w:rStyle w:val="FootnoteReference"/>
          <w:rFonts w:ascii="Times New Roman" w:hAnsi="Times New Roman" w:cs="Times New Roman"/>
        </w:rPr>
        <w:footnoteReference w:id="14"/>
      </w:r>
      <w:r w:rsidR="00B96F1F">
        <w:rPr>
          <w:rFonts w:ascii="Times New Roman" w:hAnsi="Times New Roman" w:cs="Times New Roman"/>
        </w:rPr>
        <w:t xml:space="preserve"> – while in the First Crusade it was only those men who died fighting or </w:t>
      </w:r>
      <w:proofErr w:type="spellStart"/>
      <w:r w:rsidR="00B96F1F">
        <w:rPr>
          <w:rFonts w:ascii="Times New Roman" w:hAnsi="Times New Roman" w:cs="Times New Roman"/>
        </w:rPr>
        <w:t>en</w:t>
      </w:r>
      <w:proofErr w:type="spellEnd"/>
      <w:r w:rsidR="00B96F1F">
        <w:rPr>
          <w:rFonts w:ascii="Times New Roman" w:hAnsi="Times New Roman" w:cs="Times New Roman"/>
        </w:rPr>
        <w:t xml:space="preserve"> route to the Holy Land who would get such a reward. This </w:t>
      </w:r>
      <w:r w:rsidR="005A7473">
        <w:rPr>
          <w:rFonts w:ascii="Times New Roman" w:hAnsi="Times New Roman" w:cs="Times New Roman"/>
        </w:rPr>
        <w:t>would’ve</w:t>
      </w:r>
      <w:r w:rsidR="00B96F1F">
        <w:rPr>
          <w:rFonts w:ascii="Times New Roman" w:hAnsi="Times New Roman" w:cs="Times New Roman"/>
        </w:rPr>
        <w:t xml:space="preserve"> been enticing on a whole other level to potential crusaders as it would mean guaranteed passage to Heaven even if they made it back home afterwards – meaning they could sin as much as they wanted with essentially a free pass. French contemporary historian </w:t>
      </w:r>
      <w:proofErr w:type="spellStart"/>
      <w:r w:rsidR="00B96F1F">
        <w:rPr>
          <w:rFonts w:ascii="Times New Roman" w:hAnsi="Times New Roman" w:cs="Times New Roman"/>
        </w:rPr>
        <w:t>Odo</w:t>
      </w:r>
      <w:proofErr w:type="spellEnd"/>
      <w:r w:rsidR="00B96F1F">
        <w:rPr>
          <w:rFonts w:ascii="Times New Roman" w:hAnsi="Times New Roman" w:cs="Times New Roman"/>
        </w:rPr>
        <w:t xml:space="preserve"> of </w:t>
      </w:r>
      <w:proofErr w:type="spellStart"/>
      <w:r w:rsidR="00B96F1F">
        <w:rPr>
          <w:rFonts w:ascii="Times New Roman" w:hAnsi="Times New Roman" w:cs="Times New Roman"/>
        </w:rPr>
        <w:t>Deuil</w:t>
      </w:r>
      <w:proofErr w:type="spellEnd"/>
      <w:r w:rsidR="00B96F1F">
        <w:rPr>
          <w:rFonts w:ascii="Times New Roman" w:hAnsi="Times New Roman" w:cs="Times New Roman"/>
        </w:rPr>
        <w:t xml:space="preserve"> writes that the letters from Pope Eugenius III that contained such information </w:t>
      </w:r>
      <w:r w:rsidR="000709B3">
        <w:rPr>
          <w:rFonts w:ascii="Times New Roman" w:hAnsi="Times New Roman" w:cs="Times New Roman"/>
        </w:rPr>
        <w:t>were “sweeter than any honeycomb”</w:t>
      </w:r>
      <w:r w:rsidR="000709B3">
        <w:rPr>
          <w:rStyle w:val="FootnoteReference"/>
          <w:rFonts w:ascii="Times New Roman" w:hAnsi="Times New Roman" w:cs="Times New Roman"/>
        </w:rPr>
        <w:footnoteReference w:id="15"/>
      </w:r>
      <w:r w:rsidR="000709B3">
        <w:rPr>
          <w:rFonts w:ascii="Times New Roman" w:hAnsi="Times New Roman" w:cs="Times New Roman"/>
        </w:rPr>
        <w:t xml:space="preserve">, clearly exhibiting just how appealing it </w:t>
      </w:r>
      <w:r w:rsidR="005A7473">
        <w:rPr>
          <w:rFonts w:ascii="Times New Roman" w:hAnsi="Times New Roman" w:cs="Times New Roman"/>
        </w:rPr>
        <w:t>would’ve</w:t>
      </w:r>
      <w:r w:rsidR="000709B3">
        <w:rPr>
          <w:rFonts w:ascii="Times New Roman" w:hAnsi="Times New Roman" w:cs="Times New Roman"/>
        </w:rPr>
        <w:t xml:space="preserve"> been to Knights and potential crusaders.</w:t>
      </w:r>
    </w:p>
    <w:p w14:paraId="05A41C24" w14:textId="37341CEA" w:rsidR="00E40363" w:rsidRDefault="000709B3">
      <w:pPr>
        <w:rPr>
          <w:rFonts w:ascii="Times New Roman" w:hAnsi="Times New Roman" w:cs="Times New Roman"/>
        </w:rPr>
      </w:pPr>
      <w:r>
        <w:rPr>
          <w:rFonts w:ascii="Times New Roman" w:hAnsi="Times New Roman" w:cs="Times New Roman"/>
        </w:rPr>
        <w:t>In the aftermath of the First Crusade, Holy Indulgences were not the only reason that men went on crusade: Knights wanted to live up to and experience the glory of crusading, with many of them growing up with tales of Bohemund and Baldwin from readings of Robert the Monk and B</w:t>
      </w:r>
      <w:r w:rsidR="00AA610E">
        <w:rPr>
          <w:rFonts w:ascii="Times New Roman" w:hAnsi="Times New Roman" w:cs="Times New Roman"/>
        </w:rPr>
        <w:t xml:space="preserve">aldric of </w:t>
      </w:r>
      <w:proofErr w:type="spellStart"/>
      <w:r w:rsidR="00AA610E" w:rsidRPr="00AA610E">
        <w:rPr>
          <w:rFonts w:ascii="Times New Roman" w:hAnsi="Times New Roman" w:cs="Times New Roman"/>
        </w:rPr>
        <w:t>Bourgueil</w:t>
      </w:r>
      <w:proofErr w:type="spellEnd"/>
      <w:r w:rsidR="00AA610E">
        <w:rPr>
          <w:rStyle w:val="FootnoteReference"/>
          <w:rFonts w:ascii="Times New Roman" w:hAnsi="Times New Roman" w:cs="Times New Roman"/>
        </w:rPr>
        <w:footnoteReference w:id="16"/>
      </w:r>
      <w:r w:rsidR="00E40363">
        <w:rPr>
          <w:rFonts w:ascii="Times New Roman" w:hAnsi="Times New Roman" w:cs="Times New Roman"/>
        </w:rPr>
        <w:t>, it became tradition to follow in a father’s footsteps and take the cross to go on Pilgrimage or Crusade.</w:t>
      </w:r>
      <w:r w:rsidR="00E40363">
        <w:rPr>
          <w:rStyle w:val="FootnoteReference"/>
          <w:rFonts w:ascii="Times New Roman" w:hAnsi="Times New Roman" w:cs="Times New Roman"/>
        </w:rPr>
        <w:footnoteReference w:id="17"/>
      </w:r>
      <w:r w:rsidR="00E40363">
        <w:rPr>
          <w:rFonts w:ascii="Times New Roman" w:hAnsi="Times New Roman" w:cs="Times New Roman"/>
        </w:rPr>
        <w:t xml:space="preserve"> Pope Eugenius even recognised the appeal of tradition and young men wanting to prove themselves; he </w:t>
      </w:r>
      <w:r w:rsidR="00E31523">
        <w:rPr>
          <w:rFonts w:ascii="Times New Roman" w:hAnsi="Times New Roman" w:cs="Times New Roman"/>
        </w:rPr>
        <w:t>called sons to follow in their father’s footsteps “</w:t>
      </w:r>
      <w:r w:rsidR="00E31523" w:rsidRPr="00E31523">
        <w:rPr>
          <w:rFonts w:ascii="Times New Roman" w:hAnsi="Times New Roman" w:cs="Times New Roman"/>
        </w:rPr>
        <w:t xml:space="preserve">the bravery of your fathers acquired be </w:t>
      </w:r>
      <w:r w:rsidR="00E31523" w:rsidRPr="00E31523">
        <w:rPr>
          <w:rFonts w:ascii="Times New Roman" w:hAnsi="Times New Roman" w:cs="Times New Roman"/>
        </w:rPr>
        <w:lastRenderedPageBreak/>
        <w:t>bravely defended by you the sons</w:t>
      </w:r>
      <w:r w:rsidR="00E31523">
        <w:rPr>
          <w:rFonts w:ascii="Times New Roman" w:hAnsi="Times New Roman" w:cs="Times New Roman"/>
        </w:rPr>
        <w:t>”</w:t>
      </w:r>
      <w:r w:rsidR="00E31523">
        <w:rPr>
          <w:rStyle w:val="FootnoteReference"/>
          <w:rFonts w:ascii="Times New Roman" w:hAnsi="Times New Roman" w:cs="Times New Roman"/>
        </w:rPr>
        <w:footnoteReference w:id="18"/>
      </w:r>
      <w:r w:rsidR="00E31523">
        <w:rPr>
          <w:rFonts w:ascii="Times New Roman" w:hAnsi="Times New Roman" w:cs="Times New Roman"/>
        </w:rPr>
        <w:t xml:space="preserve"> in a guilt trip </w:t>
      </w:r>
      <w:proofErr w:type="spellStart"/>
      <w:r w:rsidR="00E31523">
        <w:rPr>
          <w:rFonts w:ascii="Times New Roman" w:hAnsi="Times New Roman" w:cs="Times New Roman"/>
        </w:rPr>
        <w:t>esq</w:t>
      </w:r>
      <w:proofErr w:type="spellEnd"/>
      <w:r w:rsidR="00E31523">
        <w:rPr>
          <w:rFonts w:ascii="Times New Roman" w:hAnsi="Times New Roman" w:cs="Times New Roman"/>
        </w:rPr>
        <w:t xml:space="preserve"> way of making more crusader</w:t>
      </w:r>
      <w:r w:rsidR="005E0BB1">
        <w:rPr>
          <w:rFonts w:ascii="Times New Roman" w:hAnsi="Times New Roman" w:cs="Times New Roman"/>
        </w:rPr>
        <w:t xml:space="preserve">s join the cause. </w:t>
      </w:r>
      <w:r w:rsidR="00AA610E">
        <w:rPr>
          <w:rFonts w:ascii="Times New Roman" w:hAnsi="Times New Roman" w:cs="Times New Roman"/>
        </w:rPr>
        <w:t xml:space="preserve">The everyday man had similar motivations in that the peasantry and laymen of the West had adapted their lifestyle being Crusaders </w:t>
      </w:r>
      <w:r w:rsidR="00E40363">
        <w:rPr>
          <w:rFonts w:ascii="Times New Roman" w:hAnsi="Times New Roman" w:cs="Times New Roman"/>
        </w:rPr>
        <w:t xml:space="preserve">and pilgrims </w:t>
      </w:r>
      <w:r w:rsidR="00AA610E">
        <w:rPr>
          <w:rFonts w:ascii="Times New Roman" w:hAnsi="Times New Roman" w:cs="Times New Roman"/>
        </w:rPr>
        <w:t>in the early 12</w:t>
      </w:r>
      <w:r w:rsidR="00AA610E" w:rsidRPr="00AA610E">
        <w:rPr>
          <w:rFonts w:ascii="Times New Roman" w:hAnsi="Times New Roman" w:cs="Times New Roman"/>
          <w:vertAlign w:val="superscript"/>
        </w:rPr>
        <w:t>th</w:t>
      </w:r>
      <w:r w:rsidR="00AA610E">
        <w:rPr>
          <w:rFonts w:ascii="Times New Roman" w:hAnsi="Times New Roman" w:cs="Times New Roman"/>
        </w:rPr>
        <w:t xml:space="preserve"> Century</w:t>
      </w:r>
      <w:r w:rsidR="00E40363">
        <w:rPr>
          <w:rFonts w:ascii="Times New Roman" w:hAnsi="Times New Roman" w:cs="Times New Roman"/>
        </w:rPr>
        <w:t>, it became commonplace to make the pilgrimage to Jerusalem</w:t>
      </w:r>
      <w:r w:rsidR="00E40363">
        <w:rPr>
          <w:rStyle w:val="FootnoteReference"/>
          <w:rFonts w:ascii="Times New Roman" w:hAnsi="Times New Roman" w:cs="Times New Roman"/>
        </w:rPr>
        <w:footnoteReference w:id="19"/>
      </w:r>
      <w:r w:rsidR="00E40363">
        <w:rPr>
          <w:rFonts w:ascii="Times New Roman" w:hAnsi="Times New Roman" w:cs="Times New Roman"/>
        </w:rPr>
        <w:t xml:space="preserve"> and many Pilgrims would fight in skirmishes across </w:t>
      </w:r>
      <w:r w:rsidR="00312BCB">
        <w:rPr>
          <w:rFonts w:ascii="Times New Roman" w:hAnsi="Times New Roman" w:cs="Times New Roman"/>
        </w:rPr>
        <w:t xml:space="preserve">the ever at war Eastern Front. An opportunity to go on a real Crusade </w:t>
      </w:r>
      <w:r w:rsidR="005A7473">
        <w:rPr>
          <w:rFonts w:ascii="Times New Roman" w:hAnsi="Times New Roman" w:cs="Times New Roman"/>
        </w:rPr>
        <w:t>would’ve</w:t>
      </w:r>
      <w:r w:rsidR="00312BCB">
        <w:rPr>
          <w:rFonts w:ascii="Times New Roman" w:hAnsi="Times New Roman" w:cs="Times New Roman"/>
        </w:rPr>
        <w:t xml:space="preserve"> been all too good to pass up as the early 12</w:t>
      </w:r>
      <w:r w:rsidR="00312BCB" w:rsidRPr="00312BCB">
        <w:rPr>
          <w:rFonts w:ascii="Times New Roman" w:hAnsi="Times New Roman" w:cs="Times New Roman"/>
          <w:vertAlign w:val="superscript"/>
        </w:rPr>
        <w:t>th</w:t>
      </w:r>
      <w:r w:rsidR="00312BCB">
        <w:rPr>
          <w:rFonts w:ascii="Times New Roman" w:hAnsi="Times New Roman" w:cs="Times New Roman"/>
        </w:rPr>
        <w:t xml:space="preserve"> century had been rife with so much conflict in the East and men </w:t>
      </w:r>
      <w:r w:rsidR="005A7473">
        <w:rPr>
          <w:rFonts w:ascii="Times New Roman" w:hAnsi="Times New Roman" w:cs="Times New Roman"/>
        </w:rPr>
        <w:t>would’ve</w:t>
      </w:r>
      <w:r w:rsidR="00312BCB">
        <w:rPr>
          <w:rFonts w:ascii="Times New Roman" w:hAnsi="Times New Roman" w:cs="Times New Roman"/>
        </w:rPr>
        <w:t xml:space="preserve"> grown up with stories of heroism and fortune in the Holy Lands and the laymen had grown accustom to this sort of behaviour as everyday life</w:t>
      </w:r>
      <w:r w:rsidR="00312BCB">
        <w:rPr>
          <w:rStyle w:val="FootnoteReference"/>
          <w:rFonts w:ascii="Times New Roman" w:hAnsi="Times New Roman" w:cs="Times New Roman"/>
        </w:rPr>
        <w:footnoteReference w:id="20"/>
      </w:r>
      <w:r w:rsidR="00312BCB">
        <w:rPr>
          <w:rFonts w:ascii="Times New Roman" w:hAnsi="Times New Roman" w:cs="Times New Roman"/>
        </w:rPr>
        <w:t>. This sort of self-indulgence motivation can be seen in countless contemporary propaganda pieces and speeches, for example</w:t>
      </w:r>
      <w:r w:rsidR="00682CAA">
        <w:rPr>
          <w:rFonts w:ascii="Times New Roman" w:hAnsi="Times New Roman" w:cs="Times New Roman"/>
        </w:rPr>
        <w:t xml:space="preserve">: “Follow the good example of the </w:t>
      </w:r>
      <w:proofErr w:type="spellStart"/>
      <w:r w:rsidR="00682CAA">
        <w:rPr>
          <w:rFonts w:ascii="Times New Roman" w:hAnsi="Times New Roman" w:cs="Times New Roman"/>
        </w:rPr>
        <w:t>Gauls</w:t>
      </w:r>
      <w:proofErr w:type="spellEnd"/>
      <w:r w:rsidR="00682CAA">
        <w:rPr>
          <w:rFonts w:ascii="Times New Roman" w:hAnsi="Times New Roman" w:cs="Times New Roman"/>
        </w:rPr>
        <w:t>”</w:t>
      </w:r>
      <w:r w:rsidR="00682CAA">
        <w:rPr>
          <w:rStyle w:val="FootnoteReference"/>
          <w:rFonts w:ascii="Times New Roman" w:hAnsi="Times New Roman" w:cs="Times New Roman"/>
        </w:rPr>
        <w:footnoteReference w:id="21"/>
      </w:r>
      <w:r w:rsidR="00682CAA">
        <w:rPr>
          <w:rFonts w:ascii="Times New Roman" w:hAnsi="Times New Roman" w:cs="Times New Roman"/>
        </w:rPr>
        <w:t>.</w:t>
      </w:r>
      <w:r w:rsidR="00312BCB">
        <w:rPr>
          <w:rFonts w:ascii="Times New Roman" w:hAnsi="Times New Roman" w:cs="Times New Roman"/>
        </w:rPr>
        <w:t xml:space="preserve"> </w:t>
      </w:r>
      <w:r w:rsidR="00682CAA">
        <w:rPr>
          <w:rFonts w:ascii="Times New Roman" w:hAnsi="Times New Roman" w:cs="Times New Roman"/>
        </w:rPr>
        <w:t xml:space="preserve">This German piece from 1108 illustrates this sense of First Crusade influence by showing that men were encouraged to go crusading by their forbearers in earlier expeditions. </w:t>
      </w:r>
      <w:r w:rsidR="00312BCB">
        <w:rPr>
          <w:rFonts w:ascii="Times New Roman" w:hAnsi="Times New Roman" w:cs="Times New Roman"/>
        </w:rPr>
        <w:t xml:space="preserve">By comparing both contemporary sources </w:t>
      </w:r>
      <w:r w:rsidR="00682CAA">
        <w:rPr>
          <w:rFonts w:ascii="Times New Roman" w:hAnsi="Times New Roman" w:cs="Times New Roman"/>
        </w:rPr>
        <w:t xml:space="preserve">such as Pope Eugenius’s speech and relevant propaganda to </w:t>
      </w:r>
      <w:r w:rsidR="00312BCB">
        <w:rPr>
          <w:rFonts w:ascii="Times New Roman" w:hAnsi="Times New Roman" w:cs="Times New Roman"/>
        </w:rPr>
        <w:t>modernist views on the subject</w:t>
      </w:r>
      <w:r w:rsidR="00682CAA">
        <w:rPr>
          <w:rFonts w:ascii="Times New Roman" w:hAnsi="Times New Roman" w:cs="Times New Roman"/>
        </w:rPr>
        <w:t xml:space="preserve"> from Historians like Jonathan Riley-Smith and Michael </w:t>
      </w:r>
      <w:proofErr w:type="spellStart"/>
      <w:r w:rsidR="00682CAA">
        <w:rPr>
          <w:rFonts w:ascii="Times New Roman" w:hAnsi="Times New Roman" w:cs="Times New Roman"/>
        </w:rPr>
        <w:t>Gervers</w:t>
      </w:r>
      <w:proofErr w:type="spellEnd"/>
      <w:r w:rsidR="001B3083">
        <w:rPr>
          <w:rFonts w:ascii="Times New Roman" w:hAnsi="Times New Roman" w:cs="Times New Roman"/>
        </w:rPr>
        <w:t>:</w:t>
      </w:r>
      <w:r w:rsidR="00682CAA">
        <w:rPr>
          <w:rFonts w:ascii="Times New Roman" w:hAnsi="Times New Roman" w:cs="Times New Roman"/>
        </w:rPr>
        <w:t xml:space="preserve"> </w:t>
      </w:r>
      <w:r w:rsidR="001B3083">
        <w:rPr>
          <w:rFonts w:ascii="Times New Roman" w:hAnsi="Times New Roman" w:cs="Times New Roman"/>
        </w:rPr>
        <w:t>A solid argument can be made that traditionalism and pride were both major motivations for crusaders in the Second Crusade. Sons wanted to emulate what their fathers had done, knowing of the Holy Land to be a land of opportunity and to bring pride to themselves as well as ordinary men simply wanting to prove themselves in this age of crusading. While spiritual indulgence would</w:t>
      </w:r>
      <w:r w:rsidR="005A7473">
        <w:rPr>
          <w:rFonts w:ascii="Times New Roman" w:hAnsi="Times New Roman" w:cs="Times New Roman"/>
        </w:rPr>
        <w:t>’</w:t>
      </w:r>
      <w:r w:rsidR="001B3083">
        <w:rPr>
          <w:rFonts w:ascii="Times New Roman" w:hAnsi="Times New Roman" w:cs="Times New Roman"/>
        </w:rPr>
        <w:t>ve helped influence men into going, it can be said that it was a subsidiary factor as most primary sources tend to focus on the idea of crusading being popular rather than men looking for spiritual indulgence.</w:t>
      </w:r>
    </w:p>
    <w:p w14:paraId="5C9B69D0" w14:textId="6AE1948F" w:rsidR="00BC1AE6" w:rsidRDefault="00BC1AE6">
      <w:pPr>
        <w:rPr>
          <w:rFonts w:ascii="Times New Roman" w:hAnsi="Times New Roman" w:cs="Times New Roman"/>
          <w:u w:val="single"/>
        </w:rPr>
      </w:pPr>
      <w:r>
        <w:rPr>
          <w:rFonts w:ascii="Times New Roman" w:hAnsi="Times New Roman" w:cs="Times New Roman"/>
          <w:u w:val="single"/>
        </w:rPr>
        <w:t>The Third Crusade</w:t>
      </w:r>
    </w:p>
    <w:p w14:paraId="6B0D2018" w14:textId="2736CF7B" w:rsidR="000672EA" w:rsidRPr="00A02FB8" w:rsidRDefault="00A02FB8">
      <w:pPr>
        <w:rPr>
          <w:rFonts w:ascii="Times New Roman" w:hAnsi="Times New Roman" w:cs="Times New Roman"/>
        </w:rPr>
      </w:pPr>
      <w:r w:rsidRPr="00A02FB8">
        <w:rPr>
          <w:rFonts w:ascii="Times New Roman" w:hAnsi="Times New Roman" w:cs="Times New Roman"/>
        </w:rPr>
        <w:t xml:space="preserve">After </w:t>
      </w:r>
      <w:r>
        <w:rPr>
          <w:rFonts w:ascii="Times New Roman" w:hAnsi="Times New Roman" w:cs="Times New Roman"/>
        </w:rPr>
        <w:t>the failures of the Second Crusade, Westerners did not want to embarrass themselves in the Holy Land again for some time yet</w:t>
      </w:r>
      <w:r>
        <w:rPr>
          <w:rStyle w:val="FootnoteReference"/>
          <w:rFonts w:ascii="Times New Roman" w:hAnsi="Times New Roman" w:cs="Times New Roman"/>
        </w:rPr>
        <w:footnoteReference w:id="22"/>
      </w:r>
      <w:r>
        <w:rPr>
          <w:rFonts w:ascii="Times New Roman" w:hAnsi="Times New Roman" w:cs="Times New Roman"/>
        </w:rPr>
        <w:t>, however, in a similar instance to the Second Crusade: years later, a lot of men wanted to prove themselves as Crusaders and regain the honour that they or their fathers’ had lost in the Second Crusade and in the late 1160s-1170s opinion of Crusading came on the rise again</w:t>
      </w:r>
      <w:r>
        <w:rPr>
          <w:rStyle w:val="FootnoteReference"/>
          <w:rFonts w:ascii="Times New Roman" w:hAnsi="Times New Roman" w:cs="Times New Roman"/>
        </w:rPr>
        <w:footnoteReference w:id="23"/>
      </w:r>
      <w:r>
        <w:rPr>
          <w:rFonts w:ascii="Times New Roman" w:hAnsi="Times New Roman" w:cs="Times New Roman"/>
        </w:rPr>
        <w:t>. This sense of duty to the Holy Land was amplified to its height in 1187 when Saladin took control of Jerusalem</w:t>
      </w:r>
      <w:r w:rsidR="005D4933">
        <w:rPr>
          <w:rFonts w:ascii="Times New Roman" w:hAnsi="Times New Roman" w:cs="Times New Roman"/>
        </w:rPr>
        <w:t xml:space="preserve">, this ignited a spark for vengeance not dissimilar to that which the First Crusaders must have felt taking back Jerusalem for the first time. Except this time there was one difference, instead of calling upon the Crusader’s sense of duty, Pope Gregory VIII </w:t>
      </w:r>
      <w:r w:rsidR="00DA06E2">
        <w:rPr>
          <w:rFonts w:ascii="Times New Roman" w:hAnsi="Times New Roman" w:cs="Times New Roman"/>
        </w:rPr>
        <w:t>shamed Christians not just in the Holy Land but in the West for the shame of losing the Holy Land</w:t>
      </w:r>
      <w:r w:rsidR="00DA06E2">
        <w:rPr>
          <w:rStyle w:val="FootnoteReference"/>
          <w:rFonts w:ascii="Times New Roman" w:hAnsi="Times New Roman" w:cs="Times New Roman"/>
        </w:rPr>
        <w:footnoteReference w:id="24"/>
      </w:r>
      <w:r w:rsidR="00DF750D">
        <w:rPr>
          <w:rFonts w:ascii="Times New Roman" w:hAnsi="Times New Roman" w:cs="Times New Roman"/>
        </w:rPr>
        <w:t>. The Pope was calling upon Christians to Crusade as an act of penance to gain access to Heaven not dissimilar to Jesus’s own suffering at his death. Spiritual indulgence was promised as a reward for going on Crusade</w:t>
      </w:r>
      <w:r w:rsidR="00DF750D">
        <w:rPr>
          <w:rStyle w:val="FootnoteReference"/>
          <w:rFonts w:ascii="Times New Roman" w:hAnsi="Times New Roman" w:cs="Times New Roman"/>
        </w:rPr>
        <w:footnoteReference w:id="25"/>
      </w:r>
      <w:r w:rsidR="00DF750D">
        <w:rPr>
          <w:rFonts w:ascii="Times New Roman" w:hAnsi="Times New Roman" w:cs="Times New Roman"/>
        </w:rPr>
        <w:t xml:space="preserve"> but the primary motivation that the Pope was using was this idea of atoning for the sin of losing Jerusalem to the pagans of the East. This appealed to men of different classes in similar ways, the layman</w:t>
      </w:r>
      <w:r w:rsidR="00B96BE4">
        <w:rPr>
          <w:rFonts w:ascii="Times New Roman" w:hAnsi="Times New Roman" w:cs="Times New Roman"/>
        </w:rPr>
        <w:t xml:space="preserve"> who had been preached to about giving their lives to save their brothers answered the call of repentance, as if they had been punished for their sins by killing their Christian brothers in the East</w:t>
      </w:r>
      <w:r w:rsidR="00B96BE4">
        <w:rPr>
          <w:rStyle w:val="FootnoteReference"/>
          <w:rFonts w:ascii="Times New Roman" w:hAnsi="Times New Roman" w:cs="Times New Roman"/>
        </w:rPr>
        <w:footnoteReference w:id="26"/>
      </w:r>
      <w:r w:rsidR="00B96BE4">
        <w:rPr>
          <w:rFonts w:ascii="Times New Roman" w:hAnsi="Times New Roman" w:cs="Times New Roman"/>
        </w:rPr>
        <w:t xml:space="preserve"> and now had to atone for that. Noblemen and the upper class side of society saw </w:t>
      </w:r>
      <w:r w:rsidR="000A39C1">
        <w:rPr>
          <w:rFonts w:ascii="Times New Roman" w:hAnsi="Times New Roman" w:cs="Times New Roman"/>
        </w:rPr>
        <w:t>their Christian brothers in distress in the East and did not see a chance for repentance, but a chance to gain glory and honour by saving them</w:t>
      </w:r>
      <w:r w:rsidR="000A39C1">
        <w:rPr>
          <w:rStyle w:val="FootnoteReference"/>
          <w:rFonts w:ascii="Times New Roman" w:hAnsi="Times New Roman" w:cs="Times New Roman"/>
        </w:rPr>
        <w:footnoteReference w:id="27"/>
      </w:r>
      <w:r w:rsidR="000A39C1">
        <w:rPr>
          <w:rFonts w:ascii="Times New Roman" w:hAnsi="Times New Roman" w:cs="Times New Roman"/>
        </w:rPr>
        <w:t xml:space="preserve">.The idea of repenting for sins is a re-wording of “spiritual reward” and this </w:t>
      </w:r>
      <w:r w:rsidR="000A39C1">
        <w:rPr>
          <w:rFonts w:ascii="Times New Roman" w:hAnsi="Times New Roman" w:cs="Times New Roman"/>
        </w:rPr>
        <w:lastRenderedPageBreak/>
        <w:t>was really the driving nature for a vast majority of the crusaders, with a small minority of noblemen striving for personal glory, exhibiting that in an unconventional way, spiritual reward was of the utmost importance in motivating crusaders to go crusading in the Third Crusade.</w:t>
      </w:r>
    </w:p>
    <w:p w14:paraId="791FA5BC" w14:textId="35C1E1E9" w:rsidR="007A78EA" w:rsidRDefault="004A7A2B">
      <w:pPr>
        <w:rPr>
          <w:rFonts w:ascii="Times New Roman" w:hAnsi="Times New Roman" w:cs="Times New Roman"/>
          <w:u w:val="single"/>
        </w:rPr>
      </w:pPr>
      <w:r>
        <w:rPr>
          <w:rFonts w:ascii="Times New Roman" w:hAnsi="Times New Roman" w:cs="Times New Roman"/>
          <w:u w:val="single"/>
        </w:rPr>
        <w:t>The Fourth Crusade</w:t>
      </w:r>
    </w:p>
    <w:p w14:paraId="3FD70DDA" w14:textId="187F9F85" w:rsidR="005137CD" w:rsidRDefault="00524206">
      <w:pPr>
        <w:rPr>
          <w:rFonts w:ascii="Times New Roman" w:hAnsi="Times New Roman" w:cs="Times New Roman"/>
        </w:rPr>
      </w:pPr>
      <w:r w:rsidRPr="00524206">
        <w:rPr>
          <w:rFonts w:ascii="Times New Roman" w:hAnsi="Times New Roman" w:cs="Times New Roman"/>
        </w:rPr>
        <w:t>Indu</w:t>
      </w:r>
      <w:r>
        <w:rPr>
          <w:rFonts w:ascii="Times New Roman" w:hAnsi="Times New Roman" w:cs="Times New Roman"/>
        </w:rPr>
        <w:t xml:space="preserve">lgence went on to play an even greater role in the Fourth Crusade than the Third, but it </w:t>
      </w:r>
      <w:r w:rsidR="005A7473">
        <w:rPr>
          <w:rFonts w:ascii="Times New Roman" w:hAnsi="Times New Roman" w:cs="Times New Roman"/>
        </w:rPr>
        <w:t>wasn’t</w:t>
      </w:r>
      <w:r>
        <w:rPr>
          <w:rFonts w:ascii="Times New Roman" w:hAnsi="Times New Roman" w:cs="Times New Roman"/>
        </w:rPr>
        <w:t xml:space="preserve"> all spiritual reward in this instance, Pope Innocent III promised but spiritual and mortal indulgence and remission of any punishments in this world or the next</w:t>
      </w:r>
      <w:r>
        <w:rPr>
          <w:rStyle w:val="FootnoteReference"/>
          <w:rFonts w:ascii="Times New Roman" w:hAnsi="Times New Roman" w:cs="Times New Roman"/>
        </w:rPr>
        <w:footnoteReference w:id="28"/>
      </w:r>
      <w:r>
        <w:rPr>
          <w:rFonts w:ascii="Times New Roman" w:hAnsi="Times New Roman" w:cs="Times New Roman"/>
        </w:rPr>
        <w:t xml:space="preserve">. For the first time, sinners could escape judicial punishment </w:t>
      </w:r>
      <w:r w:rsidR="00AF5BEA">
        <w:rPr>
          <w:rFonts w:ascii="Times New Roman" w:hAnsi="Times New Roman" w:cs="Times New Roman"/>
        </w:rPr>
        <w:t xml:space="preserve">as well as gaining spiritual indulgence. French contemporary </w:t>
      </w:r>
      <w:r w:rsidR="00AF5BEA" w:rsidRPr="00AF5BEA">
        <w:rPr>
          <w:rFonts w:ascii="Times New Roman" w:hAnsi="Times New Roman" w:cs="Times New Roman"/>
        </w:rPr>
        <w:t xml:space="preserve">Geoffrey of </w:t>
      </w:r>
      <w:proofErr w:type="spellStart"/>
      <w:r w:rsidR="00AF5BEA" w:rsidRPr="00AF5BEA">
        <w:rPr>
          <w:rFonts w:ascii="Times New Roman" w:hAnsi="Times New Roman" w:cs="Times New Roman"/>
        </w:rPr>
        <w:t>Villehardouin</w:t>
      </w:r>
      <w:proofErr w:type="spellEnd"/>
      <w:r w:rsidR="00AF5BEA">
        <w:rPr>
          <w:rFonts w:ascii="Times New Roman" w:hAnsi="Times New Roman" w:cs="Times New Roman"/>
        </w:rPr>
        <w:t xml:space="preserve"> wrote that this new and improved indulgence as reward was incredibly important in motivating Crusaders to go on Crusade – “because the indulgence was so great the hearts of men were much moved and ma</w:t>
      </w:r>
      <w:r w:rsidR="006D138B">
        <w:rPr>
          <w:rFonts w:ascii="Times New Roman" w:hAnsi="Times New Roman" w:cs="Times New Roman"/>
        </w:rPr>
        <w:t>ny took the cross because the indulgence was so great”</w:t>
      </w:r>
      <w:r w:rsidR="006D138B">
        <w:rPr>
          <w:rStyle w:val="FootnoteReference"/>
          <w:rFonts w:ascii="Times New Roman" w:hAnsi="Times New Roman" w:cs="Times New Roman"/>
        </w:rPr>
        <w:footnoteReference w:id="29"/>
      </w:r>
      <w:r w:rsidR="006D138B">
        <w:rPr>
          <w:rFonts w:ascii="Times New Roman" w:hAnsi="Times New Roman" w:cs="Times New Roman"/>
        </w:rPr>
        <w:t xml:space="preserve">. However, it can be said that spiritual reward comes of lesser import as a motivation in the Fourth Crusade compared to previous Crusades as it </w:t>
      </w:r>
      <w:r w:rsidR="005A7473">
        <w:rPr>
          <w:rFonts w:ascii="Times New Roman" w:hAnsi="Times New Roman" w:cs="Times New Roman"/>
        </w:rPr>
        <w:t>wasn’t</w:t>
      </w:r>
      <w:r w:rsidR="006D138B">
        <w:rPr>
          <w:rFonts w:ascii="Times New Roman" w:hAnsi="Times New Roman" w:cs="Times New Roman"/>
        </w:rPr>
        <w:t xml:space="preserve"> the spiritual indulgence that interested potential crusaders in this instance. Jerusalem was still under Saladin’s control after the Third Crusade and the idea of penitence that had motivated so many to crusade in 1189 </w:t>
      </w:r>
      <w:r w:rsidR="005A7473">
        <w:rPr>
          <w:rFonts w:ascii="Times New Roman" w:hAnsi="Times New Roman" w:cs="Times New Roman"/>
        </w:rPr>
        <w:t>wasn’t</w:t>
      </w:r>
      <w:r w:rsidR="006D138B">
        <w:rPr>
          <w:rFonts w:ascii="Times New Roman" w:hAnsi="Times New Roman" w:cs="Times New Roman"/>
        </w:rPr>
        <w:t xml:space="preserve"> nearly as influential anymore – the stakes had to be raised and mortal reward had to be offered. The idea of mortal reward was further explored when the Venetians joined the Crusade in 1201 on the promise of a share of all the loot found</w:t>
      </w:r>
      <w:r w:rsidR="006D138B">
        <w:rPr>
          <w:rStyle w:val="FootnoteReference"/>
          <w:rFonts w:ascii="Times New Roman" w:hAnsi="Times New Roman" w:cs="Times New Roman"/>
        </w:rPr>
        <w:footnoteReference w:id="30"/>
      </w:r>
      <w:r w:rsidR="005137CD">
        <w:rPr>
          <w:rFonts w:ascii="Times New Roman" w:hAnsi="Times New Roman" w:cs="Times New Roman"/>
        </w:rPr>
        <w:t xml:space="preserve"> and the idea of spiritual reward had lost much of it’s meaning by the time of the Fourth Crusade.</w:t>
      </w:r>
    </w:p>
    <w:p w14:paraId="7E338469" w14:textId="4EE6A8BB" w:rsidR="005137CD" w:rsidRDefault="005137CD">
      <w:pPr>
        <w:rPr>
          <w:rFonts w:ascii="Times New Roman" w:hAnsi="Times New Roman" w:cs="Times New Roman"/>
          <w:u w:val="single"/>
        </w:rPr>
      </w:pPr>
      <w:r w:rsidRPr="005137CD">
        <w:rPr>
          <w:rFonts w:ascii="Times New Roman" w:hAnsi="Times New Roman" w:cs="Times New Roman"/>
          <w:u w:val="single"/>
        </w:rPr>
        <w:t>To Summarise</w:t>
      </w:r>
    </w:p>
    <w:p w14:paraId="01E3EBBF" w14:textId="36D15A3D" w:rsidR="005137CD" w:rsidRPr="005137CD" w:rsidRDefault="005137CD">
      <w:pPr>
        <w:rPr>
          <w:rFonts w:ascii="Times New Roman" w:hAnsi="Times New Roman" w:cs="Times New Roman"/>
        </w:rPr>
      </w:pPr>
      <w:r>
        <w:rPr>
          <w:rFonts w:ascii="Times New Roman" w:hAnsi="Times New Roman" w:cs="Times New Roman"/>
        </w:rPr>
        <w:t xml:space="preserve">As previously stated, when analysing the importance of spiritual reward as a motivation in the Crusades, a sense of individuality must be considered. In the First Crusade, spiritual indulgence played a big role in motivating a lot of men, it accounted for a large portion of the men that went on Crusade as it was such a revolutionary idea. By the time of the Second Crusade, men were going on crusade because they felt it necessary to their pride and part of societal expectation as young men. The Third Crusade brought back a sense of spiritual duty and reward in motivation for crusading as most Crusaders were going in search of penance. Spiritual reward had lost near to all meaning by the Fourth Crusade and </w:t>
      </w:r>
      <w:r w:rsidR="005A7473">
        <w:rPr>
          <w:rFonts w:ascii="Times New Roman" w:hAnsi="Times New Roman" w:cs="Times New Roman"/>
        </w:rPr>
        <w:t>men were going in search of material gain and personal absolution. It cannot be said that spiritual reward wasn’t of great importance to many crusaders as even if it wasn’t a primary motivation, it still provided subsidiary motivations to nearly all crusaders.</w:t>
      </w:r>
    </w:p>
    <w:sectPr w:rsidR="005137CD" w:rsidRPr="005137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78BAB" w14:textId="77777777" w:rsidR="00A8223B" w:rsidRDefault="00A8223B" w:rsidP="00915918">
      <w:pPr>
        <w:spacing w:after="0" w:line="240" w:lineRule="auto"/>
      </w:pPr>
      <w:r>
        <w:separator/>
      </w:r>
    </w:p>
  </w:endnote>
  <w:endnote w:type="continuationSeparator" w:id="0">
    <w:p w14:paraId="0F730F77" w14:textId="77777777" w:rsidR="00A8223B" w:rsidRDefault="00A8223B" w:rsidP="00915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67212" w14:textId="77777777" w:rsidR="00A8223B" w:rsidRDefault="00A8223B" w:rsidP="00915918">
      <w:pPr>
        <w:spacing w:after="0" w:line="240" w:lineRule="auto"/>
      </w:pPr>
      <w:r>
        <w:separator/>
      </w:r>
    </w:p>
  </w:footnote>
  <w:footnote w:type="continuationSeparator" w:id="0">
    <w:p w14:paraId="6C755690" w14:textId="77777777" w:rsidR="00A8223B" w:rsidRDefault="00A8223B" w:rsidP="00915918">
      <w:pPr>
        <w:spacing w:after="0" w:line="240" w:lineRule="auto"/>
      </w:pPr>
      <w:r>
        <w:continuationSeparator/>
      </w:r>
    </w:p>
  </w:footnote>
  <w:footnote w:id="1">
    <w:p w14:paraId="7AC2588F" w14:textId="6CED1A00" w:rsidR="006B563E" w:rsidRDefault="006B563E">
      <w:pPr>
        <w:pStyle w:val="FootnoteText"/>
      </w:pPr>
      <w:r>
        <w:rPr>
          <w:rStyle w:val="FootnoteReference"/>
        </w:rPr>
        <w:footnoteRef/>
      </w:r>
      <w:r>
        <w:t xml:space="preserve"> </w:t>
      </w:r>
      <w:proofErr w:type="spellStart"/>
      <w:r>
        <w:rPr>
          <w:rFonts w:ascii="Tahoma" w:hAnsi="Tahoma" w:cs="Tahoma"/>
          <w:color w:val="000000"/>
          <w:sz w:val="18"/>
          <w:szCs w:val="18"/>
        </w:rPr>
        <w:t>Bongars</w:t>
      </w:r>
      <w:proofErr w:type="spellEnd"/>
      <w:r>
        <w:rPr>
          <w:rFonts w:ascii="Tahoma" w:hAnsi="Tahoma" w:cs="Tahoma"/>
          <w:color w:val="000000"/>
          <w:sz w:val="18"/>
          <w:szCs w:val="18"/>
        </w:rPr>
        <w:t>, </w:t>
      </w:r>
      <w:proofErr w:type="spellStart"/>
      <w:r>
        <w:rPr>
          <w:rFonts w:ascii="Tahoma" w:hAnsi="Tahoma" w:cs="Tahoma"/>
          <w:i/>
          <w:iCs/>
          <w:color w:val="000000"/>
          <w:sz w:val="18"/>
          <w:szCs w:val="18"/>
        </w:rPr>
        <w:t>Gesta</w:t>
      </w:r>
      <w:proofErr w:type="spellEnd"/>
      <w:r>
        <w:rPr>
          <w:rFonts w:ascii="Tahoma" w:hAnsi="Tahoma" w:cs="Tahoma"/>
          <w:i/>
          <w:iCs/>
          <w:color w:val="000000"/>
          <w:sz w:val="18"/>
          <w:szCs w:val="18"/>
        </w:rPr>
        <w:t xml:space="preserve"> Dei per </w:t>
      </w:r>
      <w:proofErr w:type="spellStart"/>
      <w:r>
        <w:rPr>
          <w:rFonts w:ascii="Tahoma" w:hAnsi="Tahoma" w:cs="Tahoma"/>
          <w:i/>
          <w:iCs/>
          <w:color w:val="000000"/>
          <w:sz w:val="18"/>
          <w:szCs w:val="18"/>
        </w:rPr>
        <w:t>Francos</w:t>
      </w:r>
      <w:proofErr w:type="spellEnd"/>
      <w:r>
        <w:rPr>
          <w:rFonts w:ascii="Tahoma" w:hAnsi="Tahoma" w:cs="Tahoma"/>
          <w:color w:val="000000"/>
          <w:sz w:val="18"/>
          <w:szCs w:val="18"/>
        </w:rPr>
        <w:t>, 1, pp. 382 f., trans in Oliver J. Thatcher, and Edgar Holmes McNeal, eds., </w:t>
      </w:r>
      <w:r>
        <w:rPr>
          <w:rFonts w:ascii="Tahoma" w:hAnsi="Tahoma" w:cs="Tahoma"/>
          <w:i/>
          <w:iCs/>
          <w:color w:val="000000"/>
          <w:sz w:val="18"/>
          <w:szCs w:val="18"/>
        </w:rPr>
        <w:t>A Source Book for Medieval History</w:t>
      </w:r>
      <w:r>
        <w:rPr>
          <w:rFonts w:ascii="Tahoma" w:hAnsi="Tahoma" w:cs="Tahoma"/>
          <w:color w:val="000000"/>
          <w:sz w:val="18"/>
          <w:szCs w:val="18"/>
        </w:rPr>
        <w:t xml:space="preserve">, (New York: </w:t>
      </w:r>
      <w:proofErr w:type="spellStart"/>
      <w:r>
        <w:rPr>
          <w:rFonts w:ascii="Tahoma" w:hAnsi="Tahoma" w:cs="Tahoma"/>
          <w:color w:val="000000"/>
          <w:sz w:val="18"/>
          <w:szCs w:val="18"/>
        </w:rPr>
        <w:t>Scribners</w:t>
      </w:r>
      <w:proofErr w:type="spellEnd"/>
      <w:r>
        <w:rPr>
          <w:rFonts w:ascii="Tahoma" w:hAnsi="Tahoma" w:cs="Tahoma"/>
          <w:color w:val="000000"/>
          <w:sz w:val="18"/>
          <w:szCs w:val="18"/>
        </w:rPr>
        <w:t>, 1905), 513-17</w:t>
      </w:r>
    </w:p>
  </w:footnote>
  <w:footnote w:id="2">
    <w:p w14:paraId="1F924482" w14:textId="77777777" w:rsidR="006B563E" w:rsidRPr="00471073" w:rsidRDefault="006B563E" w:rsidP="00456282">
      <w:pPr>
        <w:pStyle w:val="FootnoteText"/>
      </w:pPr>
      <w:r>
        <w:rPr>
          <w:rStyle w:val="FootnoteReference"/>
        </w:rPr>
        <w:footnoteRef/>
      </w:r>
      <w:r>
        <w:t xml:space="preserve"> </w:t>
      </w:r>
      <w:proofErr w:type="spellStart"/>
      <w:r>
        <w:t>Guibert</w:t>
      </w:r>
      <w:proofErr w:type="spellEnd"/>
      <w:r>
        <w:t xml:space="preserve"> of </w:t>
      </w:r>
      <w:proofErr w:type="spellStart"/>
      <w:r>
        <w:t>Nogent</w:t>
      </w:r>
      <w:proofErr w:type="spellEnd"/>
      <w:r>
        <w:t xml:space="preserve">, </w:t>
      </w:r>
      <w:proofErr w:type="spellStart"/>
      <w:r>
        <w:rPr>
          <w:i/>
          <w:iCs/>
        </w:rPr>
        <w:t>Gesta</w:t>
      </w:r>
      <w:proofErr w:type="spellEnd"/>
      <w:r>
        <w:rPr>
          <w:i/>
          <w:iCs/>
        </w:rPr>
        <w:t xml:space="preserve"> Dei per </w:t>
      </w:r>
      <w:proofErr w:type="spellStart"/>
      <w:r>
        <w:rPr>
          <w:i/>
          <w:iCs/>
        </w:rPr>
        <w:t>Francos</w:t>
      </w:r>
      <w:proofErr w:type="spellEnd"/>
      <w:r>
        <w:t xml:space="preserve">, ed, by E.-R. </w:t>
      </w:r>
      <w:proofErr w:type="spellStart"/>
      <w:r>
        <w:t>Labande</w:t>
      </w:r>
      <w:proofErr w:type="spellEnd"/>
      <w:r>
        <w:t xml:space="preserve"> (Paris, 1981) p. 124, the word of Pope Urban was so believed that it spread without any preaching, meaning everyone believed it as fact</w:t>
      </w:r>
    </w:p>
  </w:footnote>
  <w:footnote w:id="3">
    <w:p w14:paraId="15E0620E" w14:textId="77777777" w:rsidR="006B563E" w:rsidRPr="00915918" w:rsidRDefault="006B563E" w:rsidP="00456282">
      <w:pPr>
        <w:pStyle w:val="FootnoteText"/>
      </w:pPr>
      <w:r>
        <w:rPr>
          <w:rStyle w:val="FootnoteReference"/>
        </w:rPr>
        <w:footnoteRef/>
      </w:r>
      <w:r>
        <w:t xml:space="preserve"> Hans Eberhard Mayer, </w:t>
      </w:r>
      <w:r w:rsidRPr="00915918">
        <w:rPr>
          <w:i/>
          <w:iCs/>
        </w:rPr>
        <w:t>The Crusades</w:t>
      </w:r>
      <w:r>
        <w:t xml:space="preserve">, trans by. John Gillingham (Stuttgart: W. </w:t>
      </w:r>
      <w:proofErr w:type="spellStart"/>
      <w:r>
        <w:t>Kohlhammer</w:t>
      </w:r>
      <w:proofErr w:type="spellEnd"/>
      <w:r>
        <w:t xml:space="preserve"> </w:t>
      </w:r>
      <w:proofErr w:type="spellStart"/>
      <w:r>
        <w:t>GMbH</w:t>
      </w:r>
      <w:proofErr w:type="spellEnd"/>
      <w:r>
        <w:t xml:space="preserve">, 1965; </w:t>
      </w:r>
      <w:proofErr w:type="spellStart"/>
      <w:r>
        <w:t>repr</w:t>
      </w:r>
      <w:proofErr w:type="spellEnd"/>
      <w:r>
        <w:t>. London: Oxford Uni Press, 1972) p. 11 “the name Jerusalem must have had a glittering and magical splendour for the men of the 11</w:t>
      </w:r>
      <w:r w:rsidRPr="00387522">
        <w:rPr>
          <w:vertAlign w:val="superscript"/>
        </w:rPr>
        <w:t>th</w:t>
      </w:r>
      <w:r>
        <w:t xml:space="preserve"> century which we are no longer capable of feeling”</w:t>
      </w:r>
    </w:p>
  </w:footnote>
  <w:footnote w:id="4">
    <w:p w14:paraId="085DD085" w14:textId="77777777" w:rsidR="006B563E" w:rsidRPr="005359C9" w:rsidRDefault="006B563E">
      <w:pPr>
        <w:pStyle w:val="FootnoteText"/>
      </w:pPr>
      <w:r>
        <w:rPr>
          <w:rStyle w:val="FootnoteReference"/>
        </w:rPr>
        <w:footnoteRef/>
      </w:r>
      <w:r>
        <w:t xml:space="preserve"> August C. </w:t>
      </w:r>
      <w:proofErr w:type="spellStart"/>
      <w:r>
        <w:t>Krey</w:t>
      </w:r>
      <w:proofErr w:type="spellEnd"/>
      <w:r>
        <w:t xml:space="preserve">, </w:t>
      </w:r>
      <w:r>
        <w:rPr>
          <w:i/>
          <w:iCs/>
        </w:rPr>
        <w:t xml:space="preserve">The First Crusade, The Accounts of </w:t>
      </w:r>
      <w:proofErr w:type="gramStart"/>
      <w:r>
        <w:rPr>
          <w:i/>
          <w:iCs/>
        </w:rPr>
        <w:t>Eye-Witnesses</w:t>
      </w:r>
      <w:proofErr w:type="gramEnd"/>
      <w:r>
        <w:rPr>
          <w:i/>
          <w:iCs/>
        </w:rPr>
        <w:t xml:space="preserve"> and Participants</w:t>
      </w:r>
      <w:r>
        <w:t xml:space="preserve"> (New Jersey: Princeton University Press, 1921; </w:t>
      </w:r>
      <w:proofErr w:type="spellStart"/>
      <w:r>
        <w:t>repr</w:t>
      </w:r>
      <w:proofErr w:type="spellEnd"/>
      <w:r>
        <w:t xml:space="preserve">. Gloucester, Mass: Peter Smith, 1958) p. 41, extract from Fulcher of </w:t>
      </w:r>
      <w:proofErr w:type="spellStart"/>
      <w:r>
        <w:t>Chartes</w:t>
      </w:r>
      <w:proofErr w:type="spellEnd"/>
      <w:r>
        <w:t>.</w:t>
      </w:r>
    </w:p>
  </w:footnote>
  <w:footnote w:id="5">
    <w:p w14:paraId="3B591E83" w14:textId="47456C6C" w:rsidR="006B563E" w:rsidRPr="004D0DF8" w:rsidRDefault="006B563E">
      <w:pPr>
        <w:pStyle w:val="FootnoteText"/>
      </w:pPr>
      <w:r>
        <w:rPr>
          <w:rStyle w:val="FootnoteReference"/>
        </w:rPr>
        <w:footnoteRef/>
      </w:r>
      <w:r>
        <w:t xml:space="preserve"> Mayer, </w:t>
      </w:r>
      <w:r>
        <w:rPr>
          <w:i/>
          <w:iCs/>
        </w:rPr>
        <w:t xml:space="preserve">The Crusades </w:t>
      </w:r>
      <w:r>
        <w:t>p.12</w:t>
      </w:r>
    </w:p>
  </w:footnote>
  <w:footnote w:id="6">
    <w:p w14:paraId="4FA2D296" w14:textId="5535B212" w:rsidR="006B563E" w:rsidRPr="006B563E" w:rsidRDefault="006B563E">
      <w:pPr>
        <w:pStyle w:val="FootnoteText"/>
      </w:pPr>
      <w:r>
        <w:rPr>
          <w:rStyle w:val="FootnoteReference"/>
        </w:rPr>
        <w:footnoteRef/>
      </w:r>
      <w:r>
        <w:t xml:space="preserve"> </w:t>
      </w:r>
      <w:r w:rsidRPr="006B563E">
        <w:t xml:space="preserve">August C. </w:t>
      </w:r>
      <w:proofErr w:type="spellStart"/>
      <w:r w:rsidRPr="006B563E">
        <w:t>Krey</w:t>
      </w:r>
      <w:proofErr w:type="spellEnd"/>
      <w:r w:rsidRPr="006B563E">
        <w:t xml:space="preserve">, </w:t>
      </w:r>
      <w:r w:rsidRPr="006B563E">
        <w:rPr>
          <w:i/>
          <w:iCs/>
        </w:rPr>
        <w:t>The First Crusade</w:t>
      </w:r>
      <w:r>
        <w:t>, p.41 extract from Ekkehard on West Francian life</w:t>
      </w:r>
    </w:p>
  </w:footnote>
  <w:footnote w:id="7">
    <w:p w14:paraId="12152D4D" w14:textId="2EEA4EE3" w:rsidR="006B563E" w:rsidRPr="001E64DB" w:rsidRDefault="006B563E">
      <w:pPr>
        <w:pStyle w:val="FootnoteText"/>
      </w:pPr>
      <w:r>
        <w:rPr>
          <w:rStyle w:val="FootnoteReference"/>
        </w:rPr>
        <w:footnoteRef/>
      </w:r>
      <w:r>
        <w:t xml:space="preserve"> Mayer, </w:t>
      </w:r>
      <w:r>
        <w:rPr>
          <w:i/>
          <w:iCs/>
        </w:rPr>
        <w:t xml:space="preserve">The Crusades </w:t>
      </w:r>
      <w:r>
        <w:t xml:space="preserve">pp. 11-12, Mayer talks about how Crusaders </w:t>
      </w:r>
      <w:r w:rsidR="005A7473">
        <w:t>would’ve</w:t>
      </w:r>
      <w:r>
        <w:t xml:space="preserve"> seen Jerusalem as a land of sanctity and prosperity as well as the spiritual/physical centre of the world.</w:t>
      </w:r>
    </w:p>
  </w:footnote>
  <w:footnote w:id="8">
    <w:p w14:paraId="0E2313CF" w14:textId="1FFF1AF6" w:rsidR="006B563E" w:rsidRDefault="006B563E">
      <w:pPr>
        <w:pStyle w:val="FootnoteText"/>
      </w:pPr>
      <w:r>
        <w:rPr>
          <w:rStyle w:val="FootnoteReference"/>
        </w:rPr>
        <w:footnoteRef/>
      </w:r>
      <w:r>
        <w:t xml:space="preserve"> </w:t>
      </w:r>
      <w:r w:rsidRPr="00367D1D">
        <w:t>Dana C. Munro, "Urban and the Crusaders", Translations and Reprints from the Original Sources of European History, Vol 1:2, (Philadelphia: University of Pennsylvania, 1895), 5-8</w:t>
      </w:r>
    </w:p>
  </w:footnote>
  <w:footnote w:id="9">
    <w:p w14:paraId="5F6245DE" w14:textId="27259A8A" w:rsidR="006B563E" w:rsidRPr="00797A01" w:rsidRDefault="006B563E">
      <w:pPr>
        <w:pStyle w:val="FootnoteText"/>
      </w:pPr>
      <w:r>
        <w:rPr>
          <w:rStyle w:val="FootnoteReference"/>
        </w:rPr>
        <w:footnoteRef/>
      </w:r>
      <w:r>
        <w:t xml:space="preserve"> Steven Runciman, </w:t>
      </w:r>
      <w:r w:rsidRPr="00797A01">
        <w:rPr>
          <w:i/>
          <w:iCs/>
        </w:rPr>
        <w:t>A History of the Crusades: The First Crusade</w:t>
      </w:r>
      <w:r>
        <w:t xml:space="preserve"> </w:t>
      </w:r>
      <w:r>
        <w:rPr>
          <w:i/>
          <w:iCs/>
        </w:rPr>
        <w:t>and the Foundation of the Kingdom of Jerusalem</w:t>
      </w:r>
      <w:r>
        <w:t xml:space="preserve">¸ vol I (Cambridge: University Press, 1951; </w:t>
      </w:r>
      <w:proofErr w:type="spellStart"/>
      <w:r>
        <w:t>repr</w:t>
      </w:r>
      <w:proofErr w:type="spellEnd"/>
      <w:r>
        <w:t>. Cambridge: University Press, 1957) p. 121</w:t>
      </w:r>
    </w:p>
  </w:footnote>
  <w:footnote w:id="10">
    <w:p w14:paraId="4E485ABE" w14:textId="28ABCB46" w:rsidR="006B563E" w:rsidRPr="00797A01" w:rsidRDefault="006B563E">
      <w:pPr>
        <w:pStyle w:val="FootnoteText"/>
      </w:pPr>
      <w:r>
        <w:rPr>
          <w:rStyle w:val="FootnoteReference"/>
        </w:rPr>
        <w:footnoteRef/>
      </w:r>
      <w:r>
        <w:t xml:space="preserve"> </w:t>
      </w:r>
      <w:bookmarkStart w:id="1" w:name="_Hlk30761767"/>
      <w:r>
        <w:t xml:space="preserve">Runciman, </w:t>
      </w:r>
      <w:r>
        <w:rPr>
          <w:i/>
          <w:iCs/>
        </w:rPr>
        <w:t>A History of the Crusades</w:t>
      </w:r>
      <w:r>
        <w:t>, p.121</w:t>
      </w:r>
      <w:bookmarkEnd w:id="1"/>
    </w:p>
  </w:footnote>
  <w:footnote w:id="11">
    <w:p w14:paraId="29E318CB" w14:textId="536C786C" w:rsidR="006B563E" w:rsidRDefault="006B563E">
      <w:pPr>
        <w:pStyle w:val="FootnoteText"/>
      </w:pPr>
      <w:r>
        <w:rPr>
          <w:rStyle w:val="FootnoteReference"/>
        </w:rPr>
        <w:footnoteRef/>
      </w:r>
      <w:r>
        <w:t xml:space="preserve"> </w:t>
      </w:r>
      <w:r w:rsidRPr="00797A01">
        <w:t xml:space="preserve">Runciman, </w:t>
      </w:r>
      <w:r w:rsidRPr="00797A01">
        <w:rPr>
          <w:i/>
          <w:iCs/>
        </w:rPr>
        <w:t>A History of the Crusades</w:t>
      </w:r>
      <w:r w:rsidRPr="00797A01">
        <w:t>, p.121</w:t>
      </w:r>
    </w:p>
  </w:footnote>
  <w:footnote w:id="12">
    <w:p w14:paraId="3B4AF9F2" w14:textId="4BBDA767" w:rsidR="008F7046" w:rsidRDefault="008F7046">
      <w:pPr>
        <w:pStyle w:val="FootnoteText"/>
      </w:pPr>
      <w:r>
        <w:rPr>
          <w:rStyle w:val="FootnoteReference"/>
        </w:rPr>
        <w:footnoteRef/>
      </w:r>
      <w:r>
        <w:t xml:space="preserve"> </w:t>
      </w:r>
      <w:r w:rsidRPr="00797A01">
        <w:t xml:space="preserve">Runciman, </w:t>
      </w:r>
      <w:r w:rsidRPr="00797A01">
        <w:rPr>
          <w:i/>
          <w:iCs/>
        </w:rPr>
        <w:t>A History of the Crusades</w:t>
      </w:r>
      <w:r w:rsidRPr="00797A01">
        <w:t>, p.1</w:t>
      </w:r>
      <w:r w:rsidR="00C07BC9">
        <w:t>14</w:t>
      </w:r>
    </w:p>
  </w:footnote>
  <w:footnote w:id="13">
    <w:p w14:paraId="7D4F8D54" w14:textId="5B9A3169" w:rsidR="008F7046" w:rsidRDefault="008F7046">
      <w:pPr>
        <w:pStyle w:val="FootnoteText"/>
      </w:pPr>
      <w:r>
        <w:rPr>
          <w:rStyle w:val="FootnoteReference"/>
        </w:rPr>
        <w:footnoteRef/>
      </w:r>
      <w:r>
        <w:t xml:space="preserve"> </w:t>
      </w:r>
      <w:r w:rsidRPr="006B563E">
        <w:t xml:space="preserve">August C. </w:t>
      </w:r>
      <w:proofErr w:type="spellStart"/>
      <w:r w:rsidRPr="006B563E">
        <w:t>Krey</w:t>
      </w:r>
      <w:proofErr w:type="spellEnd"/>
      <w:r w:rsidRPr="006B563E">
        <w:t xml:space="preserve">, </w:t>
      </w:r>
      <w:r w:rsidRPr="006B563E">
        <w:rPr>
          <w:i/>
          <w:iCs/>
        </w:rPr>
        <w:t>The First Crusade</w:t>
      </w:r>
      <w:r>
        <w:t>, p.41</w:t>
      </w:r>
    </w:p>
  </w:footnote>
  <w:footnote w:id="14">
    <w:p w14:paraId="24ECDE34" w14:textId="42A29D96" w:rsidR="00B96F1F" w:rsidRPr="00B96F1F" w:rsidRDefault="00B96F1F">
      <w:pPr>
        <w:pStyle w:val="FootnoteText"/>
      </w:pPr>
      <w:r>
        <w:rPr>
          <w:rStyle w:val="FootnoteReference"/>
        </w:rPr>
        <w:footnoteRef/>
      </w:r>
      <w:r>
        <w:t xml:space="preserve"> </w:t>
      </w:r>
      <w:bookmarkStart w:id="3" w:name="_Hlk30875481"/>
      <w:r>
        <w:rPr>
          <w:i/>
          <w:iCs/>
        </w:rPr>
        <w:t>The Second Crusade and the Cistercians</w:t>
      </w:r>
      <w:r>
        <w:t xml:space="preserve">, ed. by Michael </w:t>
      </w:r>
      <w:proofErr w:type="spellStart"/>
      <w:r>
        <w:t>Gervers</w:t>
      </w:r>
      <w:proofErr w:type="spellEnd"/>
      <w:r>
        <w:t xml:space="preserve"> (New York: St. </w:t>
      </w:r>
      <w:proofErr w:type="spellStart"/>
      <w:r>
        <w:t>Martins</w:t>
      </w:r>
      <w:proofErr w:type="spellEnd"/>
      <w:r>
        <w:t xml:space="preserve"> Press, 1992) p. 94</w:t>
      </w:r>
      <w:bookmarkEnd w:id="3"/>
    </w:p>
  </w:footnote>
  <w:footnote w:id="15">
    <w:p w14:paraId="16CCA388" w14:textId="0D5BBA7D" w:rsidR="000709B3" w:rsidRPr="000709B3" w:rsidRDefault="000709B3">
      <w:pPr>
        <w:pStyle w:val="FootnoteText"/>
      </w:pPr>
      <w:r>
        <w:rPr>
          <w:rStyle w:val="FootnoteReference"/>
        </w:rPr>
        <w:footnoteRef/>
      </w:r>
      <w:r>
        <w:t xml:space="preserve"> </w:t>
      </w:r>
      <w:r w:rsidR="00E40363" w:rsidRPr="00E40363">
        <w:t xml:space="preserve">Michael </w:t>
      </w:r>
      <w:proofErr w:type="spellStart"/>
      <w:r w:rsidR="00E40363" w:rsidRPr="00E40363">
        <w:t>Gervers</w:t>
      </w:r>
      <w:proofErr w:type="spellEnd"/>
      <w:r w:rsidR="00E40363">
        <w:t>,</w:t>
      </w:r>
      <w:r w:rsidR="00E40363" w:rsidRPr="00E40363">
        <w:t xml:space="preserve"> </w:t>
      </w:r>
      <w:r w:rsidRPr="000709B3">
        <w:rPr>
          <w:i/>
          <w:iCs/>
        </w:rPr>
        <w:t>The Second Crusade and the Cistercians</w:t>
      </w:r>
      <w:r w:rsidRPr="000709B3">
        <w:t>, p. 94</w:t>
      </w:r>
      <w:r>
        <w:t xml:space="preserve">: </w:t>
      </w:r>
      <w:proofErr w:type="spellStart"/>
      <w:r>
        <w:t>Odo</w:t>
      </w:r>
      <w:proofErr w:type="spellEnd"/>
      <w:r>
        <w:t xml:space="preserve"> of </w:t>
      </w:r>
      <w:proofErr w:type="spellStart"/>
      <w:r>
        <w:t>Deuil</w:t>
      </w:r>
      <w:proofErr w:type="spellEnd"/>
      <w:r>
        <w:t xml:space="preserve">, </w:t>
      </w:r>
      <w:r>
        <w:rPr>
          <w:i/>
          <w:iCs/>
        </w:rPr>
        <w:t xml:space="preserve">De </w:t>
      </w:r>
      <w:proofErr w:type="spellStart"/>
      <w:r>
        <w:rPr>
          <w:i/>
          <w:iCs/>
        </w:rPr>
        <w:t>profectione</w:t>
      </w:r>
      <w:proofErr w:type="spellEnd"/>
      <w:r>
        <w:rPr>
          <w:i/>
          <w:iCs/>
        </w:rPr>
        <w:t xml:space="preserve">, </w:t>
      </w:r>
      <w:r>
        <w:t>p.8)</w:t>
      </w:r>
    </w:p>
  </w:footnote>
  <w:footnote w:id="16">
    <w:p w14:paraId="19020A83" w14:textId="12247E6D" w:rsidR="00AA610E" w:rsidRPr="00AA610E" w:rsidRDefault="00AA610E">
      <w:pPr>
        <w:pStyle w:val="FootnoteText"/>
      </w:pPr>
      <w:r>
        <w:rPr>
          <w:rStyle w:val="FootnoteReference"/>
        </w:rPr>
        <w:footnoteRef/>
      </w:r>
      <w:r>
        <w:t xml:space="preserve"> </w:t>
      </w:r>
      <w:r w:rsidRPr="00AA610E">
        <w:t>Jonathan Riley-Smith</w:t>
      </w:r>
      <w:r>
        <w:t xml:space="preserve">, </w:t>
      </w:r>
      <w:r>
        <w:rPr>
          <w:i/>
          <w:iCs/>
        </w:rPr>
        <w:t>The Crusades, A Short History</w:t>
      </w:r>
      <w:r>
        <w:t xml:space="preserve"> (London: The Athlone Press Ltd, 1990; </w:t>
      </w:r>
      <w:proofErr w:type="spellStart"/>
      <w:r>
        <w:t>repr</w:t>
      </w:r>
      <w:proofErr w:type="spellEnd"/>
      <w:r>
        <w:t>. London: The Athlone Press Ltd, 1992) p. 89</w:t>
      </w:r>
    </w:p>
  </w:footnote>
  <w:footnote w:id="17">
    <w:p w14:paraId="349E5829" w14:textId="0B10BD36" w:rsidR="00E40363" w:rsidRDefault="00E40363">
      <w:pPr>
        <w:pStyle w:val="FootnoteText"/>
      </w:pPr>
      <w:r>
        <w:rPr>
          <w:rStyle w:val="FootnoteReference"/>
        </w:rPr>
        <w:footnoteRef/>
      </w:r>
      <w:r>
        <w:t xml:space="preserve"> </w:t>
      </w:r>
      <w:r w:rsidRPr="00E40363">
        <w:t xml:space="preserve">Michael </w:t>
      </w:r>
      <w:proofErr w:type="spellStart"/>
      <w:r w:rsidRPr="00E40363">
        <w:t>Gervers</w:t>
      </w:r>
      <w:proofErr w:type="spellEnd"/>
      <w:r w:rsidRPr="00E40363">
        <w:t xml:space="preserve">, </w:t>
      </w:r>
      <w:r w:rsidRPr="00E40363">
        <w:rPr>
          <w:i/>
          <w:iCs/>
        </w:rPr>
        <w:t>The Second Crusade and the Cistercians</w:t>
      </w:r>
      <w:r w:rsidRPr="00E40363">
        <w:t>, p.</w:t>
      </w:r>
      <w:r>
        <w:t xml:space="preserve"> 101</w:t>
      </w:r>
    </w:p>
  </w:footnote>
  <w:footnote w:id="18">
    <w:p w14:paraId="200EAA09" w14:textId="24067AA8" w:rsidR="00E31523" w:rsidRDefault="00E31523">
      <w:pPr>
        <w:pStyle w:val="FootnoteText"/>
      </w:pPr>
      <w:r>
        <w:rPr>
          <w:rStyle w:val="FootnoteReference"/>
        </w:rPr>
        <w:footnoteRef/>
      </w:r>
      <w:r>
        <w:t xml:space="preserve"> </w:t>
      </w:r>
      <w:proofErr w:type="spellStart"/>
      <w:r w:rsidRPr="00E31523">
        <w:t>Doeberl</w:t>
      </w:r>
      <w:proofErr w:type="spellEnd"/>
      <w:r w:rsidRPr="00E31523">
        <w:t>, </w:t>
      </w:r>
      <w:proofErr w:type="spellStart"/>
      <w:r w:rsidRPr="00E31523">
        <w:rPr>
          <w:i/>
          <w:iCs/>
        </w:rPr>
        <w:t>Monumenta</w:t>
      </w:r>
      <w:proofErr w:type="spellEnd"/>
      <w:r w:rsidRPr="00E31523">
        <w:rPr>
          <w:i/>
          <w:iCs/>
        </w:rPr>
        <w:t xml:space="preserve"> Germania Selecta</w:t>
      </w:r>
      <w:r w:rsidRPr="00E31523">
        <w:t>, Vol 4, p. 40, trans in Ernest F. Henderson, </w:t>
      </w:r>
      <w:r w:rsidRPr="00E31523">
        <w:rPr>
          <w:i/>
          <w:iCs/>
        </w:rPr>
        <w:t>Select Historical Documents of the Middle Ages</w:t>
      </w:r>
      <w:r w:rsidRPr="00E31523">
        <w:t>, (London: George Bell and Sons, 1910), pp. 333-336</w:t>
      </w:r>
      <w:r w:rsidR="008D274E">
        <w:t xml:space="preserve"> taken from </w:t>
      </w:r>
      <w:hyperlink r:id="rId1" w:history="1">
        <w:r w:rsidR="00312BCB" w:rsidRPr="00116DB4">
          <w:rPr>
            <w:rStyle w:val="Hyperlink"/>
          </w:rPr>
          <w:t>https://sourcebooks.fordham.edu/source/eugene3-2cde.asp</w:t>
        </w:r>
      </w:hyperlink>
    </w:p>
  </w:footnote>
  <w:footnote w:id="19">
    <w:p w14:paraId="72C35E80" w14:textId="179A52DE" w:rsidR="00E40363" w:rsidRDefault="00E40363">
      <w:pPr>
        <w:pStyle w:val="FootnoteText"/>
      </w:pPr>
      <w:r>
        <w:rPr>
          <w:rStyle w:val="FootnoteReference"/>
        </w:rPr>
        <w:footnoteRef/>
      </w:r>
      <w:r>
        <w:t xml:space="preserve"> </w:t>
      </w:r>
      <w:r w:rsidRPr="00E40363">
        <w:t xml:space="preserve">Mayer, </w:t>
      </w:r>
      <w:r w:rsidRPr="00E40363">
        <w:rPr>
          <w:i/>
          <w:iCs/>
        </w:rPr>
        <w:t xml:space="preserve">The Crusades </w:t>
      </w:r>
      <w:r w:rsidRPr="00E40363">
        <w:t>pp. 1</w:t>
      </w:r>
      <w:r>
        <w:t>2 “The stream of pilgrims never dried up”</w:t>
      </w:r>
    </w:p>
  </w:footnote>
  <w:footnote w:id="20">
    <w:p w14:paraId="334AB2A5" w14:textId="3B91FF7F" w:rsidR="00312BCB" w:rsidRPr="00312BCB" w:rsidRDefault="00312BCB">
      <w:pPr>
        <w:pStyle w:val="FootnoteText"/>
      </w:pPr>
      <w:bookmarkStart w:id="4" w:name="_Hlk30936805"/>
      <w:r>
        <w:rPr>
          <w:rStyle w:val="FootnoteReference"/>
        </w:rPr>
        <w:footnoteRef/>
      </w:r>
      <w:r>
        <w:t xml:space="preserve"> Riley-Smith, </w:t>
      </w:r>
      <w:r>
        <w:rPr>
          <w:i/>
          <w:iCs/>
        </w:rPr>
        <w:t>The Crusades, A Short History</w:t>
      </w:r>
      <w:r>
        <w:t>, p</w:t>
      </w:r>
      <w:bookmarkEnd w:id="4"/>
      <w:r>
        <w:t>.88</w:t>
      </w:r>
    </w:p>
  </w:footnote>
  <w:footnote w:id="21">
    <w:p w14:paraId="6CB0898B" w14:textId="577C4566" w:rsidR="00682CAA" w:rsidRPr="00682CAA" w:rsidRDefault="00682CAA">
      <w:pPr>
        <w:pStyle w:val="FootnoteText"/>
      </w:pPr>
      <w:r>
        <w:rPr>
          <w:rStyle w:val="FootnoteReference"/>
        </w:rPr>
        <w:footnoteRef/>
      </w:r>
      <w:r>
        <w:t xml:space="preserve"> </w:t>
      </w:r>
      <w:proofErr w:type="spellStart"/>
      <w:r>
        <w:rPr>
          <w:i/>
          <w:iCs/>
        </w:rPr>
        <w:t>Neues</w:t>
      </w:r>
      <w:proofErr w:type="spellEnd"/>
      <w:r>
        <w:rPr>
          <w:i/>
          <w:iCs/>
        </w:rPr>
        <w:t xml:space="preserve"> </w:t>
      </w:r>
      <w:proofErr w:type="spellStart"/>
      <w:r>
        <w:rPr>
          <w:i/>
          <w:iCs/>
        </w:rPr>
        <w:t>Archiv</w:t>
      </w:r>
      <w:proofErr w:type="spellEnd"/>
      <w:r>
        <w:rPr>
          <w:i/>
          <w:iCs/>
        </w:rPr>
        <w:t xml:space="preserve"> 7</w:t>
      </w:r>
      <w:r>
        <w:t xml:space="preserve">, ed. by W. </w:t>
      </w:r>
      <w:proofErr w:type="spellStart"/>
      <w:r>
        <w:t>Wattenbach</w:t>
      </w:r>
      <w:proofErr w:type="spellEnd"/>
      <w:r>
        <w:t xml:space="preserve"> (1882) pp. 625</w:t>
      </w:r>
    </w:p>
  </w:footnote>
  <w:footnote w:id="22">
    <w:p w14:paraId="1CCB5DFC" w14:textId="5BA8D951" w:rsidR="00A02FB8" w:rsidRDefault="00A02FB8">
      <w:pPr>
        <w:pStyle w:val="FootnoteText"/>
      </w:pPr>
      <w:r>
        <w:rPr>
          <w:rStyle w:val="FootnoteReference"/>
        </w:rPr>
        <w:footnoteRef/>
      </w:r>
      <w:r>
        <w:t xml:space="preserve"> </w:t>
      </w:r>
      <w:bookmarkStart w:id="5" w:name="_Hlk30935042"/>
      <w:r>
        <w:t xml:space="preserve">Mayer, </w:t>
      </w:r>
      <w:r>
        <w:rPr>
          <w:i/>
          <w:iCs/>
        </w:rPr>
        <w:t xml:space="preserve">The Crusades </w:t>
      </w:r>
      <w:r>
        <w:t>p.1</w:t>
      </w:r>
      <w:r>
        <w:t>34</w:t>
      </w:r>
      <w:bookmarkEnd w:id="5"/>
      <w:r>
        <w:t>: “After the second crusade Europe had had enough of crusaders for a while.”</w:t>
      </w:r>
    </w:p>
  </w:footnote>
  <w:footnote w:id="23">
    <w:p w14:paraId="30E5E07B" w14:textId="3328796F" w:rsidR="00A02FB8" w:rsidRDefault="00A02FB8">
      <w:pPr>
        <w:pStyle w:val="FootnoteText"/>
      </w:pPr>
      <w:r>
        <w:rPr>
          <w:rStyle w:val="FootnoteReference"/>
        </w:rPr>
        <w:footnoteRef/>
      </w:r>
      <w:r>
        <w:t xml:space="preserve"> </w:t>
      </w:r>
      <w:bookmarkStart w:id="6" w:name="_Hlk30937614"/>
      <w:r w:rsidRPr="00A02FB8">
        <w:t xml:space="preserve">Mayer, </w:t>
      </w:r>
      <w:r w:rsidRPr="00A02FB8">
        <w:rPr>
          <w:i/>
          <w:iCs/>
        </w:rPr>
        <w:t xml:space="preserve">The Crusades </w:t>
      </w:r>
      <w:r w:rsidRPr="00A02FB8">
        <w:t>p.134</w:t>
      </w:r>
      <w:bookmarkEnd w:id="6"/>
    </w:p>
  </w:footnote>
  <w:footnote w:id="24">
    <w:p w14:paraId="42B26A59" w14:textId="6F187151" w:rsidR="00DA06E2" w:rsidRPr="00DF750D" w:rsidRDefault="00DA06E2">
      <w:pPr>
        <w:pStyle w:val="FootnoteText"/>
        <w:rPr>
          <w:iCs/>
        </w:rPr>
      </w:pPr>
      <w:r>
        <w:rPr>
          <w:rStyle w:val="FootnoteReference"/>
        </w:rPr>
        <w:footnoteRef/>
      </w:r>
      <w:r>
        <w:t xml:space="preserve"> </w:t>
      </w:r>
      <w:r w:rsidRPr="00DA06E2">
        <w:rPr>
          <w:i/>
        </w:rPr>
        <w:t>H</w:t>
      </w:r>
      <w:r w:rsidRPr="00DA06E2">
        <w:rPr>
          <w:i/>
        </w:rPr>
        <w:t xml:space="preserve">istoria de </w:t>
      </w:r>
      <w:proofErr w:type="spellStart"/>
      <w:r w:rsidRPr="00DA06E2">
        <w:rPr>
          <w:i/>
        </w:rPr>
        <w:t>E</w:t>
      </w:r>
      <w:r w:rsidRPr="00DA06E2">
        <w:rPr>
          <w:i/>
        </w:rPr>
        <w:t>xpeditione</w:t>
      </w:r>
      <w:proofErr w:type="spellEnd"/>
      <w:r w:rsidRPr="00DA06E2">
        <w:rPr>
          <w:i/>
        </w:rPr>
        <w:t xml:space="preserve"> </w:t>
      </w:r>
      <w:proofErr w:type="spellStart"/>
      <w:r w:rsidRPr="00DA06E2">
        <w:rPr>
          <w:i/>
        </w:rPr>
        <w:t>F</w:t>
      </w:r>
      <w:r w:rsidRPr="00DA06E2">
        <w:rPr>
          <w:i/>
        </w:rPr>
        <w:t>riderici</w:t>
      </w:r>
      <w:proofErr w:type="spellEnd"/>
      <w:r w:rsidRPr="00DA06E2">
        <w:rPr>
          <w:i/>
        </w:rPr>
        <w:t xml:space="preserve"> </w:t>
      </w:r>
      <w:proofErr w:type="spellStart"/>
      <w:r w:rsidRPr="00DA06E2">
        <w:rPr>
          <w:i/>
        </w:rPr>
        <w:t>I</w:t>
      </w:r>
      <w:r w:rsidRPr="00DA06E2">
        <w:rPr>
          <w:i/>
        </w:rPr>
        <w:t>mperatoris</w:t>
      </w:r>
      <w:proofErr w:type="spellEnd"/>
      <w:r w:rsidR="00DF750D">
        <w:rPr>
          <w:iCs/>
        </w:rPr>
        <w:t xml:space="preserve">, ed. A. </w:t>
      </w:r>
      <w:proofErr w:type="spellStart"/>
      <w:r w:rsidR="00DF750D">
        <w:rPr>
          <w:iCs/>
        </w:rPr>
        <w:t>Chroust</w:t>
      </w:r>
      <w:proofErr w:type="spellEnd"/>
      <w:r w:rsidR="00DF750D">
        <w:rPr>
          <w:iCs/>
        </w:rPr>
        <w:t xml:space="preserve">, </w:t>
      </w:r>
      <w:r w:rsidR="00DF750D" w:rsidRPr="00DF750D">
        <w:rPr>
          <w:i/>
        </w:rPr>
        <w:t xml:space="preserve">MGHS </w:t>
      </w:r>
      <w:proofErr w:type="spellStart"/>
      <w:r w:rsidR="00DF750D" w:rsidRPr="00DF750D">
        <w:rPr>
          <w:i/>
        </w:rPr>
        <w:t>rer</w:t>
      </w:r>
      <w:proofErr w:type="spellEnd"/>
      <w:r w:rsidR="00DF750D" w:rsidRPr="00DF750D">
        <w:rPr>
          <w:i/>
        </w:rPr>
        <w:t>. Germ</w:t>
      </w:r>
      <w:r w:rsidR="00DF750D">
        <w:rPr>
          <w:iCs/>
        </w:rPr>
        <w:t>. NS, vol. 5 (1928) pp. 6-10</w:t>
      </w:r>
    </w:p>
  </w:footnote>
  <w:footnote w:id="25">
    <w:p w14:paraId="5B104446" w14:textId="68587E04" w:rsidR="00DF750D" w:rsidRDefault="00DF750D">
      <w:pPr>
        <w:pStyle w:val="FootnoteText"/>
      </w:pPr>
      <w:r>
        <w:rPr>
          <w:rStyle w:val="FootnoteReference"/>
        </w:rPr>
        <w:footnoteRef/>
      </w:r>
      <w:r w:rsidRPr="00DF750D">
        <w:t xml:space="preserve"> Riley-Smith, </w:t>
      </w:r>
      <w:r w:rsidRPr="00DF750D">
        <w:rPr>
          <w:i/>
          <w:iCs/>
        </w:rPr>
        <w:t>The Crusades, A Short History</w:t>
      </w:r>
      <w:r w:rsidRPr="00DF750D">
        <w:t>, p</w:t>
      </w:r>
      <w:r>
        <w:t>. 109</w:t>
      </w:r>
    </w:p>
  </w:footnote>
  <w:footnote w:id="26">
    <w:p w14:paraId="020FAE81" w14:textId="3B23A502" w:rsidR="00B96BE4" w:rsidRPr="00B96BE4" w:rsidRDefault="00B96BE4">
      <w:pPr>
        <w:pStyle w:val="FootnoteText"/>
      </w:pPr>
      <w:r>
        <w:rPr>
          <w:rStyle w:val="FootnoteReference"/>
        </w:rPr>
        <w:footnoteRef/>
      </w:r>
      <w:r>
        <w:t xml:space="preserve"> Helen Nicholson, </w:t>
      </w:r>
      <w:r>
        <w:rPr>
          <w:i/>
          <w:iCs/>
        </w:rPr>
        <w:t>A Chronicle of the Third Crusade</w:t>
      </w:r>
      <w:r>
        <w:t xml:space="preserve"> (Farnham: Ashgate Publishing Ltd, 1988) p. 23</w:t>
      </w:r>
    </w:p>
  </w:footnote>
  <w:footnote w:id="27">
    <w:p w14:paraId="16C01D58" w14:textId="1431CDEA" w:rsidR="000A39C1" w:rsidRDefault="000A39C1">
      <w:pPr>
        <w:pStyle w:val="FootnoteText"/>
      </w:pPr>
      <w:r>
        <w:rPr>
          <w:rStyle w:val="FootnoteReference"/>
        </w:rPr>
        <w:footnoteRef/>
      </w:r>
      <w:r>
        <w:t xml:space="preserve"> </w:t>
      </w:r>
      <w:r w:rsidRPr="000A39C1">
        <w:t xml:space="preserve">Mayer, </w:t>
      </w:r>
      <w:r w:rsidRPr="000A39C1">
        <w:rPr>
          <w:i/>
          <w:iCs/>
        </w:rPr>
        <w:t xml:space="preserve">The Crusades </w:t>
      </w:r>
      <w:r w:rsidRPr="000A39C1">
        <w:t>p.134</w:t>
      </w:r>
      <w:r>
        <w:t xml:space="preserve"> “they saw it as the crowning moment of their life”</w:t>
      </w:r>
    </w:p>
  </w:footnote>
  <w:footnote w:id="28">
    <w:p w14:paraId="7FC4B77D" w14:textId="632470D6" w:rsidR="00524206" w:rsidRDefault="00524206">
      <w:pPr>
        <w:pStyle w:val="FootnoteText"/>
      </w:pPr>
      <w:r>
        <w:rPr>
          <w:rStyle w:val="FootnoteReference"/>
        </w:rPr>
        <w:footnoteRef/>
      </w:r>
      <w:r>
        <w:t xml:space="preserve"> </w:t>
      </w:r>
      <w:r w:rsidRPr="00524206">
        <w:t xml:space="preserve">Riley-Smith, </w:t>
      </w:r>
      <w:r w:rsidRPr="00524206">
        <w:rPr>
          <w:i/>
          <w:iCs/>
        </w:rPr>
        <w:t>The Crusades, A Short History</w:t>
      </w:r>
      <w:r w:rsidRPr="00524206">
        <w:t>, p. 1</w:t>
      </w:r>
      <w:r>
        <w:t>21</w:t>
      </w:r>
    </w:p>
  </w:footnote>
  <w:footnote w:id="29">
    <w:p w14:paraId="427F0A61" w14:textId="61EAEA4C" w:rsidR="006D138B" w:rsidRPr="006D138B" w:rsidRDefault="006D138B">
      <w:pPr>
        <w:pStyle w:val="FootnoteText"/>
      </w:pPr>
      <w:r>
        <w:rPr>
          <w:rStyle w:val="FootnoteReference"/>
        </w:rPr>
        <w:footnoteRef/>
      </w:r>
      <w:r>
        <w:t xml:space="preserve"> </w:t>
      </w:r>
      <w:r w:rsidRPr="006D138B">
        <w:t xml:space="preserve">Geoffrey of </w:t>
      </w:r>
      <w:proofErr w:type="spellStart"/>
      <w:r w:rsidRPr="006D138B">
        <w:t>Villehardouin</w:t>
      </w:r>
      <w:proofErr w:type="spellEnd"/>
      <w:r>
        <w:t xml:space="preserve">, </w:t>
      </w:r>
      <w:r>
        <w:rPr>
          <w:i/>
          <w:iCs/>
        </w:rPr>
        <w:t>L</w:t>
      </w:r>
      <w:r w:rsidRPr="006D138B">
        <w:rPr>
          <w:i/>
          <w:iCs/>
        </w:rPr>
        <w:t xml:space="preserve">a </w:t>
      </w:r>
      <w:proofErr w:type="spellStart"/>
      <w:r>
        <w:rPr>
          <w:i/>
          <w:iCs/>
        </w:rPr>
        <w:t>C</w:t>
      </w:r>
      <w:r w:rsidRPr="006D138B">
        <w:rPr>
          <w:i/>
          <w:iCs/>
        </w:rPr>
        <w:t>onquête</w:t>
      </w:r>
      <w:proofErr w:type="spellEnd"/>
      <w:r w:rsidRPr="006D138B">
        <w:rPr>
          <w:i/>
          <w:iCs/>
        </w:rPr>
        <w:t xml:space="preserve"> de </w:t>
      </w:r>
      <w:r>
        <w:rPr>
          <w:i/>
          <w:iCs/>
        </w:rPr>
        <w:t>C</w:t>
      </w:r>
      <w:r w:rsidRPr="006D138B">
        <w:rPr>
          <w:i/>
          <w:iCs/>
        </w:rPr>
        <w:t>onstantinople</w:t>
      </w:r>
      <w:r>
        <w:t xml:space="preserve">, ed. E. </w:t>
      </w:r>
      <w:proofErr w:type="spellStart"/>
      <w:r>
        <w:t>Faral</w:t>
      </w:r>
      <w:proofErr w:type="spellEnd"/>
      <w:r>
        <w:t>, vol. 1 (1961) p. 4</w:t>
      </w:r>
    </w:p>
  </w:footnote>
  <w:footnote w:id="30">
    <w:p w14:paraId="3FC7C35B" w14:textId="748AEB67" w:rsidR="006D138B" w:rsidRDefault="006D138B">
      <w:pPr>
        <w:pStyle w:val="FootnoteText"/>
      </w:pPr>
      <w:r>
        <w:rPr>
          <w:rStyle w:val="FootnoteReference"/>
        </w:rPr>
        <w:footnoteRef/>
      </w:r>
      <w:r>
        <w:t xml:space="preserve"> </w:t>
      </w:r>
      <w:r w:rsidRPr="006D138B">
        <w:t xml:space="preserve">Riley-Smith, </w:t>
      </w:r>
      <w:r w:rsidRPr="006D138B">
        <w:rPr>
          <w:i/>
          <w:iCs/>
        </w:rPr>
        <w:t>The Crusades, A Short History</w:t>
      </w:r>
      <w:r w:rsidRPr="006D138B">
        <w:t>, p. 12</w:t>
      </w:r>
      <w:r>
        <w:t>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CC0"/>
    <w:rsid w:val="000672EA"/>
    <w:rsid w:val="000709B3"/>
    <w:rsid w:val="000743C4"/>
    <w:rsid w:val="000A39C1"/>
    <w:rsid w:val="00107AEF"/>
    <w:rsid w:val="001335FB"/>
    <w:rsid w:val="001B3083"/>
    <w:rsid w:val="001E64DB"/>
    <w:rsid w:val="00254AD3"/>
    <w:rsid w:val="002B3522"/>
    <w:rsid w:val="002E5F7C"/>
    <w:rsid w:val="00312BCB"/>
    <w:rsid w:val="00367D1D"/>
    <w:rsid w:val="00387522"/>
    <w:rsid w:val="00411FB5"/>
    <w:rsid w:val="004261B2"/>
    <w:rsid w:val="00456282"/>
    <w:rsid w:val="00461122"/>
    <w:rsid w:val="00465075"/>
    <w:rsid w:val="00471073"/>
    <w:rsid w:val="004A7A2B"/>
    <w:rsid w:val="004D0DF8"/>
    <w:rsid w:val="004D4960"/>
    <w:rsid w:val="0050319F"/>
    <w:rsid w:val="005137CD"/>
    <w:rsid w:val="00524206"/>
    <w:rsid w:val="005359C9"/>
    <w:rsid w:val="00551C90"/>
    <w:rsid w:val="005A7473"/>
    <w:rsid w:val="005D4933"/>
    <w:rsid w:val="005E0BB1"/>
    <w:rsid w:val="005F1FA8"/>
    <w:rsid w:val="00682CAA"/>
    <w:rsid w:val="00693641"/>
    <w:rsid w:val="00697BFF"/>
    <w:rsid w:val="006B563E"/>
    <w:rsid w:val="006D138B"/>
    <w:rsid w:val="0070206D"/>
    <w:rsid w:val="00712441"/>
    <w:rsid w:val="00714834"/>
    <w:rsid w:val="00716B39"/>
    <w:rsid w:val="0074362F"/>
    <w:rsid w:val="007901A9"/>
    <w:rsid w:val="00797A01"/>
    <w:rsid w:val="007A78EA"/>
    <w:rsid w:val="007E4A15"/>
    <w:rsid w:val="00840FB2"/>
    <w:rsid w:val="0087144E"/>
    <w:rsid w:val="008A2A89"/>
    <w:rsid w:val="008D274E"/>
    <w:rsid w:val="008F7046"/>
    <w:rsid w:val="00915918"/>
    <w:rsid w:val="00923CC0"/>
    <w:rsid w:val="009B6008"/>
    <w:rsid w:val="009F39C8"/>
    <w:rsid w:val="00A02FB8"/>
    <w:rsid w:val="00A55AE0"/>
    <w:rsid w:val="00A55FC4"/>
    <w:rsid w:val="00A8223B"/>
    <w:rsid w:val="00AA610E"/>
    <w:rsid w:val="00AB06F7"/>
    <w:rsid w:val="00AF5BEA"/>
    <w:rsid w:val="00B96BE4"/>
    <w:rsid w:val="00B96F1F"/>
    <w:rsid w:val="00BC1AE6"/>
    <w:rsid w:val="00BE7272"/>
    <w:rsid w:val="00C07BC9"/>
    <w:rsid w:val="00C21B07"/>
    <w:rsid w:val="00DA06E2"/>
    <w:rsid w:val="00DB732C"/>
    <w:rsid w:val="00DD7B85"/>
    <w:rsid w:val="00DF750D"/>
    <w:rsid w:val="00E31523"/>
    <w:rsid w:val="00E40363"/>
    <w:rsid w:val="00EC7244"/>
    <w:rsid w:val="00F92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C0067"/>
  <w15:chartTrackingRefBased/>
  <w15:docId w15:val="{09E7D372-1C9E-45E2-A79C-FF94F37B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159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5918"/>
    <w:rPr>
      <w:sz w:val="20"/>
      <w:szCs w:val="20"/>
    </w:rPr>
  </w:style>
  <w:style w:type="character" w:styleId="FootnoteReference">
    <w:name w:val="footnote reference"/>
    <w:basedOn w:val="DefaultParagraphFont"/>
    <w:uiPriority w:val="99"/>
    <w:semiHidden/>
    <w:unhideWhenUsed/>
    <w:rsid w:val="00915918"/>
    <w:rPr>
      <w:vertAlign w:val="superscript"/>
    </w:rPr>
  </w:style>
  <w:style w:type="character" w:styleId="Hyperlink">
    <w:name w:val="Hyperlink"/>
    <w:basedOn w:val="DefaultParagraphFont"/>
    <w:uiPriority w:val="99"/>
    <w:unhideWhenUsed/>
    <w:rsid w:val="008D274E"/>
    <w:rPr>
      <w:color w:val="0563C1" w:themeColor="hyperlink"/>
      <w:u w:val="single"/>
    </w:rPr>
  </w:style>
  <w:style w:type="character" w:styleId="UnresolvedMention">
    <w:name w:val="Unresolved Mention"/>
    <w:basedOn w:val="DefaultParagraphFont"/>
    <w:uiPriority w:val="99"/>
    <w:semiHidden/>
    <w:unhideWhenUsed/>
    <w:rsid w:val="008D2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sourcebooks.fordham.edu/source/eugene3-2cd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5F536-D5AA-4072-BFBF-4A5063C55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4</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7</cp:revision>
  <dcterms:created xsi:type="dcterms:W3CDTF">2020-01-21T11:08:00Z</dcterms:created>
  <dcterms:modified xsi:type="dcterms:W3CDTF">2020-01-26T14:34:00Z</dcterms:modified>
</cp:coreProperties>
</file>