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D08D92" w14:textId="77777777" w:rsidR="007B4015" w:rsidRPr="007525E7" w:rsidRDefault="007B4015" w:rsidP="007B4015">
      <w:pPr>
        <w:rPr>
          <w:sz w:val="24"/>
          <w:szCs w:val="24"/>
        </w:rPr>
      </w:pPr>
      <w:r w:rsidRPr="007525E7">
        <w:rPr>
          <w:sz w:val="24"/>
          <w:szCs w:val="24"/>
        </w:rPr>
        <w:t>Shere M Sattar</w:t>
      </w:r>
    </w:p>
    <w:p w14:paraId="49D3F8F9" w14:textId="77777777" w:rsidR="007B4015" w:rsidRPr="007525E7" w:rsidRDefault="007B4015" w:rsidP="007B4015">
      <w:pPr>
        <w:rPr>
          <w:sz w:val="24"/>
          <w:szCs w:val="24"/>
        </w:rPr>
      </w:pPr>
      <w:r w:rsidRPr="007525E7">
        <w:rPr>
          <w:sz w:val="24"/>
          <w:szCs w:val="24"/>
        </w:rPr>
        <w:t>Assignment: Principles of Professional Legal Practice</w:t>
      </w:r>
    </w:p>
    <w:p w14:paraId="6403479D" w14:textId="77777777" w:rsidR="007B4015" w:rsidRPr="007525E7" w:rsidRDefault="007B4015" w:rsidP="007B4015">
      <w:pPr>
        <w:rPr>
          <w:sz w:val="24"/>
          <w:szCs w:val="24"/>
        </w:rPr>
      </w:pPr>
      <w:r w:rsidRPr="007525E7">
        <w:rPr>
          <w:sz w:val="24"/>
          <w:szCs w:val="24"/>
        </w:rPr>
        <w:t>15</w:t>
      </w:r>
      <w:r w:rsidRPr="007525E7">
        <w:rPr>
          <w:sz w:val="24"/>
          <w:szCs w:val="24"/>
          <w:vertAlign w:val="superscript"/>
        </w:rPr>
        <w:t>th</w:t>
      </w:r>
      <w:r w:rsidRPr="007525E7">
        <w:rPr>
          <w:sz w:val="24"/>
          <w:szCs w:val="24"/>
        </w:rPr>
        <w:t xml:space="preserve"> March 2024</w:t>
      </w:r>
    </w:p>
    <w:p w14:paraId="6CDF4619" w14:textId="77777777" w:rsidR="007B4015" w:rsidRPr="007525E7" w:rsidRDefault="007B4015" w:rsidP="007B4015">
      <w:pPr>
        <w:rPr>
          <w:sz w:val="24"/>
          <w:szCs w:val="24"/>
        </w:rPr>
      </w:pPr>
      <w:r w:rsidRPr="007525E7">
        <w:rPr>
          <w:sz w:val="24"/>
          <w:szCs w:val="24"/>
        </w:rPr>
        <w:t>UWTSD ID: 2211969</w:t>
      </w:r>
    </w:p>
    <w:p w14:paraId="3FFECE68" w14:textId="77777777" w:rsidR="007B4015" w:rsidRDefault="007B4015" w:rsidP="007B4015">
      <w:pPr>
        <w:rPr>
          <w:b/>
          <w:bCs/>
        </w:rPr>
      </w:pPr>
    </w:p>
    <w:p w14:paraId="7BA8846C" w14:textId="741E0DA8" w:rsidR="007B4015" w:rsidRPr="007B4015" w:rsidRDefault="007B4015" w:rsidP="007B4015">
      <w:r w:rsidRPr="007B4015">
        <w:rPr>
          <w:b/>
          <w:bCs/>
        </w:rPr>
        <w:t>Title: The Imperative of Equality and Diversity in the Legal Profession: An Evaluation</w:t>
      </w:r>
    </w:p>
    <w:p w14:paraId="0AED1E45" w14:textId="633803CD" w:rsidR="007B4015" w:rsidRPr="007B4015" w:rsidRDefault="007B4015" w:rsidP="007B4015">
      <w:pPr>
        <w:jc w:val="both"/>
      </w:pPr>
      <w:r w:rsidRPr="007B4015">
        <w:t xml:space="preserve">The legal profession is fundamental to upholding societal justice, fairness, and the rule of law, relying heavily on the principles of equality and diversity. This evaluation aims to assess the significance of equality and diversity within the legal profession, referencing the Equality Act 2010 and the SRA Code of Conduct (2019). These frameworks emphasize the importance of ensuring legal practitioners reflect the diverse communities they serve. The legal system, integral to safeguarding individuals' rights, must reflect the communities it represents to effectively cater to their needs. The Equality Act 2010 provides a robust legal framework in the UK, prohibiting discrimination on various grounds, while the SRA Code mandates adherence to equality, diversity, and inclusion principles in professional conduct. These legislative and regulatory measures underscore the necessity of actively promoting diversity in legal practice. A diverse legal workforce enriches discourse, fosters innovation, and enhances decision-making processes, ensuring practitioners possess cultural competence to address diverse client needs. Despite legal frameworks, systemic barriers persist, including unconscious bias and discriminatory practices in recruitment, retention, and progression, exacerbating inequalities and underrepresentation, particularly among women, ethnic minorities, and individuals with disabilities. Structural inequalities in education and access to opportunities further compound these challenges. Addressing these hurdles requires legislative reforms, such as proactive anti-discrimination measures and diversity promotion in recruitment. Organizational initiatives, like diversity training and mentorship schemes, are vital for fostering inclusive work environments. Additionally, promoting cultural competence and awareness of unconscious bias among legal practitioners can mitigate discrimination and enhance inclusivity. In conclusion, equality and diversity are indispensable for the legal profession's legitimacy, effectiveness, and integrity. By promoting equality of opportunity and fostering diversity and inclusion, the legal profession can better serve society's diverse needs. However, overcoming systemic barriers demands collaborative efforts from legal practitioners, policymakers, and stakeholders. Through legislative reforms, organizational initiatives, and cultural change, the legal profession can </w:t>
      </w:r>
      <w:r w:rsidRPr="007B4015">
        <w:t>fulfil</w:t>
      </w:r>
      <w:r w:rsidRPr="007B4015">
        <w:t xml:space="preserve"> its role as a champion of equality, justice, and human rights for all individuals.</w:t>
      </w:r>
    </w:p>
    <w:p w14:paraId="45AEFA6F" w14:textId="77777777" w:rsidR="007B4015" w:rsidRPr="007B4015" w:rsidRDefault="007B4015" w:rsidP="007B4015">
      <w:r w:rsidRPr="007B4015">
        <w:rPr>
          <w:b/>
          <w:bCs/>
        </w:rPr>
        <w:t>Importance of Equality and Diversity in the Legal Profession</w:t>
      </w:r>
    </w:p>
    <w:p w14:paraId="64CA4518" w14:textId="77777777" w:rsidR="007B4015" w:rsidRPr="007B4015" w:rsidRDefault="007B4015" w:rsidP="007B4015">
      <w:pPr>
        <w:jc w:val="both"/>
      </w:pPr>
      <w:r w:rsidRPr="007B4015">
        <w:t xml:space="preserve">Equality and diversity serve as foundational pillars that uphold the integrity, legitimacy, and efficacy of the legal profession. Enshrined within the Equality Act 2010, these principles provide a robust legal framework to promote equality and combat discrimination across various dimensions such as age, disability, gender, race, religion, and sexual orientation (Equality Act 2010, c.15; </w:t>
      </w:r>
      <w:proofErr w:type="spellStart"/>
      <w:r w:rsidRPr="007B4015">
        <w:t>Belzil</w:t>
      </w:r>
      <w:proofErr w:type="spellEnd"/>
      <w:r w:rsidRPr="007B4015">
        <w:t xml:space="preserve"> &amp; Hansen, 2002). Similarly, the SRA Code of Conduct (2019) mandates solicitors to embrace principles of equality, diversity, and inclusion in their professional conduct, thereby ensuring equitable treatment and access to justice for all individuals (Solicitors Regulation Authority, 2019).</w:t>
      </w:r>
    </w:p>
    <w:p w14:paraId="3EC9A294" w14:textId="77777777" w:rsidR="007B4015" w:rsidRPr="007B4015" w:rsidRDefault="007B4015" w:rsidP="007B4015">
      <w:pPr>
        <w:jc w:val="both"/>
      </w:pPr>
      <w:r w:rsidRPr="007B4015">
        <w:lastRenderedPageBreak/>
        <w:t>The importance of equality and diversity in the legal profession cannot be overstated. A diverse legal workforce not only mirrors the multifaceted nature of society but also bolsters its ability to deliver impartial and culturally competent legal services (Khan &amp; Dennhardt, 2018). By embracing diversity, law firms and legal institutions can tap into a broad spectrum of perspectives, skills, and experiences, thereby enriching legal discourse, stimulating innovation, and augmenting decision-making processes (Van Knippenberg &amp; Schippers, 2007). Moreover, promoting equality and diversity within the legal profession is crucial for instilling public trust and confidence in the justice system. Such initiatives signal a commitment to fairness, social justice, and human rights, thereby fostering a sense of inclusivity and legitimacy among diverse communities (Thomas &amp; Ely, 2001).</w:t>
      </w:r>
    </w:p>
    <w:p w14:paraId="586EE114" w14:textId="1BA803CB" w:rsidR="007B4015" w:rsidRPr="007B4015" w:rsidRDefault="007B4015" w:rsidP="007B4015">
      <w:pPr>
        <w:jc w:val="both"/>
      </w:pPr>
      <w:r w:rsidRPr="007B4015">
        <w:t xml:space="preserve">In essence, the promotion of equality and diversity within the legal profession serves as a cornerstone for fostering a more equitable and just society. By upholding these principles, legal practitioners not only </w:t>
      </w:r>
      <w:r w:rsidRPr="007B4015">
        <w:t>fulfil</w:t>
      </w:r>
      <w:r w:rsidRPr="007B4015">
        <w:t xml:space="preserve"> their professional obligations but also contribute to the broader goal of building a society that values diversity, embraces inclusivity, and upholds the rights and dignity of all individuals. Thus, the integration of equality and diversity within the legal profession is not merely a moral imperative but a pragmatic necessity for ensuring the integrity, effectiveness, and relevance of the legal system in an increasingly diverse and interconnected world.</w:t>
      </w:r>
    </w:p>
    <w:p w14:paraId="30BDA9E3" w14:textId="77777777" w:rsidR="007B4015" w:rsidRPr="007B4015" w:rsidRDefault="007B4015" w:rsidP="007B4015">
      <w:r w:rsidRPr="007B4015">
        <w:rPr>
          <w:b/>
          <w:bCs/>
        </w:rPr>
        <w:t>Challenges to Equality and Diversity</w:t>
      </w:r>
    </w:p>
    <w:p w14:paraId="772B3956" w14:textId="77777777" w:rsidR="007B4015" w:rsidRPr="007B4015" w:rsidRDefault="007B4015" w:rsidP="007B4015">
      <w:pPr>
        <w:jc w:val="both"/>
      </w:pPr>
      <w:r w:rsidRPr="007B4015">
        <w:t>Despite the presence of legal and regulatory frameworks, the legal profession grapples with entrenched systemic barriers and challenges that impede the full realization of equality and diversity. One prominent challenge is the prevalence of unconscious bias and discriminatory practices permeating legal recruitment, retention, and advancement processes (Pager, Western, &amp; Bonikowski, 2009). Research reveals that individuals from marginalized groups, such as women, ethnic minorities, and individuals with disabilities, encounter formidable obstacles hindering their entry into and progression within the legal profession. These barriers perpetuate inequalities and contribute to the persistent underrepresentation of these groups, thereby thwarting efforts to foster a more diverse and inclusive legal workforce.</w:t>
      </w:r>
    </w:p>
    <w:p w14:paraId="50438A35" w14:textId="77777777" w:rsidR="007B4015" w:rsidRPr="007B4015" w:rsidRDefault="007B4015" w:rsidP="007B4015">
      <w:pPr>
        <w:jc w:val="both"/>
      </w:pPr>
      <w:r w:rsidRPr="007B4015">
        <w:t>Moreover, structural inequalities rooted in disparities in education, socioeconomic status, and access to opportunities exacerbate the underrepresentation of certain demographic groups within the legal profession (Rynne &amp; Helo, 2018). Limited access to quality education, financial constraints, and the absence of robust support networks pose significant hurdles for individuals from disadvantaged backgrounds who aspire to pursue a career in law. As a result, talented individuals from underprivileged backgrounds often encounter barriers that hinder their ability to enter and thrive within the legal profession, perpetuating cycles of inequality and exclusion.</w:t>
      </w:r>
    </w:p>
    <w:p w14:paraId="4A19F7BC" w14:textId="77777777" w:rsidR="007B4015" w:rsidRPr="007B4015" w:rsidRDefault="007B4015" w:rsidP="007B4015">
      <w:pPr>
        <w:jc w:val="both"/>
      </w:pPr>
      <w:r w:rsidRPr="007B4015">
        <w:t>Furthermore, entrenched cultural norms and stereotypes exacerbate the challenges faced by marginalized groups seeking to enter the legal profession. Prevailing societal perceptions and biases can dissuade individuals from underrepresented communities from pursuing legal careers, perpetuating a lack of diversity within legal workplaces (Williams &amp; O'Reilly, 1998). These cultural barriers not only discourage individuals from pursuing legal careers but also contribute to the perpetuation of homogeneity within the legal profession, stifling diversity and limiting the range of perspectives and experiences within legal discourse.</w:t>
      </w:r>
    </w:p>
    <w:p w14:paraId="6141B106" w14:textId="77777777" w:rsidR="007B4015" w:rsidRPr="007B4015" w:rsidRDefault="007B4015" w:rsidP="007B4015">
      <w:pPr>
        <w:jc w:val="both"/>
      </w:pPr>
      <w:r w:rsidRPr="007B4015">
        <w:t xml:space="preserve">Addressing these challenges requires concerted efforts to dismantle systemic barriers and foster a more inclusive legal profession. Implementing measures to mitigate unconscious bias in recruitment and promotion processes is essential to ensuring equitable opportunities for all </w:t>
      </w:r>
      <w:r w:rsidRPr="007B4015">
        <w:lastRenderedPageBreak/>
        <w:t>individuals within the legal profession. Additionally, initiatives aimed at enhancing access to education, providing financial support, and establishing mentorship programs can help level the playing field for aspiring legal professionals from underprivileged backgrounds, thereby promoting greater diversity and representation within the legal profession (Wolfram, 2006). Furthermore, challenging entrenched cultural norms and stereotypes is imperative for fostering a more inclusive legal profession. Promoting awareness of diversity issues, challenging stereotypes, and celebrating diverse role models can help create a more welcoming and inclusive environment within legal workplaces. By fostering a culture that values diversity and actively promotes inclusion, the legal profession can attract and retain a more diverse talent pool, thereby enriching legal discourse and enhancing the profession's capacity to serve the diverse needs of society.</w:t>
      </w:r>
    </w:p>
    <w:p w14:paraId="30312931" w14:textId="77777777" w:rsidR="007B4015" w:rsidRPr="007B4015" w:rsidRDefault="007B4015" w:rsidP="007B4015">
      <w:pPr>
        <w:jc w:val="both"/>
      </w:pPr>
      <w:r w:rsidRPr="007B4015">
        <w:t>While legal and regulatory frameworks provide a foundation for promoting equality and diversity within the legal profession, significant challenges persist. Addressing these challenges requires proactive efforts to mitigate unconscious bias, dismantle structural inequalities, and challenge cultural barriers that inhibit diversity and inclusion. By fostering a more inclusive legal profession, stakeholders can unlock the full potential of diversity to enrich legal discourse, enhance decision-making processes, and promote justice and fairness within society.</w:t>
      </w:r>
    </w:p>
    <w:p w14:paraId="690619DC" w14:textId="77777777" w:rsidR="007B4015" w:rsidRPr="007B4015" w:rsidRDefault="007B4015" w:rsidP="007B4015">
      <w:r w:rsidRPr="007B4015">
        <w:rPr>
          <w:b/>
          <w:bCs/>
        </w:rPr>
        <w:t>Strategies for Promoting Equality and Diversity</w:t>
      </w:r>
    </w:p>
    <w:p w14:paraId="2A1AFDB1" w14:textId="77777777" w:rsidR="007B4015" w:rsidRPr="007B4015" w:rsidRDefault="007B4015" w:rsidP="007B4015">
      <w:pPr>
        <w:jc w:val="both"/>
      </w:pPr>
      <w:r w:rsidRPr="007B4015">
        <w:t>Effectively addressing equality and diversity challenges in the legal profession demands a multifaceted approach encompassing legislative reforms, organizational initiatives, and cultural change. Legislative reforms are pivotal, instituting proactive measures to combat discrimination, promote diversity in recruitment, and ensure equitable opportunities (Equality Act 2010; Solicitors Regulation Authority, 2019). Robust enforcement mechanisms hold legal institutions accountable, fostering a more inclusive environment.</w:t>
      </w:r>
    </w:p>
    <w:p w14:paraId="688330F0" w14:textId="77777777" w:rsidR="007B4015" w:rsidRPr="007B4015" w:rsidRDefault="007B4015" w:rsidP="007B4015">
      <w:pPr>
        <w:jc w:val="both"/>
      </w:pPr>
      <w:r w:rsidRPr="007B4015">
        <w:t>Organizational initiatives play a vital role, including diversity training programs to navigate cultural landscapes sensitively (Rynne &amp; Helo, 2018). Mentorship schemes for underrepresented groups facilitate their advancement, while flexible working arrangements promote inclusivity and work-life balance (Thomas &amp; Ely, 2001). Promoting cultural competence and addressing unconscious bias is imperative (</w:t>
      </w:r>
      <w:proofErr w:type="spellStart"/>
      <w:r w:rsidRPr="007B4015">
        <w:t>Belzil</w:t>
      </w:r>
      <w:proofErr w:type="spellEnd"/>
      <w:r w:rsidRPr="007B4015">
        <w:t xml:space="preserve"> &amp; Hansen, 2002). Enhancing understanding of diverse perspectives enables better service to clients from varied backgrounds and fosters an inclusive work environment where all feel respected.</w:t>
      </w:r>
    </w:p>
    <w:p w14:paraId="0BF94587" w14:textId="77777777" w:rsidR="007B4015" w:rsidRPr="007B4015" w:rsidRDefault="007B4015" w:rsidP="007B4015">
      <w:pPr>
        <w:jc w:val="both"/>
      </w:pPr>
      <w:r w:rsidRPr="007B4015">
        <w:t>Cultural change requires commitment from leadership, stakeholder engagement, and participation at all levels (Van Knippenberg &amp; Schippers, 2007). Opportunities for dialogue and collaboration among diverse practitioners break down barriers, challenging stereotypes and nurturing inclusivity and respect.</w:t>
      </w:r>
    </w:p>
    <w:p w14:paraId="74ECF374" w14:textId="77777777" w:rsidR="007B4015" w:rsidRPr="007B4015" w:rsidRDefault="007B4015" w:rsidP="007B4015">
      <w:pPr>
        <w:jc w:val="both"/>
      </w:pPr>
      <w:r w:rsidRPr="007B4015">
        <w:t>In conclusion, a multifaceted approach encompassing legislative reforms, organizational initiatives, and cultural change is necessary to promote equality and diversity within the legal profession. Through collaborative efforts and unwavering commitment, stakeholders can unlock the full potential of diversity, enriching legal discourse and fostering justice and fairness within society.</w:t>
      </w:r>
    </w:p>
    <w:p w14:paraId="414497CF" w14:textId="77777777" w:rsidR="007B4015" w:rsidRPr="007B4015" w:rsidRDefault="007B4015" w:rsidP="007B4015">
      <w:r w:rsidRPr="007B4015">
        <w:rPr>
          <w:b/>
          <w:bCs/>
        </w:rPr>
        <w:t>Conclusion</w:t>
      </w:r>
    </w:p>
    <w:p w14:paraId="7F80C4F9" w14:textId="77777777" w:rsidR="007B4015" w:rsidRPr="007B4015" w:rsidRDefault="007B4015" w:rsidP="007B4015">
      <w:pPr>
        <w:jc w:val="both"/>
      </w:pPr>
      <w:r w:rsidRPr="007B4015">
        <w:t xml:space="preserve">In conclusion, equality and diversity stand as indispensable principles that serve as the foundation for the legitimacy, effectiveness, and integrity of the legal profession. By actively </w:t>
      </w:r>
      <w:r w:rsidRPr="007B4015">
        <w:lastRenderedPageBreak/>
        <w:t>promoting equality of opportunity, eliminating discriminatory practices, and fostering a culture of diversity and inclusion, the legal profession can enhance its ability to meet the diverse needs and interests of society effectively. Embracing these principles not only strengthens the profession's ethical framework but also enhances its capacity to uphold the rule of law and ensure access to justice for all individuals.</w:t>
      </w:r>
    </w:p>
    <w:p w14:paraId="0A11906D" w14:textId="77777777" w:rsidR="007B4015" w:rsidRPr="007B4015" w:rsidRDefault="007B4015" w:rsidP="007B4015">
      <w:pPr>
        <w:jc w:val="both"/>
      </w:pPr>
      <w:r w:rsidRPr="007B4015">
        <w:t>However, addressing the systemic barriers and challenges to equality and diversity within the legal profession necessitates concerted efforts from various stakeholders, including legal practitioners, policymakers, and other relevant actors. Legislative reforms play a crucial role in enacting proactive measures to address discrimination, promote diversity in recruitment practices, and ensure equitable opportunities for all individuals within the legal profession. Moreover, organizational initiatives aimed at fostering a supportive and inclusive work environment are essential for promoting diversity and providing opportunities for underrepresented groups to thrive within the profession.</w:t>
      </w:r>
    </w:p>
    <w:p w14:paraId="5EDE64C3" w14:textId="77777777" w:rsidR="007B4015" w:rsidRPr="007B4015" w:rsidRDefault="007B4015" w:rsidP="007B4015">
      <w:pPr>
        <w:jc w:val="both"/>
      </w:pPr>
      <w:r w:rsidRPr="007B4015">
        <w:t>Additionally, fostering cultural change within the legal profession requires a collective commitment to challenging ingrained biases, promoting awareness of diversity issues, and fostering a culture of inclusivity and respect. By actively engaging in dialogue, collaboration, and knowledge-sharing, legal professionals can break down barriers, challenge stereotypes, and cultivate a more inclusive organizational culture that values diversity and fosters belongingness among all members.</w:t>
      </w:r>
    </w:p>
    <w:p w14:paraId="14CC6B67" w14:textId="77777777" w:rsidR="007B4015" w:rsidRPr="007B4015" w:rsidRDefault="007B4015" w:rsidP="007B4015">
      <w:pPr>
        <w:jc w:val="both"/>
      </w:pPr>
      <w:r w:rsidRPr="007B4015">
        <w:t xml:space="preserve">In essence, by implementing legislative reforms, organizational initiatives, and fostering cultural change, the legal profession can realize its potential as a champion of equality, justice, and human rights for all individuals. By embracing the principles of equality and diversity, legal practitioners can not only enhance the profession's capacity to serve the diverse needs of society but also contribute to the broader goal of promoting social cohesion, fairness, and inclusivity within </w:t>
      </w:r>
      <w:proofErr w:type="gramStart"/>
      <w:r w:rsidRPr="007B4015">
        <w:t>society as a whole</w:t>
      </w:r>
      <w:proofErr w:type="gramEnd"/>
      <w:r w:rsidRPr="007B4015">
        <w:t>.</w:t>
      </w:r>
    </w:p>
    <w:p w14:paraId="01410ABD" w14:textId="77777777" w:rsidR="007B4015" w:rsidRPr="007B4015" w:rsidRDefault="007B4015" w:rsidP="007B4015">
      <w:r w:rsidRPr="007B4015">
        <w:rPr>
          <w:b/>
          <w:bCs/>
        </w:rPr>
        <w:t>References</w:t>
      </w:r>
    </w:p>
    <w:p w14:paraId="3745B09B" w14:textId="77777777" w:rsidR="007B4015" w:rsidRPr="007B4015" w:rsidRDefault="007B4015" w:rsidP="007B4015">
      <w:pPr>
        <w:numPr>
          <w:ilvl w:val="0"/>
          <w:numId w:val="1"/>
        </w:numPr>
      </w:pPr>
      <w:r w:rsidRPr="007B4015">
        <w:t>Equality Act 2010, c.15 (UK).</w:t>
      </w:r>
    </w:p>
    <w:p w14:paraId="0794E9C7" w14:textId="77777777" w:rsidR="007B4015" w:rsidRPr="007B4015" w:rsidRDefault="007B4015" w:rsidP="007B4015">
      <w:pPr>
        <w:numPr>
          <w:ilvl w:val="0"/>
          <w:numId w:val="1"/>
        </w:numPr>
      </w:pPr>
      <w:r w:rsidRPr="007B4015">
        <w:t xml:space="preserve">Solicitors Regulation Authority. (2019). SRA Code of Conduct. Retrieved from </w:t>
      </w:r>
      <w:hyperlink r:id="rId5" w:tgtFrame="_new" w:history="1">
        <w:r w:rsidRPr="007B4015">
          <w:rPr>
            <w:rStyle w:val="Hyperlink"/>
          </w:rPr>
          <w:t>https://www.sra.org.uk/solicitors/standards-regulations/code-conduct-solicitors/</w:t>
        </w:r>
      </w:hyperlink>
      <w:r w:rsidRPr="007B4015">
        <w:t>.</w:t>
      </w:r>
    </w:p>
    <w:p w14:paraId="76D93076" w14:textId="77777777" w:rsidR="007B4015" w:rsidRPr="007B4015" w:rsidRDefault="007B4015" w:rsidP="007B4015">
      <w:pPr>
        <w:numPr>
          <w:ilvl w:val="0"/>
          <w:numId w:val="1"/>
        </w:numPr>
      </w:pPr>
      <w:proofErr w:type="spellStart"/>
      <w:r w:rsidRPr="007B4015">
        <w:t>Belzil</w:t>
      </w:r>
      <w:proofErr w:type="spellEnd"/>
      <w:r w:rsidRPr="007B4015">
        <w:t xml:space="preserve">, P., &amp; Hansen, J. (2002). Unobserved Ability and the Return to Schooling. </w:t>
      </w:r>
      <w:proofErr w:type="spellStart"/>
      <w:r w:rsidRPr="007B4015">
        <w:t>Econometrica</w:t>
      </w:r>
      <w:proofErr w:type="spellEnd"/>
      <w:r w:rsidRPr="007B4015">
        <w:t>, 70(5), 2075–2091.</w:t>
      </w:r>
    </w:p>
    <w:p w14:paraId="05250F6A" w14:textId="77777777" w:rsidR="007B4015" w:rsidRPr="007B4015" w:rsidRDefault="007B4015" w:rsidP="007B4015">
      <w:pPr>
        <w:numPr>
          <w:ilvl w:val="0"/>
          <w:numId w:val="1"/>
        </w:numPr>
      </w:pPr>
      <w:r w:rsidRPr="007B4015">
        <w:t>Khan, S., &amp; Dennhardt, S. (2018). Workplace diversity and inclusion: A social capital perspective. Journal of Management &amp; Organization, 24(4), 542-558.</w:t>
      </w:r>
    </w:p>
    <w:p w14:paraId="79CD0263" w14:textId="77777777" w:rsidR="007B4015" w:rsidRPr="007B4015" w:rsidRDefault="007B4015" w:rsidP="007B4015">
      <w:pPr>
        <w:numPr>
          <w:ilvl w:val="0"/>
          <w:numId w:val="1"/>
        </w:numPr>
      </w:pPr>
      <w:r w:rsidRPr="007B4015">
        <w:t>Pager, D., Western, B., &amp; Bonikowski, B. (2009). Discrimination in a Low-Wage Labor Market: A Field Experiment. American Sociological Review, 74(5), 777–799.</w:t>
      </w:r>
    </w:p>
    <w:p w14:paraId="48E18899" w14:textId="77777777" w:rsidR="007B4015" w:rsidRPr="007B4015" w:rsidRDefault="007B4015" w:rsidP="007B4015">
      <w:pPr>
        <w:numPr>
          <w:ilvl w:val="0"/>
          <w:numId w:val="1"/>
        </w:numPr>
      </w:pPr>
      <w:r w:rsidRPr="007B4015">
        <w:t>Rynne, T., &amp; Helo, P. (2018). Promoting Equality and Diversity at Work: A Comparative Analysis of Diversity Management in Sweden and Finland. International Journal of Human Resource Management, 29(14), 2134-2158.</w:t>
      </w:r>
    </w:p>
    <w:p w14:paraId="0F424082" w14:textId="77777777" w:rsidR="007B4015" w:rsidRPr="007B4015" w:rsidRDefault="007B4015" w:rsidP="007B4015">
      <w:pPr>
        <w:numPr>
          <w:ilvl w:val="0"/>
          <w:numId w:val="1"/>
        </w:numPr>
      </w:pPr>
      <w:r w:rsidRPr="007B4015">
        <w:t>Thomas, D., &amp; Ely, R. (2001). Making Differences Matter: A New Paradigm for Managing Diversity. Harvard Business Review, 79(9), 79-90.</w:t>
      </w:r>
    </w:p>
    <w:p w14:paraId="7BB1766B" w14:textId="77777777" w:rsidR="007B4015" w:rsidRPr="007B4015" w:rsidRDefault="007B4015" w:rsidP="007B4015">
      <w:pPr>
        <w:numPr>
          <w:ilvl w:val="0"/>
          <w:numId w:val="1"/>
        </w:numPr>
      </w:pPr>
      <w:r w:rsidRPr="007B4015">
        <w:lastRenderedPageBreak/>
        <w:t>Van Knippenberg, D., &amp; Schippers, M. (2007). Work Group Diversity. Annual Review of Psychology, 58(1), 515-541.</w:t>
      </w:r>
    </w:p>
    <w:p w14:paraId="6218D3BD" w14:textId="77777777" w:rsidR="007B4015" w:rsidRPr="007B4015" w:rsidRDefault="007B4015" w:rsidP="007B4015">
      <w:pPr>
        <w:numPr>
          <w:ilvl w:val="0"/>
          <w:numId w:val="1"/>
        </w:numPr>
      </w:pPr>
      <w:r w:rsidRPr="007B4015">
        <w:t xml:space="preserve">Williams, K. Y., &amp; O'Reilly, C. A. (1998). Demography and diversity in organizations: A review of 40 years of research. Research in Organizational </w:t>
      </w:r>
      <w:proofErr w:type="spellStart"/>
      <w:r w:rsidRPr="007B4015">
        <w:t>Behavior</w:t>
      </w:r>
      <w:proofErr w:type="spellEnd"/>
      <w:r w:rsidRPr="007B4015">
        <w:t>, 20, 77-140.</w:t>
      </w:r>
    </w:p>
    <w:p w14:paraId="6D7FF703" w14:textId="77777777" w:rsidR="007B4015" w:rsidRPr="007B4015" w:rsidRDefault="007B4015" w:rsidP="007B4015">
      <w:pPr>
        <w:numPr>
          <w:ilvl w:val="0"/>
          <w:numId w:val="1"/>
        </w:numPr>
      </w:pPr>
      <w:r w:rsidRPr="007B4015">
        <w:t>Wolfram, G. (2006). Economic and Sociological Perspectives on Diversity in the Workplace. Journal of Management Inquiry, 15(4), 324–337.</w:t>
      </w:r>
    </w:p>
    <w:p w14:paraId="005AAE5B" w14:textId="77777777" w:rsidR="005161C6" w:rsidRDefault="005161C6"/>
    <w:sectPr w:rsidR="005161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9E4B86"/>
    <w:multiLevelType w:val="multilevel"/>
    <w:tmpl w:val="30769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638321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015"/>
    <w:rsid w:val="005161C6"/>
    <w:rsid w:val="007B4015"/>
    <w:rsid w:val="00A86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E4ECC7"/>
  <w15:chartTrackingRefBased/>
  <w15:docId w15:val="{1BAA6AEF-2AE1-4D8B-894F-F231B515C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40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40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40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40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40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40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40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40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40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0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40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40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40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40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40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40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40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4015"/>
    <w:rPr>
      <w:rFonts w:eastAsiaTheme="majorEastAsia" w:cstheme="majorBidi"/>
      <w:color w:val="272727" w:themeColor="text1" w:themeTint="D8"/>
    </w:rPr>
  </w:style>
  <w:style w:type="paragraph" w:styleId="Title">
    <w:name w:val="Title"/>
    <w:basedOn w:val="Normal"/>
    <w:next w:val="Normal"/>
    <w:link w:val="TitleChar"/>
    <w:uiPriority w:val="10"/>
    <w:qFormat/>
    <w:rsid w:val="007B40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40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40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40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4015"/>
    <w:pPr>
      <w:spacing w:before="160"/>
      <w:jc w:val="center"/>
    </w:pPr>
    <w:rPr>
      <w:i/>
      <w:iCs/>
      <w:color w:val="404040" w:themeColor="text1" w:themeTint="BF"/>
    </w:rPr>
  </w:style>
  <w:style w:type="character" w:customStyle="1" w:styleId="QuoteChar">
    <w:name w:val="Quote Char"/>
    <w:basedOn w:val="DefaultParagraphFont"/>
    <w:link w:val="Quote"/>
    <w:uiPriority w:val="29"/>
    <w:rsid w:val="007B4015"/>
    <w:rPr>
      <w:i/>
      <w:iCs/>
      <w:color w:val="404040" w:themeColor="text1" w:themeTint="BF"/>
    </w:rPr>
  </w:style>
  <w:style w:type="paragraph" w:styleId="ListParagraph">
    <w:name w:val="List Paragraph"/>
    <w:basedOn w:val="Normal"/>
    <w:uiPriority w:val="34"/>
    <w:qFormat/>
    <w:rsid w:val="007B4015"/>
    <w:pPr>
      <w:ind w:left="720"/>
      <w:contextualSpacing/>
    </w:pPr>
  </w:style>
  <w:style w:type="character" w:styleId="IntenseEmphasis">
    <w:name w:val="Intense Emphasis"/>
    <w:basedOn w:val="DefaultParagraphFont"/>
    <w:uiPriority w:val="21"/>
    <w:qFormat/>
    <w:rsid w:val="007B4015"/>
    <w:rPr>
      <w:i/>
      <w:iCs/>
      <w:color w:val="0F4761" w:themeColor="accent1" w:themeShade="BF"/>
    </w:rPr>
  </w:style>
  <w:style w:type="paragraph" w:styleId="IntenseQuote">
    <w:name w:val="Intense Quote"/>
    <w:basedOn w:val="Normal"/>
    <w:next w:val="Normal"/>
    <w:link w:val="IntenseQuoteChar"/>
    <w:uiPriority w:val="30"/>
    <w:qFormat/>
    <w:rsid w:val="007B40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4015"/>
    <w:rPr>
      <w:i/>
      <w:iCs/>
      <w:color w:val="0F4761" w:themeColor="accent1" w:themeShade="BF"/>
    </w:rPr>
  </w:style>
  <w:style w:type="character" w:styleId="IntenseReference">
    <w:name w:val="Intense Reference"/>
    <w:basedOn w:val="DefaultParagraphFont"/>
    <w:uiPriority w:val="32"/>
    <w:qFormat/>
    <w:rsid w:val="007B4015"/>
    <w:rPr>
      <w:b/>
      <w:bCs/>
      <w:smallCaps/>
      <w:color w:val="0F4761" w:themeColor="accent1" w:themeShade="BF"/>
      <w:spacing w:val="5"/>
    </w:rPr>
  </w:style>
  <w:style w:type="character" w:styleId="Hyperlink">
    <w:name w:val="Hyperlink"/>
    <w:basedOn w:val="DefaultParagraphFont"/>
    <w:uiPriority w:val="99"/>
    <w:unhideWhenUsed/>
    <w:rsid w:val="007B4015"/>
    <w:rPr>
      <w:color w:val="467886" w:themeColor="hyperlink"/>
      <w:u w:val="single"/>
    </w:rPr>
  </w:style>
  <w:style w:type="character" w:styleId="UnresolvedMention">
    <w:name w:val="Unresolved Mention"/>
    <w:basedOn w:val="DefaultParagraphFont"/>
    <w:uiPriority w:val="99"/>
    <w:semiHidden/>
    <w:unhideWhenUsed/>
    <w:rsid w:val="007B40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849740">
      <w:bodyDiv w:val="1"/>
      <w:marLeft w:val="0"/>
      <w:marRight w:val="0"/>
      <w:marTop w:val="0"/>
      <w:marBottom w:val="0"/>
      <w:divBdr>
        <w:top w:val="none" w:sz="0" w:space="0" w:color="auto"/>
        <w:left w:val="none" w:sz="0" w:space="0" w:color="auto"/>
        <w:bottom w:val="none" w:sz="0" w:space="0" w:color="auto"/>
        <w:right w:val="none" w:sz="0" w:space="0" w:color="auto"/>
      </w:divBdr>
    </w:div>
    <w:div w:id="1503856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sra.org.uk/solicitors/standards-regulations/code-conduct-solicito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2185</Words>
  <Characters>12456</Characters>
  <Application>Microsoft Office Word</Application>
  <DocSecurity>0</DocSecurity>
  <Lines>103</Lines>
  <Paragraphs>29</Paragraphs>
  <ScaleCrop>false</ScaleCrop>
  <Company/>
  <LinksUpToDate>false</LinksUpToDate>
  <CharactersWithSpaces>14612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Shere-Mohammod (2211969)</dc:creator>
  <cp:keywords/>
  <dc:description/>
  <cp:lastModifiedBy>Abdul Shere-Mohammod (2211969)</cp:lastModifiedBy>
  <cp:revision>1</cp:revision>
  <dcterms:created xsi:type="dcterms:W3CDTF">2024-03-15T16:06:00Z</dcterms:created>
  <dcterms:modified xsi:type="dcterms:W3CDTF">2024-03-15T16:11:00Z</dcterms:modified>
</cp:coreProperties>
</file>