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1DE291A">
      <w:pPr>
        <w:pStyle w:val="3"/>
        <w:spacing w:line="360" w:lineRule="auto"/>
        <w:ind w:firstLine="0" w:firstLineChars="0"/>
        <w:jc w:val="center"/>
      </w:pPr>
      <w:bookmarkStart w:id="13" w:name="_GoBack"/>
      <w:bookmarkEnd w:id="13"/>
    </w:p>
    <w:p w14:paraId="4E098F0E">
      <w:pPr>
        <w:pStyle w:val="15"/>
        <w:bidi w:val="0"/>
        <w:spacing w:line="360" w:lineRule="auto"/>
        <w:jc w:val="center"/>
        <w:rPr>
          <w:rFonts w:hint="default"/>
        </w:rPr>
      </w:pPr>
      <w:r>
        <w:rPr>
          <w:rFonts w:hint="default"/>
        </w:rPr>
        <w:t>Final Report</w:t>
      </w:r>
    </w:p>
    <w:p w14:paraId="59120515">
      <w:pPr>
        <w:pStyle w:val="15"/>
        <w:bidi w:val="0"/>
        <w:spacing w:line="360" w:lineRule="auto"/>
        <w:jc w:val="center"/>
        <w:rPr>
          <w:rFonts w:hint="eastAsia" w:eastAsia="宋体"/>
          <w:b w:val="0"/>
          <w:bCs/>
          <w:lang w:val="en-US" w:eastAsia="zh-CN"/>
        </w:rPr>
      </w:pPr>
      <w:r>
        <w:rPr>
          <w:rFonts w:hint="eastAsia" w:eastAsia="宋体"/>
          <w:b w:val="0"/>
          <w:bCs/>
          <w:lang w:val="en-US" w:eastAsia="zh-CN"/>
        </w:rPr>
        <w:t>Zhongyi Cong</w:t>
      </w:r>
    </w:p>
    <w:p w14:paraId="476C0515">
      <w:pPr>
        <w:pStyle w:val="15"/>
        <w:bidi w:val="0"/>
        <w:spacing w:line="360" w:lineRule="auto"/>
        <w:jc w:val="center"/>
        <w:rPr>
          <w:rFonts w:hint="eastAsia" w:eastAsia="宋体"/>
          <w:b w:val="0"/>
          <w:bCs/>
          <w:lang w:val="en-US" w:eastAsia="zh-CN"/>
        </w:rPr>
      </w:pPr>
      <w:r>
        <w:rPr>
          <w:rFonts w:hint="eastAsia" w:eastAsia="宋体"/>
          <w:b w:val="0"/>
          <w:bCs/>
          <w:lang w:val="en-US" w:eastAsia="zh-CN"/>
        </w:rPr>
        <w:t>2121979</w:t>
      </w:r>
    </w:p>
    <w:p w14:paraId="18D42630">
      <w:pPr>
        <w:pStyle w:val="15"/>
        <w:bidi w:val="0"/>
        <w:spacing w:line="360" w:lineRule="auto"/>
        <w:jc w:val="center"/>
        <w:rPr>
          <w:rFonts w:ascii="宋体" w:hAnsi="宋体" w:eastAsia="宋体" w:cstheme="minorBidi"/>
          <w:kern w:val="2"/>
          <w:sz w:val="21"/>
          <w:szCs w:val="24"/>
          <w:lang w:val="en-US" w:eastAsia="zh-CN" w:bidi="ar-SA"/>
        </w:rPr>
      </w:pPr>
      <w:r>
        <w:rPr>
          <w:rFonts w:hint="eastAsia" w:eastAsia="宋体"/>
          <w:b w:val="0"/>
          <w:bCs/>
          <w:lang w:val="en-US" w:eastAsia="zh-CN"/>
        </w:rPr>
        <w:t>2025.8.30</w:t>
      </w:r>
      <w:r>
        <w:rPr>
          <w:rFonts w:ascii="宋体" w:hAnsi="宋体" w:eastAsia="宋体" w:cstheme="minorBidi"/>
          <w:kern w:val="2"/>
          <w:sz w:val="21"/>
          <w:szCs w:val="24"/>
          <w:lang w:val="en-US" w:eastAsia="zh-CN" w:bidi="ar-SA"/>
        </w:rPr>
        <w:br w:type="page"/>
      </w:r>
    </w:p>
    <w:sdt>
      <w:sdtPr>
        <w:rPr>
          <w:rFonts w:ascii="宋体" w:hAnsi="宋体" w:eastAsia="宋体" w:cstheme="minorBidi"/>
          <w:kern w:val="2"/>
          <w:sz w:val="21"/>
          <w:szCs w:val="21"/>
          <w:lang w:val="en-US" w:eastAsia="zh-CN" w:bidi="ar-SA"/>
        </w:rPr>
        <w:id w:val="147472192"/>
        <w15:color w:val="DBDBDB"/>
        <w:docPartObj>
          <w:docPartGallery w:val="Table of Contents"/>
          <w:docPartUnique/>
        </w:docPartObj>
      </w:sdtPr>
      <w:sdtEndPr>
        <w:rPr>
          <w:rFonts w:ascii="Times New Roman" w:hAnsi="Times New Roman" w:eastAsiaTheme="minorEastAsia" w:cstheme="minorBidi"/>
          <w:kern w:val="2"/>
          <w:sz w:val="24"/>
          <w:szCs w:val="24"/>
          <w:lang w:val="en-US" w:eastAsia="zh-CN" w:bidi="ar-SA"/>
        </w:rPr>
      </w:sdtEndPr>
      <w:sdtContent>
        <w:p w14:paraId="1F2F0B5A">
          <w:pPr>
            <w:pStyle w:val="3"/>
            <w:spacing w:line="360" w:lineRule="auto"/>
            <w:ind w:firstLine="0" w:firstLineChars="0"/>
            <w:jc w:val="center"/>
            <w:rPr>
              <w:b/>
              <w:bCs/>
            </w:rPr>
          </w:pPr>
          <w:r>
            <w:rPr>
              <w:rFonts w:hint="eastAsia"/>
              <w:b/>
              <w:bCs/>
            </w:rPr>
            <w:t>C</w:t>
          </w:r>
          <w:r>
            <w:rPr>
              <w:b/>
              <w:bCs/>
            </w:rPr>
            <w:t>ontents</w:t>
          </w:r>
        </w:p>
        <w:p w14:paraId="2F8F2B98">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TOC \o "1-3" \h \u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_Toc16340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bCs/>
              <w:sz w:val="24"/>
              <w:szCs w:val="24"/>
              <w:lang w:val="en-US" w:eastAsia="zh-CN"/>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_Toc16340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498E1527">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_Toc19875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 xml:space="preserve"> Story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_Toc19875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311E57AD">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_Toc12381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eastAsia="宋体" w:cs="Times New Roman"/>
              <w:sz w:val="24"/>
              <w:szCs w:val="24"/>
              <w:lang w:val="en-US" w:eastAsia="zh-CN"/>
            </w:rPr>
            <w:t>2.</w:t>
          </w:r>
          <w:r>
            <w:rPr>
              <w:rFonts w:hint="default" w:ascii="Times New Roman" w:hAnsi="Times New Roman" w:cs="Times New Roman"/>
              <w:sz w:val="24"/>
              <w:szCs w:val="24"/>
            </w:rPr>
            <w:t xml:space="preserve"> Character Modelling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_Toc12381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698BA309">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_Toc18289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bCs/>
              <w:sz w:val="24"/>
              <w:szCs w:val="24"/>
              <w:lang w:val="en-US" w:eastAsia="zh-CN"/>
            </w:rPr>
            <w:t xml:space="preserve">2.1 </w:t>
          </w:r>
          <w:r>
            <w:rPr>
              <w:rFonts w:hint="default" w:ascii="Times New Roman" w:hAnsi="Times New Roman" w:cs="Times New Roman"/>
              <w:bCs/>
              <w:sz w:val="24"/>
              <w:szCs w:val="24"/>
            </w:rPr>
            <w:t>Character Profile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_Toc18289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34A906C2">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_Toc22883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bCs/>
              <w:sz w:val="24"/>
              <w:szCs w:val="24"/>
              <w:lang w:val="en-US" w:eastAsia="zh-CN"/>
            </w:rPr>
            <w:t xml:space="preserve">2.2 </w:t>
          </w:r>
          <w:r>
            <w:rPr>
              <w:rFonts w:hint="default" w:ascii="Times New Roman" w:hAnsi="Times New Roman" w:cs="Times New Roman"/>
              <w:bCs/>
              <w:sz w:val="24"/>
              <w:szCs w:val="24"/>
            </w:rPr>
            <w:t>High-Poly Sculpting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_Toc22883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286630BC">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_Toc7984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eastAsia="宋体" w:cs="Times New Roman"/>
              <w:sz w:val="24"/>
              <w:szCs w:val="24"/>
              <w:lang w:val="en-US" w:eastAsia="zh-CN"/>
            </w:rPr>
            <w:t>3.</w:t>
          </w:r>
          <w:r>
            <w:rPr>
              <w:rFonts w:hint="default" w:ascii="Times New Roman" w:hAnsi="Times New Roman" w:cs="Times New Roman"/>
              <w:sz w:val="24"/>
              <w:szCs w:val="24"/>
            </w:rPr>
            <w:t xml:space="preserve"> Animation Production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_Toc7984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3AFF6502">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_Toc5964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bCs/>
              <w:sz w:val="24"/>
              <w:szCs w:val="24"/>
              <w:lang w:val="en-US" w:eastAsia="zh-CN"/>
            </w:rPr>
            <w:t xml:space="preserve">3.1 </w:t>
          </w:r>
          <w:r>
            <w:rPr>
              <w:rFonts w:hint="default" w:ascii="Times New Roman" w:hAnsi="Times New Roman" w:cs="Times New Roman"/>
              <w:bCs/>
              <w:sz w:val="24"/>
              <w:szCs w:val="24"/>
            </w:rPr>
            <w:t>Special Effects Animation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_Toc5964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5AB0C937">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_Toc23838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bCs/>
              <w:sz w:val="24"/>
              <w:szCs w:val="24"/>
              <w:lang w:val="en-US" w:eastAsia="zh-CN"/>
            </w:rPr>
            <w:t xml:space="preserve">3.2 </w:t>
          </w:r>
          <w:r>
            <w:rPr>
              <w:rFonts w:hint="default" w:ascii="Times New Roman" w:hAnsi="Times New Roman" w:cs="Times New Roman"/>
              <w:bCs/>
              <w:sz w:val="24"/>
              <w:szCs w:val="24"/>
            </w:rPr>
            <w:t>Animation Production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_Toc23838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024778AA">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_Toc8483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bCs/>
              <w:sz w:val="24"/>
              <w:szCs w:val="24"/>
              <w:lang w:val="en-US" w:eastAsia="zh-CN"/>
            </w:rPr>
            <w:t>4.</w:t>
          </w:r>
          <w:r>
            <w:rPr>
              <w:rFonts w:hint="default" w:ascii="Times New Roman" w:hAnsi="Times New Roman" w:cs="Times New Roman"/>
              <w:sz w:val="24"/>
              <w:szCs w:val="24"/>
            </w:rPr>
            <w:t xml:space="preserve"> </w:t>
          </w:r>
          <w:r>
            <w:rPr>
              <w:rFonts w:hint="default" w:ascii="Times New Roman" w:hAnsi="Times New Roman" w:cs="Times New Roman"/>
              <w:bCs/>
              <w:sz w:val="24"/>
              <w:szCs w:val="24"/>
            </w:rPr>
            <w:t>Technical Bottlenecks and Creative Solutions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_Toc8483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068E1558">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_Toc29908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eastAsia="宋体" w:cs="Times New Roman"/>
              <w:sz w:val="24"/>
              <w:szCs w:val="24"/>
              <w:lang w:val="en-US" w:eastAsia="zh-CN"/>
            </w:rPr>
            <w:t>5.</w:t>
          </w:r>
          <w:r>
            <w:rPr>
              <w:rFonts w:hint="default" w:ascii="Times New Roman" w:hAnsi="Times New Roman" w:cs="Times New Roman"/>
              <w:sz w:val="24"/>
              <w:szCs w:val="24"/>
            </w:rPr>
            <w:t xml:space="preserve"> Conclusion and Future Outlook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_Toc29908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48F976AD">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_Toc14830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bCs/>
              <w:sz w:val="24"/>
              <w:szCs w:val="24"/>
              <w:lang w:val="en-US" w:eastAsia="zh-CN"/>
            </w:rPr>
            <w:t xml:space="preserve">5.1 </w:t>
          </w:r>
          <w:r>
            <w:rPr>
              <w:rFonts w:hint="default" w:ascii="Times New Roman" w:hAnsi="Times New Roman" w:cs="Times New Roman"/>
              <w:bCs/>
              <w:sz w:val="24"/>
              <w:szCs w:val="24"/>
            </w:rPr>
            <w:t>Key Successes and Core Skill Gains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_Toc14830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702A93BD">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_Toc3019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bCs/>
              <w:sz w:val="24"/>
              <w:szCs w:val="24"/>
              <w:lang w:val="en-US" w:eastAsia="zh-CN"/>
            </w:rPr>
            <w:t xml:space="preserve">5.2 </w:t>
          </w:r>
          <w:r>
            <w:rPr>
              <w:rFonts w:hint="default" w:ascii="Times New Roman" w:hAnsi="Times New Roman" w:cs="Times New Roman"/>
              <w:bCs/>
              <w:sz w:val="24"/>
              <w:szCs w:val="24"/>
            </w:rPr>
            <w:t>Reflection and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4B754975">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\l _Toc19880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eastAsiaTheme="minorEastAsia"/>
              <w:bCs/>
              <w:kern w:val="2"/>
              <w:sz w:val="24"/>
              <w:szCs w:val="24"/>
              <w:lang w:val="en-US" w:eastAsia="zh-CN" w:bidi="ar-SA"/>
            </w:rPr>
            <w:t>6.</w:t>
          </w:r>
          <w:r>
            <w:rPr>
              <w:rFonts w:hint="default" w:ascii="Times New Roman" w:hAnsi="Times New Roman" w:cs="Times New Roman"/>
              <w:sz w:val="24"/>
              <w:szCs w:val="24"/>
            </w:rPr>
            <w:t xml:space="preserve"> </w:t>
          </w:r>
          <w:r>
            <w:rPr>
              <w:rFonts w:hint="default" w:ascii="Times New Roman" w:hAnsi="Times New Roman" w:cs="Times New Roman" w:eastAsiaTheme="minorEastAsia"/>
              <w:bCs/>
              <w:kern w:val="2"/>
              <w:sz w:val="24"/>
              <w:szCs w:val="24"/>
              <w:lang w:val="en-US" w:eastAsia="zh-CN" w:bidi="ar-SA"/>
            </w:rPr>
            <w:t>Special Thanks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eastAsiaTheme="minorEastAsia"/>
              <w:kern w:val="2"/>
              <w:sz w:val="24"/>
              <w:szCs w:val="24"/>
              <w:lang w:val="en-US" w:eastAsia="zh-CN" w:bidi="ar-SA"/>
            </w:rPr>
            <w:fldChar w:fldCharType="end"/>
          </w:r>
        </w:p>
        <w:p w14:paraId="291D73AE">
          <w:pPr>
            <w:bidi w:val="0"/>
            <w:spacing w:line="360" w:lineRule="auto"/>
            <w:rPr>
              <w:rFonts w:hint="default" w:ascii="Times New Roman" w:hAnsi="Times New Roman" w:cs="Times New Roman" w:eastAsiaTheme="minorEastAsia"/>
              <w:bCs/>
              <w:kern w:val="2"/>
              <w:sz w:val="24"/>
              <w:szCs w:val="24"/>
              <w:lang w:val="en-US" w:eastAsia="zh-CN" w:bidi="ar-SA"/>
            </w:rPr>
            <w:sectPr>
              <w:pgSz w:w="11906" w:h="16838"/>
              <w:pgMar w:top="1440" w:right="1440" w:bottom="1440" w:left="1440" w:header="851" w:footer="992" w:gutter="0"/>
              <w:cols w:space="0" w:num="1"/>
              <w:rtlGutter w:val="0"/>
              <w:docGrid w:type="lines" w:linePitch="312" w:charSpace="0"/>
            </w:sectPr>
          </w:pPr>
          <w:r>
            <w:rPr>
              <w:rFonts w:hint="default" w:ascii="Times New Roman" w:hAnsi="Times New Roman" w:cs="Times New Roman" w:eastAsiaTheme="minorEastAsia"/>
              <w:kern w:val="2"/>
              <w:sz w:val="24"/>
              <w:szCs w:val="24"/>
              <w:lang w:val="en-US" w:eastAsia="zh-CN" w:bidi="ar-SA"/>
            </w:rPr>
            <w:fldChar w:fldCharType="end"/>
          </w:r>
        </w:p>
      </w:sdtContent>
    </w:sdt>
    <w:p w14:paraId="06B6A7D2">
      <w:pPr>
        <w:bidi w:val="0"/>
        <w:spacing w:line="360" w:lineRule="auto"/>
        <w:jc w:val="center"/>
        <w:outlineLvl w:val="0"/>
        <w:rPr>
          <w:rFonts w:hint="eastAsia" w:ascii="Times New Roman" w:hAnsi="Times New Roman" w:cs="Times New Roman"/>
          <w:b/>
          <w:bCs/>
          <w:sz w:val="24"/>
          <w:szCs w:val="24"/>
          <w:lang w:val="en-US" w:eastAsia="zh-CN"/>
        </w:rPr>
      </w:pPr>
      <w:bookmarkStart w:id="0" w:name="_Toc16340"/>
      <w:r>
        <w:rPr>
          <w:rFonts w:hint="eastAsia" w:ascii="Times New Roman" w:hAnsi="Times New Roman" w:cs="Times New Roman"/>
          <w:b/>
          <w:bCs/>
          <w:sz w:val="24"/>
          <w:szCs w:val="24"/>
          <w:lang w:val="en-US" w:eastAsia="zh-CN"/>
        </w:rPr>
        <w:t>Introduction</w:t>
      </w:r>
      <w:bookmarkEnd w:id="0"/>
    </w:p>
    <w:p w14:paraId="35AD87F2">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This report comprehensively traces the complete creative process behind the personal 3D animated short film Stardust Collector. The project's core lies in shaping ‘Dian Dian’, a mechanical spirit forgotten amidst cosmic ruins, and exploring the poetic themes of creation and oblivion through its ultimate journey of self-sacrifice. Technically, this project eschewed traditional UV texture mapping workflows, relying entirely on Blender's Geometry Nodes and Shader Nodes systems to construct fully procedural, dynamically responsive material solutions for characters and environments. Simultaneously, Blender's Eevee real-time rendering engine was employed throughout, pushing its limits in rendering expansive cosmic scenes and complex lighting effects. This presentation will dissect each critical stage of this unconventional technical approach: from node-based geometry modelling and asset creation, to the generation of procedural textures and materials driving the core visual narrative; from the cross-software challenges encountered during animation testing and final choreography in Maya, to the visual effects achieved upon returning to Blender by leveraging its powerful simulation and node systems. It details how Eevee's real-time capabilities were utilised for lighting choreography, rendering optimisation, and the integration of all elements into the final composite. This creation represents an extreme exploration and successful implementation of the depth and potential for applying real-time rendering technology and procedural asset workflows within a personal artistic short film.</w:t>
      </w:r>
    </w:p>
    <w:p w14:paraId="1DBABC4E">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Keywords: Procedural modelling; Geometry nodes; Shader nodes; Real-time rendering; Eevee engine; 3D animation; Rigging; Visual effects</w:t>
      </w:r>
    </w:p>
    <w:p w14:paraId="4C53EE35">
      <w:pPr>
        <w:spacing w:line="360" w:lineRule="auto"/>
        <w:rPr>
          <w:rFonts w:hint="eastAsia"/>
          <w:lang w:val="en-US" w:eastAsia="zh-CN"/>
        </w:rPr>
      </w:pPr>
      <w:r>
        <w:rPr>
          <w:rFonts w:hint="eastAsia"/>
          <w:lang w:val="en-US" w:eastAsia="zh-CN"/>
        </w:rPr>
        <w:br w:type="page"/>
      </w:r>
    </w:p>
    <w:p w14:paraId="003BE7B0">
      <w:pPr>
        <w:pStyle w:val="15"/>
        <w:bidi w:val="0"/>
        <w:spacing w:line="360" w:lineRule="auto"/>
        <w:outlineLvl w:val="0"/>
        <w:rPr>
          <w:rFonts w:hint="default"/>
        </w:rPr>
      </w:pPr>
      <w:bookmarkStart w:id="1" w:name="_Toc19875"/>
      <w:r>
        <w:rPr>
          <w:rFonts w:hint="default"/>
          <w:lang w:val="en-US" w:eastAsia="zh-CN"/>
        </w:rPr>
        <w:t>1.</w:t>
      </w:r>
      <w:r>
        <w:rPr>
          <w:rFonts w:hint="default"/>
        </w:rPr>
        <w:t xml:space="preserve"> Story Background</w:t>
      </w:r>
      <w:bookmarkEnd w:id="1"/>
    </w:p>
    <w:p w14:paraId="518198F5">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narrative centres upon a diminutive, abandoned robot confronting peril within a space station. After the tragic loss of its leg, it resolves to depart in a more resplendent manner rather than fade into obscurity. It transforms its shortened limb into a launcher, converting surrounding components into a fireworks display. Who claims one cannot witness fireworks in space? This animation demonstrates otherwise. Even a minor character can radiate brilliance when confronting extinction—this embodies my narrative's essence. There exists no melancholy, only resplendence. The creative journey of Star Collector mirrors the protagonist Dian Dian's patchwork existence: forging a unique path to express inner worlds amidst the wreckage and crevices of existing technology. I sought to explore Blender's fully proceduralised node system, though this doesn't mean I'll entirely abandon textures. Rather, I wish to fully immerse myself in Blender's node universe—a mechanical entity futilely resisting the infinite entropy of the cosmos. Its exterior shouldn't be defined by a static, perfect “skin”; it must be dynamic, mutable, driven by internal logic, and capable of interacting with its environment. Opting for the Eevee real-time renderer allows more time for iteration and creation, enabling the immediate visualisation of emotions born from the collision of light and matter on screen. This ensures the technical workflow serves artistic intuition to the greatest extent possible.</w:t>
      </w:r>
    </w:p>
    <w:p w14:paraId="7AD063EB">
      <w:pPr>
        <w:pStyle w:val="15"/>
        <w:bidi w:val="0"/>
        <w:spacing w:line="360" w:lineRule="auto"/>
        <w:outlineLvl w:val="0"/>
        <w:rPr>
          <w:rFonts w:hint="default"/>
        </w:rPr>
      </w:pPr>
      <w:bookmarkStart w:id="2" w:name="_Toc12381"/>
      <w:r>
        <w:rPr>
          <w:rFonts w:hint="eastAsia" w:eastAsia="宋体"/>
          <w:lang w:val="en-US" w:eastAsia="zh-CN"/>
        </w:rPr>
        <w:t>2.</w:t>
      </w:r>
      <w:r>
        <w:rPr>
          <w:rFonts w:hint="default" w:ascii="Times New Roman" w:hAnsi="Times New Roman" w:cs="Times New Roman"/>
          <w:sz w:val="24"/>
          <w:szCs w:val="24"/>
        </w:rPr>
        <w:t xml:space="preserve"> </w:t>
      </w:r>
      <w:r>
        <w:rPr>
          <w:rFonts w:hint="default"/>
        </w:rPr>
        <w:t>Character Modelling</w:t>
      </w:r>
      <w:bookmarkEnd w:id="2"/>
    </w:p>
    <w:p w14:paraId="62A008AB">
      <w:pPr>
        <w:bidi w:val="0"/>
        <w:spacing w:line="360" w:lineRule="auto"/>
        <w:outlineLvl w:val="1"/>
        <w:rPr>
          <w:rFonts w:hint="default" w:ascii="Times New Roman" w:hAnsi="Times New Roman" w:cs="Times New Roman"/>
          <w:b/>
          <w:bCs/>
          <w:sz w:val="24"/>
          <w:szCs w:val="24"/>
        </w:rPr>
      </w:pPr>
      <w:bookmarkStart w:id="3" w:name="_Toc18289"/>
      <w:r>
        <w:rPr>
          <w:rFonts w:hint="eastAsia" w:ascii="Times New Roman" w:hAnsi="Times New Roman" w:cs="Times New Roman"/>
          <w:b/>
          <w:bCs/>
          <w:sz w:val="24"/>
          <w:szCs w:val="24"/>
          <w:lang w:val="en-US" w:eastAsia="zh-CN"/>
        </w:rPr>
        <w:t xml:space="preserve">2.1 </w:t>
      </w:r>
      <w:r>
        <w:rPr>
          <w:rFonts w:hint="default" w:ascii="Times New Roman" w:hAnsi="Times New Roman" w:cs="Times New Roman"/>
          <w:b/>
          <w:bCs/>
          <w:sz w:val="24"/>
          <w:szCs w:val="24"/>
        </w:rPr>
        <w:t>Character Profile</w:t>
      </w:r>
      <w:bookmarkEnd w:id="3"/>
    </w:p>
    <w:p w14:paraId="6C88CEF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Dian Dian is a compact, square-headed service robot originally engineered for fundamental maintenance and domestic duties within spacecraft. Its design is not particularly sophisticated, featuring a lightweight alloy shell and straightforward, functional joint structures that are easy to maintain but offer limited flexibility. It possesses a panel embedded on its chest that was previously utilised to display its operational status. Dian Dian is a compact, square-headed service robot originally engineered for fundamental maintenance and domestic duties within spacecraft. Its design is not particularly elegant, featuring a lightweight alloy shell and simple, practical joint structures that are easy to maintain, though it lacks highly flexible mobility. It has a panel embedded on its chest that was previously used to display its status.</w:t>
      </w:r>
    </w:p>
    <w:p w14:paraId="6E86492B">
      <w:pPr>
        <w:bidi w:val="0"/>
        <w:spacing w:line="360" w:lineRule="auto"/>
        <w:outlineLvl w:val="1"/>
        <w:rPr>
          <w:rFonts w:hint="default" w:ascii="Times New Roman" w:hAnsi="Times New Roman" w:cs="Times New Roman"/>
          <w:sz w:val="24"/>
          <w:szCs w:val="24"/>
        </w:rPr>
      </w:pPr>
      <w:bookmarkStart w:id="4" w:name="_Toc22883"/>
      <w:r>
        <w:rPr>
          <w:rFonts w:hint="eastAsia" w:ascii="Times New Roman" w:hAnsi="Times New Roman" w:cs="Times New Roman"/>
          <w:b/>
          <w:bCs/>
          <w:sz w:val="24"/>
          <w:szCs w:val="24"/>
          <w:lang w:val="en-US" w:eastAsia="zh-CN"/>
        </w:rPr>
        <w:t xml:space="preserve">2.2 </w:t>
      </w:r>
      <w:r>
        <w:rPr>
          <w:rFonts w:hint="default" w:ascii="Times New Roman" w:hAnsi="Times New Roman" w:cs="Times New Roman"/>
          <w:b/>
          <w:bCs/>
          <w:sz w:val="24"/>
          <w:szCs w:val="24"/>
        </w:rPr>
        <w:t>High-Poly Sculpting</w:t>
      </w:r>
      <w:bookmarkEnd w:id="4"/>
    </w:p>
    <w:p w14:paraId="39685F8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59264" behindDoc="0" locked="0" layoutInCell="1" allowOverlap="1">
            <wp:simplePos x="0" y="0"/>
            <wp:positionH relativeFrom="column">
              <wp:posOffset>17145</wp:posOffset>
            </wp:positionH>
            <wp:positionV relativeFrom="paragraph">
              <wp:posOffset>966470</wp:posOffset>
            </wp:positionV>
            <wp:extent cx="3451225" cy="1877695"/>
            <wp:effectExtent l="0" t="0" r="15875" b="8255"/>
            <wp:wrapSquare wrapText="bothSides"/>
            <wp:docPr id="1" name="图片 1" descr="屏幕截图 2025-07-29 152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屏幕截图 2025-07-29 152533"/>
                    <pic:cNvPicPr>
                      <a:picLocks noChangeAspect="1"/>
                    </pic:cNvPicPr>
                  </pic:nvPicPr>
                  <pic:blipFill>
                    <a:blip r:embed="rId5"/>
                    <a:stretch>
                      <a:fillRect/>
                    </a:stretch>
                  </pic:blipFill>
                  <pic:spPr>
                    <a:xfrm>
                      <a:off x="0" y="0"/>
                      <a:ext cx="3451225" cy="1877695"/>
                    </a:xfrm>
                    <a:prstGeom prst="rect">
                      <a:avLst/>
                    </a:prstGeom>
                  </pic:spPr>
                </pic:pic>
              </a:graphicData>
            </a:graphic>
          </wp:anchor>
        </w:drawing>
      </w:r>
      <w:r>
        <w:rPr>
          <w:rFonts w:hint="default" w:ascii="Times New Roman" w:hAnsi="Times New Roman" w:cs="Times New Roman"/>
          <w:sz w:val="24"/>
          <w:szCs w:val="24"/>
        </w:rPr>
        <w:t>When creating Dian Dian, Blender software was utilised. The robot's basic shell shape was constructed through subdivision modelling, with textured details added to the surface to create a sculpted appearance. As for Dian Dian's materials, node-based painting was employed directly within Blender to render the mechanical structures of its joints and the buttons on its chest control panel, lending the entire model a more pronounced industrial aesthetic.To achieve a more authentic visual appearance for Dian Dian Robot, following the completion of material adjustments, meticulous settings for surface roughness and metallicity were applied. This ensures the robot's casing exhibits both metallic reflection and diffuse reflection properties under varying lighting conditions. Concurrently, to emphasise the functional design of the control panel on the robot's chest, localised highlight processing was applied to this area, enhancing the sense of depth in the button and screen regions. Ultimately, rendered in Blender's Eevee renderer, Dian Dian Robot was brought to life with exceptional visual fidelity. The intricate model, combined with lifelike materials, masterfully conveyed its sci-fi industrial aesthetic.</w:t>
      </w:r>
    </w:p>
    <w:p w14:paraId="70E63194">
      <w:pPr>
        <w:pStyle w:val="15"/>
        <w:bidi w:val="0"/>
        <w:spacing w:line="360" w:lineRule="auto"/>
        <w:outlineLvl w:val="0"/>
        <w:rPr>
          <w:rFonts w:hint="default"/>
        </w:rPr>
      </w:pPr>
      <w:bookmarkStart w:id="5" w:name="_Toc7984"/>
      <w:r>
        <w:rPr>
          <w:rFonts w:hint="eastAsia" w:eastAsia="宋体"/>
          <w:lang w:val="en-US" w:eastAsia="zh-CN"/>
        </w:rPr>
        <w:t>3.</w:t>
      </w:r>
      <w:r>
        <w:rPr>
          <w:rFonts w:hint="default" w:ascii="Times New Roman" w:hAnsi="Times New Roman" w:cs="Times New Roman"/>
          <w:sz w:val="24"/>
          <w:szCs w:val="24"/>
        </w:rPr>
        <w:t xml:space="preserve"> </w:t>
      </w:r>
      <w:r>
        <w:rPr>
          <w:rFonts w:hint="default"/>
        </w:rPr>
        <w:t>Animation Production</w:t>
      </w:r>
      <w:bookmarkEnd w:id="5"/>
    </w:p>
    <w:p w14:paraId="4A0F149D">
      <w:pPr>
        <w:bidi w:val="0"/>
        <w:spacing w:line="360" w:lineRule="auto"/>
        <w:outlineLvl w:val="1"/>
        <w:rPr>
          <w:rFonts w:hint="default" w:ascii="Times New Roman" w:hAnsi="Times New Roman" w:cs="Times New Roman"/>
          <w:b/>
          <w:bCs/>
          <w:sz w:val="24"/>
          <w:szCs w:val="24"/>
        </w:rPr>
      </w:pPr>
      <w:bookmarkStart w:id="6" w:name="_Toc5964"/>
      <w:r>
        <w:rPr>
          <w:rFonts w:hint="eastAsia" w:ascii="Times New Roman" w:hAnsi="Times New Roman" w:cs="Times New Roman"/>
          <w:b/>
          <w:bCs/>
          <w:sz w:val="24"/>
          <w:szCs w:val="24"/>
          <w:lang w:val="en-US" w:eastAsia="zh-CN"/>
        </w:rPr>
        <w:t xml:space="preserve">3.1 </w:t>
      </w:r>
      <w:r>
        <w:rPr>
          <w:rFonts w:hint="default" w:ascii="Times New Roman" w:hAnsi="Times New Roman" w:cs="Times New Roman"/>
          <w:b/>
          <w:bCs/>
          <w:sz w:val="24"/>
          <w:szCs w:val="24"/>
        </w:rPr>
        <w:t>Special Effects Animation</w:t>
      </w:r>
      <w:bookmarkEnd w:id="6"/>
    </w:p>
    <w:p w14:paraId="01721735">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 find creating special effects animation particularly engaging, as adding nodes and particle effects brings the workbench animation to life. Particularly when handling lighting effects and motion blur, it infuses the entire scene with dynamism and vitality. Throughout the process, continuously adjusting parameters and optimising node structures enables the effects to appear more natural and fluid. When particle systems harmonise with lighting, the animation achieves a strikingly futuristic visual impact, immersing the viewer in a veritable technological realm. This process of breathing life into static models profoundly reveals the allure of special effects animation. When creating the noise-patterned light rings surrounding this space portal, I first formed a circular ring. Subdivision and displacement modifiers were </w:t>
      </w:r>
      <w:r>
        <w:rPr>
          <w:rFonts w:hint="default" w:ascii="Times New Roman" w:hAnsi="Times New Roman" w:cs="Times New Roman"/>
          <w:sz w:val="24"/>
          <w:szCs w:val="24"/>
        </w:rPr>
        <w:drawing>
          <wp:anchor distT="0" distB="0" distL="114300" distR="114300" simplePos="0" relativeHeight="251661312" behindDoc="0" locked="0" layoutInCell="1" allowOverlap="1">
            <wp:simplePos x="0" y="0"/>
            <wp:positionH relativeFrom="column">
              <wp:posOffset>-118745</wp:posOffset>
            </wp:positionH>
            <wp:positionV relativeFrom="paragraph">
              <wp:posOffset>5087620</wp:posOffset>
            </wp:positionV>
            <wp:extent cx="3427730" cy="1863725"/>
            <wp:effectExtent l="0" t="0" r="1270" b="3175"/>
            <wp:wrapSquare wrapText="bothSides"/>
            <wp:docPr id="4" name="图片 4" descr="屏幕截图 2025-07-30 004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屏幕截图 2025-07-30 004109"/>
                    <pic:cNvPicPr>
                      <a:picLocks noChangeAspect="1"/>
                    </pic:cNvPicPr>
                  </pic:nvPicPr>
                  <pic:blipFill>
                    <a:blip r:embed="rId6"/>
                    <a:stretch>
                      <a:fillRect/>
                    </a:stretch>
                  </pic:blipFill>
                  <pic:spPr>
                    <a:xfrm>
                      <a:off x="0" y="0"/>
                      <a:ext cx="3427730" cy="1863725"/>
                    </a:xfrm>
                    <a:prstGeom prst="rect">
                      <a:avLst/>
                    </a:prstGeom>
                  </pic:spPr>
                </pic:pic>
              </a:graphicData>
            </a:graphic>
          </wp:anchor>
        </w:drawing>
      </w:r>
      <w:r>
        <w:rPr>
          <w:rFonts w:hint="default" w:ascii="Times New Roman" w:hAnsi="Times New Roman" w:cs="Times New Roman"/>
          <w:sz w:val="24"/>
          <w:szCs w:val="24"/>
        </w:rPr>
        <w:drawing>
          <wp:anchor distT="0" distB="0" distL="114300" distR="114300" simplePos="0" relativeHeight="251660288" behindDoc="0" locked="0" layoutInCell="1" allowOverlap="1">
            <wp:simplePos x="0" y="0"/>
            <wp:positionH relativeFrom="column">
              <wp:posOffset>45720</wp:posOffset>
            </wp:positionH>
            <wp:positionV relativeFrom="paragraph">
              <wp:posOffset>2242820</wp:posOffset>
            </wp:positionV>
            <wp:extent cx="3252470" cy="1764665"/>
            <wp:effectExtent l="0" t="0" r="5080" b="6985"/>
            <wp:wrapSquare wrapText="bothSides"/>
            <wp:docPr id="3" name="图片 3" descr="屏幕截图 2025-07-29 143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屏幕截图 2025-07-29 143844"/>
                    <pic:cNvPicPr>
                      <a:picLocks noChangeAspect="1"/>
                    </pic:cNvPicPr>
                  </pic:nvPicPr>
                  <pic:blipFill>
                    <a:blip r:embed="rId7"/>
                    <a:stretch>
                      <a:fillRect/>
                    </a:stretch>
                  </pic:blipFill>
                  <pic:spPr>
                    <a:xfrm>
                      <a:off x="0" y="0"/>
                      <a:ext cx="3252470" cy="1764665"/>
                    </a:xfrm>
                    <a:prstGeom prst="rect">
                      <a:avLst/>
                    </a:prstGeom>
                  </pic:spPr>
                </pic:pic>
              </a:graphicData>
            </a:graphic>
          </wp:anchor>
        </w:drawing>
      </w:r>
      <w:r>
        <w:rPr>
          <w:rFonts w:hint="default" w:ascii="Times New Roman" w:hAnsi="Times New Roman" w:cs="Times New Roman"/>
          <w:sz w:val="24"/>
          <w:szCs w:val="24"/>
        </w:rPr>
        <w:t>then applied, with texture mapping introducing mysterious monochrome effects. Multiple copies of this ring were duplicated, scaled, and elongated, with continuous length adjustments refining the ring's visual impact. For lighting effects, I typically opt for the Eevee render engine, as its real-time ray tracing previews offer an intuitive and nuanced representation of light behaviour. The batch generation of spacecraft utilised the hair system, ensuring each vessel's arrangement appeared both natural and orderly. By controlling particle lifecycles, we achieved fluid animation during spacecraft generation and disappearance. By adjusting the distribution weights and randomness within the hair system, each spacecraft's trajectory gains unique character, avoiding repetitive or rigid visual patterns. Combined with the rendering of light effects and particle systems, the entire scene achieves both layered depth and a futuristic technological atmosphere, showcasing the boundless possibilities and creativity inherent in animation production. To establish the environmental ambience, I created a cube, set up material output nodes, and subsequently added volumetric scattering nodes. By modifying the colour and density of these scattering nodes, the entire scene acquired the requisite mystique of outer space. Additionally, I incorporated several light sources of varying intensities. Adjusting their colour and falloff distance ensured the scene possessed both layered depth and highlighted the details of the main model. During rendering, particular attention was paid to anti-aliasing and resolution settings to ensure sharp, detailed imagery. Post-processing introduced subtle flares and chromatic aberration effects using a plugin called Flared Type, enhancing the animation's visual richness and texture.</w:t>
      </w:r>
    </w:p>
    <w:p w14:paraId="5B84F80A">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For the fireworks particle effects, I referenced a video by a Bilibili creator, learning that </w:t>
      </w:r>
      <w:r>
        <w:rPr>
          <w:rFonts w:hint="default" w:ascii="Times New Roman" w:hAnsi="Times New Roman" w:cs="Times New Roman"/>
          <w:sz w:val="24"/>
          <w:szCs w:val="24"/>
        </w:rPr>
        <w:drawing>
          <wp:anchor distT="0" distB="0" distL="114300" distR="114300" simplePos="0" relativeHeight="251665408" behindDoc="0" locked="0" layoutInCell="1" allowOverlap="1">
            <wp:simplePos x="0" y="0"/>
            <wp:positionH relativeFrom="column">
              <wp:posOffset>-10160</wp:posOffset>
            </wp:positionH>
            <wp:positionV relativeFrom="paragraph">
              <wp:posOffset>998855</wp:posOffset>
            </wp:positionV>
            <wp:extent cx="3458210" cy="2025650"/>
            <wp:effectExtent l="0" t="0" r="8890" b="6350"/>
            <wp:wrapSquare wrapText="bothSides"/>
            <wp:docPr id="7" name="图片 7" descr="09d5b908755f2d5ea028b5ea176a657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09d5b908755f2d5ea028b5ea176a657f"/>
                    <pic:cNvPicPr>
                      <a:picLocks noChangeAspect="1"/>
                    </pic:cNvPicPr>
                  </pic:nvPicPr>
                  <pic:blipFill>
                    <a:blip r:embed="rId8"/>
                    <a:stretch>
                      <a:fillRect/>
                    </a:stretch>
                  </pic:blipFill>
                  <pic:spPr>
                    <a:xfrm>
                      <a:off x="0" y="0"/>
                      <a:ext cx="3458210" cy="2025650"/>
                    </a:xfrm>
                    <a:prstGeom prst="rect">
                      <a:avLst/>
                    </a:prstGeom>
                  </pic:spPr>
                </pic:pic>
              </a:graphicData>
            </a:graphic>
          </wp:anchor>
        </w:drawing>
      </w:r>
      <w:r>
        <w:rPr>
          <w:rFonts w:hint="default" w:ascii="Times New Roman" w:hAnsi="Times New Roman" w:cs="Times New Roman"/>
          <w:sz w:val="24"/>
          <w:szCs w:val="24"/>
        </w:rPr>
        <w:t>colour represents both the trajectory of the fireworks and the quantity of particles. Colour is the soul of fireworks. Thus, I resolved never to use a single hue. The shader network proved the crowning touch of the entire effect. First, a ‘Blackbody’ node drove the ‘Self-Lighting’ property, inputting a colour temperature gradient from high to low temperatures. This simulated the natural physical process of sparks cooling from bright blue-white to orange-red. Yet fireworks are multicoloured, demanding richer control. We can feed the output from a “Noise Texture” node into a “Colour Gradient” node, setting its colour stops to a series of vivid, high-contrast hues. Blending this gradient with the blackbody temperature via an “Overlay” node using “Multiply” or “Add” modes yields complex tones that are both physically accurate and fantastically vibrant. Finally, multiplying the intensity of the ‘Self-Light’ node by a time-driven “Curve” node that rapidly amplifies then gradually fades, whilst enabling the renderer's ‘Glow’ effect, causes each spark to erupt with dazzling luminosity and emit an enchanting halo around it.</w:t>
      </w:r>
    </w:p>
    <w:p w14:paraId="1DB26C1F">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62336" behindDoc="0" locked="0" layoutInCell="1" allowOverlap="1">
            <wp:simplePos x="0" y="0"/>
            <wp:positionH relativeFrom="column">
              <wp:posOffset>66675</wp:posOffset>
            </wp:positionH>
            <wp:positionV relativeFrom="paragraph">
              <wp:posOffset>535940</wp:posOffset>
            </wp:positionV>
            <wp:extent cx="3105150" cy="1687830"/>
            <wp:effectExtent l="0" t="0" r="0" b="7620"/>
            <wp:wrapSquare wrapText="bothSides"/>
            <wp:docPr id="5" name="图片 5" descr="屏幕截图 2025-07-30 150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屏幕截图 2025-07-30 150946"/>
                    <pic:cNvPicPr>
                      <a:picLocks noChangeAspect="1"/>
                    </pic:cNvPicPr>
                  </pic:nvPicPr>
                  <pic:blipFill>
                    <a:blip r:embed="rId9"/>
                    <a:stretch>
                      <a:fillRect/>
                    </a:stretch>
                  </pic:blipFill>
                  <pic:spPr>
                    <a:xfrm>
                      <a:off x="0" y="0"/>
                      <a:ext cx="3105150" cy="1687830"/>
                    </a:xfrm>
                    <a:prstGeom prst="rect">
                      <a:avLst/>
                    </a:prstGeom>
                  </pic:spPr>
                </pic:pic>
              </a:graphicData>
            </a:graphic>
          </wp:anchor>
        </w:drawing>
      </w:r>
      <w:r>
        <w:rPr>
          <w:rFonts w:hint="default" w:ascii="Times New Roman" w:hAnsi="Times New Roman" w:cs="Times New Roman"/>
          <w:sz w:val="24"/>
          <w:szCs w:val="24"/>
        </w:rPr>
        <w:t>The lunar surface was crafted using identical techniques to the space portal described earlier. A combination of displacement nodes and noise textures, with adjusted intensity and frequency, simulated the cratered, rugged details characteristic of the moon's surface. Additionally, colour gradient nodes were employed to control surface illumination variations, introducing distinct colour layers to areas of differing elevation, thereby enhancing the overall sense of depth. For the material, I employed a hybrid of ‘Diffuse’ and ‘Self-Illumination’ properties. This allows the lunar surface to exhibit natural reflections under illumination while also emitting a subtle glow, capturing the moon's unique cosmic texture. When refining surface details, I paid particular attention to the interplay of light and shadow, adjusting the main light source's angle and intensity to accentuate the terrain's undulations. Additionally, a soft ambient light was introduced to balance shadow details, preventing them from appearing overly oppressive. During post-processing, subtle tone separation techniques were applied to enhance the layering and texture of the lunar surface materials. To further elevate the overall dimensionality, a ‘glow enhancement’ plugin was employed to selectively intensify highlight areas, lending these sections greater three-dimensionality and detail. Simultaneously, I adjusted the overall colour balance to create a harmonious transition between cool and warm tones, further accentuating the texture and light-shadow variations on the lunar surface. To heighten the immersive quality, I incorporated effects during the rendering output stage that simulate light scattering phenomena observed in real photographic lenses, lending the entire scene a more natural and layered visual appearance. This represents only part of my creation for this lunar surface scene. For the animated video demonstration, I further incorporated models of lunar bases. These models, sourced from online assets, were appropriately scaled and had their materials replaced to integrate seamlessly into the scene. Positioned within the low-lying areas of the lunar surface, they contribute to a sense of authentic technological presence.</w:t>
      </w:r>
    </w:p>
    <w:p w14:paraId="6BC213DB">
      <w:pPr>
        <w:bidi w:val="0"/>
        <w:spacing w:line="360" w:lineRule="auto"/>
        <w:outlineLvl w:val="1"/>
        <w:rPr>
          <w:rFonts w:hint="default" w:ascii="Times New Roman" w:hAnsi="Times New Roman" w:cs="Times New Roman"/>
          <w:b/>
          <w:bCs/>
          <w:sz w:val="24"/>
          <w:szCs w:val="24"/>
        </w:rPr>
      </w:pPr>
      <w:bookmarkStart w:id="7" w:name="_Toc23838"/>
      <w:r>
        <w:rPr>
          <w:rFonts w:hint="eastAsia" w:ascii="Times New Roman" w:hAnsi="Times New Roman" w:cs="Times New Roman"/>
          <w:b/>
          <w:bCs/>
          <w:sz w:val="24"/>
          <w:szCs w:val="24"/>
          <w:lang w:val="en-US" w:eastAsia="zh-CN"/>
        </w:rPr>
        <w:t xml:space="preserve">3.2 </w:t>
      </w:r>
      <w:r>
        <w:rPr>
          <w:rFonts w:hint="default" w:ascii="Times New Roman" w:hAnsi="Times New Roman" w:cs="Times New Roman"/>
          <w:b/>
          <w:bCs/>
          <w:sz w:val="24"/>
          <w:szCs w:val="24"/>
        </w:rPr>
        <w:t>Animation Production</w:t>
      </w:r>
      <w:bookmarkEnd w:id="7"/>
    </w:p>
    <w:p w14:paraId="49C61F4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64384" behindDoc="0" locked="0" layoutInCell="1" allowOverlap="1">
            <wp:simplePos x="0" y="0"/>
            <wp:positionH relativeFrom="column">
              <wp:posOffset>27305</wp:posOffset>
            </wp:positionH>
            <wp:positionV relativeFrom="paragraph">
              <wp:posOffset>1058545</wp:posOffset>
            </wp:positionV>
            <wp:extent cx="3294380" cy="2059305"/>
            <wp:effectExtent l="0" t="0" r="1270" b="17145"/>
            <wp:wrapSquare wrapText="bothSides"/>
            <wp:docPr id="10" name="图片 10" descr="23743b12edc7b0ba31c59b30a9d8a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23743b12edc7b0ba31c59b30a9d8a94"/>
                    <pic:cNvPicPr>
                      <a:picLocks noChangeAspect="1"/>
                    </pic:cNvPicPr>
                  </pic:nvPicPr>
                  <pic:blipFill>
                    <a:blip r:embed="rId10"/>
                    <a:stretch>
                      <a:fillRect/>
                    </a:stretch>
                  </pic:blipFill>
                  <pic:spPr>
                    <a:xfrm>
                      <a:off x="0" y="0"/>
                      <a:ext cx="3294380" cy="2059305"/>
                    </a:xfrm>
                    <a:prstGeom prst="rect">
                      <a:avLst/>
                    </a:prstGeom>
                  </pic:spPr>
                </pic:pic>
              </a:graphicData>
            </a:graphic>
          </wp:anchor>
        </w:drawing>
      </w:r>
      <w:r>
        <w:rPr>
          <w:rFonts w:hint="default" w:ascii="Times New Roman" w:hAnsi="Times New Roman" w:cs="Times New Roman"/>
          <w:sz w:val="24"/>
          <w:szCs w:val="24"/>
        </w:rPr>
        <w:t xml:space="preserve">During the animation process, I first exported the models created in Blender as FBX files and imported them into Maya. Initially, I had planned to produce all animations within Blender. However, I discovered that the lunar surface model was excessively large, causing Blender's frame rate to become highly unstable during animation. This frequently resulted in stuttering and delays, with each minor object movement taking nearly two minutes. This significantly impacted my ability to maintain a consistent animation rhythm. Consequently, I opted to import the model into Maya for animation, as this software demonstrates greater stability when handling large-scale models and complex animations. Upon import, I discovered that the robotic skeleton originally bound in Blender was not correctly recognised by Maya. I therefore rebuilt the skeleton binding for the robot model and adjusted the controller settings according to the animation requirements, ensuring it could perform various actions such as grabbing and walking with flexibility during animation. Given that Dian Dian's model was procedurally generated using Geometry Nodes in Blender, its structure </w:t>
      </w:r>
      <w:r>
        <w:rPr>
          <w:rFonts w:hint="default" w:ascii="Times New Roman" w:hAnsi="Times New Roman" w:cs="Times New Roman"/>
          <w:sz w:val="24"/>
          <w:szCs w:val="24"/>
        </w:rPr>
        <w:drawing>
          <wp:anchor distT="0" distB="0" distL="114300" distR="114300" simplePos="0" relativeHeight="251663360" behindDoc="0" locked="0" layoutInCell="1" allowOverlap="1">
            <wp:simplePos x="0" y="0"/>
            <wp:positionH relativeFrom="column">
              <wp:posOffset>119380</wp:posOffset>
            </wp:positionH>
            <wp:positionV relativeFrom="paragraph">
              <wp:posOffset>4124960</wp:posOffset>
            </wp:positionV>
            <wp:extent cx="2946400" cy="1598295"/>
            <wp:effectExtent l="0" t="0" r="6350" b="1905"/>
            <wp:wrapSquare wrapText="bothSides"/>
            <wp:docPr id="9" name="图片 9" descr="屏幕截图 2025-08-11 142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屏幕截图 2025-08-11 142632"/>
                    <pic:cNvPicPr>
                      <a:picLocks noChangeAspect="1"/>
                    </pic:cNvPicPr>
                  </pic:nvPicPr>
                  <pic:blipFill>
                    <a:blip r:embed="rId11"/>
                    <a:stretch>
                      <a:fillRect/>
                    </a:stretch>
                  </pic:blipFill>
                  <pic:spPr>
                    <a:xfrm>
                      <a:off x="0" y="0"/>
                      <a:ext cx="2946400" cy="1598295"/>
                    </a:xfrm>
                    <a:prstGeom prst="rect">
                      <a:avLst/>
                    </a:prstGeom>
                  </pic:spPr>
                </pic:pic>
              </a:graphicData>
            </a:graphic>
          </wp:anchor>
        </w:drawing>
      </w:r>
      <w:r>
        <w:rPr>
          <w:rFonts w:hint="default" w:ascii="Times New Roman" w:hAnsi="Times New Roman" w:cs="Times New Roman"/>
          <w:sz w:val="24"/>
          <w:szCs w:val="24"/>
        </w:rPr>
        <w:t>proved uniquely asymmetrical. This necessitated abandoning any automated rigging solutions in favour of a fully manual, bespoke approach. I created a simplified bone chain for it. The torso and head utilise FK (Forward Kinematics) controls, allowing direct manipulation of its overall body orientation to achieve a clumsy rotational feel. Both legs feature IK (inverse kinematics) controllers. The focus lies on the ‘damaged leg’ cobbled together from wreckage. I added drive constraints and delayed response expressions to its IK controller's rotation and displacement properties, simulating the mechanical glitches of an imprecise transmission. This forms the core of its shuffling gait. Consequently, I created two separate files: Animation A and Animation B. Animation A was dedicated to creating the robot's movements prior to leg failure, while Animation B showcased its limping motion after the leg had broken. In Animation B, I focused on detailing the robot's post-damage dynamics. By adjusting controller parameters, I simulated the mechanical instability. For instance, when ‘Dian Dian’ crawls, its ‘bad leg’ exhibits subtle slippage and tremors upon ground contact – details achieved through meticulous keyframe refinement. I also incorporated slight tilts and swaying motions in its upper body to counterbalance the leg's unstable movement, further enhancing the robot's expressiveness post-damage. This motion design not only lends ‘Dian Dian’ greater realism but also imbues the entire scene with an intertwined sense of tragic grandeur and resilience. In Animation B, I further amplified the visual impact of the robot's struggle through varied camera angles, such as low-angle shots looking upwards to emphasise its tenacity. Regarding lighting, I sought to simulate the cold ambient illumination of the lunar surface. White daylight was projected from above to create a crisp, icy effect, with subtle ambient occlusion added around the robot to highlight the reflective properties of its metallic surfaces. Furthermore, I employed stark light-dark contrasts to emphasise the robot's forceful movements and rhythmic cadence. Particularly during the moment when its ‘damaged leg’ drags along the ground, the refraction of light on the metallic wreckage and shifting shadows accentuate its ponderous weight. However, due to scene limitations, I was unable to achieve the desired close-up lighting effects within the scene itself. To resolve this issue, I opted for a combination of global lighting and post-production compositing to attain the ideal result. I moderately reduced the intensity of the primary light source to prevent excessive contrast between distant elements and the character. Simultaneously, I employed post-production software to apply localised fill lighting to the robot's body, rendering its surface details more clearly visible. This approach not only resolved the issue of lighting hierarchy but also enhanced the expressiveness of ‘Dot Dot's’ damaged structure in close-up shots.</w:t>
      </w:r>
    </w:p>
    <w:p w14:paraId="20F9054C">
      <w:pPr>
        <w:pStyle w:val="15"/>
        <w:bidi w:val="0"/>
        <w:spacing w:line="360" w:lineRule="auto"/>
        <w:outlineLvl w:val="0"/>
        <w:rPr>
          <w:rFonts w:hint="default" w:ascii="Times New Roman" w:hAnsi="Times New Roman" w:cs="Times New Roman"/>
          <w:b/>
          <w:bCs/>
          <w:sz w:val="24"/>
          <w:szCs w:val="24"/>
        </w:rPr>
      </w:pPr>
      <w:bookmarkStart w:id="8" w:name="_Toc8483"/>
      <w:r>
        <w:rPr>
          <w:rFonts w:hint="eastAsia" w:ascii="Times New Roman" w:hAnsi="Times New Roman" w:cs="Times New Roman"/>
          <w:b/>
          <w:bCs/>
          <w:sz w:val="24"/>
          <w:szCs w:val="24"/>
          <w:lang w:val="en-US" w:eastAsia="zh-CN"/>
        </w:rPr>
        <w:t>4.</w:t>
      </w:r>
      <w:r>
        <w:rPr>
          <w:rFonts w:hint="default" w:ascii="Times New Roman" w:hAnsi="Times New Roman" w:cs="Times New Roman"/>
          <w:sz w:val="24"/>
          <w:szCs w:val="24"/>
        </w:rPr>
        <w:t xml:space="preserve"> </w:t>
      </w:r>
      <w:r>
        <w:rPr>
          <w:rFonts w:hint="default" w:ascii="Times New Roman" w:hAnsi="Times New Roman" w:cs="Times New Roman"/>
          <w:b/>
          <w:bCs/>
          <w:sz w:val="24"/>
          <w:szCs w:val="24"/>
        </w:rPr>
        <w:t>Technical Bottlenecks and Creative Solutions</w:t>
      </w:r>
      <w:bookmarkEnd w:id="8"/>
    </w:p>
    <w:p w14:paraId="1A43BFEA">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During rendering, I encountered anomalies in the materials applied to certain rubbish bin models added in Maya, appearing as garbled text. Investigation revealed the issue stemmed not from material node connections but from attribute values exceeding the renderer's acceptable range, causing overflow errors during computation. To resolve this, I manually checked the numerical ranges for each material on the rubbish bin models, yet this proved ineffective. Ultimately, I concluded that the only solution was to either remove or rotate the problematic models, exposing their unaffected sides. While this approach sacrificed some scene integrity, it effectively prevented rendering anomalies from disrupting the overall composition. Concurrently, testing revealed that moderately reducing material reflection values alleviates the computational burden of ray tracing, thereby lowering the probability of renderer errors. Ultimately, this series of adjustments enabled successful rendering while maintaining visual quality. This experience underscored the importance in animation creation of respecting technical logic while embracing adaptability – echoing the ancient wisdom: ‘When faced with adversity, adapt; through adaptation, progress is achieved; and progress ensures longevity.’ The lunar surface model tested in Blender functioned perfectly. However, upon importing it into Maya for final scene integration, its sheer size rendered it unopenable within Maya. Consequently, I had to downscale the model in Blender beforehand before reimporting it into Maya for assembly. While this inevitably introduced some loss of precision, I mitigated the scaling-induced detail issues by adjusting the model's subdivision levels and re-optimising the normal maps. I managed to mitigate most of the detail loss caused by scaling. However, after completing the animation in Maya and importing the model back into Blender, the loss of precision proved irreversible. What had been an exquisitely detailed scene was reduced to a coarse low-poly version, driving home the profound impact of software compatibility issues on the production workflow. The persistent projection issues that perplexed me for so long likely stem from similar causes. Differences in how software handles lighting and model detail may cause projection effects to behave erratically in certain scenes, or even vanish entirely. Throughout this animation project, each technical hurdle overcome compelled me to reconsider the delicate balance between artistry and technology. The final presentation of an animation is not merely an accumulation of technical elements, but rather the result of artistic expression and technical realisation intertwining. Through this experience, I have become more acutely aware that when confronting the dual challenges of technology and art, the core of creation lies in finding the point where the two converge.</w:t>
      </w:r>
    </w:p>
    <w:p w14:paraId="0B78B7D7">
      <w:pPr>
        <w:pStyle w:val="15"/>
        <w:bidi w:val="0"/>
        <w:spacing w:line="360" w:lineRule="auto"/>
        <w:outlineLvl w:val="0"/>
        <w:rPr>
          <w:rFonts w:hint="default"/>
        </w:rPr>
      </w:pPr>
      <w:bookmarkStart w:id="9" w:name="_Toc29908"/>
      <w:r>
        <w:rPr>
          <w:rFonts w:hint="eastAsia" w:eastAsia="宋体"/>
          <w:lang w:val="en-US" w:eastAsia="zh-CN"/>
        </w:rPr>
        <w:t>5.</w:t>
      </w:r>
      <w:r>
        <w:rPr>
          <w:rFonts w:hint="default" w:ascii="Times New Roman" w:hAnsi="Times New Roman" w:cs="Times New Roman"/>
          <w:sz w:val="24"/>
          <w:szCs w:val="24"/>
        </w:rPr>
        <w:t xml:space="preserve"> </w:t>
      </w:r>
      <w:r>
        <w:rPr>
          <w:rFonts w:hint="default"/>
        </w:rPr>
        <w:t>Conclusion and Future Outlook</w:t>
      </w:r>
      <w:bookmarkEnd w:id="9"/>
    </w:p>
    <w:p w14:paraId="0F373433">
      <w:pPr>
        <w:bidi w:val="0"/>
        <w:spacing w:line="360" w:lineRule="auto"/>
        <w:outlineLvl w:val="1"/>
        <w:rPr>
          <w:rFonts w:hint="default" w:ascii="Times New Roman" w:hAnsi="Times New Roman" w:cs="Times New Roman"/>
          <w:b/>
          <w:bCs/>
          <w:sz w:val="24"/>
          <w:szCs w:val="24"/>
        </w:rPr>
      </w:pPr>
      <w:bookmarkStart w:id="10" w:name="_Toc14830"/>
      <w:r>
        <w:rPr>
          <w:rFonts w:hint="eastAsia" w:ascii="Times New Roman" w:hAnsi="Times New Roman" w:cs="Times New Roman"/>
          <w:b/>
          <w:bCs/>
          <w:sz w:val="24"/>
          <w:szCs w:val="24"/>
          <w:lang w:val="en-US" w:eastAsia="zh-CN"/>
        </w:rPr>
        <w:t xml:space="preserve">5.1 </w:t>
      </w:r>
      <w:r>
        <w:rPr>
          <w:rFonts w:hint="default" w:ascii="Times New Roman" w:hAnsi="Times New Roman" w:cs="Times New Roman"/>
          <w:b/>
          <w:bCs/>
          <w:sz w:val="24"/>
          <w:szCs w:val="24"/>
        </w:rPr>
        <w:t>Key Successes and Core Skill Gains</w:t>
      </w:r>
      <w:bookmarkEnd w:id="10"/>
    </w:p>
    <w:p w14:paraId="12FCF59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Throughout this animation project, I not only enhanced my proficiency in 3D software operation but also gained in-depth mastery of critical skills including material debugging, model optimisation, and cross-software collaboration. Particularly valuable was the practical experience gained in resolving complex material and model compatibility issues. Furthermore, I deepened my understanding of renderer principles, enabling more efficient identification and resolution of rendering anomalies. I also recognise areas requiring further development, acknowledging that learning admits no shortcuts—only diligent, step-by-step effort proves most effective. This project has afforded me clearer insight into Blender's node system, particularly deepening my understanding of material and geometry node applications. This knowledge will prove crucial for future work in both visual effects and environment construction.</w:t>
      </w:r>
    </w:p>
    <w:p w14:paraId="1300C4AA">
      <w:pPr>
        <w:bidi w:val="0"/>
        <w:spacing w:line="360" w:lineRule="auto"/>
        <w:outlineLvl w:val="1"/>
        <w:rPr>
          <w:rFonts w:hint="default" w:ascii="Times New Roman" w:hAnsi="Times New Roman" w:cs="Times New Roman"/>
          <w:b/>
          <w:bCs/>
          <w:sz w:val="24"/>
          <w:szCs w:val="24"/>
        </w:rPr>
      </w:pPr>
      <w:bookmarkStart w:id="11" w:name="_Toc3019"/>
      <w:r>
        <w:rPr>
          <w:rFonts w:hint="eastAsia" w:ascii="Times New Roman" w:hAnsi="Times New Roman" w:cs="Times New Roman"/>
          <w:b/>
          <w:bCs/>
          <w:sz w:val="24"/>
          <w:szCs w:val="24"/>
          <w:lang w:val="en-US" w:eastAsia="zh-CN"/>
        </w:rPr>
        <w:t xml:space="preserve">5.2 </w:t>
      </w:r>
      <w:r>
        <w:rPr>
          <w:rFonts w:hint="default" w:ascii="Times New Roman" w:hAnsi="Times New Roman" w:cs="Times New Roman"/>
          <w:b/>
          <w:bCs/>
          <w:sz w:val="24"/>
          <w:szCs w:val="24"/>
        </w:rPr>
        <w:t>Reflection and Summary</w:t>
      </w:r>
      <w:bookmarkEnd w:id="11"/>
    </w:p>
    <w:p w14:paraId="4C538DDF">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This practical experience has revealed that animation creation transcends mere technical execution; it demands mastery of overall visual impact and narrative logic. Through this process, I have gained profound insight into the importance of cinematographic language, temporal pacing, and visual storytelling. Moving forward, I aim to delve deeper into dynamic simulations and particle effects to enhance the detail and immersive quality of my work. Concurrently, I will strengthen my study of traditional animation principles, integrating artistic sensibilities into 3D creation to lay a solid foundation for producing more compelling animated works. In this era of relentless technological advancement, animators must not only master software tools but also strike a balance between artistic expression and technical execution. I believe true creation transcends mere replication of reality; it involves conveying emotion and thought through imagery to the audience. On my ongoing animation journey, I aspire to enhance my creative capabilities through continuous learning and practice, explore more diverse modes of expression, and produce more compelling works within the animation field. This creative expedition has fortified my resolve regarding my direction and filled me with anticipation for the boundless possibilities ahead.</w:t>
      </w:r>
    </w:p>
    <w:p w14:paraId="0CF2620F">
      <w:pPr>
        <w:pStyle w:val="15"/>
        <w:bidi w:val="0"/>
        <w:spacing w:line="360" w:lineRule="auto"/>
        <w:outlineLvl w:val="0"/>
        <w:rPr>
          <w:rFonts w:hint="default" w:ascii="Times New Roman" w:hAnsi="Times New Roman" w:cs="Times New Roman" w:eastAsiaTheme="minorEastAsia"/>
          <w:b/>
          <w:bCs/>
          <w:kern w:val="2"/>
          <w:sz w:val="24"/>
          <w:szCs w:val="24"/>
          <w:lang w:val="en-US" w:eastAsia="zh-CN" w:bidi="ar-SA"/>
        </w:rPr>
      </w:pPr>
      <w:bookmarkStart w:id="12" w:name="_Toc19880"/>
      <w:r>
        <w:rPr>
          <w:rFonts w:hint="eastAsia" w:ascii="Times New Roman" w:hAnsi="Times New Roman" w:cs="Times New Roman" w:eastAsiaTheme="minorEastAsia"/>
          <w:b/>
          <w:bCs/>
          <w:kern w:val="2"/>
          <w:sz w:val="24"/>
          <w:szCs w:val="24"/>
          <w:lang w:val="en-US" w:eastAsia="zh-CN" w:bidi="ar-SA"/>
        </w:rPr>
        <w:t>6.</w:t>
      </w:r>
      <w:r>
        <w:rPr>
          <w:rFonts w:hint="default" w:ascii="Times New Roman" w:hAnsi="Times New Roman" w:cs="Times New Roman"/>
          <w:sz w:val="24"/>
          <w:szCs w:val="24"/>
        </w:rPr>
        <w:t xml:space="preserve"> </w:t>
      </w:r>
      <w:r>
        <w:rPr>
          <w:rFonts w:hint="default" w:ascii="Times New Roman" w:hAnsi="Times New Roman" w:cs="Times New Roman" w:eastAsiaTheme="minorEastAsia"/>
          <w:b/>
          <w:bCs/>
          <w:kern w:val="2"/>
          <w:sz w:val="24"/>
          <w:szCs w:val="24"/>
          <w:lang w:val="en-US" w:eastAsia="zh-CN" w:bidi="ar-SA"/>
        </w:rPr>
        <w:t>Special Thanks</w:t>
      </w:r>
      <w:bookmarkEnd w:id="12"/>
    </w:p>
    <w:p w14:paraId="1DAE6B6C">
      <w:pPr>
        <w:widowControl w:val="0"/>
        <w:bidi w:val="0"/>
        <w:spacing w:line="360" w:lineRule="auto"/>
        <w:ind w:firstLine="480" w:firstLineChars="200"/>
        <w:jc w:val="both"/>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Finally, throughout this year of study in the UK, I extend my deepest gratitude to my tutors for their selfless guidance and support. It is your expertise and patient explanations that have helped me overcome one challenge after another. Thank you for offering direction when I felt lost, and inspiration when I was perplexed. The road ahead remains long, and I shall continue to meet every challenge with humility and enthusiasm, pursuing my dreams with unwavering resolve, forging ahead with steadfast determination.</w:t>
      </w:r>
    </w:p>
    <w:p w14:paraId="35A8EFCD">
      <w:pPr>
        <w:bidi w:val="0"/>
        <w:spacing w:line="360" w:lineRule="auto"/>
        <w:rPr>
          <w:rFonts w:hint="default" w:ascii="Times New Roman" w:hAnsi="Times New Roman" w:cs="Times New Roman"/>
          <w:sz w:val="24"/>
          <w:szCs w:val="24"/>
        </w:rPr>
      </w:pPr>
    </w:p>
    <w:sectPr>
      <w:footerReference r:id="rId3" w:type="default"/>
      <w:pgSz w:w="11906" w:h="16838"/>
      <w:pgMar w:top="1440" w:right="1440" w:bottom="1440" w:left="144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西文正文">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3CABA41">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62F082B">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14:paraId="362F082B">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94C7EB7"/>
    <w:rsid w:val="04EB48D3"/>
    <w:rsid w:val="051416E4"/>
    <w:rsid w:val="17514A69"/>
    <w:rsid w:val="179F03FB"/>
    <w:rsid w:val="202F7912"/>
    <w:rsid w:val="2D742132"/>
    <w:rsid w:val="306058C5"/>
    <w:rsid w:val="31230DCD"/>
    <w:rsid w:val="35EA010B"/>
    <w:rsid w:val="46135147"/>
    <w:rsid w:val="4EFA08D9"/>
    <w:rsid w:val="5B981012"/>
    <w:rsid w:val="62C19025"/>
    <w:rsid w:val="694C7EB7"/>
    <w:rsid w:val="6B0C206C"/>
    <w:rsid w:val="74CC6652"/>
    <w:rsid w:val="7D4773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Lines="0" w:beforeAutospacing="0" w:afterLines="0" w:afterAutospacing="0" w:line="360" w:lineRule="auto"/>
      <w:jc w:val="left"/>
      <w:outlineLvl w:val="0"/>
    </w:pPr>
    <w:rPr>
      <w:rFonts w:ascii="Times New Roman" w:hAnsi="Times New Roman" w:eastAsiaTheme="minorAscii"/>
      <w:b/>
      <w:kern w:val="44"/>
      <w:sz w:val="24"/>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3">
    <w:name w:val="Normal Indent"/>
    <w:basedOn w:val="1"/>
    <w:qFormat/>
    <w:uiPriority w:val="0"/>
    <w:pPr>
      <w:spacing w:line="360" w:lineRule="auto"/>
      <w:ind w:firstLine="200" w:firstLineChars="200"/>
    </w:pPr>
    <w:rPr>
      <w:rFonts w:ascii="Times New Roman" w:hAnsi="Times New Roman" w:eastAsia="Times New Roman"/>
      <w:sz w:val="24"/>
    </w:r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1">
    <w:name w:val="Hyperlink"/>
    <w:basedOn w:val="10"/>
    <w:qFormat/>
    <w:uiPriority w:val="0"/>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qFormat/>
    <w:uiPriority w:val="0"/>
    <w:pPr>
      <w:ind w:leftChars="200"/>
    </w:pPr>
    <w:rPr>
      <w:rFonts w:ascii="Times New Roman" w:hAnsi="Times New Roman" w:eastAsia="宋体" w:cs="Times New Roman"/>
      <w:sz w:val="20"/>
      <w:szCs w:val="20"/>
    </w:rPr>
  </w:style>
  <w:style w:type="paragraph" w:customStyle="1" w:styleId="14">
    <w:name w:val="WPSOffice手动目录 3"/>
    <w:qFormat/>
    <w:uiPriority w:val="0"/>
    <w:pPr>
      <w:ind w:leftChars="400"/>
    </w:pPr>
    <w:rPr>
      <w:rFonts w:ascii="Times New Roman" w:hAnsi="Times New Roman" w:eastAsia="宋体" w:cs="Times New Roman"/>
      <w:sz w:val="20"/>
      <w:szCs w:val="20"/>
    </w:rPr>
  </w:style>
  <w:style w:type="paragraph" w:customStyle="1" w:styleId="15">
    <w:name w:val="标题01"/>
    <w:basedOn w:val="1"/>
    <w:next w:val="1"/>
    <w:qFormat/>
    <w:uiPriority w:val="0"/>
    <w:pPr>
      <w:keepNext/>
      <w:keepLines/>
      <w:spacing w:beforeLines="0" w:afterLines="0" w:line="360" w:lineRule="auto"/>
      <w:jc w:val="center"/>
      <w:outlineLvl w:val="9"/>
    </w:pPr>
    <w:rPr>
      <w:rFonts w:ascii="Times New Roman" w:hAnsi="Times New Roman" w:eastAsia="+西文正文"/>
      <w:b/>
      <w:kern w:val="44"/>
      <w:sz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4.xml"/><Relationship Id="rId14" Type="http://schemas.openxmlformats.org/officeDocument/2006/relationships/customXml" Target="../customXml/item3.xml"/><Relationship Id="rId13" Type="http://schemas.openxmlformats.org/officeDocument/2006/relationships/customXml" Target="../customXml/item2.xml"/><Relationship Id="rId12" Type="http://schemas.openxmlformats.org/officeDocument/2006/relationships/customXml" Target="../customXml/item1.xml"/><Relationship Id="rId11" Type="http://schemas.openxmlformats.org/officeDocument/2006/relationships/image" Target="media/image7.png"/><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f5b1ca6-bfec-4402-aee8-bbea7e6c8b62">
      <Terms xmlns="http://schemas.microsoft.com/office/infopath/2007/PartnerControls"/>
    </lcf76f155ced4ddcb4097134ff3c332f>
    <TaxCatchAll xmlns="4132ff0f-9662-4fdf-a654-9dfd61136a2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4B175676E5277499D81B1F04BA9C9BD" ma:contentTypeVersion="11" ma:contentTypeDescription="Create a new document." ma:contentTypeScope="" ma:versionID="e24d8393b9d3da377d1d33bdeb237d6a">
  <xsd:schema xmlns:xsd="http://www.w3.org/2001/XMLSchema" xmlns:xs="http://www.w3.org/2001/XMLSchema" xmlns:p="http://schemas.microsoft.com/office/2006/metadata/properties" xmlns:ns2="ff5b1ca6-bfec-4402-aee8-bbea7e6c8b62" xmlns:ns3="4132ff0f-9662-4fdf-a654-9dfd61136a29" targetNamespace="http://schemas.microsoft.com/office/2006/metadata/properties" ma:root="true" ma:fieldsID="956ba6a2c899a53e6a4f96ec269d62d9" ns2:_="" ns3:_="">
    <xsd:import namespace="ff5b1ca6-bfec-4402-aee8-bbea7e6c8b62"/>
    <xsd:import namespace="4132ff0f-9662-4fdf-a654-9dfd61136a2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f5b1ca6-bfec-4402-aee8-bbea7e6c8b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132ff0f-9662-4fdf-a654-9dfd61136a29"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50a9df7f-3fc6-410f-86b1-e84bdd32ddfc}" ma:internalName="TaxCatchAll" ma:showField="CatchAllData" ma:web="4132ff0f-9662-4fdf-a654-9dfd61136a2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714E0AE-4C53-4C02-BC7E-45A7348B277A}">
  <ds:schemaRefs/>
</ds:datastoreItem>
</file>

<file path=customXml/itemProps3.xml><?xml version="1.0" encoding="utf-8"?>
<ds:datastoreItem xmlns:ds="http://schemas.openxmlformats.org/officeDocument/2006/customXml" ds:itemID="{A5AA7913-9118-469F-BF1E-C988DFA40959}">
  <ds:schemaRefs/>
</ds:datastoreItem>
</file>

<file path=customXml/itemProps4.xml><?xml version="1.0" encoding="utf-8"?>
<ds:datastoreItem xmlns:ds="http://schemas.openxmlformats.org/officeDocument/2006/customXml" ds:itemID="{DE2CD9E3-74F6-4737-858C-E3B440107069}">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3128</Words>
  <Characters>18912</Characters>
  <TotalTime>0</TotalTime>
  <ScaleCrop>false</ScaleCrop>
  <LinksUpToDate>false</LinksUpToDate>
  <CharactersWithSpaces>22022</CharactersWithSpaces>
  <Application>WPS Office_12.1.0.22529_F1E327BC-269C-435d-A152-05C5408002CA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2025-09-01T05:17:00Z</dcterms:created>
  <dc:creator>故</dc:creator>
  <cp:lastModifiedBy>故</cp:lastModifiedBy>
  <dcterms:modified xsi:type="dcterms:W3CDTF">2025-09-05T13:09:06Z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2052-12.1.0.22529</vt:lpwstr>
  </property>
  <property fmtid="{D5CDD505-2E9C-101B-9397-08002B2CF9AE}" pid="3" name="ICV">
    <vt:lpwstr>03914804384543299F642DCE5C62D607_13</vt:lpwstr>
  </property>
  <property fmtid="{D5CDD505-2E9C-101B-9397-08002B2CF9AE}" pid="4" name="KSOTemplateDocerSaveRecord">
    <vt:lpwstr>eyJoZGlkIjoiODE0ODA5M2FiNjY0MzFjMTZjZGIwNTYzNWZkZjU3YTQiLCJ1c2VySWQiOiI1MDIxMTE3NzcifQ==</vt:lpwstr>
  </property>
  <property fmtid="{D5CDD505-2E9C-101B-9397-08002B2CF9AE}" pid="5" name="ContentTypeId">
    <vt:lpwstr>0x01010044B175676E5277499D81B1F04BA9C9BD</vt:lpwstr>
  </property>
  <property fmtid="{D5CDD505-2E9C-101B-9397-08002B2CF9AE}" pid="6" name="MediaServiceImageTags">
    <vt:lpwstr/>
  </property>
</Properties>
</file>