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1CC49D28" w14:textId="77777777" w:rsidR="00E43549" w:rsidRPr="004A3CA1" w:rsidRDefault="00E43549">
      <w:pPr>
        <w:jc w:val="center"/>
        <w:rPr>
          <w:sz w:val="32"/>
          <w:szCs w:val="32"/>
        </w:rPr>
      </w:pPr>
    </w:p>
    <w:p w14:paraId="3DCDD9A7" w14:textId="77777777" w:rsidR="00E43549" w:rsidRPr="004A3CA1" w:rsidRDefault="00E43549">
      <w:pPr>
        <w:jc w:val="center"/>
        <w:rPr>
          <w:sz w:val="32"/>
          <w:szCs w:val="32"/>
        </w:rPr>
      </w:pPr>
    </w:p>
    <w:p w14:paraId="1D23B882" w14:textId="77777777" w:rsidR="00E43549" w:rsidRPr="004A3CA1" w:rsidRDefault="00E43549">
      <w:pPr>
        <w:jc w:val="center"/>
        <w:rPr>
          <w:sz w:val="32"/>
          <w:szCs w:val="32"/>
        </w:rPr>
      </w:pPr>
    </w:p>
    <w:p w14:paraId="7E6A08B9" w14:textId="17CF978B" w:rsidR="00E43549" w:rsidRPr="004A3CA1" w:rsidRDefault="007F0AC4">
      <w:pPr>
        <w:jc w:val="center"/>
        <w:rPr>
          <w:b/>
          <w:bCs/>
          <w:i/>
          <w:iCs/>
          <w:sz w:val="32"/>
          <w:szCs w:val="32"/>
        </w:rPr>
      </w:pPr>
      <w:r>
        <w:rPr>
          <w:b/>
          <w:bCs/>
          <w:i/>
          <w:iCs/>
          <w:sz w:val="32"/>
          <w:szCs w:val="32"/>
        </w:rPr>
        <w:t>The Management Economics of Unilever</w:t>
      </w:r>
    </w:p>
    <w:p w14:paraId="44DD9592" w14:textId="77777777" w:rsidR="00E43549" w:rsidRPr="004A3CA1" w:rsidRDefault="00E43549">
      <w:pPr>
        <w:jc w:val="center"/>
        <w:rPr>
          <w:b/>
          <w:bCs/>
          <w:i/>
          <w:iCs/>
          <w:sz w:val="32"/>
          <w:szCs w:val="32"/>
        </w:rPr>
      </w:pPr>
    </w:p>
    <w:p w14:paraId="34D80AD1" w14:textId="77777777" w:rsidR="007F0AC4" w:rsidRDefault="007F0AC4">
      <w:pPr>
        <w:jc w:val="center"/>
        <w:rPr>
          <w:sz w:val="32"/>
          <w:szCs w:val="32"/>
        </w:rPr>
      </w:pPr>
      <w:r>
        <w:rPr>
          <w:sz w:val="32"/>
          <w:szCs w:val="32"/>
        </w:rPr>
        <w:t xml:space="preserve">  </w:t>
      </w:r>
    </w:p>
    <w:p w14:paraId="77F373E7" w14:textId="77777777" w:rsidR="007F0AC4" w:rsidRDefault="007F0AC4">
      <w:pPr>
        <w:jc w:val="center"/>
        <w:rPr>
          <w:sz w:val="32"/>
          <w:szCs w:val="32"/>
        </w:rPr>
      </w:pPr>
    </w:p>
    <w:p w14:paraId="434B8E88" w14:textId="77777777" w:rsidR="007F0AC4" w:rsidRDefault="007F0AC4">
      <w:pPr>
        <w:jc w:val="center"/>
        <w:rPr>
          <w:sz w:val="32"/>
          <w:szCs w:val="32"/>
        </w:rPr>
      </w:pPr>
    </w:p>
    <w:p w14:paraId="03BFDF54" w14:textId="51B2614C" w:rsidR="00E43549" w:rsidRPr="007F0AC4" w:rsidRDefault="00E43549" w:rsidP="007F0AC4">
      <w:pPr>
        <w:jc w:val="left"/>
        <w:rPr>
          <w:sz w:val="32"/>
          <w:szCs w:val="32"/>
        </w:rPr>
      </w:pPr>
      <w:r w:rsidRPr="007F0AC4">
        <w:rPr>
          <w:sz w:val="32"/>
          <w:szCs w:val="32"/>
        </w:rPr>
        <w:t>Management Economics</w:t>
      </w:r>
      <w:r w:rsidR="00F15E71" w:rsidRPr="007F0AC4">
        <w:rPr>
          <w:sz w:val="32"/>
          <w:szCs w:val="32"/>
        </w:rPr>
        <w:t xml:space="preserve"> – LCBB5003</w:t>
      </w:r>
    </w:p>
    <w:p w14:paraId="47C649E1" w14:textId="157251A6" w:rsidR="00F15E71" w:rsidRPr="007F0AC4" w:rsidRDefault="007F0AC4" w:rsidP="007F0AC4">
      <w:pPr>
        <w:jc w:val="left"/>
        <w:rPr>
          <w:sz w:val="32"/>
          <w:szCs w:val="32"/>
        </w:rPr>
      </w:pPr>
      <w:r w:rsidRPr="007F0AC4">
        <w:rPr>
          <w:sz w:val="32"/>
          <w:szCs w:val="32"/>
        </w:rPr>
        <w:t>Student -Ioana Raluca Rusu - 1918148</w:t>
      </w:r>
    </w:p>
    <w:p w14:paraId="054883C1" w14:textId="22975AE3" w:rsidR="007F0AC4" w:rsidRPr="004A3CA1" w:rsidRDefault="007F0AC4" w:rsidP="007F0AC4">
      <w:pPr>
        <w:jc w:val="left"/>
        <w:rPr>
          <w:sz w:val="32"/>
          <w:szCs w:val="32"/>
        </w:rPr>
      </w:pPr>
      <w:r w:rsidRPr="007F0AC4">
        <w:rPr>
          <w:sz w:val="32"/>
          <w:szCs w:val="32"/>
        </w:rPr>
        <w:t>Lecturer – Dr. David Jenkins</w:t>
      </w:r>
    </w:p>
    <w:p w14:paraId="72E75275" w14:textId="1BA114D5" w:rsidR="00E43549" w:rsidRDefault="00E43549">
      <w:pPr>
        <w:pageBreakBefore/>
        <w:jc w:val="center"/>
      </w:pPr>
      <w:r>
        <w:rPr>
          <w:sz w:val="44"/>
          <w:szCs w:val="44"/>
        </w:rPr>
        <w:lastRenderedPageBreak/>
        <w:t xml:space="preserve"> </w:t>
      </w:r>
    </w:p>
    <w:p w14:paraId="2F535481" w14:textId="77777777" w:rsidR="00E43549" w:rsidRDefault="00E43549">
      <w:pPr>
        <w:pStyle w:val="ContentsHeading"/>
      </w:pPr>
      <w:r>
        <w:t>Table of Contents</w:t>
      </w:r>
    </w:p>
    <w:p w14:paraId="2ADDB866" w14:textId="77777777" w:rsidR="00E43549" w:rsidRDefault="00E43549">
      <w:pPr>
        <w:pStyle w:val="TOC1"/>
      </w:pPr>
      <w:r>
        <w:fldChar w:fldCharType="begin"/>
      </w:r>
      <w:r>
        <w:instrText xml:space="preserve"> TOC \f \o "1-9" \o "1-9" </w:instrText>
      </w:r>
      <w:r>
        <w:fldChar w:fldCharType="separate"/>
      </w:r>
      <w:r>
        <w:t>Introduction</w:t>
      </w:r>
      <w:r>
        <w:tab/>
        <w:t>3</w:t>
      </w:r>
    </w:p>
    <w:p w14:paraId="40082FE5" w14:textId="77777777" w:rsidR="00E43549" w:rsidRDefault="00E43549" w:rsidP="002555B7">
      <w:pPr>
        <w:pStyle w:val="TOC2"/>
        <w:tabs>
          <w:tab w:val="clear" w:pos="9077"/>
          <w:tab w:val="right" w:leader="dot" w:pos="9360"/>
        </w:tabs>
        <w:ind w:left="0"/>
      </w:pPr>
      <w:r>
        <w:t>An overview of the strategies of the organisation that have unfolded in the duration of 2016-2020.</w:t>
      </w:r>
      <w:r>
        <w:tab/>
        <w:t>3</w:t>
      </w:r>
    </w:p>
    <w:p w14:paraId="15222887" w14:textId="1C810D55" w:rsidR="00E43549" w:rsidRDefault="00E43549">
      <w:pPr>
        <w:pStyle w:val="TOC2"/>
        <w:tabs>
          <w:tab w:val="clear" w:pos="9077"/>
          <w:tab w:val="right" w:leader="dot" w:pos="9360"/>
        </w:tabs>
      </w:pPr>
      <w:r>
        <w:t xml:space="preserve">A </w:t>
      </w:r>
      <w:r w:rsidR="00E8016C">
        <w:t>five-year</w:t>
      </w:r>
      <w:r>
        <w:t xml:space="preserve"> </w:t>
      </w:r>
      <w:r w:rsidR="00E8016C">
        <w:t>macro-economic</w:t>
      </w:r>
      <w:r>
        <w:t xml:space="preserve"> data comparison between the three countries where the organisation operates. The points of difference that can be considered are growth, inflation, interest rates, unemployment as well as current account balance. </w:t>
      </w:r>
      <w:r>
        <w:tab/>
        <w:t>5</w:t>
      </w:r>
    </w:p>
    <w:p w14:paraId="5A798FB1" w14:textId="77777777" w:rsidR="00E43549" w:rsidRDefault="00E43549">
      <w:pPr>
        <w:pStyle w:val="TOC2"/>
        <w:tabs>
          <w:tab w:val="clear" w:pos="9077"/>
          <w:tab w:val="right" w:leader="dot" w:pos="9360"/>
        </w:tabs>
      </w:pPr>
      <w:r>
        <w:t xml:space="preserve">Evaluation of the business performance of the organisation in the last years in terms of operations within UK and a comparison of operations with two other countries as well. </w:t>
      </w:r>
      <w:r>
        <w:tab/>
        <w:t>6</w:t>
      </w:r>
    </w:p>
    <w:p w14:paraId="048A728A" w14:textId="77777777" w:rsidR="00E43549" w:rsidRDefault="00E43549">
      <w:pPr>
        <w:pStyle w:val="TOC2"/>
        <w:tabs>
          <w:tab w:val="clear" w:pos="9077"/>
          <w:tab w:val="right" w:leader="dot" w:pos="9360"/>
        </w:tabs>
      </w:pPr>
      <w:r>
        <w:t xml:space="preserve">Highlight the various changes that have been observed in the overall performance of the organisation in the three countries. Discuss the extent to which the trade policies of the United Kingdom have an impact upon the overall performance of the organisation. </w:t>
      </w:r>
      <w:r>
        <w:tab/>
        <w:t>7</w:t>
      </w:r>
    </w:p>
    <w:p w14:paraId="4E58C790" w14:textId="77777777" w:rsidR="00E43549" w:rsidRDefault="00E43549">
      <w:pPr>
        <w:pStyle w:val="TOC1"/>
      </w:pPr>
      <w:r>
        <w:t>Conclusion</w:t>
      </w:r>
      <w:r>
        <w:tab/>
        <w:t>9</w:t>
      </w:r>
    </w:p>
    <w:p w14:paraId="3EECB854" w14:textId="77777777" w:rsidR="00E43549" w:rsidRDefault="00E43549">
      <w:pPr>
        <w:pStyle w:val="TOC1"/>
      </w:pPr>
      <w:r>
        <w:t>References</w:t>
      </w:r>
      <w:r>
        <w:tab/>
        <w:t>10</w:t>
      </w:r>
      <w:r>
        <w:fldChar w:fldCharType="end"/>
      </w:r>
    </w:p>
    <w:p w14:paraId="1A684044" w14:textId="77777777" w:rsidR="00E43549" w:rsidRDefault="00E43549">
      <w:pPr>
        <w:pStyle w:val="Heading1"/>
        <w:pageBreakBefore/>
      </w:pPr>
      <w:r>
        <w:lastRenderedPageBreak/>
        <w:t>Introduction</w:t>
      </w:r>
    </w:p>
    <w:p w14:paraId="2C762AB3" w14:textId="619F5554" w:rsidR="00E43549" w:rsidRDefault="00E43549">
      <w:r>
        <w:tab/>
        <w:t xml:space="preserve">Managerial economics is referred as a branch of economics that involves application of various economic methods in the decision-making process of the management. The aim of managerial economics is to provide a </w:t>
      </w:r>
      <w:r w:rsidR="00E8016C">
        <w:t>framework</w:t>
      </w:r>
      <w:r>
        <w:t xml:space="preserve"> for decision making </w:t>
      </w:r>
      <w:r w:rsidR="00263040">
        <w:t>to</w:t>
      </w:r>
      <w:r>
        <w:t xml:space="preserve"> direct maximisation of profits and outcomes of the organisation. Economic management remains a serious issue in the developing countries. The concept of managerial economics basically deals with the management of several resources, income, finances, income as well as expenditures of an organisation or a community. The concept of management economics is referred to the science that aims at directing scarce resources </w:t>
      </w:r>
      <w:r w:rsidR="00263040">
        <w:t>to</w:t>
      </w:r>
      <w:r>
        <w:t xml:space="preserve"> manage the cost in an effective manner. The managerial economics comprises of three branches namely market power, competitive power as well as imperfect markets</w:t>
      </w:r>
      <w:r w:rsidR="00A52A33">
        <w:t xml:space="preserve"> (</w:t>
      </w:r>
      <w:r w:rsidR="00A52A33">
        <w:rPr>
          <w:shd w:val="clear" w:color="auto" w:fill="FFFFFF"/>
        </w:rPr>
        <w:t>Albarran, Mierzejewska and Jung eds., 2018</w:t>
      </w:r>
      <w:r w:rsidR="00A52A33">
        <w:t>)</w:t>
      </w:r>
      <w:r>
        <w:t xml:space="preserve">. </w:t>
      </w:r>
    </w:p>
    <w:p w14:paraId="4C50DF22" w14:textId="5E031A2C" w:rsidR="00E43549" w:rsidRDefault="00E43549">
      <w:r>
        <w:tab/>
        <w:t xml:space="preserve">Unilever plc is a United Kingdom based multinational organisation which is listed on FTSE 100. The headquarters of Unilever Plc is situated at London, England. The products in which Unilever deals in is food, ice cream, personal care as well as health and oral care. The products of Unilever are available in over 190 countries. The organisation has been providing research and development facilities in the various regions of United Kingdom, United States, Netherlands, </w:t>
      </w:r>
      <w:r w:rsidR="00263040">
        <w:t>China,</w:t>
      </w:r>
      <w:r>
        <w:t xml:space="preserve"> and India as well. The report revolves around the Management economics of Unilever.</w:t>
      </w:r>
    </w:p>
    <w:p w14:paraId="558CE77A" w14:textId="7F89A2B5" w:rsidR="00E43549" w:rsidRDefault="00E43549" w:rsidP="00157835">
      <w:pPr>
        <w:pStyle w:val="Heading1"/>
        <w:numPr>
          <w:ilvl w:val="0"/>
          <w:numId w:val="0"/>
        </w:numPr>
      </w:pPr>
    </w:p>
    <w:p w14:paraId="19992224" w14:textId="77777777" w:rsidR="00E43549" w:rsidRDefault="00E43549">
      <w:pPr>
        <w:pStyle w:val="Heading2"/>
      </w:pPr>
      <w:r>
        <w:t>An overview of the strategies of the organisation that have unfolded in the duration of 2016-2020.</w:t>
      </w:r>
    </w:p>
    <w:p w14:paraId="22BF8B5B" w14:textId="77777777" w:rsidR="00E43549" w:rsidRDefault="00E43549">
      <w:r>
        <w:tab/>
        <w:t xml:space="preserve">There are various strategies that have unfolded by Unilever in the duration of 2016 to 2020.  The strategies that have been unfolded by Unilever have been discussed below.  </w:t>
      </w:r>
    </w:p>
    <w:p w14:paraId="2951F874" w14:textId="55A075E1" w:rsidR="00E43549" w:rsidRDefault="00E43549">
      <w:pPr>
        <w:numPr>
          <w:ilvl w:val="0"/>
          <w:numId w:val="2"/>
        </w:numPr>
      </w:pPr>
      <w:r>
        <w:t xml:space="preserve">Sustainable growth- The brand of Unilever has been focussing upon the growth in a sustainable manner. Unilever has been working upon innovation and has various purposes as well. The various purposes include popularising cleanliness </w:t>
      </w:r>
      <w:r w:rsidR="00263040">
        <w:t>to</w:t>
      </w:r>
      <w:r>
        <w:t xml:space="preserve"> bring sanitation within the reach or common people. It is a concept of sustainable </w:t>
      </w:r>
      <w:r w:rsidR="00E8016C">
        <w:t xml:space="preserve">living </w:t>
      </w:r>
      <w:r w:rsidR="00263040">
        <w:t>to</w:t>
      </w:r>
      <w:r>
        <w:t xml:space="preserve"> perform better for people, society as well as planet. The organisation has been focussing upon the concept of taking charge on the social as well as environmental issues that are being faced by the world</w:t>
      </w:r>
      <w:r w:rsidR="00A52A33">
        <w:t xml:space="preserve"> (</w:t>
      </w:r>
      <w:r w:rsidR="00A52A33">
        <w:rPr>
          <w:shd w:val="clear" w:color="auto" w:fill="FFFFFF"/>
        </w:rPr>
        <w:t>Vanek, 2017</w:t>
      </w:r>
      <w:r w:rsidR="00A52A33">
        <w:t>)</w:t>
      </w:r>
      <w:r>
        <w:t xml:space="preserve">.  </w:t>
      </w:r>
    </w:p>
    <w:p w14:paraId="48B53E2D" w14:textId="64C4BD56" w:rsidR="00E43549" w:rsidRDefault="00E43549">
      <w:pPr>
        <w:numPr>
          <w:ilvl w:val="0"/>
          <w:numId w:val="2"/>
        </w:numPr>
      </w:pPr>
      <w:r>
        <w:t xml:space="preserve">Development of portfolio into high growth spaces- The Unilever has been focussing upon hygiene, beauty as well as skin care and </w:t>
      </w:r>
      <w:r w:rsidR="00E8016C">
        <w:t>plant-based</w:t>
      </w:r>
      <w:r>
        <w:t xml:space="preserve"> foods which offer functional nutrition </w:t>
      </w:r>
      <w:r>
        <w:lastRenderedPageBreak/>
        <w:t xml:space="preserve">like supplements, minerals as well as vitamins. Unilever has been focussing upon the evolution of various products </w:t>
      </w:r>
      <w:r w:rsidR="00263040">
        <w:t>to</w:t>
      </w:r>
      <w:r>
        <w:t xml:space="preserve"> change lives of the people along with the tastes. Hence, Unilever has been working upon development of portfolio into various high growth spaces</w:t>
      </w:r>
      <w:r w:rsidR="00A52A33">
        <w:t xml:space="preserve"> (</w:t>
      </w:r>
      <w:r w:rsidR="00A52A33">
        <w:rPr>
          <w:shd w:val="clear" w:color="auto" w:fill="FFFFFF"/>
        </w:rPr>
        <w:t>Ketokivi and Mahoney, 2017</w:t>
      </w:r>
      <w:r w:rsidR="00A52A33">
        <w:t>)</w:t>
      </w:r>
      <w:r>
        <w:t xml:space="preserve">.  </w:t>
      </w:r>
    </w:p>
    <w:p w14:paraId="6C1F1B7D" w14:textId="35EBF71E" w:rsidR="00E43549" w:rsidRDefault="00E43549">
      <w:pPr>
        <w:numPr>
          <w:ilvl w:val="0"/>
          <w:numId w:val="2"/>
        </w:numPr>
      </w:pPr>
      <w:r>
        <w:t xml:space="preserve">Win with the own brands as a force for good- The strategy has been evolved by Unilever </w:t>
      </w:r>
      <w:r w:rsidR="00263040">
        <w:t>to</w:t>
      </w:r>
      <w:r>
        <w:t xml:space="preserve"> improve the health of the planet along with the health, </w:t>
      </w:r>
      <w:r w:rsidR="00E8016C">
        <w:t>wellbeing</w:t>
      </w:r>
      <w:r>
        <w:t xml:space="preserve"> as well as confidence of the people. </w:t>
      </w:r>
      <w:r w:rsidR="00263040">
        <w:t>To</w:t>
      </w:r>
      <w:r>
        <w:t xml:space="preserve"> </w:t>
      </w:r>
      <w:r w:rsidR="00E8016C">
        <w:t>fulfil the</w:t>
      </w:r>
      <w:r>
        <w:t xml:space="preserve"> purpose, Unilever has been making contributions towards a fairer and socially inclusive world. The strategy has been driven by the differentiated science and technology which is further powered by innovation and purpose. </w:t>
      </w:r>
    </w:p>
    <w:p w14:paraId="006E6DC5" w14:textId="5731B653" w:rsidR="00E43549" w:rsidRDefault="00E43549">
      <w:pPr>
        <w:numPr>
          <w:ilvl w:val="0"/>
          <w:numId w:val="2"/>
        </w:numPr>
      </w:pPr>
      <w:r>
        <w:t xml:space="preserve">Acceleration in various key growth markets- The Unilever has built up a strategy </w:t>
      </w:r>
      <w:r w:rsidR="00263040">
        <w:t>to</w:t>
      </w:r>
      <w:r>
        <w:t xml:space="preserve"> further expand its scale in the various markets that have potential in the emerging markets. The further scale includes market of United States of America, China as well as India. Unilever has been working upon strengthening its presence in the future markets to enhance growth</w:t>
      </w:r>
      <w:r w:rsidR="00A52A33">
        <w:t xml:space="preserve"> (</w:t>
      </w:r>
      <w:r w:rsidR="00A52A33">
        <w:rPr>
          <w:shd w:val="clear" w:color="auto" w:fill="FFFFFF"/>
        </w:rPr>
        <w:t>Crutchfield, 2019</w:t>
      </w:r>
      <w:r w:rsidR="00A52A33">
        <w:t>)</w:t>
      </w:r>
      <w:r>
        <w:t xml:space="preserve">. </w:t>
      </w:r>
    </w:p>
    <w:p w14:paraId="2775CCA6" w14:textId="284DA50F" w:rsidR="00E43549" w:rsidRDefault="00E43549">
      <w:pPr>
        <w:numPr>
          <w:ilvl w:val="0"/>
          <w:numId w:val="2"/>
        </w:numPr>
      </w:pPr>
      <w:r>
        <w:t xml:space="preserve">Getting leads in the channels of the future- The organisation has established a strategy to get leads in various channels of the future. Unilever has planned to accelerate towards </w:t>
      </w:r>
      <w:r w:rsidR="00E8016C">
        <w:t>the e</w:t>
      </w:r>
      <w:r>
        <w:t xml:space="preserve"> commerce and further development of latest Electronic Business to Business platforms that tends to drive leadership with the application of shopper insights as well as intelligence. </w:t>
      </w:r>
      <w:r w:rsidR="00263040">
        <w:t>To</w:t>
      </w:r>
      <w:r>
        <w:t xml:space="preserve"> fulfil the purpose, it is essential for the organisation to develop several creative routes for the market</w:t>
      </w:r>
      <w:r w:rsidR="00A52A33">
        <w:t xml:space="preserve"> (</w:t>
      </w:r>
      <w:r w:rsidR="00A52A33">
        <w:rPr>
          <w:shd w:val="clear" w:color="auto" w:fill="FFFFFF"/>
        </w:rPr>
        <w:t>LaRiviere and et.al., 2020</w:t>
      </w:r>
      <w:r w:rsidR="00A52A33">
        <w:t>)</w:t>
      </w:r>
      <w:r>
        <w:t xml:space="preserve">. </w:t>
      </w:r>
    </w:p>
    <w:p w14:paraId="6D38CAFA" w14:textId="3CD2CFEE" w:rsidR="00E43549" w:rsidRDefault="00E43549">
      <w:pPr>
        <w:numPr>
          <w:ilvl w:val="0"/>
          <w:numId w:val="2"/>
        </w:numPr>
      </w:pPr>
      <w:r>
        <w:t xml:space="preserve">Building a purpose led future fit organisation and growth </w:t>
      </w:r>
      <w:r w:rsidR="00A67F78">
        <w:t>culture.</w:t>
      </w:r>
      <w:r w:rsidR="00E8016C">
        <w:t xml:space="preserve">  The</w:t>
      </w:r>
      <w:r>
        <w:t xml:space="preserve"> Unilever has been focussing upon the concept of unlocking the capacity through the mode of agility as well as digital transformation </w:t>
      </w:r>
      <w:r w:rsidR="00263040">
        <w:t>to</w:t>
      </w:r>
      <w:r>
        <w:t xml:space="preserve"> develop people through the </w:t>
      </w:r>
      <w:r w:rsidR="00E8016C">
        <w:t>lifelong</w:t>
      </w:r>
      <w:r>
        <w:t xml:space="preserve"> learning processes. The organisation has been focussing upon the building and sustaining diversity along with inclusion and </w:t>
      </w:r>
      <w:r w:rsidR="00E8016C">
        <w:t>value-based</w:t>
      </w:r>
      <w:r>
        <w:t xml:space="preserve"> leadership. The Unilever has </w:t>
      </w:r>
      <w:r w:rsidR="00E8016C">
        <w:t>built</w:t>
      </w:r>
      <w:r>
        <w:t xml:space="preserve"> a strategy to build a sustainable growth culture in the environment. </w:t>
      </w:r>
    </w:p>
    <w:p w14:paraId="36CFD9E3" w14:textId="1901C070" w:rsidR="00E43549" w:rsidRDefault="00E43549">
      <w:pPr>
        <w:pStyle w:val="Heading2"/>
      </w:pPr>
      <w:r>
        <w:lastRenderedPageBreak/>
        <w:t xml:space="preserve">A </w:t>
      </w:r>
      <w:r w:rsidR="00E8016C">
        <w:t>five-year</w:t>
      </w:r>
      <w:r>
        <w:t xml:space="preserve"> </w:t>
      </w:r>
      <w:r w:rsidR="00A67F78">
        <w:t>macro-economic</w:t>
      </w:r>
      <w:r>
        <w:t xml:space="preserve"> data comparison between the three countries where the organisation operates. The points of difference that can be considered are growth, inflation, interest rates, unemployment as well as current account balance. </w:t>
      </w:r>
    </w:p>
    <w:p w14:paraId="5EE69B7A" w14:textId="542927B7" w:rsidR="00E43549" w:rsidRDefault="00E43549">
      <w:pPr>
        <w:rPr>
          <w:i/>
          <w:iCs/>
        </w:rPr>
      </w:pPr>
      <w:r>
        <w:tab/>
        <w:t xml:space="preserve">The macro economic data of Unilever is being compared between the three countries which is United States, United Kingdom and China for the years 2016 to 2020. The points of difference that are to be considered for the report are growth, inflation, interest rates, </w:t>
      </w:r>
      <w:r w:rsidR="00263040">
        <w:t>unemployment,</w:t>
      </w:r>
      <w:r>
        <w:t xml:space="preserve"> and current account balance. The comparison has been performed below</w:t>
      </w:r>
      <w:r w:rsidR="00A52A33">
        <w:t xml:space="preserve"> (</w:t>
      </w:r>
      <w:r w:rsidR="00A52A33">
        <w:rPr>
          <w:shd w:val="clear" w:color="auto" w:fill="FFFFFF"/>
        </w:rPr>
        <w:t>Martinho, 2019</w:t>
      </w:r>
      <w:r w:rsidR="00A52A33">
        <w:t>)</w:t>
      </w:r>
      <w:r>
        <w:t xml:space="preserve">. </w:t>
      </w:r>
    </w:p>
    <w:p w14:paraId="4FE77222" w14:textId="77777777" w:rsidR="00E43549" w:rsidRDefault="00E43549">
      <w:pPr>
        <w:rPr>
          <w:b/>
          <w:bCs/>
        </w:rPr>
      </w:pPr>
      <w:r>
        <w:rPr>
          <w:i/>
          <w:iCs/>
        </w:rPr>
        <w:t>For the year 2016</w:t>
      </w: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2340"/>
        <w:gridCol w:w="2340"/>
        <w:gridCol w:w="2340"/>
        <w:gridCol w:w="2340"/>
      </w:tblGrid>
      <w:tr w:rsidR="00E43549" w14:paraId="2A560D87" w14:textId="77777777">
        <w:tc>
          <w:tcPr>
            <w:tcW w:w="2340" w:type="dxa"/>
            <w:tcBorders>
              <w:top w:val="single" w:sz="1" w:space="0" w:color="000000"/>
              <w:left w:val="single" w:sz="1" w:space="0" w:color="000000"/>
              <w:bottom w:val="single" w:sz="1" w:space="0" w:color="000000"/>
            </w:tcBorders>
            <w:shd w:val="clear" w:color="auto" w:fill="auto"/>
          </w:tcPr>
          <w:p w14:paraId="7D1261E2" w14:textId="77777777" w:rsidR="00E43549" w:rsidRDefault="00E43549">
            <w:pPr>
              <w:pStyle w:val="TableContents"/>
              <w:jc w:val="center"/>
              <w:rPr>
                <w:b/>
                <w:bCs/>
              </w:rPr>
            </w:pPr>
            <w:r>
              <w:rPr>
                <w:b/>
                <w:bCs/>
              </w:rPr>
              <w:t>Points of Difference</w:t>
            </w:r>
          </w:p>
        </w:tc>
        <w:tc>
          <w:tcPr>
            <w:tcW w:w="2340" w:type="dxa"/>
            <w:tcBorders>
              <w:top w:val="single" w:sz="1" w:space="0" w:color="000000"/>
              <w:left w:val="single" w:sz="1" w:space="0" w:color="000000"/>
              <w:bottom w:val="single" w:sz="1" w:space="0" w:color="000000"/>
            </w:tcBorders>
            <w:shd w:val="clear" w:color="auto" w:fill="auto"/>
          </w:tcPr>
          <w:p w14:paraId="45420BA5" w14:textId="77777777" w:rsidR="00E43549" w:rsidRDefault="00E43549">
            <w:pPr>
              <w:pStyle w:val="TableContents"/>
              <w:jc w:val="center"/>
              <w:rPr>
                <w:b/>
                <w:bCs/>
              </w:rPr>
            </w:pPr>
            <w:r>
              <w:rPr>
                <w:b/>
                <w:bCs/>
              </w:rPr>
              <w:t>United Kingdom</w:t>
            </w:r>
          </w:p>
        </w:tc>
        <w:tc>
          <w:tcPr>
            <w:tcW w:w="2340" w:type="dxa"/>
            <w:tcBorders>
              <w:top w:val="single" w:sz="1" w:space="0" w:color="000000"/>
              <w:left w:val="single" w:sz="1" w:space="0" w:color="000000"/>
              <w:bottom w:val="single" w:sz="1" w:space="0" w:color="000000"/>
            </w:tcBorders>
            <w:shd w:val="clear" w:color="auto" w:fill="auto"/>
          </w:tcPr>
          <w:p w14:paraId="11C58C31" w14:textId="77777777" w:rsidR="00E43549" w:rsidRDefault="00E43549">
            <w:pPr>
              <w:pStyle w:val="TableContents"/>
              <w:jc w:val="center"/>
              <w:rPr>
                <w:b/>
                <w:bCs/>
              </w:rPr>
            </w:pPr>
            <w:r>
              <w:rPr>
                <w:b/>
                <w:bCs/>
              </w:rPr>
              <w:t>United States</w:t>
            </w:r>
          </w:p>
        </w:tc>
        <w:tc>
          <w:tcPr>
            <w:tcW w:w="2340" w:type="dxa"/>
            <w:tcBorders>
              <w:top w:val="single" w:sz="1" w:space="0" w:color="000000"/>
              <w:left w:val="single" w:sz="1" w:space="0" w:color="000000"/>
              <w:bottom w:val="single" w:sz="1" w:space="0" w:color="000000"/>
              <w:right w:val="single" w:sz="1" w:space="0" w:color="000000"/>
            </w:tcBorders>
            <w:shd w:val="clear" w:color="auto" w:fill="auto"/>
          </w:tcPr>
          <w:p w14:paraId="629FDFB5" w14:textId="77777777" w:rsidR="00E43549" w:rsidRDefault="00E43549">
            <w:pPr>
              <w:pStyle w:val="TableContents"/>
              <w:jc w:val="center"/>
            </w:pPr>
            <w:r>
              <w:rPr>
                <w:b/>
                <w:bCs/>
              </w:rPr>
              <w:t>China</w:t>
            </w:r>
          </w:p>
        </w:tc>
      </w:tr>
      <w:tr w:rsidR="00E43549" w14:paraId="660D7E94" w14:textId="77777777">
        <w:tc>
          <w:tcPr>
            <w:tcW w:w="2340" w:type="dxa"/>
            <w:tcBorders>
              <w:left w:val="single" w:sz="1" w:space="0" w:color="000000"/>
              <w:bottom w:val="single" w:sz="1" w:space="0" w:color="000000"/>
            </w:tcBorders>
            <w:shd w:val="clear" w:color="auto" w:fill="auto"/>
          </w:tcPr>
          <w:p w14:paraId="4251C7AA" w14:textId="77777777" w:rsidR="00E43549" w:rsidRDefault="00E43549">
            <w:pPr>
              <w:pStyle w:val="TableContents"/>
            </w:pPr>
            <w:r>
              <w:t>Growth</w:t>
            </w:r>
          </w:p>
        </w:tc>
        <w:tc>
          <w:tcPr>
            <w:tcW w:w="2340" w:type="dxa"/>
            <w:tcBorders>
              <w:left w:val="single" w:sz="1" w:space="0" w:color="000000"/>
              <w:bottom w:val="single" w:sz="1" w:space="0" w:color="000000"/>
            </w:tcBorders>
            <w:shd w:val="clear" w:color="auto" w:fill="auto"/>
          </w:tcPr>
          <w:p w14:paraId="56659382" w14:textId="77777777" w:rsidR="00E43549" w:rsidRDefault="00E43549">
            <w:pPr>
              <w:pStyle w:val="TableContents"/>
            </w:pPr>
            <w:r>
              <w:t>-</w:t>
            </w:r>
          </w:p>
        </w:tc>
        <w:tc>
          <w:tcPr>
            <w:tcW w:w="2340" w:type="dxa"/>
            <w:tcBorders>
              <w:left w:val="single" w:sz="1" w:space="0" w:color="000000"/>
              <w:bottom w:val="single" w:sz="1" w:space="0" w:color="000000"/>
            </w:tcBorders>
            <w:shd w:val="clear" w:color="auto" w:fill="auto"/>
          </w:tcPr>
          <w:p w14:paraId="11D8B866" w14:textId="77777777" w:rsidR="00E43549" w:rsidRDefault="00E43549">
            <w:pPr>
              <w:pStyle w:val="TableContents"/>
            </w:pPr>
            <w:r>
              <w:t>-</w:t>
            </w:r>
          </w:p>
        </w:tc>
        <w:tc>
          <w:tcPr>
            <w:tcW w:w="2340" w:type="dxa"/>
            <w:tcBorders>
              <w:left w:val="single" w:sz="1" w:space="0" w:color="000000"/>
              <w:bottom w:val="single" w:sz="1" w:space="0" w:color="000000"/>
              <w:right w:val="single" w:sz="1" w:space="0" w:color="000000"/>
            </w:tcBorders>
            <w:shd w:val="clear" w:color="auto" w:fill="auto"/>
          </w:tcPr>
          <w:p w14:paraId="4226D02F" w14:textId="77777777" w:rsidR="00E43549" w:rsidRDefault="00E43549">
            <w:pPr>
              <w:pStyle w:val="TableContents"/>
            </w:pPr>
            <w:r>
              <w:t>-</w:t>
            </w:r>
          </w:p>
        </w:tc>
      </w:tr>
      <w:tr w:rsidR="00E43549" w14:paraId="1640C092" w14:textId="77777777">
        <w:tc>
          <w:tcPr>
            <w:tcW w:w="2340" w:type="dxa"/>
            <w:tcBorders>
              <w:left w:val="single" w:sz="1" w:space="0" w:color="000000"/>
              <w:bottom w:val="single" w:sz="1" w:space="0" w:color="000000"/>
            </w:tcBorders>
            <w:shd w:val="clear" w:color="auto" w:fill="auto"/>
          </w:tcPr>
          <w:p w14:paraId="2EBDD5FF" w14:textId="77777777" w:rsidR="00E43549" w:rsidRDefault="00E43549">
            <w:pPr>
              <w:pStyle w:val="TableContents"/>
            </w:pPr>
            <w:r>
              <w:t>Inflation</w:t>
            </w:r>
          </w:p>
        </w:tc>
        <w:tc>
          <w:tcPr>
            <w:tcW w:w="2340" w:type="dxa"/>
            <w:tcBorders>
              <w:left w:val="single" w:sz="1" w:space="0" w:color="000000"/>
              <w:bottom w:val="single" w:sz="1" w:space="0" w:color="000000"/>
            </w:tcBorders>
            <w:shd w:val="clear" w:color="auto" w:fill="auto"/>
          </w:tcPr>
          <w:p w14:paraId="43C7767F" w14:textId="77777777" w:rsidR="00E43549" w:rsidRDefault="00E43549">
            <w:pPr>
              <w:pStyle w:val="TableContents"/>
            </w:pPr>
            <w:r>
              <w:t>0.04%</w:t>
            </w:r>
          </w:p>
        </w:tc>
        <w:tc>
          <w:tcPr>
            <w:tcW w:w="2340" w:type="dxa"/>
            <w:tcBorders>
              <w:left w:val="single" w:sz="1" w:space="0" w:color="000000"/>
              <w:bottom w:val="single" w:sz="1" w:space="0" w:color="000000"/>
            </w:tcBorders>
            <w:shd w:val="clear" w:color="auto" w:fill="auto"/>
          </w:tcPr>
          <w:p w14:paraId="5619BE54" w14:textId="77777777" w:rsidR="00E43549" w:rsidRDefault="00E43549">
            <w:pPr>
              <w:pStyle w:val="TableContents"/>
            </w:pPr>
            <w:r>
              <w:t>2.10%</w:t>
            </w:r>
          </w:p>
        </w:tc>
        <w:tc>
          <w:tcPr>
            <w:tcW w:w="2340" w:type="dxa"/>
            <w:tcBorders>
              <w:left w:val="single" w:sz="1" w:space="0" w:color="000000"/>
              <w:bottom w:val="single" w:sz="1" w:space="0" w:color="000000"/>
              <w:right w:val="single" w:sz="1" w:space="0" w:color="000000"/>
            </w:tcBorders>
            <w:shd w:val="clear" w:color="auto" w:fill="auto"/>
          </w:tcPr>
          <w:p w14:paraId="34A76E57" w14:textId="77777777" w:rsidR="00E43549" w:rsidRDefault="00E43549">
            <w:pPr>
              <w:pStyle w:val="TableContents"/>
            </w:pPr>
            <w:r>
              <w:t>2.00%</w:t>
            </w:r>
          </w:p>
        </w:tc>
      </w:tr>
      <w:tr w:rsidR="00E43549" w14:paraId="6FF2369A" w14:textId="77777777">
        <w:tc>
          <w:tcPr>
            <w:tcW w:w="2340" w:type="dxa"/>
            <w:tcBorders>
              <w:left w:val="single" w:sz="1" w:space="0" w:color="000000"/>
              <w:bottom w:val="single" w:sz="1" w:space="0" w:color="000000"/>
            </w:tcBorders>
            <w:shd w:val="clear" w:color="auto" w:fill="auto"/>
          </w:tcPr>
          <w:p w14:paraId="4D286706" w14:textId="77777777" w:rsidR="00E43549" w:rsidRDefault="00E43549">
            <w:pPr>
              <w:pStyle w:val="TableContents"/>
            </w:pPr>
            <w:r>
              <w:t>Interest rates</w:t>
            </w:r>
          </w:p>
        </w:tc>
        <w:tc>
          <w:tcPr>
            <w:tcW w:w="2340" w:type="dxa"/>
            <w:tcBorders>
              <w:left w:val="single" w:sz="1" w:space="0" w:color="000000"/>
              <w:bottom w:val="single" w:sz="1" w:space="0" w:color="000000"/>
            </w:tcBorders>
            <w:shd w:val="clear" w:color="auto" w:fill="auto"/>
          </w:tcPr>
          <w:p w14:paraId="22051DAF" w14:textId="77777777" w:rsidR="00E43549" w:rsidRDefault="00E43549">
            <w:pPr>
              <w:pStyle w:val="TableContents"/>
            </w:pPr>
            <w:r>
              <w:t>0.25%</w:t>
            </w:r>
          </w:p>
        </w:tc>
        <w:tc>
          <w:tcPr>
            <w:tcW w:w="2340" w:type="dxa"/>
            <w:tcBorders>
              <w:left w:val="single" w:sz="1" w:space="0" w:color="000000"/>
              <w:bottom w:val="single" w:sz="1" w:space="0" w:color="000000"/>
            </w:tcBorders>
            <w:shd w:val="clear" w:color="auto" w:fill="auto"/>
          </w:tcPr>
          <w:p w14:paraId="39508782" w14:textId="77777777" w:rsidR="00E43549" w:rsidRDefault="00E43549">
            <w:pPr>
              <w:pStyle w:val="TableContents"/>
            </w:pPr>
            <w:r>
              <w:t>0.50%</w:t>
            </w:r>
          </w:p>
        </w:tc>
        <w:tc>
          <w:tcPr>
            <w:tcW w:w="2340" w:type="dxa"/>
            <w:tcBorders>
              <w:left w:val="single" w:sz="1" w:space="0" w:color="000000"/>
              <w:bottom w:val="single" w:sz="1" w:space="0" w:color="000000"/>
              <w:right w:val="single" w:sz="1" w:space="0" w:color="000000"/>
            </w:tcBorders>
            <w:shd w:val="clear" w:color="auto" w:fill="auto"/>
          </w:tcPr>
          <w:p w14:paraId="616B6443" w14:textId="77777777" w:rsidR="00E43549" w:rsidRDefault="00E43549">
            <w:pPr>
              <w:pStyle w:val="TableContents"/>
            </w:pPr>
            <w:r>
              <w:t>4.30%</w:t>
            </w:r>
          </w:p>
        </w:tc>
      </w:tr>
      <w:tr w:rsidR="00E43549" w14:paraId="520892D5" w14:textId="77777777">
        <w:tc>
          <w:tcPr>
            <w:tcW w:w="2340" w:type="dxa"/>
            <w:tcBorders>
              <w:left w:val="single" w:sz="1" w:space="0" w:color="000000"/>
              <w:bottom w:val="single" w:sz="1" w:space="0" w:color="000000"/>
            </w:tcBorders>
            <w:shd w:val="clear" w:color="auto" w:fill="auto"/>
          </w:tcPr>
          <w:p w14:paraId="3A25B119" w14:textId="77777777" w:rsidR="00E43549" w:rsidRDefault="00E43549">
            <w:pPr>
              <w:pStyle w:val="TableContents"/>
            </w:pPr>
            <w:r>
              <w:t>Unemployment</w:t>
            </w:r>
          </w:p>
        </w:tc>
        <w:tc>
          <w:tcPr>
            <w:tcW w:w="2340" w:type="dxa"/>
            <w:tcBorders>
              <w:left w:val="single" w:sz="1" w:space="0" w:color="000000"/>
              <w:bottom w:val="single" w:sz="1" w:space="0" w:color="000000"/>
            </w:tcBorders>
            <w:shd w:val="clear" w:color="auto" w:fill="auto"/>
          </w:tcPr>
          <w:p w14:paraId="5307EF5C" w14:textId="77777777" w:rsidR="00E43549" w:rsidRDefault="00E43549">
            <w:pPr>
              <w:pStyle w:val="TableContents"/>
            </w:pPr>
            <w:r>
              <w:t>4.81%</w:t>
            </w:r>
          </w:p>
        </w:tc>
        <w:tc>
          <w:tcPr>
            <w:tcW w:w="2340" w:type="dxa"/>
            <w:tcBorders>
              <w:left w:val="single" w:sz="1" w:space="0" w:color="000000"/>
              <w:bottom w:val="single" w:sz="1" w:space="0" w:color="000000"/>
            </w:tcBorders>
            <w:shd w:val="clear" w:color="auto" w:fill="auto"/>
          </w:tcPr>
          <w:p w14:paraId="7276901C" w14:textId="77777777" w:rsidR="00E43549" w:rsidRDefault="00E43549">
            <w:pPr>
              <w:pStyle w:val="TableContents"/>
            </w:pPr>
            <w:r>
              <w:t>4.87%</w:t>
            </w:r>
          </w:p>
        </w:tc>
        <w:tc>
          <w:tcPr>
            <w:tcW w:w="2340" w:type="dxa"/>
            <w:tcBorders>
              <w:left w:val="single" w:sz="1" w:space="0" w:color="000000"/>
              <w:bottom w:val="single" w:sz="1" w:space="0" w:color="000000"/>
              <w:right w:val="single" w:sz="1" w:space="0" w:color="000000"/>
            </w:tcBorders>
            <w:shd w:val="clear" w:color="auto" w:fill="auto"/>
          </w:tcPr>
          <w:p w14:paraId="49836D65" w14:textId="77777777" w:rsidR="00E43549" w:rsidRDefault="00E43549">
            <w:pPr>
              <w:pStyle w:val="TableContents"/>
            </w:pPr>
            <w:r>
              <w:t>4.02%</w:t>
            </w:r>
          </w:p>
        </w:tc>
      </w:tr>
      <w:tr w:rsidR="00E43549" w14:paraId="192CDB48" w14:textId="77777777">
        <w:tc>
          <w:tcPr>
            <w:tcW w:w="2340" w:type="dxa"/>
            <w:tcBorders>
              <w:left w:val="single" w:sz="1" w:space="0" w:color="000000"/>
              <w:bottom w:val="single" w:sz="1" w:space="0" w:color="000000"/>
            </w:tcBorders>
            <w:shd w:val="clear" w:color="auto" w:fill="auto"/>
          </w:tcPr>
          <w:p w14:paraId="2DF5D8BC" w14:textId="77777777" w:rsidR="00E43549" w:rsidRDefault="00E43549">
            <w:pPr>
              <w:pStyle w:val="TableContents"/>
            </w:pPr>
            <w:r>
              <w:t>Current Account balance</w:t>
            </w:r>
          </w:p>
        </w:tc>
        <w:tc>
          <w:tcPr>
            <w:tcW w:w="2340" w:type="dxa"/>
            <w:tcBorders>
              <w:left w:val="single" w:sz="1" w:space="0" w:color="000000"/>
              <w:bottom w:val="single" w:sz="1" w:space="0" w:color="000000"/>
            </w:tcBorders>
            <w:shd w:val="clear" w:color="auto" w:fill="auto"/>
          </w:tcPr>
          <w:p w14:paraId="4B887897" w14:textId="77777777" w:rsidR="00E43549" w:rsidRDefault="00E43549">
            <w:pPr>
              <w:pStyle w:val="TableContents"/>
            </w:pPr>
            <w:r>
              <w:t>-</w:t>
            </w:r>
          </w:p>
        </w:tc>
        <w:tc>
          <w:tcPr>
            <w:tcW w:w="2340" w:type="dxa"/>
            <w:tcBorders>
              <w:left w:val="single" w:sz="1" w:space="0" w:color="000000"/>
              <w:bottom w:val="single" w:sz="1" w:space="0" w:color="000000"/>
            </w:tcBorders>
            <w:shd w:val="clear" w:color="auto" w:fill="auto"/>
          </w:tcPr>
          <w:p w14:paraId="4D871FF5" w14:textId="77777777" w:rsidR="00E43549" w:rsidRDefault="00E43549">
            <w:pPr>
              <w:pStyle w:val="TableContents"/>
            </w:pPr>
            <w:r>
              <w:t>-</w:t>
            </w:r>
          </w:p>
        </w:tc>
        <w:tc>
          <w:tcPr>
            <w:tcW w:w="2340" w:type="dxa"/>
            <w:tcBorders>
              <w:left w:val="single" w:sz="1" w:space="0" w:color="000000"/>
              <w:bottom w:val="single" w:sz="1" w:space="0" w:color="000000"/>
              <w:right w:val="single" w:sz="1" w:space="0" w:color="000000"/>
            </w:tcBorders>
            <w:shd w:val="clear" w:color="auto" w:fill="auto"/>
          </w:tcPr>
          <w:p w14:paraId="53E1D172" w14:textId="77777777" w:rsidR="00E43549" w:rsidRDefault="00E43549">
            <w:pPr>
              <w:pStyle w:val="TableContents"/>
            </w:pPr>
            <w:r>
              <w:t>-</w:t>
            </w:r>
          </w:p>
        </w:tc>
      </w:tr>
    </w:tbl>
    <w:p w14:paraId="68E51CF7" w14:textId="77777777" w:rsidR="00E43549" w:rsidRDefault="00E43549"/>
    <w:p w14:paraId="38951855" w14:textId="77777777" w:rsidR="00E43549" w:rsidRDefault="00E43549">
      <w:pPr>
        <w:rPr>
          <w:b/>
          <w:bCs/>
        </w:rPr>
      </w:pPr>
      <w:r>
        <w:rPr>
          <w:i/>
          <w:iCs/>
        </w:rPr>
        <w:t>For the year 2017</w:t>
      </w: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2340"/>
        <w:gridCol w:w="2340"/>
        <w:gridCol w:w="2340"/>
        <w:gridCol w:w="2340"/>
      </w:tblGrid>
      <w:tr w:rsidR="00E43549" w14:paraId="7C4A85BC" w14:textId="77777777">
        <w:tc>
          <w:tcPr>
            <w:tcW w:w="2340" w:type="dxa"/>
            <w:tcBorders>
              <w:top w:val="single" w:sz="1" w:space="0" w:color="000000"/>
              <w:left w:val="single" w:sz="1" w:space="0" w:color="000000"/>
              <w:bottom w:val="single" w:sz="1" w:space="0" w:color="000000"/>
            </w:tcBorders>
            <w:shd w:val="clear" w:color="auto" w:fill="auto"/>
          </w:tcPr>
          <w:p w14:paraId="4AD33E3C" w14:textId="77777777" w:rsidR="00E43549" w:rsidRDefault="00E43549">
            <w:pPr>
              <w:pStyle w:val="TableContents"/>
              <w:jc w:val="center"/>
              <w:rPr>
                <w:b/>
                <w:bCs/>
              </w:rPr>
            </w:pPr>
            <w:r>
              <w:rPr>
                <w:b/>
                <w:bCs/>
              </w:rPr>
              <w:t>Points of Difference</w:t>
            </w:r>
          </w:p>
        </w:tc>
        <w:tc>
          <w:tcPr>
            <w:tcW w:w="2340" w:type="dxa"/>
            <w:tcBorders>
              <w:top w:val="single" w:sz="1" w:space="0" w:color="000000"/>
              <w:left w:val="single" w:sz="1" w:space="0" w:color="000000"/>
              <w:bottom w:val="single" w:sz="1" w:space="0" w:color="000000"/>
            </w:tcBorders>
            <w:shd w:val="clear" w:color="auto" w:fill="auto"/>
          </w:tcPr>
          <w:p w14:paraId="250756F8" w14:textId="77777777" w:rsidR="00E43549" w:rsidRDefault="00E43549">
            <w:pPr>
              <w:pStyle w:val="TableContents"/>
              <w:jc w:val="center"/>
              <w:rPr>
                <w:b/>
                <w:bCs/>
              </w:rPr>
            </w:pPr>
            <w:r>
              <w:rPr>
                <w:b/>
                <w:bCs/>
              </w:rPr>
              <w:t>United Kingdom</w:t>
            </w:r>
          </w:p>
        </w:tc>
        <w:tc>
          <w:tcPr>
            <w:tcW w:w="2340" w:type="dxa"/>
            <w:tcBorders>
              <w:top w:val="single" w:sz="1" w:space="0" w:color="000000"/>
              <w:left w:val="single" w:sz="1" w:space="0" w:color="000000"/>
              <w:bottom w:val="single" w:sz="1" w:space="0" w:color="000000"/>
            </w:tcBorders>
            <w:shd w:val="clear" w:color="auto" w:fill="auto"/>
          </w:tcPr>
          <w:p w14:paraId="25A03366" w14:textId="77777777" w:rsidR="00E43549" w:rsidRDefault="00E43549">
            <w:pPr>
              <w:pStyle w:val="TableContents"/>
              <w:jc w:val="center"/>
              <w:rPr>
                <w:b/>
                <w:bCs/>
              </w:rPr>
            </w:pPr>
            <w:r>
              <w:rPr>
                <w:b/>
                <w:bCs/>
              </w:rPr>
              <w:t>United States</w:t>
            </w:r>
          </w:p>
        </w:tc>
        <w:tc>
          <w:tcPr>
            <w:tcW w:w="2340" w:type="dxa"/>
            <w:tcBorders>
              <w:top w:val="single" w:sz="1" w:space="0" w:color="000000"/>
              <w:left w:val="single" w:sz="1" w:space="0" w:color="000000"/>
              <w:bottom w:val="single" w:sz="1" w:space="0" w:color="000000"/>
              <w:right w:val="single" w:sz="1" w:space="0" w:color="000000"/>
            </w:tcBorders>
            <w:shd w:val="clear" w:color="auto" w:fill="auto"/>
          </w:tcPr>
          <w:p w14:paraId="0DE09897" w14:textId="77777777" w:rsidR="00E43549" w:rsidRDefault="00E43549">
            <w:pPr>
              <w:pStyle w:val="TableContents"/>
              <w:jc w:val="center"/>
            </w:pPr>
            <w:r>
              <w:rPr>
                <w:b/>
                <w:bCs/>
              </w:rPr>
              <w:t>China</w:t>
            </w:r>
          </w:p>
        </w:tc>
      </w:tr>
      <w:tr w:rsidR="00E43549" w14:paraId="47A5EC56" w14:textId="77777777">
        <w:tc>
          <w:tcPr>
            <w:tcW w:w="2340" w:type="dxa"/>
            <w:tcBorders>
              <w:left w:val="single" w:sz="1" w:space="0" w:color="000000"/>
              <w:bottom w:val="single" w:sz="1" w:space="0" w:color="000000"/>
            </w:tcBorders>
            <w:shd w:val="clear" w:color="auto" w:fill="auto"/>
          </w:tcPr>
          <w:p w14:paraId="51F975EE" w14:textId="77777777" w:rsidR="00E43549" w:rsidRDefault="00E43549">
            <w:pPr>
              <w:pStyle w:val="TableContents"/>
            </w:pPr>
            <w:r>
              <w:t>Growth</w:t>
            </w:r>
          </w:p>
        </w:tc>
        <w:tc>
          <w:tcPr>
            <w:tcW w:w="2340" w:type="dxa"/>
            <w:tcBorders>
              <w:left w:val="single" w:sz="1" w:space="0" w:color="000000"/>
              <w:bottom w:val="single" w:sz="1" w:space="0" w:color="000000"/>
            </w:tcBorders>
            <w:shd w:val="clear" w:color="auto" w:fill="auto"/>
          </w:tcPr>
          <w:p w14:paraId="6A2E1662" w14:textId="77777777" w:rsidR="00E43549" w:rsidRDefault="00E43549">
            <w:pPr>
              <w:pStyle w:val="TableContents"/>
            </w:pPr>
            <w:r>
              <w:t>8.86%</w:t>
            </w:r>
          </w:p>
        </w:tc>
        <w:tc>
          <w:tcPr>
            <w:tcW w:w="2340" w:type="dxa"/>
            <w:tcBorders>
              <w:left w:val="single" w:sz="1" w:space="0" w:color="000000"/>
              <w:bottom w:val="single" w:sz="1" w:space="0" w:color="000000"/>
            </w:tcBorders>
            <w:shd w:val="clear" w:color="auto" w:fill="auto"/>
          </w:tcPr>
          <w:p w14:paraId="051D8F2A" w14:textId="77777777" w:rsidR="00E43549" w:rsidRDefault="00E43549">
            <w:pPr>
              <w:pStyle w:val="TableContents"/>
            </w:pPr>
            <w:r>
              <w:t>-</w:t>
            </w:r>
          </w:p>
        </w:tc>
        <w:tc>
          <w:tcPr>
            <w:tcW w:w="2340" w:type="dxa"/>
            <w:tcBorders>
              <w:left w:val="single" w:sz="1" w:space="0" w:color="000000"/>
              <w:bottom w:val="single" w:sz="1" w:space="0" w:color="000000"/>
              <w:right w:val="single" w:sz="1" w:space="0" w:color="000000"/>
            </w:tcBorders>
            <w:shd w:val="clear" w:color="auto" w:fill="auto"/>
          </w:tcPr>
          <w:p w14:paraId="5A09DE67" w14:textId="77777777" w:rsidR="00E43549" w:rsidRDefault="00E43549">
            <w:pPr>
              <w:pStyle w:val="TableContents"/>
            </w:pPr>
            <w:r>
              <w:t>-</w:t>
            </w:r>
          </w:p>
        </w:tc>
      </w:tr>
      <w:tr w:rsidR="00E43549" w14:paraId="66F6BBC1" w14:textId="77777777">
        <w:tc>
          <w:tcPr>
            <w:tcW w:w="2340" w:type="dxa"/>
            <w:tcBorders>
              <w:left w:val="single" w:sz="1" w:space="0" w:color="000000"/>
              <w:bottom w:val="single" w:sz="1" w:space="0" w:color="000000"/>
            </w:tcBorders>
            <w:shd w:val="clear" w:color="auto" w:fill="auto"/>
          </w:tcPr>
          <w:p w14:paraId="43686DB1" w14:textId="77777777" w:rsidR="00E43549" w:rsidRDefault="00E43549">
            <w:pPr>
              <w:pStyle w:val="TableContents"/>
            </w:pPr>
            <w:r>
              <w:t>Inflation</w:t>
            </w:r>
          </w:p>
        </w:tc>
        <w:tc>
          <w:tcPr>
            <w:tcW w:w="2340" w:type="dxa"/>
            <w:tcBorders>
              <w:left w:val="single" w:sz="1" w:space="0" w:color="000000"/>
              <w:bottom w:val="single" w:sz="1" w:space="0" w:color="000000"/>
            </w:tcBorders>
            <w:shd w:val="clear" w:color="auto" w:fill="auto"/>
          </w:tcPr>
          <w:p w14:paraId="1844FFF6" w14:textId="77777777" w:rsidR="00E43549" w:rsidRDefault="00E43549">
            <w:pPr>
              <w:pStyle w:val="TableContents"/>
            </w:pPr>
            <w:r>
              <w:t>0.66%</w:t>
            </w:r>
          </w:p>
        </w:tc>
        <w:tc>
          <w:tcPr>
            <w:tcW w:w="2340" w:type="dxa"/>
            <w:tcBorders>
              <w:left w:val="single" w:sz="1" w:space="0" w:color="000000"/>
              <w:bottom w:val="single" w:sz="1" w:space="0" w:color="000000"/>
            </w:tcBorders>
            <w:shd w:val="clear" w:color="auto" w:fill="auto"/>
          </w:tcPr>
          <w:p w14:paraId="2A1C3FFC" w14:textId="77777777" w:rsidR="00E43549" w:rsidRDefault="00E43549">
            <w:pPr>
              <w:pStyle w:val="TableContents"/>
            </w:pPr>
            <w:r>
              <w:t>2.10%</w:t>
            </w:r>
          </w:p>
        </w:tc>
        <w:tc>
          <w:tcPr>
            <w:tcW w:w="2340" w:type="dxa"/>
            <w:tcBorders>
              <w:left w:val="single" w:sz="1" w:space="0" w:color="000000"/>
              <w:bottom w:val="single" w:sz="1" w:space="0" w:color="000000"/>
              <w:right w:val="single" w:sz="1" w:space="0" w:color="000000"/>
            </w:tcBorders>
            <w:shd w:val="clear" w:color="auto" w:fill="auto"/>
          </w:tcPr>
          <w:p w14:paraId="18CF6231" w14:textId="77777777" w:rsidR="00E43549" w:rsidRDefault="00E43549">
            <w:pPr>
              <w:pStyle w:val="TableContents"/>
            </w:pPr>
            <w:r>
              <w:t>1.56%</w:t>
            </w:r>
          </w:p>
        </w:tc>
      </w:tr>
      <w:tr w:rsidR="00E43549" w14:paraId="062B83BF" w14:textId="77777777">
        <w:tc>
          <w:tcPr>
            <w:tcW w:w="2340" w:type="dxa"/>
            <w:tcBorders>
              <w:left w:val="single" w:sz="1" w:space="0" w:color="000000"/>
              <w:bottom w:val="single" w:sz="1" w:space="0" w:color="000000"/>
            </w:tcBorders>
            <w:shd w:val="clear" w:color="auto" w:fill="auto"/>
          </w:tcPr>
          <w:p w14:paraId="228DBFAB" w14:textId="77777777" w:rsidR="00E43549" w:rsidRDefault="00E43549">
            <w:pPr>
              <w:pStyle w:val="TableContents"/>
            </w:pPr>
            <w:r>
              <w:t>Interest rates</w:t>
            </w:r>
          </w:p>
        </w:tc>
        <w:tc>
          <w:tcPr>
            <w:tcW w:w="2340" w:type="dxa"/>
            <w:tcBorders>
              <w:left w:val="single" w:sz="1" w:space="0" w:color="000000"/>
              <w:bottom w:val="single" w:sz="1" w:space="0" w:color="000000"/>
            </w:tcBorders>
            <w:shd w:val="clear" w:color="auto" w:fill="auto"/>
          </w:tcPr>
          <w:p w14:paraId="32FED3D2" w14:textId="77777777" w:rsidR="00E43549" w:rsidRDefault="00E43549">
            <w:pPr>
              <w:pStyle w:val="TableContents"/>
            </w:pPr>
            <w:r>
              <w:t>0.50%</w:t>
            </w:r>
          </w:p>
        </w:tc>
        <w:tc>
          <w:tcPr>
            <w:tcW w:w="2340" w:type="dxa"/>
            <w:tcBorders>
              <w:left w:val="single" w:sz="1" w:space="0" w:color="000000"/>
              <w:bottom w:val="single" w:sz="1" w:space="0" w:color="000000"/>
            </w:tcBorders>
            <w:shd w:val="clear" w:color="auto" w:fill="auto"/>
          </w:tcPr>
          <w:p w14:paraId="7510EAD0" w14:textId="77777777" w:rsidR="00E43549" w:rsidRDefault="00E43549">
            <w:pPr>
              <w:pStyle w:val="TableContents"/>
            </w:pPr>
            <w:r>
              <w:t>0.75%</w:t>
            </w:r>
          </w:p>
        </w:tc>
        <w:tc>
          <w:tcPr>
            <w:tcW w:w="2340" w:type="dxa"/>
            <w:tcBorders>
              <w:left w:val="single" w:sz="1" w:space="0" w:color="000000"/>
              <w:bottom w:val="single" w:sz="1" w:space="0" w:color="000000"/>
              <w:right w:val="single" w:sz="1" w:space="0" w:color="000000"/>
            </w:tcBorders>
            <w:shd w:val="clear" w:color="auto" w:fill="auto"/>
          </w:tcPr>
          <w:p w14:paraId="250D315D" w14:textId="77777777" w:rsidR="00E43549" w:rsidRDefault="00E43549">
            <w:pPr>
              <w:pStyle w:val="TableContents"/>
            </w:pPr>
            <w:r>
              <w:t>4.30%</w:t>
            </w:r>
          </w:p>
        </w:tc>
      </w:tr>
      <w:tr w:rsidR="00E43549" w14:paraId="526A0AB5" w14:textId="77777777">
        <w:tc>
          <w:tcPr>
            <w:tcW w:w="2340" w:type="dxa"/>
            <w:tcBorders>
              <w:left w:val="single" w:sz="1" w:space="0" w:color="000000"/>
              <w:bottom w:val="single" w:sz="1" w:space="0" w:color="000000"/>
            </w:tcBorders>
            <w:shd w:val="clear" w:color="auto" w:fill="auto"/>
          </w:tcPr>
          <w:p w14:paraId="4E69EA63" w14:textId="77777777" w:rsidR="00E43549" w:rsidRDefault="00E43549">
            <w:pPr>
              <w:pStyle w:val="TableContents"/>
            </w:pPr>
            <w:r>
              <w:t>Unemployment</w:t>
            </w:r>
          </w:p>
        </w:tc>
        <w:tc>
          <w:tcPr>
            <w:tcW w:w="2340" w:type="dxa"/>
            <w:tcBorders>
              <w:left w:val="single" w:sz="1" w:space="0" w:color="000000"/>
              <w:bottom w:val="single" w:sz="1" w:space="0" w:color="000000"/>
            </w:tcBorders>
            <w:shd w:val="clear" w:color="auto" w:fill="auto"/>
          </w:tcPr>
          <w:p w14:paraId="5051B40D" w14:textId="77777777" w:rsidR="00E43549" w:rsidRDefault="00E43549">
            <w:pPr>
              <w:pStyle w:val="TableContents"/>
            </w:pPr>
            <w:r>
              <w:t>4.33%</w:t>
            </w:r>
          </w:p>
        </w:tc>
        <w:tc>
          <w:tcPr>
            <w:tcW w:w="2340" w:type="dxa"/>
            <w:tcBorders>
              <w:left w:val="single" w:sz="1" w:space="0" w:color="000000"/>
              <w:bottom w:val="single" w:sz="1" w:space="0" w:color="000000"/>
            </w:tcBorders>
            <w:shd w:val="clear" w:color="auto" w:fill="auto"/>
          </w:tcPr>
          <w:p w14:paraId="697539A0" w14:textId="77777777" w:rsidR="00E43549" w:rsidRDefault="00E43549">
            <w:pPr>
              <w:pStyle w:val="TableContents"/>
            </w:pPr>
            <w:r>
              <w:t>4.36%</w:t>
            </w:r>
          </w:p>
        </w:tc>
        <w:tc>
          <w:tcPr>
            <w:tcW w:w="2340" w:type="dxa"/>
            <w:tcBorders>
              <w:left w:val="single" w:sz="1" w:space="0" w:color="000000"/>
              <w:bottom w:val="single" w:sz="1" w:space="0" w:color="000000"/>
              <w:right w:val="single" w:sz="1" w:space="0" w:color="000000"/>
            </w:tcBorders>
            <w:shd w:val="clear" w:color="auto" w:fill="auto"/>
          </w:tcPr>
          <w:p w14:paraId="5130A656" w14:textId="77777777" w:rsidR="00E43549" w:rsidRDefault="00E43549">
            <w:pPr>
              <w:pStyle w:val="TableContents"/>
            </w:pPr>
            <w:r>
              <w:t>3.90%</w:t>
            </w:r>
          </w:p>
        </w:tc>
      </w:tr>
      <w:tr w:rsidR="00E43549" w14:paraId="7CF254E9" w14:textId="77777777">
        <w:tc>
          <w:tcPr>
            <w:tcW w:w="2340" w:type="dxa"/>
            <w:tcBorders>
              <w:left w:val="single" w:sz="1" w:space="0" w:color="000000"/>
              <w:bottom w:val="single" w:sz="1" w:space="0" w:color="000000"/>
            </w:tcBorders>
            <w:shd w:val="clear" w:color="auto" w:fill="auto"/>
          </w:tcPr>
          <w:p w14:paraId="492996F2" w14:textId="77777777" w:rsidR="00E43549" w:rsidRDefault="00E43549">
            <w:pPr>
              <w:pStyle w:val="TableContents"/>
            </w:pPr>
            <w:r>
              <w:t>Current Account balance</w:t>
            </w:r>
          </w:p>
        </w:tc>
        <w:tc>
          <w:tcPr>
            <w:tcW w:w="2340" w:type="dxa"/>
            <w:tcBorders>
              <w:left w:val="single" w:sz="1" w:space="0" w:color="000000"/>
              <w:bottom w:val="single" w:sz="1" w:space="0" w:color="000000"/>
            </w:tcBorders>
            <w:shd w:val="clear" w:color="auto" w:fill="auto"/>
          </w:tcPr>
          <w:p w14:paraId="5B90AFE8" w14:textId="77777777" w:rsidR="00E43549" w:rsidRDefault="00E43549">
            <w:pPr>
              <w:pStyle w:val="TableContents"/>
            </w:pPr>
            <w:r>
              <w:t>-</w:t>
            </w:r>
          </w:p>
        </w:tc>
        <w:tc>
          <w:tcPr>
            <w:tcW w:w="2340" w:type="dxa"/>
            <w:tcBorders>
              <w:left w:val="single" w:sz="1" w:space="0" w:color="000000"/>
              <w:bottom w:val="single" w:sz="1" w:space="0" w:color="000000"/>
            </w:tcBorders>
            <w:shd w:val="clear" w:color="auto" w:fill="auto"/>
          </w:tcPr>
          <w:p w14:paraId="58B949FF" w14:textId="77777777" w:rsidR="00E43549" w:rsidRDefault="00E43549">
            <w:pPr>
              <w:pStyle w:val="TableContents"/>
            </w:pPr>
            <w:r>
              <w:t>-</w:t>
            </w:r>
          </w:p>
        </w:tc>
        <w:tc>
          <w:tcPr>
            <w:tcW w:w="2340" w:type="dxa"/>
            <w:tcBorders>
              <w:left w:val="single" w:sz="1" w:space="0" w:color="000000"/>
              <w:bottom w:val="single" w:sz="1" w:space="0" w:color="000000"/>
              <w:right w:val="single" w:sz="1" w:space="0" w:color="000000"/>
            </w:tcBorders>
            <w:shd w:val="clear" w:color="auto" w:fill="auto"/>
          </w:tcPr>
          <w:p w14:paraId="575898FF" w14:textId="77777777" w:rsidR="00E43549" w:rsidRDefault="00E43549">
            <w:pPr>
              <w:pStyle w:val="TableContents"/>
            </w:pPr>
            <w:r>
              <w:t>-</w:t>
            </w:r>
          </w:p>
        </w:tc>
      </w:tr>
    </w:tbl>
    <w:p w14:paraId="77B06C85" w14:textId="77777777" w:rsidR="00E43549" w:rsidRDefault="00E43549">
      <w:pPr>
        <w:rPr>
          <w:i/>
          <w:iCs/>
        </w:rPr>
      </w:pPr>
    </w:p>
    <w:p w14:paraId="46403083" w14:textId="77777777" w:rsidR="00E43549" w:rsidRDefault="00E43549">
      <w:pPr>
        <w:rPr>
          <w:b/>
          <w:bCs/>
        </w:rPr>
      </w:pPr>
      <w:r>
        <w:rPr>
          <w:i/>
          <w:iCs/>
        </w:rPr>
        <w:t>For the year 2018</w:t>
      </w: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2340"/>
        <w:gridCol w:w="2340"/>
        <w:gridCol w:w="2340"/>
        <w:gridCol w:w="2340"/>
      </w:tblGrid>
      <w:tr w:rsidR="00E43549" w14:paraId="57F8BE04" w14:textId="77777777">
        <w:tc>
          <w:tcPr>
            <w:tcW w:w="2340" w:type="dxa"/>
            <w:tcBorders>
              <w:top w:val="single" w:sz="1" w:space="0" w:color="000000"/>
              <w:left w:val="single" w:sz="1" w:space="0" w:color="000000"/>
              <w:bottom w:val="single" w:sz="1" w:space="0" w:color="000000"/>
            </w:tcBorders>
            <w:shd w:val="clear" w:color="auto" w:fill="auto"/>
          </w:tcPr>
          <w:p w14:paraId="2791F7B8" w14:textId="77777777" w:rsidR="00E43549" w:rsidRDefault="00E43549">
            <w:pPr>
              <w:pStyle w:val="TableContents"/>
              <w:jc w:val="center"/>
              <w:rPr>
                <w:b/>
                <w:bCs/>
              </w:rPr>
            </w:pPr>
            <w:r>
              <w:rPr>
                <w:b/>
                <w:bCs/>
              </w:rPr>
              <w:t>Points of Difference</w:t>
            </w:r>
          </w:p>
        </w:tc>
        <w:tc>
          <w:tcPr>
            <w:tcW w:w="2340" w:type="dxa"/>
            <w:tcBorders>
              <w:top w:val="single" w:sz="1" w:space="0" w:color="000000"/>
              <w:left w:val="single" w:sz="1" w:space="0" w:color="000000"/>
              <w:bottom w:val="single" w:sz="1" w:space="0" w:color="000000"/>
            </w:tcBorders>
            <w:shd w:val="clear" w:color="auto" w:fill="auto"/>
          </w:tcPr>
          <w:p w14:paraId="25D9176D" w14:textId="77777777" w:rsidR="00E43549" w:rsidRDefault="00E43549">
            <w:pPr>
              <w:pStyle w:val="TableContents"/>
              <w:jc w:val="center"/>
              <w:rPr>
                <w:b/>
                <w:bCs/>
              </w:rPr>
            </w:pPr>
            <w:r>
              <w:rPr>
                <w:b/>
                <w:bCs/>
              </w:rPr>
              <w:t>United Kingdom</w:t>
            </w:r>
          </w:p>
        </w:tc>
        <w:tc>
          <w:tcPr>
            <w:tcW w:w="2340" w:type="dxa"/>
            <w:tcBorders>
              <w:top w:val="single" w:sz="1" w:space="0" w:color="000000"/>
              <w:left w:val="single" w:sz="1" w:space="0" w:color="000000"/>
              <w:bottom w:val="single" w:sz="1" w:space="0" w:color="000000"/>
            </w:tcBorders>
            <w:shd w:val="clear" w:color="auto" w:fill="auto"/>
          </w:tcPr>
          <w:p w14:paraId="14647250" w14:textId="77777777" w:rsidR="00E43549" w:rsidRDefault="00E43549">
            <w:pPr>
              <w:pStyle w:val="TableContents"/>
              <w:jc w:val="center"/>
              <w:rPr>
                <w:b/>
                <w:bCs/>
              </w:rPr>
            </w:pPr>
            <w:r>
              <w:rPr>
                <w:b/>
                <w:bCs/>
              </w:rPr>
              <w:t>United States</w:t>
            </w:r>
          </w:p>
        </w:tc>
        <w:tc>
          <w:tcPr>
            <w:tcW w:w="2340" w:type="dxa"/>
            <w:tcBorders>
              <w:top w:val="single" w:sz="1" w:space="0" w:color="000000"/>
              <w:left w:val="single" w:sz="1" w:space="0" w:color="000000"/>
              <w:bottom w:val="single" w:sz="1" w:space="0" w:color="000000"/>
              <w:right w:val="single" w:sz="1" w:space="0" w:color="000000"/>
            </w:tcBorders>
            <w:shd w:val="clear" w:color="auto" w:fill="auto"/>
          </w:tcPr>
          <w:p w14:paraId="6C822600" w14:textId="77777777" w:rsidR="00E43549" w:rsidRDefault="00E43549">
            <w:pPr>
              <w:pStyle w:val="TableContents"/>
              <w:jc w:val="center"/>
            </w:pPr>
            <w:r>
              <w:rPr>
                <w:b/>
                <w:bCs/>
              </w:rPr>
              <w:t>China</w:t>
            </w:r>
          </w:p>
        </w:tc>
      </w:tr>
      <w:tr w:rsidR="00E43549" w14:paraId="2E5E42A8" w14:textId="77777777">
        <w:tc>
          <w:tcPr>
            <w:tcW w:w="2340" w:type="dxa"/>
            <w:tcBorders>
              <w:left w:val="single" w:sz="1" w:space="0" w:color="000000"/>
              <w:bottom w:val="single" w:sz="1" w:space="0" w:color="000000"/>
            </w:tcBorders>
            <w:shd w:val="clear" w:color="auto" w:fill="auto"/>
          </w:tcPr>
          <w:p w14:paraId="7C9E8E92" w14:textId="77777777" w:rsidR="00E43549" w:rsidRDefault="00E43549">
            <w:pPr>
              <w:pStyle w:val="TableContents"/>
            </w:pPr>
            <w:r>
              <w:lastRenderedPageBreak/>
              <w:t>Growth</w:t>
            </w:r>
          </w:p>
        </w:tc>
        <w:tc>
          <w:tcPr>
            <w:tcW w:w="2340" w:type="dxa"/>
            <w:tcBorders>
              <w:left w:val="single" w:sz="1" w:space="0" w:color="000000"/>
              <w:bottom w:val="single" w:sz="1" w:space="0" w:color="000000"/>
            </w:tcBorders>
            <w:shd w:val="clear" w:color="auto" w:fill="auto"/>
          </w:tcPr>
          <w:p w14:paraId="69D05F30" w14:textId="77777777" w:rsidR="00E43549" w:rsidRDefault="00E43549">
            <w:pPr>
              <w:pStyle w:val="TableContents"/>
            </w:pPr>
            <w:r>
              <w:t>(5.1%)</w:t>
            </w:r>
          </w:p>
        </w:tc>
        <w:tc>
          <w:tcPr>
            <w:tcW w:w="2340" w:type="dxa"/>
            <w:tcBorders>
              <w:left w:val="single" w:sz="1" w:space="0" w:color="000000"/>
              <w:bottom w:val="single" w:sz="1" w:space="0" w:color="000000"/>
            </w:tcBorders>
            <w:shd w:val="clear" w:color="auto" w:fill="auto"/>
          </w:tcPr>
          <w:p w14:paraId="79E0A0DB" w14:textId="77777777" w:rsidR="00E43549" w:rsidRDefault="00E43549">
            <w:pPr>
              <w:pStyle w:val="TableContents"/>
            </w:pPr>
            <w:r>
              <w:t>-</w:t>
            </w:r>
          </w:p>
        </w:tc>
        <w:tc>
          <w:tcPr>
            <w:tcW w:w="2340" w:type="dxa"/>
            <w:tcBorders>
              <w:left w:val="single" w:sz="1" w:space="0" w:color="000000"/>
              <w:bottom w:val="single" w:sz="1" w:space="0" w:color="000000"/>
              <w:right w:val="single" w:sz="1" w:space="0" w:color="000000"/>
            </w:tcBorders>
            <w:shd w:val="clear" w:color="auto" w:fill="auto"/>
          </w:tcPr>
          <w:p w14:paraId="3987EB65" w14:textId="77777777" w:rsidR="00E43549" w:rsidRDefault="00E43549">
            <w:pPr>
              <w:pStyle w:val="TableContents"/>
            </w:pPr>
            <w:r>
              <w:t>-</w:t>
            </w:r>
          </w:p>
        </w:tc>
      </w:tr>
      <w:tr w:rsidR="00E43549" w14:paraId="5E0636DD" w14:textId="77777777">
        <w:tc>
          <w:tcPr>
            <w:tcW w:w="2340" w:type="dxa"/>
            <w:tcBorders>
              <w:left w:val="single" w:sz="1" w:space="0" w:color="000000"/>
              <w:bottom w:val="single" w:sz="1" w:space="0" w:color="000000"/>
            </w:tcBorders>
            <w:shd w:val="clear" w:color="auto" w:fill="auto"/>
          </w:tcPr>
          <w:p w14:paraId="712FED03" w14:textId="77777777" w:rsidR="00E43549" w:rsidRDefault="00E43549">
            <w:pPr>
              <w:pStyle w:val="TableContents"/>
            </w:pPr>
            <w:r>
              <w:t>Inflation</w:t>
            </w:r>
          </w:p>
        </w:tc>
        <w:tc>
          <w:tcPr>
            <w:tcW w:w="2340" w:type="dxa"/>
            <w:tcBorders>
              <w:left w:val="single" w:sz="1" w:space="0" w:color="000000"/>
              <w:bottom w:val="single" w:sz="1" w:space="0" w:color="000000"/>
            </w:tcBorders>
            <w:shd w:val="clear" w:color="auto" w:fill="auto"/>
          </w:tcPr>
          <w:p w14:paraId="56A47EF4" w14:textId="77777777" w:rsidR="00E43549" w:rsidRDefault="00E43549">
            <w:pPr>
              <w:pStyle w:val="TableContents"/>
            </w:pPr>
            <w:r>
              <w:t>2.68%</w:t>
            </w:r>
          </w:p>
        </w:tc>
        <w:tc>
          <w:tcPr>
            <w:tcW w:w="2340" w:type="dxa"/>
            <w:tcBorders>
              <w:left w:val="single" w:sz="1" w:space="0" w:color="000000"/>
              <w:bottom w:val="single" w:sz="1" w:space="0" w:color="000000"/>
            </w:tcBorders>
            <w:shd w:val="clear" w:color="auto" w:fill="auto"/>
          </w:tcPr>
          <w:p w14:paraId="7FA74202" w14:textId="77777777" w:rsidR="00E43549" w:rsidRDefault="00E43549">
            <w:pPr>
              <w:pStyle w:val="TableContents"/>
            </w:pPr>
            <w:r>
              <w:t>1.90%</w:t>
            </w:r>
          </w:p>
        </w:tc>
        <w:tc>
          <w:tcPr>
            <w:tcW w:w="2340" w:type="dxa"/>
            <w:tcBorders>
              <w:left w:val="single" w:sz="1" w:space="0" w:color="000000"/>
              <w:bottom w:val="single" w:sz="1" w:space="0" w:color="000000"/>
              <w:right w:val="single" w:sz="1" w:space="0" w:color="000000"/>
            </w:tcBorders>
            <w:shd w:val="clear" w:color="auto" w:fill="auto"/>
          </w:tcPr>
          <w:p w14:paraId="4E9C5218" w14:textId="77777777" w:rsidR="00E43549" w:rsidRDefault="00E43549">
            <w:pPr>
              <w:pStyle w:val="TableContents"/>
            </w:pPr>
            <w:r>
              <w:t>2.11%</w:t>
            </w:r>
          </w:p>
        </w:tc>
      </w:tr>
      <w:tr w:rsidR="00E43549" w14:paraId="77713AE3" w14:textId="77777777">
        <w:tc>
          <w:tcPr>
            <w:tcW w:w="2340" w:type="dxa"/>
            <w:tcBorders>
              <w:left w:val="single" w:sz="1" w:space="0" w:color="000000"/>
              <w:bottom w:val="single" w:sz="1" w:space="0" w:color="000000"/>
            </w:tcBorders>
            <w:shd w:val="clear" w:color="auto" w:fill="auto"/>
          </w:tcPr>
          <w:p w14:paraId="2F739573" w14:textId="77777777" w:rsidR="00E43549" w:rsidRDefault="00E43549">
            <w:pPr>
              <w:pStyle w:val="TableContents"/>
            </w:pPr>
            <w:r>
              <w:t>Interest rates</w:t>
            </w:r>
          </w:p>
        </w:tc>
        <w:tc>
          <w:tcPr>
            <w:tcW w:w="2340" w:type="dxa"/>
            <w:tcBorders>
              <w:left w:val="single" w:sz="1" w:space="0" w:color="000000"/>
              <w:bottom w:val="single" w:sz="1" w:space="0" w:color="000000"/>
            </w:tcBorders>
            <w:shd w:val="clear" w:color="auto" w:fill="auto"/>
          </w:tcPr>
          <w:p w14:paraId="00393C77" w14:textId="77777777" w:rsidR="00E43549" w:rsidRDefault="00E43549">
            <w:pPr>
              <w:pStyle w:val="TableContents"/>
            </w:pPr>
            <w:r>
              <w:t>0.75%</w:t>
            </w:r>
          </w:p>
        </w:tc>
        <w:tc>
          <w:tcPr>
            <w:tcW w:w="2340" w:type="dxa"/>
            <w:tcBorders>
              <w:left w:val="single" w:sz="1" w:space="0" w:color="000000"/>
              <w:bottom w:val="single" w:sz="1" w:space="0" w:color="000000"/>
            </w:tcBorders>
            <w:shd w:val="clear" w:color="auto" w:fill="auto"/>
          </w:tcPr>
          <w:p w14:paraId="2ED152FC" w14:textId="77777777" w:rsidR="00E43549" w:rsidRDefault="00E43549">
            <w:pPr>
              <w:pStyle w:val="TableContents"/>
            </w:pPr>
            <w:r>
              <w:t>1.50%</w:t>
            </w:r>
          </w:p>
        </w:tc>
        <w:tc>
          <w:tcPr>
            <w:tcW w:w="2340" w:type="dxa"/>
            <w:tcBorders>
              <w:left w:val="single" w:sz="1" w:space="0" w:color="000000"/>
              <w:bottom w:val="single" w:sz="1" w:space="0" w:color="000000"/>
              <w:right w:val="single" w:sz="1" w:space="0" w:color="000000"/>
            </w:tcBorders>
            <w:shd w:val="clear" w:color="auto" w:fill="auto"/>
          </w:tcPr>
          <w:p w14:paraId="2F695867" w14:textId="77777777" w:rsidR="00E43549" w:rsidRDefault="00E43549">
            <w:pPr>
              <w:pStyle w:val="TableContents"/>
            </w:pPr>
            <w:r>
              <w:t>4.31%</w:t>
            </w:r>
          </w:p>
        </w:tc>
      </w:tr>
      <w:tr w:rsidR="00E43549" w14:paraId="3355F056" w14:textId="77777777">
        <w:tc>
          <w:tcPr>
            <w:tcW w:w="2340" w:type="dxa"/>
            <w:tcBorders>
              <w:left w:val="single" w:sz="1" w:space="0" w:color="000000"/>
              <w:bottom w:val="single" w:sz="1" w:space="0" w:color="000000"/>
            </w:tcBorders>
            <w:shd w:val="clear" w:color="auto" w:fill="auto"/>
          </w:tcPr>
          <w:p w14:paraId="4DECFDA4" w14:textId="77777777" w:rsidR="00E43549" w:rsidRDefault="00E43549">
            <w:pPr>
              <w:pStyle w:val="TableContents"/>
            </w:pPr>
            <w:r>
              <w:t>Unemployment</w:t>
            </w:r>
          </w:p>
        </w:tc>
        <w:tc>
          <w:tcPr>
            <w:tcW w:w="2340" w:type="dxa"/>
            <w:tcBorders>
              <w:left w:val="single" w:sz="1" w:space="0" w:color="000000"/>
              <w:bottom w:val="single" w:sz="1" w:space="0" w:color="000000"/>
            </w:tcBorders>
            <w:shd w:val="clear" w:color="auto" w:fill="auto"/>
          </w:tcPr>
          <w:p w14:paraId="17CB5B11" w14:textId="77777777" w:rsidR="00E43549" w:rsidRDefault="00E43549">
            <w:pPr>
              <w:pStyle w:val="TableContents"/>
            </w:pPr>
            <w:r>
              <w:t>4.00%</w:t>
            </w:r>
          </w:p>
        </w:tc>
        <w:tc>
          <w:tcPr>
            <w:tcW w:w="2340" w:type="dxa"/>
            <w:tcBorders>
              <w:left w:val="single" w:sz="1" w:space="0" w:color="000000"/>
              <w:bottom w:val="single" w:sz="1" w:space="0" w:color="000000"/>
            </w:tcBorders>
            <w:shd w:val="clear" w:color="auto" w:fill="auto"/>
          </w:tcPr>
          <w:p w14:paraId="6F715086" w14:textId="77777777" w:rsidR="00E43549" w:rsidRDefault="00E43549">
            <w:pPr>
              <w:pStyle w:val="TableContents"/>
            </w:pPr>
            <w:r>
              <w:t>3.90%</w:t>
            </w:r>
          </w:p>
        </w:tc>
        <w:tc>
          <w:tcPr>
            <w:tcW w:w="2340" w:type="dxa"/>
            <w:tcBorders>
              <w:left w:val="single" w:sz="1" w:space="0" w:color="000000"/>
              <w:bottom w:val="single" w:sz="1" w:space="0" w:color="000000"/>
              <w:right w:val="single" w:sz="1" w:space="0" w:color="000000"/>
            </w:tcBorders>
            <w:shd w:val="clear" w:color="auto" w:fill="auto"/>
          </w:tcPr>
          <w:p w14:paraId="692B0B1B" w14:textId="77777777" w:rsidR="00E43549" w:rsidRDefault="00E43549">
            <w:pPr>
              <w:pStyle w:val="TableContents"/>
            </w:pPr>
            <w:r>
              <w:t>3.80%</w:t>
            </w:r>
          </w:p>
        </w:tc>
      </w:tr>
      <w:tr w:rsidR="00E43549" w14:paraId="2861C863" w14:textId="77777777">
        <w:tc>
          <w:tcPr>
            <w:tcW w:w="2340" w:type="dxa"/>
            <w:tcBorders>
              <w:left w:val="single" w:sz="1" w:space="0" w:color="000000"/>
              <w:bottom w:val="single" w:sz="1" w:space="0" w:color="000000"/>
            </w:tcBorders>
            <w:shd w:val="clear" w:color="auto" w:fill="auto"/>
          </w:tcPr>
          <w:p w14:paraId="02F1F1CE" w14:textId="77777777" w:rsidR="00E43549" w:rsidRDefault="00E43549">
            <w:pPr>
              <w:pStyle w:val="TableContents"/>
            </w:pPr>
            <w:r>
              <w:t>Current Account balance</w:t>
            </w:r>
          </w:p>
        </w:tc>
        <w:tc>
          <w:tcPr>
            <w:tcW w:w="2340" w:type="dxa"/>
            <w:tcBorders>
              <w:left w:val="single" w:sz="1" w:space="0" w:color="000000"/>
              <w:bottom w:val="single" w:sz="1" w:space="0" w:color="000000"/>
            </w:tcBorders>
            <w:shd w:val="clear" w:color="auto" w:fill="auto"/>
          </w:tcPr>
          <w:p w14:paraId="16D62828" w14:textId="77777777" w:rsidR="00E43549" w:rsidRDefault="00E43549">
            <w:pPr>
              <w:pStyle w:val="TableContents"/>
            </w:pPr>
            <w:r>
              <w:t>-</w:t>
            </w:r>
          </w:p>
        </w:tc>
        <w:tc>
          <w:tcPr>
            <w:tcW w:w="2340" w:type="dxa"/>
            <w:tcBorders>
              <w:left w:val="single" w:sz="1" w:space="0" w:color="000000"/>
              <w:bottom w:val="single" w:sz="1" w:space="0" w:color="000000"/>
            </w:tcBorders>
            <w:shd w:val="clear" w:color="auto" w:fill="auto"/>
          </w:tcPr>
          <w:p w14:paraId="30CF427A" w14:textId="77777777" w:rsidR="00E43549" w:rsidRDefault="00E43549">
            <w:pPr>
              <w:pStyle w:val="TableContents"/>
            </w:pPr>
            <w:r>
              <w:t>-</w:t>
            </w:r>
          </w:p>
        </w:tc>
        <w:tc>
          <w:tcPr>
            <w:tcW w:w="2340" w:type="dxa"/>
            <w:tcBorders>
              <w:left w:val="single" w:sz="1" w:space="0" w:color="000000"/>
              <w:bottom w:val="single" w:sz="1" w:space="0" w:color="000000"/>
              <w:right w:val="single" w:sz="1" w:space="0" w:color="000000"/>
            </w:tcBorders>
            <w:shd w:val="clear" w:color="auto" w:fill="auto"/>
          </w:tcPr>
          <w:p w14:paraId="1A3618CA" w14:textId="77777777" w:rsidR="00E43549" w:rsidRDefault="00E43549">
            <w:pPr>
              <w:pStyle w:val="TableContents"/>
            </w:pPr>
            <w:r>
              <w:t>-</w:t>
            </w:r>
          </w:p>
        </w:tc>
      </w:tr>
    </w:tbl>
    <w:p w14:paraId="4A5150FC" w14:textId="77777777" w:rsidR="00E43549" w:rsidRDefault="00E43549">
      <w:pPr>
        <w:pStyle w:val="Heading2"/>
      </w:pPr>
    </w:p>
    <w:p w14:paraId="2C9CB747" w14:textId="77777777" w:rsidR="00E43549" w:rsidRDefault="00E43549">
      <w:pPr>
        <w:rPr>
          <w:b/>
          <w:bCs/>
        </w:rPr>
      </w:pPr>
      <w:r>
        <w:rPr>
          <w:i/>
          <w:iCs/>
        </w:rPr>
        <w:t>For the year 2019</w:t>
      </w: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2340"/>
        <w:gridCol w:w="2340"/>
        <w:gridCol w:w="2340"/>
        <w:gridCol w:w="2340"/>
      </w:tblGrid>
      <w:tr w:rsidR="00E43549" w14:paraId="0AC1AD50" w14:textId="77777777">
        <w:tc>
          <w:tcPr>
            <w:tcW w:w="2340" w:type="dxa"/>
            <w:tcBorders>
              <w:top w:val="single" w:sz="1" w:space="0" w:color="000000"/>
              <w:left w:val="single" w:sz="1" w:space="0" w:color="000000"/>
              <w:bottom w:val="single" w:sz="1" w:space="0" w:color="000000"/>
            </w:tcBorders>
            <w:shd w:val="clear" w:color="auto" w:fill="auto"/>
          </w:tcPr>
          <w:p w14:paraId="132FEF92" w14:textId="77777777" w:rsidR="00E43549" w:rsidRDefault="00E43549">
            <w:pPr>
              <w:pStyle w:val="TableContents"/>
              <w:jc w:val="center"/>
              <w:rPr>
                <w:b/>
                <w:bCs/>
              </w:rPr>
            </w:pPr>
            <w:r>
              <w:rPr>
                <w:b/>
                <w:bCs/>
              </w:rPr>
              <w:t>Points of Difference</w:t>
            </w:r>
          </w:p>
        </w:tc>
        <w:tc>
          <w:tcPr>
            <w:tcW w:w="2340" w:type="dxa"/>
            <w:tcBorders>
              <w:top w:val="single" w:sz="1" w:space="0" w:color="000000"/>
              <w:left w:val="single" w:sz="1" w:space="0" w:color="000000"/>
              <w:bottom w:val="single" w:sz="1" w:space="0" w:color="000000"/>
            </w:tcBorders>
            <w:shd w:val="clear" w:color="auto" w:fill="auto"/>
          </w:tcPr>
          <w:p w14:paraId="3106602C" w14:textId="77777777" w:rsidR="00E43549" w:rsidRDefault="00E43549">
            <w:pPr>
              <w:pStyle w:val="TableContents"/>
              <w:jc w:val="center"/>
              <w:rPr>
                <w:b/>
                <w:bCs/>
              </w:rPr>
            </w:pPr>
            <w:r>
              <w:rPr>
                <w:b/>
                <w:bCs/>
              </w:rPr>
              <w:t>United Kingdom</w:t>
            </w:r>
          </w:p>
        </w:tc>
        <w:tc>
          <w:tcPr>
            <w:tcW w:w="2340" w:type="dxa"/>
            <w:tcBorders>
              <w:top w:val="single" w:sz="1" w:space="0" w:color="000000"/>
              <w:left w:val="single" w:sz="1" w:space="0" w:color="000000"/>
              <w:bottom w:val="single" w:sz="1" w:space="0" w:color="000000"/>
            </w:tcBorders>
            <w:shd w:val="clear" w:color="auto" w:fill="auto"/>
          </w:tcPr>
          <w:p w14:paraId="5CA4514C" w14:textId="77777777" w:rsidR="00E43549" w:rsidRDefault="00E43549">
            <w:pPr>
              <w:pStyle w:val="TableContents"/>
              <w:jc w:val="center"/>
              <w:rPr>
                <w:b/>
                <w:bCs/>
              </w:rPr>
            </w:pPr>
            <w:r>
              <w:rPr>
                <w:b/>
                <w:bCs/>
              </w:rPr>
              <w:t>United States</w:t>
            </w:r>
          </w:p>
        </w:tc>
        <w:tc>
          <w:tcPr>
            <w:tcW w:w="2340" w:type="dxa"/>
            <w:tcBorders>
              <w:top w:val="single" w:sz="1" w:space="0" w:color="000000"/>
              <w:left w:val="single" w:sz="1" w:space="0" w:color="000000"/>
              <w:bottom w:val="single" w:sz="1" w:space="0" w:color="000000"/>
              <w:right w:val="single" w:sz="1" w:space="0" w:color="000000"/>
            </w:tcBorders>
            <w:shd w:val="clear" w:color="auto" w:fill="auto"/>
          </w:tcPr>
          <w:p w14:paraId="26CFBE3B" w14:textId="77777777" w:rsidR="00E43549" w:rsidRDefault="00E43549">
            <w:pPr>
              <w:pStyle w:val="TableContents"/>
              <w:jc w:val="center"/>
            </w:pPr>
            <w:r>
              <w:rPr>
                <w:b/>
                <w:bCs/>
              </w:rPr>
              <w:t>China</w:t>
            </w:r>
          </w:p>
        </w:tc>
      </w:tr>
      <w:tr w:rsidR="00E43549" w14:paraId="4FBD4641" w14:textId="77777777">
        <w:tc>
          <w:tcPr>
            <w:tcW w:w="2340" w:type="dxa"/>
            <w:tcBorders>
              <w:left w:val="single" w:sz="1" w:space="0" w:color="000000"/>
              <w:bottom w:val="single" w:sz="1" w:space="0" w:color="000000"/>
            </w:tcBorders>
            <w:shd w:val="clear" w:color="auto" w:fill="auto"/>
          </w:tcPr>
          <w:p w14:paraId="43227B4D" w14:textId="77777777" w:rsidR="00E43549" w:rsidRDefault="00E43549">
            <w:pPr>
              <w:pStyle w:val="TableContents"/>
            </w:pPr>
            <w:r>
              <w:t>Growth</w:t>
            </w:r>
          </w:p>
        </w:tc>
        <w:tc>
          <w:tcPr>
            <w:tcW w:w="2340" w:type="dxa"/>
            <w:tcBorders>
              <w:left w:val="single" w:sz="1" w:space="0" w:color="000000"/>
              <w:bottom w:val="single" w:sz="1" w:space="0" w:color="000000"/>
            </w:tcBorders>
            <w:shd w:val="clear" w:color="auto" w:fill="auto"/>
          </w:tcPr>
          <w:p w14:paraId="1CE11D61" w14:textId="77777777" w:rsidR="00E43549" w:rsidRDefault="00E43549">
            <w:pPr>
              <w:pStyle w:val="TableContents"/>
            </w:pPr>
            <w:r>
              <w:t>2.00%</w:t>
            </w:r>
          </w:p>
        </w:tc>
        <w:tc>
          <w:tcPr>
            <w:tcW w:w="2340" w:type="dxa"/>
            <w:tcBorders>
              <w:left w:val="single" w:sz="1" w:space="0" w:color="000000"/>
              <w:bottom w:val="single" w:sz="1" w:space="0" w:color="000000"/>
            </w:tcBorders>
            <w:shd w:val="clear" w:color="auto" w:fill="auto"/>
          </w:tcPr>
          <w:p w14:paraId="0330D501" w14:textId="77777777" w:rsidR="00E43549" w:rsidRDefault="00E43549">
            <w:pPr>
              <w:pStyle w:val="TableContents"/>
            </w:pPr>
            <w:r>
              <w:t>-</w:t>
            </w:r>
          </w:p>
        </w:tc>
        <w:tc>
          <w:tcPr>
            <w:tcW w:w="2340" w:type="dxa"/>
            <w:tcBorders>
              <w:left w:val="single" w:sz="1" w:space="0" w:color="000000"/>
              <w:bottom w:val="single" w:sz="1" w:space="0" w:color="000000"/>
              <w:right w:val="single" w:sz="1" w:space="0" w:color="000000"/>
            </w:tcBorders>
            <w:shd w:val="clear" w:color="auto" w:fill="auto"/>
          </w:tcPr>
          <w:p w14:paraId="036834C6" w14:textId="77777777" w:rsidR="00E43549" w:rsidRDefault="00E43549">
            <w:pPr>
              <w:pStyle w:val="TableContents"/>
            </w:pPr>
            <w:r>
              <w:t>-</w:t>
            </w:r>
          </w:p>
        </w:tc>
      </w:tr>
      <w:tr w:rsidR="00E43549" w14:paraId="45C33804" w14:textId="77777777">
        <w:tc>
          <w:tcPr>
            <w:tcW w:w="2340" w:type="dxa"/>
            <w:tcBorders>
              <w:left w:val="single" w:sz="1" w:space="0" w:color="000000"/>
              <w:bottom w:val="single" w:sz="1" w:space="0" w:color="000000"/>
            </w:tcBorders>
            <w:shd w:val="clear" w:color="auto" w:fill="auto"/>
          </w:tcPr>
          <w:p w14:paraId="2B3D1089" w14:textId="77777777" w:rsidR="00E43549" w:rsidRDefault="00E43549">
            <w:pPr>
              <w:pStyle w:val="TableContents"/>
            </w:pPr>
            <w:r>
              <w:t>Inflation</w:t>
            </w:r>
          </w:p>
        </w:tc>
        <w:tc>
          <w:tcPr>
            <w:tcW w:w="2340" w:type="dxa"/>
            <w:tcBorders>
              <w:left w:val="single" w:sz="1" w:space="0" w:color="000000"/>
              <w:bottom w:val="single" w:sz="1" w:space="0" w:color="000000"/>
            </w:tcBorders>
            <w:shd w:val="clear" w:color="auto" w:fill="auto"/>
          </w:tcPr>
          <w:p w14:paraId="60B015A9" w14:textId="77777777" w:rsidR="00E43549" w:rsidRDefault="00E43549">
            <w:pPr>
              <w:pStyle w:val="TableContents"/>
            </w:pPr>
            <w:r>
              <w:t>1.74%</w:t>
            </w:r>
          </w:p>
        </w:tc>
        <w:tc>
          <w:tcPr>
            <w:tcW w:w="2340" w:type="dxa"/>
            <w:tcBorders>
              <w:left w:val="single" w:sz="1" w:space="0" w:color="000000"/>
              <w:bottom w:val="single" w:sz="1" w:space="0" w:color="000000"/>
            </w:tcBorders>
            <w:shd w:val="clear" w:color="auto" w:fill="auto"/>
          </w:tcPr>
          <w:p w14:paraId="5E3BCF95" w14:textId="77777777" w:rsidR="00E43549" w:rsidRDefault="00E43549">
            <w:pPr>
              <w:pStyle w:val="TableContents"/>
            </w:pPr>
            <w:r>
              <w:t>2.30%</w:t>
            </w:r>
          </w:p>
        </w:tc>
        <w:tc>
          <w:tcPr>
            <w:tcW w:w="2340" w:type="dxa"/>
            <w:tcBorders>
              <w:left w:val="single" w:sz="1" w:space="0" w:color="000000"/>
              <w:bottom w:val="single" w:sz="1" w:space="0" w:color="000000"/>
              <w:right w:val="single" w:sz="1" w:space="0" w:color="000000"/>
            </w:tcBorders>
            <w:shd w:val="clear" w:color="auto" w:fill="auto"/>
          </w:tcPr>
          <w:p w14:paraId="37976324" w14:textId="77777777" w:rsidR="00E43549" w:rsidRDefault="00E43549">
            <w:pPr>
              <w:pStyle w:val="TableContents"/>
            </w:pPr>
            <w:r>
              <w:t>2.00%</w:t>
            </w:r>
          </w:p>
        </w:tc>
      </w:tr>
      <w:tr w:rsidR="00E43549" w14:paraId="78DD2ED5" w14:textId="77777777">
        <w:tc>
          <w:tcPr>
            <w:tcW w:w="2340" w:type="dxa"/>
            <w:tcBorders>
              <w:left w:val="single" w:sz="1" w:space="0" w:color="000000"/>
              <w:bottom w:val="single" w:sz="1" w:space="0" w:color="000000"/>
            </w:tcBorders>
            <w:shd w:val="clear" w:color="auto" w:fill="auto"/>
          </w:tcPr>
          <w:p w14:paraId="6D48C66B" w14:textId="77777777" w:rsidR="00E43549" w:rsidRDefault="00E43549">
            <w:pPr>
              <w:pStyle w:val="TableContents"/>
            </w:pPr>
            <w:r>
              <w:t>Interest rates</w:t>
            </w:r>
          </w:p>
        </w:tc>
        <w:tc>
          <w:tcPr>
            <w:tcW w:w="2340" w:type="dxa"/>
            <w:tcBorders>
              <w:left w:val="single" w:sz="1" w:space="0" w:color="000000"/>
              <w:bottom w:val="single" w:sz="1" w:space="0" w:color="000000"/>
            </w:tcBorders>
            <w:shd w:val="clear" w:color="auto" w:fill="auto"/>
          </w:tcPr>
          <w:p w14:paraId="1BF0F654" w14:textId="77777777" w:rsidR="00E43549" w:rsidRDefault="00E43549">
            <w:pPr>
              <w:pStyle w:val="TableContents"/>
            </w:pPr>
            <w:r>
              <w:t>0.79%</w:t>
            </w:r>
          </w:p>
        </w:tc>
        <w:tc>
          <w:tcPr>
            <w:tcW w:w="2340" w:type="dxa"/>
            <w:tcBorders>
              <w:left w:val="single" w:sz="1" w:space="0" w:color="000000"/>
              <w:bottom w:val="single" w:sz="1" w:space="0" w:color="000000"/>
            </w:tcBorders>
            <w:shd w:val="clear" w:color="auto" w:fill="auto"/>
          </w:tcPr>
          <w:p w14:paraId="0626A6F2" w14:textId="77777777" w:rsidR="00E43549" w:rsidRDefault="00E43549">
            <w:pPr>
              <w:pStyle w:val="TableContents"/>
            </w:pPr>
            <w:r>
              <w:t>1.75%</w:t>
            </w:r>
          </w:p>
        </w:tc>
        <w:tc>
          <w:tcPr>
            <w:tcW w:w="2340" w:type="dxa"/>
            <w:tcBorders>
              <w:left w:val="single" w:sz="1" w:space="0" w:color="000000"/>
              <w:bottom w:val="single" w:sz="1" w:space="0" w:color="000000"/>
              <w:right w:val="single" w:sz="1" w:space="0" w:color="000000"/>
            </w:tcBorders>
            <w:shd w:val="clear" w:color="auto" w:fill="auto"/>
          </w:tcPr>
          <w:p w14:paraId="13DF4EC2" w14:textId="77777777" w:rsidR="00E43549" w:rsidRDefault="00E43549">
            <w:pPr>
              <w:pStyle w:val="TableContents"/>
            </w:pPr>
            <w:r>
              <w:t>4.15%</w:t>
            </w:r>
          </w:p>
        </w:tc>
      </w:tr>
      <w:tr w:rsidR="00E43549" w14:paraId="61B082B9" w14:textId="77777777">
        <w:tc>
          <w:tcPr>
            <w:tcW w:w="2340" w:type="dxa"/>
            <w:tcBorders>
              <w:left w:val="single" w:sz="1" w:space="0" w:color="000000"/>
              <w:bottom w:val="single" w:sz="1" w:space="0" w:color="000000"/>
            </w:tcBorders>
            <w:shd w:val="clear" w:color="auto" w:fill="auto"/>
          </w:tcPr>
          <w:p w14:paraId="585A90B9" w14:textId="77777777" w:rsidR="00E43549" w:rsidRDefault="00E43549">
            <w:pPr>
              <w:pStyle w:val="TableContents"/>
            </w:pPr>
            <w:r>
              <w:t>Unemployment</w:t>
            </w:r>
          </w:p>
        </w:tc>
        <w:tc>
          <w:tcPr>
            <w:tcW w:w="2340" w:type="dxa"/>
            <w:tcBorders>
              <w:left w:val="single" w:sz="1" w:space="0" w:color="000000"/>
              <w:bottom w:val="single" w:sz="1" w:space="0" w:color="000000"/>
            </w:tcBorders>
            <w:shd w:val="clear" w:color="auto" w:fill="auto"/>
          </w:tcPr>
          <w:p w14:paraId="256EE00D" w14:textId="77777777" w:rsidR="00E43549" w:rsidRDefault="00E43549">
            <w:pPr>
              <w:pStyle w:val="TableContents"/>
            </w:pPr>
            <w:r>
              <w:t>3.74%</w:t>
            </w:r>
          </w:p>
        </w:tc>
        <w:tc>
          <w:tcPr>
            <w:tcW w:w="2340" w:type="dxa"/>
            <w:tcBorders>
              <w:left w:val="single" w:sz="1" w:space="0" w:color="000000"/>
              <w:bottom w:val="single" w:sz="1" w:space="0" w:color="000000"/>
            </w:tcBorders>
            <w:shd w:val="clear" w:color="auto" w:fill="auto"/>
          </w:tcPr>
          <w:p w14:paraId="29961A35" w14:textId="77777777" w:rsidR="00E43549" w:rsidRDefault="00E43549">
            <w:pPr>
              <w:pStyle w:val="TableContents"/>
            </w:pPr>
            <w:r>
              <w:t>4.87%</w:t>
            </w:r>
          </w:p>
        </w:tc>
        <w:tc>
          <w:tcPr>
            <w:tcW w:w="2340" w:type="dxa"/>
            <w:tcBorders>
              <w:left w:val="single" w:sz="1" w:space="0" w:color="000000"/>
              <w:bottom w:val="single" w:sz="1" w:space="0" w:color="000000"/>
              <w:right w:val="single" w:sz="1" w:space="0" w:color="000000"/>
            </w:tcBorders>
            <w:shd w:val="clear" w:color="auto" w:fill="auto"/>
          </w:tcPr>
          <w:p w14:paraId="7E7821AA" w14:textId="77777777" w:rsidR="00E43549" w:rsidRDefault="00E43549">
            <w:pPr>
              <w:pStyle w:val="TableContents"/>
            </w:pPr>
            <w:r>
              <w:t>3.62%</w:t>
            </w:r>
          </w:p>
        </w:tc>
      </w:tr>
      <w:tr w:rsidR="00E43549" w14:paraId="1D01DE10" w14:textId="77777777">
        <w:tc>
          <w:tcPr>
            <w:tcW w:w="2340" w:type="dxa"/>
            <w:tcBorders>
              <w:left w:val="single" w:sz="1" w:space="0" w:color="000000"/>
              <w:bottom w:val="single" w:sz="1" w:space="0" w:color="000000"/>
            </w:tcBorders>
            <w:shd w:val="clear" w:color="auto" w:fill="auto"/>
          </w:tcPr>
          <w:p w14:paraId="4B93D8BC" w14:textId="77777777" w:rsidR="00E43549" w:rsidRDefault="00E43549">
            <w:pPr>
              <w:pStyle w:val="TableContents"/>
            </w:pPr>
            <w:r>
              <w:t>Current Account balance</w:t>
            </w:r>
          </w:p>
        </w:tc>
        <w:tc>
          <w:tcPr>
            <w:tcW w:w="2340" w:type="dxa"/>
            <w:tcBorders>
              <w:left w:val="single" w:sz="1" w:space="0" w:color="000000"/>
              <w:bottom w:val="single" w:sz="1" w:space="0" w:color="000000"/>
            </w:tcBorders>
            <w:shd w:val="clear" w:color="auto" w:fill="auto"/>
          </w:tcPr>
          <w:p w14:paraId="01EE82DC" w14:textId="77777777" w:rsidR="00E43549" w:rsidRDefault="00E43549">
            <w:pPr>
              <w:pStyle w:val="TableContents"/>
            </w:pPr>
            <w:r>
              <w:t>60 billion</w:t>
            </w:r>
          </w:p>
        </w:tc>
        <w:tc>
          <w:tcPr>
            <w:tcW w:w="2340" w:type="dxa"/>
            <w:tcBorders>
              <w:left w:val="single" w:sz="1" w:space="0" w:color="000000"/>
              <w:bottom w:val="single" w:sz="1" w:space="0" w:color="000000"/>
            </w:tcBorders>
            <w:shd w:val="clear" w:color="auto" w:fill="auto"/>
          </w:tcPr>
          <w:p w14:paraId="361EEE3D" w14:textId="77777777" w:rsidR="00E43549" w:rsidRDefault="00E43549">
            <w:pPr>
              <w:pStyle w:val="TableContents"/>
            </w:pPr>
            <w:r>
              <w:t>498.4 billion</w:t>
            </w:r>
          </w:p>
        </w:tc>
        <w:tc>
          <w:tcPr>
            <w:tcW w:w="2340" w:type="dxa"/>
            <w:tcBorders>
              <w:left w:val="single" w:sz="1" w:space="0" w:color="000000"/>
              <w:bottom w:val="single" w:sz="1" w:space="0" w:color="000000"/>
              <w:right w:val="single" w:sz="1" w:space="0" w:color="000000"/>
            </w:tcBorders>
            <w:shd w:val="clear" w:color="auto" w:fill="auto"/>
          </w:tcPr>
          <w:p w14:paraId="5BA67C78" w14:textId="77777777" w:rsidR="00E43549" w:rsidRDefault="00E43549">
            <w:pPr>
              <w:pStyle w:val="TableContents"/>
            </w:pPr>
            <w:r>
              <w:t>141.1</w:t>
            </w:r>
          </w:p>
        </w:tc>
      </w:tr>
    </w:tbl>
    <w:p w14:paraId="6BB0D6D0" w14:textId="77777777" w:rsidR="00E43549" w:rsidRDefault="00E43549">
      <w:pPr>
        <w:pStyle w:val="Heading2"/>
      </w:pPr>
    </w:p>
    <w:p w14:paraId="7A2DE2F1" w14:textId="77777777" w:rsidR="00E43549" w:rsidRDefault="00E43549">
      <w:pPr>
        <w:rPr>
          <w:b/>
          <w:bCs/>
        </w:rPr>
      </w:pPr>
      <w:r>
        <w:rPr>
          <w:i/>
          <w:iCs/>
        </w:rPr>
        <w:t>For the year 2020</w:t>
      </w: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2340"/>
        <w:gridCol w:w="2340"/>
        <w:gridCol w:w="2340"/>
        <w:gridCol w:w="2340"/>
      </w:tblGrid>
      <w:tr w:rsidR="00E43549" w14:paraId="1FB3D72D" w14:textId="77777777">
        <w:tc>
          <w:tcPr>
            <w:tcW w:w="2340" w:type="dxa"/>
            <w:tcBorders>
              <w:top w:val="single" w:sz="1" w:space="0" w:color="000000"/>
              <w:left w:val="single" w:sz="1" w:space="0" w:color="000000"/>
              <w:bottom w:val="single" w:sz="1" w:space="0" w:color="000000"/>
            </w:tcBorders>
            <w:shd w:val="clear" w:color="auto" w:fill="auto"/>
          </w:tcPr>
          <w:p w14:paraId="4D6841A5" w14:textId="77777777" w:rsidR="00E43549" w:rsidRDefault="00E43549">
            <w:pPr>
              <w:pStyle w:val="TableContents"/>
              <w:jc w:val="center"/>
              <w:rPr>
                <w:b/>
                <w:bCs/>
              </w:rPr>
            </w:pPr>
            <w:r>
              <w:rPr>
                <w:b/>
                <w:bCs/>
              </w:rPr>
              <w:t>Points of Difference</w:t>
            </w:r>
          </w:p>
        </w:tc>
        <w:tc>
          <w:tcPr>
            <w:tcW w:w="2340" w:type="dxa"/>
            <w:tcBorders>
              <w:top w:val="single" w:sz="1" w:space="0" w:color="000000"/>
              <w:left w:val="single" w:sz="1" w:space="0" w:color="000000"/>
              <w:bottom w:val="single" w:sz="1" w:space="0" w:color="000000"/>
            </w:tcBorders>
            <w:shd w:val="clear" w:color="auto" w:fill="auto"/>
          </w:tcPr>
          <w:p w14:paraId="33AB27CA" w14:textId="77777777" w:rsidR="00E43549" w:rsidRDefault="00E43549">
            <w:pPr>
              <w:pStyle w:val="TableContents"/>
              <w:jc w:val="center"/>
              <w:rPr>
                <w:b/>
                <w:bCs/>
              </w:rPr>
            </w:pPr>
            <w:r>
              <w:rPr>
                <w:b/>
                <w:bCs/>
              </w:rPr>
              <w:t>United Kingdom</w:t>
            </w:r>
          </w:p>
        </w:tc>
        <w:tc>
          <w:tcPr>
            <w:tcW w:w="2340" w:type="dxa"/>
            <w:tcBorders>
              <w:top w:val="single" w:sz="1" w:space="0" w:color="000000"/>
              <w:left w:val="single" w:sz="1" w:space="0" w:color="000000"/>
              <w:bottom w:val="single" w:sz="1" w:space="0" w:color="000000"/>
            </w:tcBorders>
            <w:shd w:val="clear" w:color="auto" w:fill="auto"/>
          </w:tcPr>
          <w:p w14:paraId="482249D9" w14:textId="77777777" w:rsidR="00E43549" w:rsidRDefault="00E43549">
            <w:pPr>
              <w:pStyle w:val="TableContents"/>
              <w:jc w:val="center"/>
              <w:rPr>
                <w:b/>
                <w:bCs/>
              </w:rPr>
            </w:pPr>
            <w:r>
              <w:rPr>
                <w:b/>
                <w:bCs/>
              </w:rPr>
              <w:t>United States</w:t>
            </w:r>
          </w:p>
        </w:tc>
        <w:tc>
          <w:tcPr>
            <w:tcW w:w="2340" w:type="dxa"/>
            <w:tcBorders>
              <w:top w:val="single" w:sz="1" w:space="0" w:color="000000"/>
              <w:left w:val="single" w:sz="1" w:space="0" w:color="000000"/>
              <w:bottom w:val="single" w:sz="1" w:space="0" w:color="000000"/>
              <w:right w:val="single" w:sz="1" w:space="0" w:color="000000"/>
            </w:tcBorders>
            <w:shd w:val="clear" w:color="auto" w:fill="auto"/>
          </w:tcPr>
          <w:p w14:paraId="6677DF06" w14:textId="77777777" w:rsidR="00E43549" w:rsidRDefault="00E43549">
            <w:pPr>
              <w:pStyle w:val="TableContents"/>
              <w:jc w:val="center"/>
            </w:pPr>
            <w:r>
              <w:rPr>
                <w:b/>
                <w:bCs/>
              </w:rPr>
              <w:t>China</w:t>
            </w:r>
          </w:p>
        </w:tc>
      </w:tr>
      <w:tr w:rsidR="00E43549" w14:paraId="1FD97A78" w14:textId="77777777">
        <w:tc>
          <w:tcPr>
            <w:tcW w:w="2340" w:type="dxa"/>
            <w:tcBorders>
              <w:left w:val="single" w:sz="1" w:space="0" w:color="000000"/>
              <w:bottom w:val="single" w:sz="1" w:space="0" w:color="000000"/>
            </w:tcBorders>
            <w:shd w:val="clear" w:color="auto" w:fill="auto"/>
          </w:tcPr>
          <w:p w14:paraId="5152A5B3" w14:textId="77777777" w:rsidR="00E43549" w:rsidRDefault="00E43549">
            <w:pPr>
              <w:pStyle w:val="TableContents"/>
            </w:pPr>
            <w:r>
              <w:t>Growth</w:t>
            </w:r>
          </w:p>
        </w:tc>
        <w:tc>
          <w:tcPr>
            <w:tcW w:w="2340" w:type="dxa"/>
            <w:tcBorders>
              <w:left w:val="single" w:sz="1" w:space="0" w:color="000000"/>
              <w:bottom w:val="single" w:sz="1" w:space="0" w:color="000000"/>
            </w:tcBorders>
            <w:shd w:val="clear" w:color="auto" w:fill="auto"/>
          </w:tcPr>
          <w:p w14:paraId="6AABA163" w14:textId="77777777" w:rsidR="00E43549" w:rsidRDefault="00E43549">
            <w:pPr>
              <w:pStyle w:val="TableContents"/>
            </w:pPr>
            <w:r>
              <w:t>(2.4%)</w:t>
            </w:r>
          </w:p>
        </w:tc>
        <w:tc>
          <w:tcPr>
            <w:tcW w:w="2340" w:type="dxa"/>
            <w:tcBorders>
              <w:left w:val="single" w:sz="1" w:space="0" w:color="000000"/>
              <w:bottom w:val="single" w:sz="1" w:space="0" w:color="000000"/>
            </w:tcBorders>
            <w:shd w:val="clear" w:color="auto" w:fill="auto"/>
          </w:tcPr>
          <w:p w14:paraId="555B393E" w14:textId="77777777" w:rsidR="00E43549" w:rsidRDefault="00E43549">
            <w:pPr>
              <w:pStyle w:val="TableContents"/>
            </w:pPr>
            <w:r>
              <w:t>-</w:t>
            </w:r>
          </w:p>
        </w:tc>
        <w:tc>
          <w:tcPr>
            <w:tcW w:w="2340" w:type="dxa"/>
            <w:tcBorders>
              <w:left w:val="single" w:sz="1" w:space="0" w:color="000000"/>
              <w:bottom w:val="single" w:sz="1" w:space="0" w:color="000000"/>
              <w:right w:val="single" w:sz="1" w:space="0" w:color="000000"/>
            </w:tcBorders>
            <w:shd w:val="clear" w:color="auto" w:fill="auto"/>
          </w:tcPr>
          <w:p w14:paraId="27AFD70B" w14:textId="77777777" w:rsidR="00E43549" w:rsidRDefault="00E43549">
            <w:pPr>
              <w:pStyle w:val="TableContents"/>
            </w:pPr>
            <w:r>
              <w:t>-</w:t>
            </w:r>
          </w:p>
        </w:tc>
      </w:tr>
      <w:tr w:rsidR="00E43549" w14:paraId="7CAEF76D" w14:textId="77777777">
        <w:tc>
          <w:tcPr>
            <w:tcW w:w="2340" w:type="dxa"/>
            <w:tcBorders>
              <w:left w:val="single" w:sz="1" w:space="0" w:color="000000"/>
              <w:bottom w:val="single" w:sz="1" w:space="0" w:color="000000"/>
            </w:tcBorders>
            <w:shd w:val="clear" w:color="auto" w:fill="auto"/>
          </w:tcPr>
          <w:p w14:paraId="753C0D48" w14:textId="77777777" w:rsidR="00E43549" w:rsidRDefault="00E43549">
            <w:pPr>
              <w:pStyle w:val="TableContents"/>
            </w:pPr>
            <w:r>
              <w:t>Inflation</w:t>
            </w:r>
          </w:p>
        </w:tc>
        <w:tc>
          <w:tcPr>
            <w:tcW w:w="2340" w:type="dxa"/>
            <w:tcBorders>
              <w:left w:val="single" w:sz="1" w:space="0" w:color="000000"/>
              <w:bottom w:val="single" w:sz="1" w:space="0" w:color="000000"/>
            </w:tcBorders>
            <w:shd w:val="clear" w:color="auto" w:fill="auto"/>
          </w:tcPr>
          <w:p w14:paraId="1BD66C22" w14:textId="77777777" w:rsidR="00E43549" w:rsidRDefault="00E43549">
            <w:pPr>
              <w:pStyle w:val="TableContents"/>
            </w:pPr>
            <w:r>
              <w:t>0.99%</w:t>
            </w:r>
          </w:p>
        </w:tc>
        <w:tc>
          <w:tcPr>
            <w:tcW w:w="2340" w:type="dxa"/>
            <w:tcBorders>
              <w:left w:val="single" w:sz="1" w:space="0" w:color="000000"/>
              <w:bottom w:val="single" w:sz="1" w:space="0" w:color="000000"/>
            </w:tcBorders>
            <w:shd w:val="clear" w:color="auto" w:fill="auto"/>
          </w:tcPr>
          <w:p w14:paraId="0BFF1A43" w14:textId="77777777" w:rsidR="00E43549" w:rsidRDefault="00E43549">
            <w:pPr>
              <w:pStyle w:val="TableContents"/>
            </w:pPr>
            <w:r>
              <w:t>1.40%</w:t>
            </w:r>
          </w:p>
        </w:tc>
        <w:tc>
          <w:tcPr>
            <w:tcW w:w="2340" w:type="dxa"/>
            <w:tcBorders>
              <w:left w:val="single" w:sz="1" w:space="0" w:color="000000"/>
              <w:bottom w:val="single" w:sz="1" w:space="0" w:color="000000"/>
              <w:right w:val="single" w:sz="1" w:space="0" w:color="000000"/>
            </w:tcBorders>
            <w:shd w:val="clear" w:color="auto" w:fill="auto"/>
          </w:tcPr>
          <w:p w14:paraId="549F41DF" w14:textId="77777777" w:rsidR="00E43549" w:rsidRDefault="00E43549">
            <w:pPr>
              <w:pStyle w:val="TableContents"/>
            </w:pPr>
            <w:r>
              <w:t>2.39%</w:t>
            </w:r>
          </w:p>
        </w:tc>
      </w:tr>
      <w:tr w:rsidR="00E43549" w14:paraId="0EEF095D" w14:textId="77777777">
        <w:tc>
          <w:tcPr>
            <w:tcW w:w="2340" w:type="dxa"/>
            <w:tcBorders>
              <w:left w:val="single" w:sz="1" w:space="0" w:color="000000"/>
              <w:bottom w:val="single" w:sz="1" w:space="0" w:color="000000"/>
            </w:tcBorders>
            <w:shd w:val="clear" w:color="auto" w:fill="auto"/>
          </w:tcPr>
          <w:p w14:paraId="5F57149F" w14:textId="77777777" w:rsidR="00E43549" w:rsidRDefault="00E43549">
            <w:pPr>
              <w:pStyle w:val="TableContents"/>
            </w:pPr>
            <w:r>
              <w:t>Interest rates</w:t>
            </w:r>
          </w:p>
        </w:tc>
        <w:tc>
          <w:tcPr>
            <w:tcW w:w="2340" w:type="dxa"/>
            <w:tcBorders>
              <w:left w:val="single" w:sz="1" w:space="0" w:color="000000"/>
              <w:bottom w:val="single" w:sz="1" w:space="0" w:color="000000"/>
            </w:tcBorders>
            <w:shd w:val="clear" w:color="auto" w:fill="auto"/>
          </w:tcPr>
          <w:p w14:paraId="2ABEF3B3" w14:textId="77777777" w:rsidR="00E43549" w:rsidRDefault="00E43549">
            <w:pPr>
              <w:pStyle w:val="TableContents"/>
            </w:pPr>
            <w:r>
              <w:t>0.99%</w:t>
            </w:r>
          </w:p>
        </w:tc>
        <w:tc>
          <w:tcPr>
            <w:tcW w:w="2340" w:type="dxa"/>
            <w:tcBorders>
              <w:left w:val="single" w:sz="1" w:space="0" w:color="000000"/>
              <w:bottom w:val="single" w:sz="1" w:space="0" w:color="000000"/>
            </w:tcBorders>
            <w:shd w:val="clear" w:color="auto" w:fill="auto"/>
          </w:tcPr>
          <w:p w14:paraId="7A97EEFE" w14:textId="77777777" w:rsidR="00E43549" w:rsidRDefault="00E43549">
            <w:pPr>
              <w:pStyle w:val="TableContents"/>
            </w:pPr>
            <w:r>
              <w:t>0.29%</w:t>
            </w:r>
          </w:p>
        </w:tc>
        <w:tc>
          <w:tcPr>
            <w:tcW w:w="2340" w:type="dxa"/>
            <w:tcBorders>
              <w:left w:val="single" w:sz="1" w:space="0" w:color="000000"/>
              <w:bottom w:val="single" w:sz="1" w:space="0" w:color="000000"/>
              <w:right w:val="single" w:sz="1" w:space="0" w:color="000000"/>
            </w:tcBorders>
            <w:shd w:val="clear" w:color="auto" w:fill="auto"/>
          </w:tcPr>
          <w:p w14:paraId="31B885BA" w14:textId="77777777" w:rsidR="00E43549" w:rsidRDefault="00E43549">
            <w:pPr>
              <w:pStyle w:val="TableContents"/>
            </w:pPr>
            <w:r>
              <w:t>3.96%</w:t>
            </w:r>
          </w:p>
        </w:tc>
      </w:tr>
      <w:tr w:rsidR="00E43549" w14:paraId="068683D3" w14:textId="77777777">
        <w:tc>
          <w:tcPr>
            <w:tcW w:w="2340" w:type="dxa"/>
            <w:tcBorders>
              <w:left w:val="single" w:sz="1" w:space="0" w:color="000000"/>
              <w:bottom w:val="single" w:sz="1" w:space="0" w:color="000000"/>
            </w:tcBorders>
            <w:shd w:val="clear" w:color="auto" w:fill="auto"/>
          </w:tcPr>
          <w:p w14:paraId="0346F1A2" w14:textId="77777777" w:rsidR="00E43549" w:rsidRDefault="00E43549">
            <w:pPr>
              <w:pStyle w:val="TableContents"/>
            </w:pPr>
            <w:r>
              <w:t>Unemployment</w:t>
            </w:r>
          </w:p>
        </w:tc>
        <w:tc>
          <w:tcPr>
            <w:tcW w:w="2340" w:type="dxa"/>
            <w:tcBorders>
              <w:left w:val="single" w:sz="1" w:space="0" w:color="000000"/>
              <w:bottom w:val="single" w:sz="1" w:space="0" w:color="000000"/>
            </w:tcBorders>
            <w:shd w:val="clear" w:color="auto" w:fill="auto"/>
          </w:tcPr>
          <w:p w14:paraId="53B073D8" w14:textId="77777777" w:rsidR="00E43549" w:rsidRDefault="00E43549">
            <w:pPr>
              <w:pStyle w:val="TableContents"/>
            </w:pPr>
            <w:r>
              <w:t>4.34%</w:t>
            </w:r>
          </w:p>
        </w:tc>
        <w:tc>
          <w:tcPr>
            <w:tcW w:w="2340" w:type="dxa"/>
            <w:tcBorders>
              <w:left w:val="single" w:sz="1" w:space="0" w:color="000000"/>
              <w:bottom w:val="single" w:sz="1" w:space="0" w:color="000000"/>
            </w:tcBorders>
            <w:shd w:val="clear" w:color="auto" w:fill="auto"/>
          </w:tcPr>
          <w:p w14:paraId="335914D1" w14:textId="77777777" w:rsidR="00E43549" w:rsidRDefault="00E43549">
            <w:pPr>
              <w:pStyle w:val="TableContents"/>
            </w:pPr>
            <w:r>
              <w:t>8.31%</w:t>
            </w:r>
          </w:p>
        </w:tc>
        <w:tc>
          <w:tcPr>
            <w:tcW w:w="2340" w:type="dxa"/>
            <w:tcBorders>
              <w:left w:val="single" w:sz="1" w:space="0" w:color="000000"/>
              <w:bottom w:val="single" w:sz="1" w:space="0" w:color="000000"/>
              <w:right w:val="single" w:sz="1" w:space="0" w:color="000000"/>
            </w:tcBorders>
            <w:shd w:val="clear" w:color="auto" w:fill="auto"/>
          </w:tcPr>
          <w:p w14:paraId="7B805D41" w14:textId="77777777" w:rsidR="00E43549" w:rsidRDefault="00E43549">
            <w:pPr>
              <w:pStyle w:val="TableContents"/>
            </w:pPr>
            <w:r>
              <w:t>4.20%</w:t>
            </w:r>
          </w:p>
        </w:tc>
      </w:tr>
      <w:tr w:rsidR="00E43549" w14:paraId="79297762" w14:textId="77777777">
        <w:tc>
          <w:tcPr>
            <w:tcW w:w="2340" w:type="dxa"/>
            <w:tcBorders>
              <w:left w:val="single" w:sz="1" w:space="0" w:color="000000"/>
              <w:bottom w:val="single" w:sz="1" w:space="0" w:color="000000"/>
            </w:tcBorders>
            <w:shd w:val="clear" w:color="auto" w:fill="auto"/>
          </w:tcPr>
          <w:p w14:paraId="717BD6D8" w14:textId="77777777" w:rsidR="00E43549" w:rsidRDefault="00E43549">
            <w:pPr>
              <w:pStyle w:val="TableContents"/>
            </w:pPr>
            <w:r>
              <w:t>Current Account balance</w:t>
            </w:r>
          </w:p>
        </w:tc>
        <w:tc>
          <w:tcPr>
            <w:tcW w:w="2340" w:type="dxa"/>
            <w:tcBorders>
              <w:left w:val="single" w:sz="1" w:space="0" w:color="000000"/>
              <w:bottom w:val="single" w:sz="1" w:space="0" w:color="000000"/>
            </w:tcBorders>
            <w:shd w:val="clear" w:color="auto" w:fill="auto"/>
          </w:tcPr>
          <w:p w14:paraId="36EE0837" w14:textId="77777777" w:rsidR="00E43549" w:rsidRDefault="00E43549">
            <w:pPr>
              <w:pStyle w:val="TableContents"/>
            </w:pPr>
            <w:r>
              <w:t>-106.5 billion usd</w:t>
            </w:r>
          </w:p>
        </w:tc>
        <w:tc>
          <w:tcPr>
            <w:tcW w:w="2340" w:type="dxa"/>
            <w:tcBorders>
              <w:left w:val="single" w:sz="1" w:space="0" w:color="000000"/>
              <w:bottom w:val="single" w:sz="1" w:space="0" w:color="000000"/>
            </w:tcBorders>
            <w:shd w:val="clear" w:color="auto" w:fill="auto"/>
          </w:tcPr>
          <w:p w14:paraId="64BE079C" w14:textId="77777777" w:rsidR="00E43549" w:rsidRDefault="00E43549">
            <w:pPr>
              <w:pStyle w:val="TableContents"/>
            </w:pPr>
            <w:r>
              <w:t>-95.42 billion usd</w:t>
            </w:r>
          </w:p>
        </w:tc>
        <w:tc>
          <w:tcPr>
            <w:tcW w:w="2340" w:type="dxa"/>
            <w:tcBorders>
              <w:left w:val="single" w:sz="1" w:space="0" w:color="000000"/>
              <w:bottom w:val="single" w:sz="1" w:space="0" w:color="000000"/>
              <w:right w:val="single" w:sz="1" w:space="0" w:color="000000"/>
            </w:tcBorders>
            <w:shd w:val="clear" w:color="auto" w:fill="auto"/>
          </w:tcPr>
          <w:p w14:paraId="6936DF82" w14:textId="77777777" w:rsidR="00E43549" w:rsidRDefault="00E43549">
            <w:pPr>
              <w:pStyle w:val="TableContents"/>
            </w:pPr>
            <w:r>
              <w:t>298.8</w:t>
            </w:r>
          </w:p>
        </w:tc>
      </w:tr>
    </w:tbl>
    <w:p w14:paraId="46D5DFCA" w14:textId="77777777" w:rsidR="00E43549" w:rsidRDefault="00E43549">
      <w:pPr>
        <w:pStyle w:val="Heading2"/>
      </w:pPr>
    </w:p>
    <w:p w14:paraId="15F72586" w14:textId="77777777" w:rsidR="00E43549" w:rsidRDefault="00E43549"/>
    <w:p w14:paraId="456730B0" w14:textId="77777777" w:rsidR="00E43549" w:rsidRDefault="00E43549">
      <w:pPr>
        <w:pStyle w:val="Heading2"/>
      </w:pPr>
      <w:r>
        <w:t xml:space="preserve">Evaluation of the business performance of the organisation in the last years in terms of operations within UK and a comparison of operations with two other countries as well. </w:t>
      </w:r>
    </w:p>
    <w:p w14:paraId="22C3B3D2" w14:textId="39A1F4FA" w:rsidR="00E43549" w:rsidRDefault="00E43549">
      <w:r>
        <w:tab/>
        <w:t xml:space="preserve">The business performance of Unilever has expanded in quite positive terms in the last five years. Unilever has experienced growth in the five consecutive years </w:t>
      </w:r>
      <w:r w:rsidR="00263040">
        <w:t>to</w:t>
      </w:r>
      <w:r>
        <w:t xml:space="preserve"> perform the sustainable living brands which have grown by 46% that has been quicker than the rest of the businesses. Unilever has delivered approximately 70% of the total turnover growth. The brands of Unilever have been making efforts </w:t>
      </w:r>
      <w:r w:rsidR="00263040">
        <w:t>to</w:t>
      </w:r>
      <w:r>
        <w:t xml:space="preserve"> reduce its environmental footprint while increasing the positive impact upon the social concerns</w:t>
      </w:r>
      <w:r w:rsidR="00A52A33">
        <w:t xml:space="preserve"> (</w:t>
      </w:r>
      <w:r w:rsidR="00A52A33">
        <w:rPr>
          <w:shd w:val="clear" w:color="auto" w:fill="FFFFFF"/>
        </w:rPr>
        <w:t>Chang, McAleer and Wong, 2018</w:t>
      </w:r>
      <w:r w:rsidR="00A52A33">
        <w:t>)</w:t>
      </w:r>
      <w:r>
        <w:t xml:space="preserve">. </w:t>
      </w:r>
      <w:r w:rsidR="00263040">
        <w:t>To</w:t>
      </w:r>
      <w:r>
        <w:t xml:space="preserve"> reveal the changes that have been brought in at Unilever plc are discussed below- </w:t>
      </w:r>
    </w:p>
    <w:p w14:paraId="48D637A3" w14:textId="77777777" w:rsidR="00E43549" w:rsidRDefault="00E43549">
      <w:pPr>
        <w:numPr>
          <w:ilvl w:val="0"/>
          <w:numId w:val="3"/>
        </w:numPr>
      </w:pPr>
      <w:r>
        <w:t xml:space="preserve">At present, Unilever has 26 sustainable living brands which have increased from 18 brands since the year 2016. The new entrants that have been introduced in the business are Vaseline, Sunsilk, Sunlight and Wall's.   </w:t>
      </w:r>
    </w:p>
    <w:p w14:paraId="5D213278" w14:textId="2DD76C42" w:rsidR="00E43549" w:rsidRDefault="00E43549">
      <w:pPr>
        <w:numPr>
          <w:ilvl w:val="0"/>
          <w:numId w:val="3"/>
        </w:numPr>
      </w:pPr>
      <w:r>
        <w:t xml:space="preserve">The list comprises of various brands of Unilever that have been considered as the top 6 brands of Unilever are Dove, Rexona, Dirt is Good, Lipton, </w:t>
      </w:r>
      <w:r w:rsidR="00263040">
        <w:t>Knorr,</w:t>
      </w:r>
      <w:r>
        <w:t xml:space="preserve"> and </w:t>
      </w:r>
      <w:r w:rsidR="00A67F78">
        <w:t>Hellman’s along</w:t>
      </w:r>
      <w:r>
        <w:t xml:space="preserve"> with the B- Corp. certified brands like Seventh Generation, </w:t>
      </w:r>
      <w:r w:rsidR="00263040">
        <w:t>Ben,</w:t>
      </w:r>
      <w:r>
        <w:t xml:space="preserve"> and Jerry's along with Pukka Herbs</w:t>
      </w:r>
      <w:r w:rsidR="00A52A33">
        <w:t xml:space="preserve"> (</w:t>
      </w:r>
      <w:r w:rsidR="00A52A33">
        <w:rPr>
          <w:shd w:val="clear" w:color="auto" w:fill="FFFFFF"/>
        </w:rPr>
        <w:t>da Silva, Weins and Potinkara, 2019</w:t>
      </w:r>
      <w:r w:rsidR="00A52A33">
        <w:t>)</w:t>
      </w:r>
      <w:r>
        <w:t xml:space="preserve">. </w:t>
      </w:r>
    </w:p>
    <w:p w14:paraId="5D99FFA8" w14:textId="77777777" w:rsidR="00E43549" w:rsidRDefault="00E43549">
      <w:pPr>
        <w:numPr>
          <w:ilvl w:val="0"/>
          <w:numId w:val="3"/>
        </w:numPr>
      </w:pPr>
      <w:r>
        <w:t xml:space="preserve">In the last five years, the sustainable living brands of Unilever have been able to perform the average rate of growth at Unilever. In the year 2017, sustainable living brands have grown or expanded by 46% faster in comparison to the other business brands and it has further delivered 70% of the Unilever's turnover growth. </w:t>
      </w:r>
    </w:p>
    <w:p w14:paraId="77F1B69B" w14:textId="77777777" w:rsidR="00E43549" w:rsidRDefault="00E43549">
      <w:pPr>
        <w:pStyle w:val="Heading2"/>
      </w:pPr>
      <w:r>
        <w:t xml:space="preserve">Highlight the various changes that have been observed in the overall performance of the organisation in the three countries. Discuss the extent to which the trade policies of the United Kingdom have an impact upon the overall performance of the organisation. </w:t>
      </w:r>
    </w:p>
    <w:p w14:paraId="0EF74BB4" w14:textId="77777777" w:rsidR="00E43549" w:rsidRDefault="00E43549">
      <w:r>
        <w:tab/>
        <w:t xml:space="preserve">Unilever has experienced various changes that can be observed in aspect of the overall performance of Unilever. The various changes that have been observed in the overall performance of Unilever in the three countries have been explained below. </w:t>
      </w:r>
    </w:p>
    <w:p w14:paraId="401FE160" w14:textId="4A9D4706" w:rsidR="00E43549" w:rsidRDefault="00E43549">
      <w:pPr>
        <w:numPr>
          <w:ilvl w:val="0"/>
          <w:numId w:val="4"/>
        </w:numPr>
      </w:pPr>
      <w:r>
        <w:t xml:space="preserve">By the end of the year 2017, over 600 million people have been reached out with the help of various programmes of the Unilever in aspect of sanitation, oral health, hand washing </w:t>
      </w:r>
      <w:r>
        <w:lastRenderedPageBreak/>
        <w:t xml:space="preserve">as well as </w:t>
      </w:r>
      <w:r w:rsidR="00A67F78">
        <w:t>self-esteem along</w:t>
      </w:r>
      <w:r>
        <w:t xml:space="preserve"> with providing safe and secure drinking water. The reach of Lifebuoy soap alone has reached to more than 426 million people under the hand washing programme</w:t>
      </w:r>
      <w:r w:rsidR="00A52A33">
        <w:t xml:space="preserve"> (</w:t>
      </w:r>
      <w:r w:rsidR="00A52A33">
        <w:rPr>
          <w:shd w:val="clear" w:color="auto" w:fill="FFFFFF"/>
        </w:rPr>
        <w:t>Sears and Lawell, 2018</w:t>
      </w:r>
      <w:r w:rsidR="00A52A33">
        <w:t>)</w:t>
      </w:r>
      <w:r>
        <w:t xml:space="preserve">. </w:t>
      </w:r>
    </w:p>
    <w:p w14:paraId="2216076E" w14:textId="77777777" w:rsidR="00E43549" w:rsidRDefault="00E43549">
      <w:pPr>
        <w:numPr>
          <w:ilvl w:val="0"/>
          <w:numId w:val="4"/>
        </w:numPr>
      </w:pPr>
      <w:r>
        <w:t xml:space="preserve">By the end of the year 2017, the manufacturing sites of Unilever in 36 countries have been using 100 per cent renewable grid energy sources for electricity at nearly 110 sites which has accounted for a total grid of 65% electricity consumption. </w:t>
      </w:r>
    </w:p>
    <w:p w14:paraId="4227BB7C" w14:textId="6D31D18E" w:rsidR="00E43549" w:rsidRDefault="00E43549">
      <w:pPr>
        <w:numPr>
          <w:ilvl w:val="0"/>
          <w:numId w:val="4"/>
        </w:numPr>
      </w:pPr>
      <w:r>
        <w:t xml:space="preserve">By the end of the year 2018, approximately 60% of the total agricultural raw materials have been sourced in a sustainable manner. In this duration, Unilever has been introduced as the first organist ion to disclose its list of the suppliers and various mills from which the organisation source palm oil from direct as well as indirect sources. The data has been disclosed by the organisation through a public platform </w:t>
      </w:r>
      <w:r w:rsidR="00263040">
        <w:t>to</w:t>
      </w:r>
      <w:r>
        <w:t xml:space="preserve"> enhance transparency regarding the information of the organisation</w:t>
      </w:r>
      <w:r w:rsidR="00A52A33">
        <w:t xml:space="preserve"> (</w:t>
      </w:r>
      <w:r w:rsidR="00A52A33">
        <w:rPr>
          <w:shd w:val="clear" w:color="auto" w:fill="FFFFFF"/>
        </w:rPr>
        <w:t>Anyushenkova, 2017</w:t>
      </w:r>
      <w:r w:rsidR="00A52A33">
        <w:t>)</w:t>
      </w:r>
      <w:r>
        <w:t xml:space="preserve">. </w:t>
      </w:r>
    </w:p>
    <w:p w14:paraId="09506A8D" w14:textId="52350215" w:rsidR="00E43549" w:rsidRDefault="00E43549">
      <w:pPr>
        <w:numPr>
          <w:ilvl w:val="0"/>
          <w:numId w:val="4"/>
        </w:numPr>
      </w:pPr>
      <w:r>
        <w:t xml:space="preserve">In the year 2017, The brand of Unilever has enabled over 716000 farmers who fall in the category of small holders </w:t>
      </w:r>
      <w:r w:rsidR="00263040">
        <w:t>to</w:t>
      </w:r>
      <w:r>
        <w:t xml:space="preserve"> access initiatives that aim to improve the agricultural practices or </w:t>
      </w:r>
      <w:r w:rsidR="00263040">
        <w:t>to</w:t>
      </w:r>
      <w:r>
        <w:t xml:space="preserve"> increase the incomes of the farmers. </w:t>
      </w:r>
    </w:p>
    <w:p w14:paraId="6D146947" w14:textId="77777777" w:rsidR="00E43549" w:rsidRDefault="00E43549"/>
    <w:p w14:paraId="4317C2A0" w14:textId="35D0979C" w:rsidR="00E43549" w:rsidRDefault="00E43549">
      <w:r>
        <w:t xml:space="preserve">The concept of sustainable living brands of Unilever </w:t>
      </w:r>
      <w:r w:rsidR="00A67F78">
        <w:t>is</w:t>
      </w:r>
      <w:r>
        <w:t xml:space="preserve"> the combination of a strong social purpose as well as environmental purpose by introducing products that contribute towards the achievement of the ambitious sustainability goals of the organisation.  The </w:t>
      </w:r>
      <w:r w:rsidR="00A67F78">
        <w:t>goal</w:t>
      </w:r>
      <w:r>
        <w:t xml:space="preserve"> of the brand includes- </w:t>
      </w:r>
    </w:p>
    <w:p w14:paraId="01925B75" w14:textId="428E46B3" w:rsidR="00E43549" w:rsidRDefault="00E43549">
      <w:pPr>
        <w:numPr>
          <w:ilvl w:val="0"/>
          <w:numId w:val="5"/>
        </w:numPr>
      </w:pPr>
      <w:r>
        <w:t xml:space="preserve">Domestos is a global home care brand which is sold in approximately 35 countries and have </w:t>
      </w:r>
      <w:r w:rsidR="00A67F78">
        <w:t>built</w:t>
      </w:r>
      <w:r>
        <w:t xml:space="preserve"> a goal to help 25 million people </w:t>
      </w:r>
      <w:r w:rsidR="00263040">
        <w:t>to</w:t>
      </w:r>
      <w:r>
        <w:t xml:space="preserve"> gain an improved access towards the hygiene and sanitation facilities by the year 2020. </w:t>
      </w:r>
    </w:p>
    <w:p w14:paraId="66CB371F" w14:textId="0FD0F413" w:rsidR="00E43549" w:rsidRDefault="00E43549">
      <w:pPr>
        <w:numPr>
          <w:ilvl w:val="0"/>
          <w:numId w:val="5"/>
        </w:numPr>
      </w:pPr>
      <w:r>
        <w:t xml:space="preserve">Dove is considered as the biggest brand of </w:t>
      </w:r>
      <w:r w:rsidR="00A67F78">
        <w:t>Unilever,</w:t>
      </w:r>
      <w:r>
        <w:t xml:space="preserve"> and it is considered as one of the most sustainable brands which have a focus towards building body confidence. Dove has been successful in reaching 29million people towards the </w:t>
      </w:r>
      <w:r w:rsidR="00A67F78">
        <w:t>self-esteem</w:t>
      </w:r>
      <w:r>
        <w:t xml:space="preserve"> project</w:t>
      </w:r>
      <w:r w:rsidR="00A52A33">
        <w:t xml:space="preserve"> (</w:t>
      </w:r>
      <w:r w:rsidR="00A52A33">
        <w:rPr>
          <w:shd w:val="clear" w:color="auto" w:fill="FFFFFF"/>
        </w:rPr>
        <w:t>Meinlschmidt, Schleper, and Foerstl, 2018</w:t>
      </w:r>
      <w:r w:rsidR="00A52A33">
        <w:t>)</w:t>
      </w:r>
      <w:r>
        <w:t xml:space="preserve">. </w:t>
      </w:r>
    </w:p>
    <w:p w14:paraId="1D0E9321" w14:textId="6237A02C" w:rsidR="00E43549" w:rsidRDefault="00E43549">
      <w:pPr>
        <w:numPr>
          <w:ilvl w:val="0"/>
          <w:numId w:val="5"/>
        </w:numPr>
      </w:pPr>
      <w:r>
        <w:t xml:space="preserve">Lifebuoy is a brand of Unilever which is a leading antibacterial soap that is sold in over 60 </w:t>
      </w:r>
      <w:r w:rsidR="00A67F78">
        <w:t>countries,</w:t>
      </w:r>
      <w:r>
        <w:t xml:space="preserve"> and it has established a goal to foster the population of approximately 1 billion people </w:t>
      </w:r>
      <w:r w:rsidR="00263040">
        <w:t>to</w:t>
      </w:r>
      <w:r>
        <w:t xml:space="preserve"> improve hygiene behaviour by the year 2020 and at present it has been successful in reaching nearly 450 million people.  </w:t>
      </w:r>
    </w:p>
    <w:p w14:paraId="532F2963" w14:textId="17530AC1" w:rsidR="00E43549" w:rsidRDefault="00E43549" w:rsidP="00A52A33">
      <w:pPr>
        <w:ind w:left="90" w:hanging="45"/>
      </w:pPr>
      <w:r>
        <w:lastRenderedPageBreak/>
        <w:t xml:space="preserve">The trade policies of United Kingdom in respect of Brexit have led to a huge impact upon the Unilever. The changes in the trade policies of the </w:t>
      </w:r>
      <w:r w:rsidR="00A67F78">
        <w:t>United Kingdom</w:t>
      </w:r>
      <w:r>
        <w:t xml:space="preserve"> that has an impact over the operations of Unilever have been discussed below</w:t>
      </w:r>
      <w:r w:rsidR="00A52A33">
        <w:t xml:space="preserve"> (</w:t>
      </w:r>
      <w:r w:rsidR="00A52A33">
        <w:rPr>
          <w:shd w:val="clear" w:color="auto" w:fill="FFFFFF"/>
        </w:rPr>
        <w:t>Henderi, Zuliana and Pradana, 2019</w:t>
      </w:r>
      <w:r w:rsidR="00A52A33">
        <w:t>)</w:t>
      </w:r>
      <w:r>
        <w:t xml:space="preserve">. </w:t>
      </w:r>
    </w:p>
    <w:p w14:paraId="535390FB" w14:textId="77777777" w:rsidR="00E43549" w:rsidRDefault="00E43549">
      <w:pPr>
        <w:numPr>
          <w:ilvl w:val="0"/>
          <w:numId w:val="7"/>
        </w:numPr>
      </w:pPr>
      <w:r>
        <w:t xml:space="preserve">Sourcing- There has been a sharp rise in aspect of the input costs that tend to have an immediate impact upon the profit earning capacity of the products. Unilever has been responding in context of the hike in prices in the short term.  </w:t>
      </w:r>
    </w:p>
    <w:p w14:paraId="47EDDB1A" w14:textId="77777777" w:rsidR="00E43549" w:rsidRDefault="00E43549">
      <w:pPr>
        <w:numPr>
          <w:ilvl w:val="0"/>
          <w:numId w:val="6"/>
        </w:numPr>
      </w:pPr>
      <w:r>
        <w:t>Manufacturing- In the medium term, it can be analysed that Unilever is likely to face pressure from the concept of localizing the manufacturing base. Unilever has been working upon diversification of its manufacturing operations while trying to localise its production as far as possible</w:t>
      </w:r>
      <w:r w:rsidR="00A52A33">
        <w:t xml:space="preserve"> (</w:t>
      </w:r>
      <w:r w:rsidR="00A52A33">
        <w:rPr>
          <w:shd w:val="clear" w:color="auto" w:fill="FFFFFF"/>
        </w:rPr>
        <w:t>Teece, 2019</w:t>
      </w:r>
      <w:r w:rsidR="00A52A33">
        <w:t>)</w:t>
      </w:r>
      <w:r>
        <w:t>.</w:t>
      </w:r>
    </w:p>
    <w:p w14:paraId="0AFB6032" w14:textId="7CF4F5D9" w:rsidR="00E43549" w:rsidRDefault="00E43549">
      <w:pPr>
        <w:numPr>
          <w:ilvl w:val="0"/>
          <w:numId w:val="6"/>
        </w:numPr>
      </w:pPr>
      <w:r>
        <w:t xml:space="preserve">Globalisation- Unilever operates in 69 countries but there is has been a mismatch observed in context of the </w:t>
      </w:r>
      <w:r w:rsidR="00A67F78">
        <w:t>revenue’s</w:t>
      </w:r>
      <w:r>
        <w:t xml:space="preserve"> footprint along with the cost </w:t>
      </w:r>
      <w:r w:rsidR="00A67F78">
        <w:t>footprint</w:t>
      </w:r>
      <w:r>
        <w:t xml:space="preserve">. Unilever management has been facing key decisions </w:t>
      </w:r>
      <w:r w:rsidR="00263040">
        <w:t>to</w:t>
      </w:r>
      <w:r>
        <w:t xml:space="preserve"> make future growth investments </w:t>
      </w:r>
      <w:r w:rsidR="00263040">
        <w:t>because of</w:t>
      </w:r>
      <w:r>
        <w:t xml:space="preserve"> lack of trade barriers.   </w:t>
      </w:r>
    </w:p>
    <w:p w14:paraId="68A61948" w14:textId="77777777" w:rsidR="00E43549" w:rsidRDefault="00E43549">
      <w:pPr>
        <w:pStyle w:val="Heading1"/>
      </w:pPr>
      <w:r>
        <w:t>Conclusion</w:t>
      </w:r>
    </w:p>
    <w:p w14:paraId="4724C50F" w14:textId="04F251A6" w:rsidR="00E43549" w:rsidRDefault="00E43549">
      <w:r>
        <w:tab/>
        <w:t xml:space="preserve">It can be concluded from the report that Management economic is of huge significance </w:t>
      </w:r>
      <w:r w:rsidR="00263040">
        <w:t>to</w:t>
      </w:r>
      <w:r>
        <w:t xml:space="preserve"> determine and convey the changes and performance of the organisation. Managerial economics is referred as a branch of economics that involves application of various economic methods in the decision-making process of the management. The aim of managerial economics is to provide a </w:t>
      </w:r>
      <w:r w:rsidR="00A67F78">
        <w:t>framework</w:t>
      </w:r>
      <w:r>
        <w:t xml:space="preserve"> for decision making </w:t>
      </w:r>
      <w:r w:rsidR="00263040">
        <w:t>to</w:t>
      </w:r>
      <w:r>
        <w:t xml:space="preserve"> direct maximisation of profits and outcomes of the organisation. The report has highlighted various strategies of the organisation along with the comparison of the performance of the organisation in the various countries. Also changes observed at the organisation along with the impact of trade policies have been analysed in the report.</w:t>
      </w:r>
    </w:p>
    <w:p w14:paraId="68A8AB7C" w14:textId="77777777" w:rsidR="00E43549" w:rsidRDefault="00E43549"/>
    <w:p w14:paraId="29C7A87D" w14:textId="77777777" w:rsidR="00E43549" w:rsidRDefault="00E43549">
      <w:pPr>
        <w:pStyle w:val="Heading1"/>
        <w:pageBreakBefore/>
        <w:rPr>
          <w:u w:val="single"/>
        </w:rPr>
      </w:pPr>
      <w:r>
        <w:lastRenderedPageBreak/>
        <w:t>References</w:t>
      </w:r>
    </w:p>
    <w:p w14:paraId="6B978139" w14:textId="5C84F453" w:rsidR="00E43549" w:rsidRDefault="00E43549">
      <w:pPr>
        <w:rPr>
          <w:shd w:val="clear" w:color="auto" w:fill="FFFFFF"/>
        </w:rPr>
      </w:pPr>
    </w:p>
    <w:p w14:paraId="2E45624B" w14:textId="301B8B18" w:rsidR="00E43549" w:rsidRDefault="00E43549">
      <w:pPr>
        <w:spacing w:line="100" w:lineRule="atLeast"/>
        <w:ind w:left="855" w:hanging="855"/>
        <w:rPr>
          <w:shd w:val="clear" w:color="auto" w:fill="FFFFFF"/>
        </w:rPr>
      </w:pPr>
      <w:r>
        <w:rPr>
          <w:shd w:val="clear" w:color="auto" w:fill="FFFFFF"/>
        </w:rPr>
        <w:t xml:space="preserve">Henderi, H., Zuliana, S.R. and Pradana, R.A., 2019. Periodic Data Analysis and Forecasting </w:t>
      </w:r>
      <w:r w:rsidR="00E8016C">
        <w:rPr>
          <w:shd w:val="clear" w:color="auto" w:fill="FFFFFF"/>
        </w:rPr>
        <w:t xml:space="preserve">as </w:t>
      </w:r>
      <w:r>
        <w:rPr>
          <w:shd w:val="clear" w:color="auto" w:fill="FFFFFF"/>
        </w:rPr>
        <w:t>An Overview of Future Management Economics. Aptisi Transactions on Management (ATM), 3(1), pp.73-83.</w:t>
      </w:r>
    </w:p>
    <w:p w14:paraId="36D89104" w14:textId="77777777" w:rsidR="00E43549" w:rsidRDefault="00E43549">
      <w:pPr>
        <w:spacing w:line="100" w:lineRule="atLeast"/>
        <w:ind w:left="855" w:hanging="855"/>
        <w:rPr>
          <w:shd w:val="clear" w:color="auto" w:fill="FFFFFF"/>
        </w:rPr>
      </w:pPr>
      <w:r>
        <w:rPr>
          <w:shd w:val="clear" w:color="auto" w:fill="FFFFFF"/>
        </w:rPr>
        <w:t>Teece, D.J., 2019. A capability theory of the firm: an economics and (strategic) management perspective. New Zealand Economic Papers, 53(1), pp.1-43.</w:t>
      </w:r>
    </w:p>
    <w:p w14:paraId="2D402204" w14:textId="77777777" w:rsidR="00E43549" w:rsidRDefault="00E43549">
      <w:pPr>
        <w:spacing w:line="100" w:lineRule="atLeast"/>
        <w:ind w:left="855" w:hanging="855"/>
        <w:rPr>
          <w:shd w:val="clear" w:color="auto" w:fill="FFFFFF"/>
        </w:rPr>
      </w:pPr>
      <w:r>
        <w:rPr>
          <w:shd w:val="clear" w:color="auto" w:fill="FFFFFF"/>
        </w:rPr>
        <w:t>Anyushenkova, O.N., 2017. Economics and quality management in small businesses. In Актуальные вопросы права, экономики и управления (pp. 170-172).</w:t>
      </w:r>
    </w:p>
    <w:p w14:paraId="1065CBF2" w14:textId="77777777" w:rsidR="00E43549" w:rsidRDefault="00E43549">
      <w:pPr>
        <w:spacing w:line="100" w:lineRule="atLeast"/>
        <w:ind w:left="855" w:hanging="855"/>
        <w:rPr>
          <w:shd w:val="clear" w:color="auto" w:fill="FFFFFF"/>
        </w:rPr>
      </w:pPr>
      <w:r>
        <w:rPr>
          <w:shd w:val="clear" w:color="auto" w:fill="FFFFFF"/>
        </w:rPr>
        <w:t>Sears, L. and Lawell, C.Y.C.L., 2018. Water management and economics. In The Routledge Handbook of Agricultural Economics (pp. 269-284). Routledge.</w:t>
      </w:r>
    </w:p>
    <w:p w14:paraId="2C4DCA3F" w14:textId="77777777" w:rsidR="00E43549" w:rsidRDefault="00E43549">
      <w:pPr>
        <w:spacing w:line="100" w:lineRule="atLeast"/>
        <w:ind w:left="855" w:hanging="855"/>
        <w:rPr>
          <w:shd w:val="clear" w:color="auto" w:fill="FFFFFF"/>
        </w:rPr>
      </w:pPr>
      <w:r>
        <w:rPr>
          <w:shd w:val="clear" w:color="auto" w:fill="FFFFFF"/>
        </w:rPr>
        <w:t>Chang, C.L., McAleer, M. and Wong, W.K., 2018. Big data, computational science, economics, finance, marketing, management, and psychology: connections. Journal of Risk and Financial Management, 11(1), p.15.</w:t>
      </w:r>
    </w:p>
    <w:p w14:paraId="3F54A9BB" w14:textId="458AF21C" w:rsidR="00E43549" w:rsidRDefault="00E43549">
      <w:pPr>
        <w:spacing w:line="100" w:lineRule="atLeast"/>
        <w:ind w:left="855" w:hanging="855"/>
        <w:rPr>
          <w:shd w:val="clear" w:color="auto" w:fill="FFFFFF"/>
        </w:rPr>
      </w:pPr>
      <w:r>
        <w:rPr>
          <w:shd w:val="clear" w:color="auto" w:fill="FFFFFF"/>
        </w:rPr>
        <w:t xml:space="preserve">Martinho, V.J.P.D., 2019. Best management practices from agricultural economics: Mitigating air, </w:t>
      </w:r>
      <w:r w:rsidR="00263040">
        <w:rPr>
          <w:shd w:val="clear" w:color="auto" w:fill="FFFFFF"/>
        </w:rPr>
        <w:t>soil,</w:t>
      </w:r>
      <w:r>
        <w:rPr>
          <w:shd w:val="clear" w:color="auto" w:fill="FFFFFF"/>
        </w:rPr>
        <w:t xml:space="preserve"> and water pollution. Science of the total environment, 688, pp.346-360.</w:t>
      </w:r>
    </w:p>
    <w:p w14:paraId="2E00326B" w14:textId="77777777" w:rsidR="00E43549" w:rsidRDefault="00E43549">
      <w:pPr>
        <w:spacing w:line="100" w:lineRule="atLeast"/>
        <w:ind w:left="855" w:hanging="855"/>
        <w:rPr>
          <w:shd w:val="clear" w:color="auto" w:fill="FFFFFF"/>
        </w:rPr>
      </w:pPr>
      <w:r>
        <w:rPr>
          <w:shd w:val="clear" w:color="auto" w:fill="FFFFFF"/>
        </w:rPr>
        <w:t>LaRiviere, J. and et.al., 2020. The treatment of uncertainty and learning in the economics of natural resource and environmental management. Review of Environmental Economics and Policy.</w:t>
      </w:r>
    </w:p>
    <w:p w14:paraId="589AF149" w14:textId="77777777" w:rsidR="00E43549" w:rsidRDefault="00E43549">
      <w:pPr>
        <w:spacing w:line="100" w:lineRule="atLeast"/>
        <w:ind w:left="855" w:hanging="855"/>
        <w:rPr>
          <w:shd w:val="clear" w:color="auto" w:fill="FFFFFF"/>
        </w:rPr>
      </w:pPr>
      <w:r>
        <w:rPr>
          <w:shd w:val="clear" w:color="auto" w:fill="FFFFFF"/>
        </w:rPr>
        <w:t>Ketokivi, M. and Mahoney, J.T., 2017. Transaction cost economics as a theory of the firm, management, and governance. In Oxford Research Encyclopedia of Business and Management.</w:t>
      </w:r>
    </w:p>
    <w:p w14:paraId="4B27631F" w14:textId="77777777" w:rsidR="00E43549" w:rsidRDefault="00E43549">
      <w:pPr>
        <w:spacing w:line="100" w:lineRule="atLeast"/>
        <w:ind w:left="855" w:hanging="855"/>
        <w:rPr>
          <w:shd w:val="clear" w:color="auto" w:fill="FFFFFF"/>
        </w:rPr>
      </w:pPr>
      <w:r>
        <w:rPr>
          <w:shd w:val="clear" w:color="auto" w:fill="FFFFFF"/>
        </w:rPr>
        <w:t>Vanek, J., 2017. The Economics Ofworkers' Management: A Yugoslav Case Study. Routledge.</w:t>
      </w:r>
    </w:p>
    <w:p w14:paraId="411281CA" w14:textId="77777777" w:rsidR="00E43549" w:rsidRDefault="00E43549">
      <w:pPr>
        <w:spacing w:line="100" w:lineRule="atLeast"/>
        <w:ind w:left="855" w:hanging="855"/>
        <w:rPr>
          <w:shd w:val="clear" w:color="auto" w:fill="FFFFFF"/>
        </w:rPr>
      </w:pPr>
      <w:r>
        <w:rPr>
          <w:shd w:val="clear" w:color="auto" w:fill="FFFFFF"/>
        </w:rPr>
        <w:t>Albarran, A.B., Mierzejewska, B. and Jung, J. eds., 2018. Handbook of media management and economics. New York, NY: Routledge.</w:t>
      </w:r>
    </w:p>
    <w:p w14:paraId="7E0A00F0" w14:textId="77777777" w:rsidR="00E43549" w:rsidRDefault="00E43549">
      <w:pPr>
        <w:spacing w:line="100" w:lineRule="atLeast"/>
        <w:ind w:left="855" w:hanging="855"/>
        <w:rPr>
          <w:shd w:val="clear" w:color="auto" w:fill="FFFFFF"/>
        </w:rPr>
      </w:pPr>
      <w:r>
        <w:rPr>
          <w:shd w:val="clear" w:color="auto" w:fill="FFFFFF"/>
        </w:rPr>
        <w:t>Crutchfield, J.A., 2019. The economics of fisheries management. In Managing Renewable Natural Resources in Developing Countries (pp. 5-32). Routledge.</w:t>
      </w:r>
    </w:p>
    <w:p w14:paraId="60D3003B" w14:textId="77777777" w:rsidR="00E43549" w:rsidRDefault="00E43549">
      <w:pPr>
        <w:spacing w:line="100" w:lineRule="atLeast"/>
        <w:ind w:left="855" w:hanging="855"/>
        <w:rPr>
          <w:shd w:val="clear" w:color="auto" w:fill="FFFFFF"/>
        </w:rPr>
      </w:pPr>
      <w:r>
        <w:rPr>
          <w:shd w:val="clear" w:color="auto" w:fill="FFFFFF"/>
        </w:rPr>
        <w:t>da Silva, C.L., Weins, N. and Potinkara, M., 2019. Formalizing the informal? A perspective on informal waste management in the BRICS through the lens of institutional economics. Waste Management, 99, pp.79-89.</w:t>
      </w:r>
    </w:p>
    <w:p w14:paraId="19BCB9D1" w14:textId="77777777" w:rsidR="00E43549" w:rsidRDefault="00E43549">
      <w:pPr>
        <w:spacing w:line="100" w:lineRule="atLeast"/>
        <w:ind w:left="855" w:hanging="855"/>
        <w:rPr>
          <w:shd w:val="clear" w:color="auto" w:fill="FFFFFF"/>
        </w:rPr>
      </w:pPr>
      <w:r>
        <w:rPr>
          <w:shd w:val="clear" w:color="auto" w:fill="FFFFFF"/>
        </w:rPr>
        <w:t>Meinlschmidt, J., Schleper, M.C. and Foerstl, K., 2018. Tackling the sustainability iceberg: a transaction cost economics approach to lower tier sustainability management. International Journal of Operations &amp; Production Management.</w:t>
      </w:r>
    </w:p>
    <w:sectPr w:rsidR="00E43549">
      <w:headerReference w:type="default" r:id="rId7"/>
      <w:footerReference w:type="default" r:id="rId8"/>
      <w:pgSz w:w="12240" w:h="15840"/>
      <w:pgMar w:top="1440" w:right="1440" w:bottom="1440" w:left="1440" w:header="720" w:footer="720" w:gutter="0"/>
      <w:pgNumType w:start="1"/>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C07EE6" w14:textId="77777777" w:rsidR="003357F3" w:rsidRDefault="003357F3">
      <w:pPr>
        <w:spacing w:line="240" w:lineRule="auto"/>
      </w:pPr>
      <w:r>
        <w:separator/>
      </w:r>
    </w:p>
  </w:endnote>
  <w:endnote w:type="continuationSeparator" w:id="0">
    <w:p w14:paraId="2DE78577" w14:textId="77777777" w:rsidR="003357F3" w:rsidRDefault="003357F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Arial Unicode MS"/>
    <w:charset w:val="80"/>
    <w:family w:val="auto"/>
    <w:pitch w:val="default"/>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roid Sans">
    <w:charset w:val="80"/>
    <w:family w:val="auto"/>
    <w:pitch w:val="variable"/>
  </w:font>
  <w:font w:name="DejaVu Sans">
    <w:altName w:val="MS Mincho"/>
    <w:charset w:val="80"/>
    <w:family w:val="auto"/>
    <w:pitch w:val="variable"/>
  </w:font>
  <w:font w:name="Tinos">
    <w:altName w:val="MS PMincho"/>
    <w:charset w:val="80"/>
    <w:family w:val="roman"/>
    <w:pitch w:val="variable"/>
  </w:font>
  <w:font w:name="DejaVu Sans Mono">
    <w:altName w:val="MS Gothic"/>
    <w:charset w:val="80"/>
    <w:family w:val="modern"/>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A425B" w14:textId="77777777" w:rsidR="00E43549" w:rsidRDefault="00E43549">
    <w:pPr>
      <w:pStyle w:val="Footer"/>
      <w:jc w:val="center"/>
    </w:pPr>
    <w:r>
      <w:fldChar w:fldCharType="begin"/>
    </w:r>
    <w:r>
      <w:instrText xml:space="preserve"> PAGE </w:instrText>
    </w:r>
    <w:r>
      <w:fldChar w:fldCharType="separate"/>
    </w:r>
    <w:r w:rsidR="00A52A33">
      <w:rPr>
        <w:noProof/>
      </w:rPr>
      <w:t>8</w:t>
    </w:r>
    <w:r>
      <w:fldChar w:fldCharType="end"/>
    </w:r>
  </w:p>
  <w:p w14:paraId="12D081EA" w14:textId="77777777" w:rsidR="00E43549" w:rsidRDefault="00E4354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8DC44E" w14:textId="77777777" w:rsidR="003357F3" w:rsidRDefault="003357F3">
      <w:pPr>
        <w:spacing w:line="240" w:lineRule="auto"/>
      </w:pPr>
      <w:r>
        <w:separator/>
      </w:r>
    </w:p>
  </w:footnote>
  <w:footnote w:type="continuationSeparator" w:id="0">
    <w:p w14:paraId="3DF5A79C" w14:textId="77777777" w:rsidR="003357F3" w:rsidRDefault="003357F3">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61753D" w14:textId="6E580411" w:rsidR="002555B7" w:rsidRDefault="00F15E71" w:rsidP="00F15E71">
    <w:pPr>
      <w:pStyle w:val="Header"/>
    </w:pPr>
    <w:r>
      <w:t xml:space="preserve">Ioana Raluca Rusu – 1918148                                                                                          </w:t>
    </w:r>
    <w:r w:rsidR="00263040">
      <w:rPr>
        <w:noProof/>
      </w:rPr>
      <w:drawing>
        <wp:inline distT="0" distB="0" distL="0" distR="0" wp14:anchorId="20C1DD8E" wp14:editId="7DC44A01">
          <wp:extent cx="590550" cy="390525"/>
          <wp:effectExtent l="0" t="0" r="0" b="0"/>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0550" cy="390525"/>
                  </a:xfrm>
                  <a:prstGeom prst="rect">
                    <a:avLst/>
                  </a:prstGeom>
                  <a:noFill/>
                  <a:ln>
                    <a:noFill/>
                  </a:ln>
                </pic:spPr>
              </pic:pic>
            </a:graphicData>
          </a:graphic>
        </wp:inline>
      </w:drawing>
    </w:r>
  </w:p>
  <w:p w14:paraId="05C03CFE" w14:textId="2F11B535" w:rsidR="00157835" w:rsidRDefault="0015783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00000002"/>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2" w15:restartNumberingAfterBreak="0">
    <w:nsid w:val="00000003"/>
    <w:multiLevelType w:val="multilevel"/>
    <w:tmpl w:val="0000000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3" w15:restartNumberingAfterBreak="0">
    <w:nsid w:val="00000004"/>
    <w:multiLevelType w:val="multilevel"/>
    <w:tmpl w:val="00000004"/>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4" w15:restartNumberingAfterBreak="0">
    <w:nsid w:val="00000005"/>
    <w:multiLevelType w:val="multilevel"/>
    <w:tmpl w:val="0000000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5" w15:restartNumberingAfterBreak="0">
    <w:nsid w:val="00000006"/>
    <w:multiLevelType w:val="multilevel"/>
    <w:tmpl w:val="00000006"/>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6" w15:restartNumberingAfterBreak="0">
    <w:nsid w:val="00000007"/>
    <w:multiLevelType w:val="multilevel"/>
    <w:tmpl w:val="00000007"/>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2735"/>
    <w:rsid w:val="00157835"/>
    <w:rsid w:val="001F1076"/>
    <w:rsid w:val="002555B7"/>
    <w:rsid w:val="00263040"/>
    <w:rsid w:val="003357F3"/>
    <w:rsid w:val="004A3CA1"/>
    <w:rsid w:val="007F0AC4"/>
    <w:rsid w:val="00A52A33"/>
    <w:rsid w:val="00A67F78"/>
    <w:rsid w:val="00B52735"/>
    <w:rsid w:val="00E43549"/>
    <w:rsid w:val="00E8016C"/>
    <w:rsid w:val="00EB68E2"/>
    <w:rsid w:val="00F15E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0A7795B8"/>
  <w15:chartTrackingRefBased/>
  <w15:docId w15:val="{6666A7DF-124E-4379-B67A-11754C1689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line="360" w:lineRule="auto"/>
      <w:jc w:val="both"/>
    </w:pPr>
    <w:rPr>
      <w:rFonts w:eastAsia="Calibri"/>
      <w:color w:val="000000"/>
      <w:sz w:val="24"/>
      <w:szCs w:val="22"/>
      <w:lang w:eastAsia="ar-SA"/>
    </w:rPr>
  </w:style>
  <w:style w:type="paragraph" w:styleId="Heading1">
    <w:name w:val="heading 1"/>
    <w:basedOn w:val="Normal"/>
    <w:next w:val="Normal"/>
    <w:qFormat/>
    <w:pPr>
      <w:keepNext/>
      <w:keepLines/>
      <w:numPr>
        <w:numId w:val="1"/>
      </w:numPr>
      <w:spacing w:before="113"/>
      <w:outlineLvl w:val="0"/>
    </w:pPr>
    <w:rPr>
      <w:rFonts w:eastAsia="Times New Roman"/>
      <w:b/>
      <w:bCs/>
      <w:sz w:val="28"/>
      <w:szCs w:val="28"/>
    </w:rPr>
  </w:style>
  <w:style w:type="paragraph" w:styleId="Heading2">
    <w:name w:val="heading 2"/>
    <w:basedOn w:val="Normal"/>
    <w:next w:val="Normal"/>
    <w:qFormat/>
    <w:pPr>
      <w:keepNext/>
      <w:keepLines/>
      <w:numPr>
        <w:ilvl w:val="1"/>
        <w:numId w:val="1"/>
      </w:numPr>
      <w:spacing w:before="113"/>
      <w:outlineLvl w:val="1"/>
    </w:pPr>
    <w:rPr>
      <w:rFonts w:eastAsia="Times New Roman"/>
      <w:bCs/>
      <w:szCs w:val="26"/>
      <w:u w:val="single"/>
    </w:rPr>
  </w:style>
  <w:style w:type="paragraph" w:styleId="Heading3">
    <w:name w:val="heading 3"/>
    <w:basedOn w:val="Heading"/>
    <w:next w:val="BodyText"/>
    <w:qFormat/>
    <w:pPr>
      <w:numPr>
        <w:ilvl w:val="2"/>
        <w:numId w:val="1"/>
      </w:numPr>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styleId="DefaultParagraphFont0">
    <w:name w:val="Default Paragraph Font"/>
  </w:style>
  <w:style w:type="character" w:customStyle="1" w:styleId="WW-DefaultParagraphFont">
    <w:name w:val="WW-Default Paragraph Font"/>
  </w:style>
  <w:style w:type="character" w:customStyle="1" w:styleId="WW-DefaultParagraphFont1">
    <w:name w:val="WW-Default Paragraph Font1"/>
  </w:style>
  <w:style w:type="character" w:customStyle="1" w:styleId="WW8Num2z0">
    <w:name w:val="WW8Num2z0"/>
    <w:rPr>
      <w:rFonts w:ascii="Symbol" w:hAnsi="Symbol" w:cs="OpenSymbol"/>
    </w:rPr>
  </w:style>
  <w:style w:type="character" w:customStyle="1" w:styleId="WW8Num2z1">
    <w:name w:val="WW8Num2z1"/>
    <w:rPr>
      <w:rFonts w:ascii="OpenSymbol" w:hAnsi="OpenSymbol" w:cs="OpenSymbol"/>
    </w:rPr>
  </w:style>
  <w:style w:type="character" w:customStyle="1" w:styleId="WW8Num3z0">
    <w:name w:val="WW8Num3z0"/>
    <w:rPr>
      <w:rFonts w:ascii="Symbol" w:hAnsi="Symbol" w:cs="OpenSymbol"/>
    </w:rPr>
  </w:style>
  <w:style w:type="character" w:customStyle="1" w:styleId="WW8Num3z1">
    <w:name w:val="WW8Num3z1"/>
    <w:rPr>
      <w:rFonts w:ascii="OpenSymbol" w:hAnsi="OpenSymbol" w:cs="OpenSymbol"/>
    </w:rPr>
  </w:style>
  <w:style w:type="character" w:customStyle="1" w:styleId="WW-DefaultParagraphFont11">
    <w:name w:val="WW-Default Paragraph Font11"/>
  </w:style>
  <w:style w:type="character" w:customStyle="1" w:styleId="HeaderChar">
    <w:name w:val="Header Char"/>
    <w:basedOn w:val="WW-DefaultParagraphFont11"/>
    <w:uiPriority w:val="99"/>
  </w:style>
  <w:style w:type="character" w:customStyle="1" w:styleId="FooterChar">
    <w:name w:val="Footer Char"/>
    <w:basedOn w:val="WW-DefaultParagraphFont11"/>
  </w:style>
  <w:style w:type="character" w:customStyle="1" w:styleId="Heading1Char">
    <w:name w:val="Heading 1 Char"/>
    <w:rPr>
      <w:rFonts w:ascii="Times New Roman" w:eastAsia="Times New Roman" w:hAnsi="Times New Roman" w:cs="Times New Roman"/>
      <w:b/>
      <w:bCs/>
      <w:sz w:val="28"/>
      <w:szCs w:val="28"/>
    </w:rPr>
  </w:style>
  <w:style w:type="character" w:customStyle="1" w:styleId="Heading2Char">
    <w:name w:val="Heading 2 Char"/>
    <w:rPr>
      <w:rFonts w:ascii="Times New Roman" w:eastAsia="Times New Roman" w:hAnsi="Times New Roman" w:cs="Times New Roman"/>
      <w:bCs/>
      <w:sz w:val="24"/>
      <w:szCs w:val="26"/>
      <w:u w:val="single"/>
    </w:rPr>
  </w:style>
  <w:style w:type="character" w:customStyle="1" w:styleId="Bullets">
    <w:name w:val="Bullets"/>
    <w:rPr>
      <w:rFonts w:ascii="OpenSymbol" w:eastAsia="OpenSymbol" w:hAnsi="OpenSymbol" w:cs="OpenSymbol"/>
    </w:rPr>
  </w:style>
  <w:style w:type="character" w:styleId="Hyperlink">
    <w:name w:val="Hyperlink"/>
    <w:rPr>
      <w:color w:val="000080"/>
      <w:u w:val="single"/>
      <w:lang/>
    </w:rPr>
  </w:style>
  <w:style w:type="character" w:customStyle="1" w:styleId="NumberingSymbols">
    <w:name w:val="Numbering Symbols"/>
  </w:style>
  <w:style w:type="paragraph" w:customStyle="1" w:styleId="Heading">
    <w:name w:val="Heading"/>
    <w:basedOn w:val="Normal"/>
    <w:next w:val="BodyText"/>
    <w:pPr>
      <w:keepNext/>
      <w:spacing w:before="240" w:after="120"/>
    </w:pPr>
    <w:rPr>
      <w:rFonts w:ascii="Arial" w:eastAsia="Droid Sans" w:hAnsi="Arial" w:cs="DejaVu Sans"/>
      <w:sz w:val="28"/>
      <w:szCs w:val="28"/>
    </w:rPr>
  </w:style>
  <w:style w:type="paragraph" w:styleId="BodyText">
    <w:name w:val="Body Text"/>
    <w:basedOn w:val="Normal"/>
  </w:style>
  <w:style w:type="paragraph" w:styleId="List">
    <w:name w:val="List"/>
    <w:basedOn w:val="BodyText"/>
    <w:rPr>
      <w:rFonts w:cs="DejaVu Sans"/>
    </w:rPr>
  </w:style>
  <w:style w:type="paragraph" w:styleId="Caption">
    <w:name w:val="caption"/>
    <w:basedOn w:val="Normal"/>
    <w:qFormat/>
    <w:pPr>
      <w:suppressLineNumbers/>
      <w:spacing w:before="120" w:after="120"/>
    </w:pPr>
    <w:rPr>
      <w:rFonts w:cs="DejaVu Sans"/>
      <w:i/>
      <w:iCs/>
      <w:szCs w:val="24"/>
    </w:rPr>
  </w:style>
  <w:style w:type="paragraph" w:customStyle="1" w:styleId="Index">
    <w:name w:val="Index"/>
    <w:basedOn w:val="Normal"/>
    <w:pPr>
      <w:suppressLineNumbers/>
    </w:pPr>
    <w:rPr>
      <w:rFonts w:cs="DejaVu Sans"/>
    </w:rPr>
  </w:style>
  <w:style w:type="paragraph" w:styleId="Header">
    <w:name w:val="header"/>
    <w:basedOn w:val="Normal"/>
    <w:uiPriority w:val="99"/>
    <w:pPr>
      <w:tabs>
        <w:tab w:val="center" w:pos="4680"/>
        <w:tab w:val="right" w:pos="9360"/>
      </w:tabs>
      <w:spacing w:line="240" w:lineRule="auto"/>
    </w:pPr>
  </w:style>
  <w:style w:type="paragraph" w:styleId="Footer">
    <w:name w:val="footer"/>
    <w:basedOn w:val="Normal"/>
    <w:pPr>
      <w:tabs>
        <w:tab w:val="center" w:pos="4680"/>
        <w:tab w:val="right" w:pos="9360"/>
      </w:tabs>
      <w:spacing w:line="240" w:lineRule="auto"/>
    </w:pPr>
  </w:style>
  <w:style w:type="paragraph" w:customStyle="1" w:styleId="ContentsHeading">
    <w:name w:val="Contents Heading"/>
    <w:basedOn w:val="Heading"/>
    <w:pPr>
      <w:suppressLineNumbers/>
      <w:jc w:val="center"/>
    </w:pPr>
    <w:rPr>
      <w:rFonts w:ascii="Times New Roman" w:hAnsi="Times New Roman" w:cs="Times New Roman"/>
      <w:b/>
      <w:bCs/>
      <w:szCs w:val="32"/>
    </w:rPr>
  </w:style>
  <w:style w:type="paragraph" w:styleId="NoSpacing">
    <w:name w:val="No Spacing"/>
    <w:qFormat/>
    <w:pPr>
      <w:suppressAutoHyphens/>
      <w:spacing w:line="100" w:lineRule="atLeast"/>
    </w:pPr>
    <w:rPr>
      <w:rFonts w:ascii="Tinos" w:eastAsia="Droid Sans" w:hAnsi="Tinos" w:cs="DejaVu Sans"/>
      <w:sz w:val="24"/>
      <w:szCs w:val="24"/>
      <w:lang w:eastAsia="hi-IN" w:bidi="hi-IN"/>
    </w:rPr>
  </w:style>
  <w:style w:type="paragraph" w:customStyle="1" w:styleId="PreformattedText">
    <w:name w:val="Preformatted Text"/>
    <w:basedOn w:val="Normal"/>
    <w:rPr>
      <w:rFonts w:ascii="DejaVu Sans Mono" w:eastAsia="Droid Sans" w:hAnsi="DejaVu Sans Mono" w:cs="DejaVu Sans Mono"/>
      <w:sz w:val="20"/>
      <w:szCs w:val="20"/>
    </w:rPr>
  </w:style>
  <w:style w:type="paragraph" w:styleId="TOC1">
    <w:name w:val="toc 1"/>
    <w:basedOn w:val="Index"/>
    <w:pPr>
      <w:tabs>
        <w:tab w:val="right" w:leader="dot" w:pos="9360"/>
      </w:tabs>
    </w:pPr>
  </w:style>
  <w:style w:type="paragraph" w:styleId="TOC2">
    <w:name w:val="toc 2"/>
    <w:basedOn w:val="Index"/>
    <w:pPr>
      <w:tabs>
        <w:tab w:val="right" w:leader="dot" w:pos="9077"/>
      </w:tabs>
      <w:ind w:left="283"/>
    </w:p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10</Pages>
  <Words>2397</Words>
  <Characters>13665</Characters>
  <Application>Microsoft Office Word</Application>
  <DocSecurity>0</DocSecurity>
  <Lines>113</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Raluca Ienea</cp:lastModifiedBy>
  <cp:revision>2</cp:revision>
  <cp:lastPrinted>1601-01-01T00:00:00Z</cp:lastPrinted>
  <dcterms:created xsi:type="dcterms:W3CDTF">2021-11-18T21:42:00Z</dcterms:created>
  <dcterms:modified xsi:type="dcterms:W3CDTF">2021-11-18T21:42:00Z</dcterms:modified>
</cp:coreProperties>
</file>