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46461" w14:textId="77777777" w:rsidR="003B1E61" w:rsidRDefault="003B1E61" w:rsidP="00FA4D81">
      <w:pPr>
        <w:spacing w:line="276" w:lineRule="auto"/>
        <w:rPr>
          <w:b/>
          <w:sz w:val="24"/>
          <w:szCs w:val="24"/>
        </w:rPr>
      </w:pPr>
      <w:r>
        <w:rPr>
          <w:b/>
          <w:sz w:val="24"/>
          <w:szCs w:val="24"/>
        </w:rPr>
        <w:t>A textual analysis of 1 Samuel 18: 1-9</w:t>
      </w:r>
      <w:bookmarkStart w:id="0" w:name="_GoBack"/>
      <w:bookmarkEnd w:id="0"/>
    </w:p>
    <w:p w14:paraId="5F2B967B" w14:textId="65E0E6E5" w:rsidR="003B1E61" w:rsidRPr="002B1934" w:rsidRDefault="002B1934" w:rsidP="00FA4D81">
      <w:pPr>
        <w:spacing w:line="276" w:lineRule="auto"/>
        <w:rPr>
          <w:sz w:val="24"/>
          <w:szCs w:val="24"/>
        </w:rPr>
      </w:pPr>
      <w:r>
        <w:rPr>
          <w:b/>
          <w:sz w:val="24"/>
          <w:szCs w:val="24"/>
        </w:rPr>
        <w:t xml:space="preserve">Note </w:t>
      </w:r>
      <w:r>
        <w:rPr>
          <w:sz w:val="24"/>
          <w:szCs w:val="24"/>
        </w:rPr>
        <w:t xml:space="preserve">The translation used is that of the New Revised Standard Version (Anglicised) and </w:t>
      </w:r>
      <w:r w:rsidR="0025102B">
        <w:rPr>
          <w:sz w:val="24"/>
          <w:szCs w:val="24"/>
        </w:rPr>
        <w:t>can be found in full</w:t>
      </w:r>
      <w:r>
        <w:rPr>
          <w:sz w:val="24"/>
          <w:szCs w:val="24"/>
        </w:rPr>
        <w:t xml:space="preserve"> in the </w:t>
      </w:r>
      <w:r w:rsidR="00FA4D81">
        <w:rPr>
          <w:sz w:val="24"/>
          <w:szCs w:val="24"/>
        </w:rPr>
        <w:t xml:space="preserve"> Appendix.</w:t>
      </w:r>
      <w:r w:rsidR="00FA4D81">
        <w:rPr>
          <w:rStyle w:val="FootnoteReference"/>
          <w:sz w:val="24"/>
          <w:szCs w:val="24"/>
        </w:rPr>
        <w:footnoteReference w:id="1"/>
      </w:r>
    </w:p>
    <w:p w14:paraId="34ED68B4" w14:textId="54EBB508" w:rsidR="003B1E61" w:rsidRDefault="003B1E61" w:rsidP="00FA4D81">
      <w:pPr>
        <w:pStyle w:val="first-line-none"/>
        <w:shd w:val="clear" w:color="auto" w:fill="FFFFFF"/>
        <w:spacing w:before="0" w:beforeAutospacing="0" w:after="150" w:afterAutospacing="0" w:line="276" w:lineRule="auto"/>
        <w:rPr>
          <w:rStyle w:val="text"/>
          <w:rFonts w:asciiTheme="minorHAnsi" w:hAnsiTheme="minorHAnsi" w:cstheme="minorHAnsi"/>
          <w:b/>
          <w:color w:val="000000"/>
        </w:rPr>
      </w:pPr>
      <w:r>
        <w:rPr>
          <w:rStyle w:val="text"/>
          <w:rFonts w:asciiTheme="minorHAnsi" w:hAnsiTheme="minorHAnsi" w:cstheme="minorHAnsi"/>
          <w:b/>
          <w:color w:val="000000"/>
        </w:rPr>
        <w:t>Introduction</w:t>
      </w:r>
    </w:p>
    <w:p w14:paraId="2A43D3C7" w14:textId="0720341E" w:rsidR="004148A2" w:rsidRDefault="003B1E61"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 xml:space="preserve">The </w:t>
      </w:r>
      <w:r w:rsidR="003C361B">
        <w:rPr>
          <w:rFonts w:asciiTheme="minorHAnsi" w:hAnsiTheme="minorHAnsi" w:cstheme="minorHAnsi"/>
          <w:color w:val="000000"/>
        </w:rPr>
        <w:t>two b</w:t>
      </w:r>
      <w:r>
        <w:rPr>
          <w:rFonts w:asciiTheme="minorHAnsi" w:hAnsiTheme="minorHAnsi" w:cstheme="minorHAnsi"/>
          <w:color w:val="000000"/>
        </w:rPr>
        <w:t>ook</w:t>
      </w:r>
      <w:r w:rsidR="003C361B">
        <w:rPr>
          <w:rFonts w:asciiTheme="minorHAnsi" w:hAnsiTheme="minorHAnsi" w:cstheme="minorHAnsi"/>
          <w:color w:val="000000"/>
        </w:rPr>
        <w:t>s</w:t>
      </w:r>
      <w:r>
        <w:rPr>
          <w:rFonts w:asciiTheme="minorHAnsi" w:hAnsiTheme="minorHAnsi" w:cstheme="minorHAnsi"/>
          <w:color w:val="000000"/>
        </w:rPr>
        <w:t xml:space="preserve"> of Samuel</w:t>
      </w:r>
      <w:r w:rsidR="003C361B">
        <w:rPr>
          <w:rFonts w:asciiTheme="minorHAnsi" w:hAnsiTheme="minorHAnsi" w:cstheme="minorHAnsi"/>
          <w:color w:val="000000"/>
        </w:rPr>
        <w:t xml:space="preserve"> along with the two books of Kings are generally referred to as the historic books of the Hebrew Bible.</w:t>
      </w:r>
      <w:r w:rsidR="003C361B">
        <w:rPr>
          <w:rStyle w:val="FootnoteReference"/>
          <w:rFonts w:asciiTheme="minorHAnsi" w:hAnsiTheme="minorHAnsi" w:cstheme="minorHAnsi"/>
          <w:color w:val="000000"/>
        </w:rPr>
        <w:footnoteReference w:id="2"/>
      </w:r>
      <w:r w:rsidR="003C361B">
        <w:rPr>
          <w:rFonts w:asciiTheme="minorHAnsi" w:hAnsiTheme="minorHAnsi" w:cstheme="minorHAnsi"/>
          <w:color w:val="000000"/>
        </w:rPr>
        <w:t xml:space="preserve"> However, it was in the Greek</w:t>
      </w:r>
      <w:r w:rsidR="00843451">
        <w:rPr>
          <w:rFonts w:asciiTheme="minorHAnsi" w:hAnsiTheme="minorHAnsi" w:cstheme="minorHAnsi"/>
          <w:color w:val="000000"/>
        </w:rPr>
        <w:t xml:space="preserve"> Septuagint</w:t>
      </w:r>
      <w:r w:rsidR="003C361B">
        <w:rPr>
          <w:rFonts w:asciiTheme="minorHAnsi" w:hAnsiTheme="minorHAnsi" w:cstheme="minorHAnsi"/>
          <w:color w:val="000000"/>
        </w:rPr>
        <w:t xml:space="preserve"> </w:t>
      </w:r>
      <w:r w:rsidR="00843451">
        <w:rPr>
          <w:rFonts w:asciiTheme="minorHAnsi" w:hAnsiTheme="minorHAnsi" w:cstheme="minorHAnsi"/>
          <w:color w:val="000000"/>
        </w:rPr>
        <w:t>(</w:t>
      </w:r>
      <w:r w:rsidR="003C361B">
        <w:rPr>
          <w:rFonts w:asciiTheme="minorHAnsi" w:hAnsiTheme="minorHAnsi" w:cstheme="minorHAnsi"/>
          <w:color w:val="000000"/>
        </w:rPr>
        <w:t>LXX</w:t>
      </w:r>
      <w:r w:rsidR="00843451">
        <w:rPr>
          <w:rFonts w:asciiTheme="minorHAnsi" w:hAnsiTheme="minorHAnsi" w:cstheme="minorHAnsi"/>
          <w:color w:val="000000"/>
        </w:rPr>
        <w:t>)</w:t>
      </w:r>
      <w:r w:rsidR="003C361B">
        <w:rPr>
          <w:rFonts w:asciiTheme="minorHAnsi" w:hAnsiTheme="minorHAnsi" w:cstheme="minorHAnsi"/>
          <w:color w:val="000000"/>
        </w:rPr>
        <w:t xml:space="preserve"> translation that the division </w:t>
      </w:r>
      <w:r w:rsidR="006F33F1">
        <w:rPr>
          <w:rFonts w:asciiTheme="minorHAnsi" w:hAnsiTheme="minorHAnsi" w:cstheme="minorHAnsi"/>
          <w:color w:val="000000"/>
        </w:rPr>
        <w:t>into two books occurs. Jones suggests that this was due to the conventional size of the Greek scroll as opposed to a literary distinction.</w:t>
      </w:r>
      <w:r w:rsidR="006F33F1">
        <w:rPr>
          <w:rStyle w:val="FootnoteReference"/>
          <w:rFonts w:asciiTheme="minorHAnsi" w:hAnsiTheme="minorHAnsi" w:cstheme="minorHAnsi"/>
          <w:color w:val="000000"/>
        </w:rPr>
        <w:footnoteReference w:id="3"/>
      </w:r>
      <w:r w:rsidR="006F33F1">
        <w:rPr>
          <w:rFonts w:asciiTheme="minorHAnsi" w:hAnsiTheme="minorHAnsi" w:cstheme="minorHAnsi"/>
          <w:color w:val="000000"/>
        </w:rPr>
        <w:t xml:space="preserve"> Within the books further distinctions may be recognised </w:t>
      </w:r>
      <w:r w:rsidR="00843451">
        <w:rPr>
          <w:rFonts w:asciiTheme="minorHAnsi" w:hAnsiTheme="minorHAnsi" w:cstheme="minorHAnsi"/>
          <w:color w:val="000000"/>
        </w:rPr>
        <w:t>by examining</w:t>
      </w:r>
      <w:r w:rsidR="006F33F1">
        <w:rPr>
          <w:rFonts w:asciiTheme="minorHAnsi" w:hAnsiTheme="minorHAnsi" w:cstheme="minorHAnsi"/>
          <w:color w:val="000000"/>
        </w:rPr>
        <w:t xml:space="preserve"> the focus of different sections. </w:t>
      </w:r>
      <w:r w:rsidR="00843451">
        <w:rPr>
          <w:rFonts w:asciiTheme="minorHAnsi" w:hAnsiTheme="minorHAnsi" w:cstheme="minorHAnsi"/>
          <w:color w:val="000000"/>
        </w:rPr>
        <w:t xml:space="preserve">The passage under consideration forms part of the narrative developed in </w:t>
      </w:r>
      <w:r w:rsidR="006F33F1">
        <w:rPr>
          <w:rFonts w:asciiTheme="minorHAnsi" w:hAnsiTheme="minorHAnsi" w:cstheme="minorHAnsi"/>
          <w:color w:val="000000"/>
        </w:rPr>
        <w:t xml:space="preserve">chapters 16 – 31 </w:t>
      </w:r>
      <w:r w:rsidR="00843451">
        <w:rPr>
          <w:rFonts w:asciiTheme="minorHAnsi" w:hAnsiTheme="minorHAnsi" w:cstheme="minorHAnsi"/>
          <w:color w:val="000000"/>
        </w:rPr>
        <w:t>which Jones notes has</w:t>
      </w:r>
      <w:r w:rsidR="006F33F1">
        <w:rPr>
          <w:rFonts w:asciiTheme="minorHAnsi" w:hAnsiTheme="minorHAnsi" w:cstheme="minorHAnsi"/>
          <w:color w:val="000000"/>
        </w:rPr>
        <w:t xml:space="preserve"> been designated as 'The History of David's Rise'</w:t>
      </w:r>
      <w:r w:rsidR="00CD2F85">
        <w:rPr>
          <w:rFonts w:asciiTheme="minorHAnsi" w:hAnsiTheme="minorHAnsi" w:cstheme="minorHAnsi"/>
          <w:color w:val="000000"/>
        </w:rPr>
        <w:t>,</w:t>
      </w:r>
      <w:r w:rsidR="006F33F1">
        <w:rPr>
          <w:rStyle w:val="FootnoteReference"/>
          <w:rFonts w:asciiTheme="minorHAnsi" w:hAnsiTheme="minorHAnsi" w:cstheme="minorHAnsi"/>
          <w:color w:val="000000"/>
        </w:rPr>
        <w:footnoteReference w:id="4"/>
      </w:r>
      <w:r w:rsidR="006F33F1">
        <w:rPr>
          <w:rFonts w:asciiTheme="minorHAnsi" w:hAnsiTheme="minorHAnsi" w:cstheme="minorHAnsi"/>
          <w:color w:val="000000"/>
        </w:rPr>
        <w:t xml:space="preserve"> </w:t>
      </w:r>
      <w:r w:rsidR="00CD2F85">
        <w:rPr>
          <w:rFonts w:asciiTheme="minorHAnsi" w:hAnsiTheme="minorHAnsi" w:cstheme="minorHAnsi"/>
          <w:color w:val="000000"/>
        </w:rPr>
        <w:t xml:space="preserve">in which David, as YHWH's chosen, becomes King over Israel, in succession to Saul, Israel's first anointed king. </w:t>
      </w:r>
    </w:p>
    <w:p w14:paraId="797C0690" w14:textId="0C9E9186" w:rsidR="004148A2" w:rsidRPr="004148A2" w:rsidRDefault="004148A2" w:rsidP="00FA4D81">
      <w:pPr>
        <w:pStyle w:val="first-line-none"/>
        <w:shd w:val="clear" w:color="auto" w:fill="FFFFFF"/>
        <w:spacing w:before="0" w:beforeAutospacing="0" w:after="150" w:afterAutospacing="0" w:line="276" w:lineRule="auto"/>
        <w:rPr>
          <w:rFonts w:asciiTheme="minorHAnsi" w:hAnsiTheme="minorHAnsi" w:cstheme="minorHAnsi"/>
          <w:b/>
          <w:color w:val="000000"/>
        </w:rPr>
      </w:pPr>
      <w:r>
        <w:rPr>
          <w:rFonts w:asciiTheme="minorHAnsi" w:hAnsiTheme="minorHAnsi" w:cstheme="minorHAnsi"/>
          <w:b/>
          <w:color w:val="000000"/>
        </w:rPr>
        <w:t>Examination of the text</w:t>
      </w:r>
    </w:p>
    <w:p w14:paraId="211BE250" w14:textId="4C3EFA1C" w:rsidR="00843451" w:rsidRDefault="00843451"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 xml:space="preserve">In taking a social-scientific perspective on this passage two themes </w:t>
      </w:r>
      <w:r w:rsidR="00CD2F85">
        <w:rPr>
          <w:rFonts w:asciiTheme="minorHAnsi" w:hAnsiTheme="minorHAnsi" w:cstheme="minorHAnsi"/>
          <w:color w:val="000000"/>
        </w:rPr>
        <w:t>emerge, that of the relationship between David and Jonathan, Saul's son, and that between Saul and David. In the Masoretic Text (MT) of the Hebrew Bible the first five verses of this passage and the beginning of the sixth verse do not appear.</w:t>
      </w:r>
      <w:r w:rsidR="00CD2F85">
        <w:rPr>
          <w:rStyle w:val="FootnoteReference"/>
          <w:rFonts w:asciiTheme="minorHAnsi" w:hAnsiTheme="minorHAnsi" w:cstheme="minorHAnsi"/>
          <w:color w:val="000000"/>
        </w:rPr>
        <w:footnoteReference w:id="5"/>
      </w:r>
      <w:r w:rsidR="00CD2F85">
        <w:rPr>
          <w:rFonts w:asciiTheme="minorHAnsi" w:hAnsiTheme="minorHAnsi" w:cstheme="minorHAnsi"/>
          <w:color w:val="000000"/>
        </w:rPr>
        <w:t xml:space="preserve"> The </w:t>
      </w:r>
      <w:r w:rsidR="004148A2">
        <w:rPr>
          <w:rFonts w:asciiTheme="minorHAnsi" w:hAnsiTheme="minorHAnsi" w:cstheme="minorHAnsi"/>
          <w:color w:val="000000"/>
        </w:rPr>
        <w:t xml:space="preserve">LXX </w:t>
      </w:r>
      <w:r w:rsidR="00CD2F85">
        <w:rPr>
          <w:rFonts w:asciiTheme="minorHAnsi" w:hAnsiTheme="minorHAnsi" w:cstheme="minorHAnsi"/>
          <w:color w:val="000000"/>
        </w:rPr>
        <w:t xml:space="preserve">narrative </w:t>
      </w:r>
      <w:r w:rsidR="004148A2">
        <w:rPr>
          <w:rFonts w:asciiTheme="minorHAnsi" w:hAnsiTheme="minorHAnsi" w:cstheme="minorHAnsi"/>
          <w:color w:val="000000"/>
        </w:rPr>
        <w:t>at this point then focuses only on the jealousy between Saul and David, in the context of David's victory over the Philistines</w:t>
      </w:r>
      <w:r w:rsidR="00B14D6F">
        <w:rPr>
          <w:rFonts w:asciiTheme="minorHAnsi" w:hAnsiTheme="minorHAnsi" w:cstheme="minorHAnsi"/>
          <w:color w:val="000000"/>
        </w:rPr>
        <w:t xml:space="preserve">, in which David </w:t>
      </w:r>
      <w:r w:rsidR="00AB64C7">
        <w:rPr>
          <w:rFonts w:asciiTheme="minorHAnsi" w:hAnsiTheme="minorHAnsi" w:cstheme="minorHAnsi"/>
          <w:color w:val="000000"/>
        </w:rPr>
        <w:t>slew</w:t>
      </w:r>
      <w:r w:rsidR="00B14D6F">
        <w:rPr>
          <w:rFonts w:asciiTheme="minorHAnsi" w:hAnsiTheme="minorHAnsi" w:cstheme="minorHAnsi"/>
          <w:color w:val="000000"/>
        </w:rPr>
        <w:t xml:space="preserve"> the giant Goliath (1 Samuel 17: 31-54)</w:t>
      </w:r>
      <w:r w:rsidR="004148A2">
        <w:rPr>
          <w:rFonts w:asciiTheme="minorHAnsi" w:hAnsiTheme="minorHAnsi" w:cstheme="minorHAnsi"/>
          <w:color w:val="000000"/>
        </w:rPr>
        <w:t xml:space="preserve">. </w:t>
      </w:r>
      <w:r w:rsidR="00B817A1">
        <w:rPr>
          <w:rFonts w:asciiTheme="minorHAnsi" w:hAnsiTheme="minorHAnsi" w:cstheme="minorHAnsi"/>
          <w:color w:val="000000"/>
        </w:rPr>
        <w:t xml:space="preserve">Taking the narrative in its MT completeness, </w:t>
      </w:r>
      <w:r w:rsidR="004148A2">
        <w:rPr>
          <w:rFonts w:asciiTheme="minorHAnsi" w:hAnsiTheme="minorHAnsi" w:cstheme="minorHAnsi"/>
          <w:color w:val="000000"/>
        </w:rPr>
        <w:t>the</w:t>
      </w:r>
      <w:r w:rsidR="00B817A1">
        <w:rPr>
          <w:rFonts w:asciiTheme="minorHAnsi" w:hAnsiTheme="minorHAnsi" w:cstheme="minorHAnsi"/>
          <w:color w:val="000000"/>
        </w:rPr>
        <w:t xml:space="preserve"> </w:t>
      </w:r>
      <w:r w:rsidR="004148A2">
        <w:rPr>
          <w:rFonts w:asciiTheme="minorHAnsi" w:hAnsiTheme="minorHAnsi" w:cstheme="minorHAnsi"/>
          <w:color w:val="000000"/>
        </w:rPr>
        <w:t>juxtaposition of the two stories</w:t>
      </w:r>
      <w:r w:rsidR="00B817A1">
        <w:rPr>
          <w:rFonts w:asciiTheme="minorHAnsi" w:hAnsiTheme="minorHAnsi" w:cstheme="minorHAnsi"/>
          <w:color w:val="000000"/>
        </w:rPr>
        <w:t xml:space="preserve"> can be perceived</w:t>
      </w:r>
      <w:r w:rsidR="004148A2">
        <w:rPr>
          <w:rFonts w:asciiTheme="minorHAnsi" w:hAnsiTheme="minorHAnsi" w:cstheme="minorHAnsi"/>
          <w:color w:val="000000"/>
        </w:rPr>
        <w:t xml:space="preserve"> as </w:t>
      </w:r>
      <w:r w:rsidR="00B817A1">
        <w:rPr>
          <w:rFonts w:asciiTheme="minorHAnsi" w:hAnsiTheme="minorHAnsi" w:cstheme="minorHAnsi"/>
          <w:color w:val="000000"/>
        </w:rPr>
        <w:t>a literary device to highlight the contrast between the two relationships</w:t>
      </w:r>
      <w:r w:rsidR="00B817A1">
        <w:rPr>
          <w:rStyle w:val="FootnoteReference"/>
          <w:rFonts w:asciiTheme="minorHAnsi" w:hAnsiTheme="minorHAnsi" w:cstheme="minorHAnsi"/>
          <w:color w:val="000000"/>
        </w:rPr>
        <w:footnoteReference w:id="6"/>
      </w:r>
      <w:r w:rsidR="00B817A1">
        <w:rPr>
          <w:rFonts w:asciiTheme="minorHAnsi" w:hAnsiTheme="minorHAnsi" w:cstheme="minorHAnsi"/>
          <w:color w:val="000000"/>
        </w:rPr>
        <w:t xml:space="preserve">, giving additional rationale for approaching the passage with a social-scientific view. </w:t>
      </w:r>
    </w:p>
    <w:p w14:paraId="152C0E66" w14:textId="46C2F144" w:rsidR="004148A2" w:rsidRDefault="004148A2"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 xml:space="preserve">[18: 1] </w:t>
      </w:r>
      <w:r w:rsidR="003814FA">
        <w:rPr>
          <w:rFonts w:asciiTheme="minorHAnsi" w:hAnsiTheme="minorHAnsi" w:cstheme="minorHAnsi"/>
          <w:color w:val="000000"/>
        </w:rPr>
        <w:t>In this verse Jonathan's feelings for David are established</w:t>
      </w:r>
      <w:r w:rsidR="00792297">
        <w:rPr>
          <w:rFonts w:asciiTheme="minorHAnsi" w:hAnsiTheme="minorHAnsi" w:cstheme="minorHAnsi"/>
          <w:color w:val="000000"/>
        </w:rPr>
        <w:t>, following Saul's recognition of David as a warrior (17:55-58)</w:t>
      </w:r>
      <w:r w:rsidR="003814FA">
        <w:rPr>
          <w:rFonts w:asciiTheme="minorHAnsi" w:hAnsiTheme="minorHAnsi" w:cstheme="minorHAnsi"/>
          <w:color w:val="000000"/>
        </w:rPr>
        <w:t>. T</w:t>
      </w:r>
      <w:r w:rsidR="00DF6D01">
        <w:rPr>
          <w:rFonts w:asciiTheme="minorHAnsi" w:hAnsiTheme="minorHAnsi" w:cstheme="minorHAnsi"/>
          <w:color w:val="000000"/>
        </w:rPr>
        <w:t>he use of the words 'bound to'</w:t>
      </w:r>
      <w:r w:rsidR="003814FA">
        <w:rPr>
          <w:rStyle w:val="FootnoteReference"/>
          <w:rFonts w:asciiTheme="minorHAnsi" w:hAnsiTheme="minorHAnsi" w:cstheme="minorHAnsi"/>
          <w:color w:val="000000"/>
        </w:rPr>
        <w:footnoteReference w:id="7"/>
      </w:r>
      <w:r w:rsidR="00DF6D01">
        <w:rPr>
          <w:rFonts w:asciiTheme="minorHAnsi" w:hAnsiTheme="minorHAnsi" w:cstheme="minorHAnsi"/>
          <w:color w:val="000000"/>
        </w:rPr>
        <w:t xml:space="preserve"> </w:t>
      </w:r>
      <w:r w:rsidR="003814FA">
        <w:rPr>
          <w:rFonts w:asciiTheme="minorHAnsi" w:hAnsiTheme="minorHAnsi" w:cstheme="minorHAnsi"/>
          <w:color w:val="000000"/>
        </w:rPr>
        <w:t>implies an intensity of relationship. Keren notes the repetition of the word 'soul' both in this verse and later in verse 3 as indicative of the strength of relationship.</w:t>
      </w:r>
      <w:r w:rsidR="003814FA">
        <w:rPr>
          <w:rStyle w:val="FootnoteReference"/>
          <w:rFonts w:asciiTheme="minorHAnsi" w:hAnsiTheme="minorHAnsi" w:cstheme="minorHAnsi"/>
          <w:color w:val="000000"/>
        </w:rPr>
        <w:footnoteReference w:id="8"/>
      </w:r>
      <w:r w:rsidR="000F7155">
        <w:rPr>
          <w:rFonts w:asciiTheme="minorHAnsi" w:hAnsiTheme="minorHAnsi" w:cstheme="minorHAnsi"/>
          <w:color w:val="000000"/>
        </w:rPr>
        <w:t xml:space="preserve"> The nature of the relationship is not entirely clear at this point however. </w:t>
      </w:r>
      <w:r w:rsidR="00E247B0">
        <w:rPr>
          <w:rFonts w:asciiTheme="minorHAnsi" w:hAnsiTheme="minorHAnsi" w:cstheme="minorHAnsi"/>
          <w:color w:val="000000"/>
        </w:rPr>
        <w:t>In particular, the narrator does not identify whether the feelings are reciprocated by David, a question raised by</w:t>
      </w:r>
      <w:r w:rsidR="00792297">
        <w:rPr>
          <w:rFonts w:asciiTheme="minorHAnsi" w:hAnsiTheme="minorHAnsi" w:cstheme="minorHAnsi"/>
          <w:color w:val="000000"/>
        </w:rPr>
        <w:t xml:space="preserve"> several</w:t>
      </w:r>
      <w:r w:rsidR="00E247B0">
        <w:rPr>
          <w:rFonts w:asciiTheme="minorHAnsi" w:hAnsiTheme="minorHAnsi" w:cstheme="minorHAnsi"/>
          <w:color w:val="000000"/>
        </w:rPr>
        <w:t xml:space="preserve"> commentators </w:t>
      </w:r>
      <w:r w:rsidR="00792297">
        <w:rPr>
          <w:rFonts w:asciiTheme="minorHAnsi" w:hAnsiTheme="minorHAnsi" w:cstheme="minorHAnsi"/>
          <w:color w:val="000000"/>
        </w:rPr>
        <w:t>including</w:t>
      </w:r>
      <w:r w:rsidR="00E247B0">
        <w:rPr>
          <w:rFonts w:asciiTheme="minorHAnsi" w:hAnsiTheme="minorHAnsi" w:cstheme="minorHAnsi"/>
          <w:color w:val="000000"/>
        </w:rPr>
        <w:t xml:space="preserve"> Keren</w:t>
      </w:r>
      <w:r w:rsidR="00E247B0">
        <w:rPr>
          <w:rStyle w:val="FootnoteReference"/>
          <w:rFonts w:asciiTheme="minorHAnsi" w:hAnsiTheme="minorHAnsi" w:cstheme="minorHAnsi"/>
          <w:color w:val="000000"/>
        </w:rPr>
        <w:footnoteReference w:id="9"/>
      </w:r>
      <w:r w:rsidR="00E247B0">
        <w:rPr>
          <w:rFonts w:asciiTheme="minorHAnsi" w:hAnsiTheme="minorHAnsi" w:cstheme="minorHAnsi"/>
          <w:color w:val="000000"/>
        </w:rPr>
        <w:t xml:space="preserve"> and Stansell</w:t>
      </w:r>
      <w:r w:rsidR="00E247B0">
        <w:rPr>
          <w:rStyle w:val="FootnoteReference"/>
          <w:rFonts w:asciiTheme="minorHAnsi" w:hAnsiTheme="minorHAnsi" w:cstheme="minorHAnsi"/>
          <w:color w:val="000000"/>
        </w:rPr>
        <w:footnoteReference w:id="10"/>
      </w:r>
      <w:r w:rsidR="00E247B0">
        <w:rPr>
          <w:rFonts w:asciiTheme="minorHAnsi" w:hAnsiTheme="minorHAnsi" w:cstheme="minorHAnsi"/>
          <w:color w:val="000000"/>
        </w:rPr>
        <w:t xml:space="preserve">. </w:t>
      </w:r>
      <w:proofErr w:type="spellStart"/>
      <w:r w:rsidR="00792297">
        <w:rPr>
          <w:rFonts w:asciiTheme="minorHAnsi" w:hAnsiTheme="minorHAnsi" w:cstheme="minorHAnsi"/>
          <w:color w:val="000000"/>
        </w:rPr>
        <w:t>Mowvley</w:t>
      </w:r>
      <w:proofErr w:type="spellEnd"/>
      <w:r w:rsidR="00792297">
        <w:rPr>
          <w:rFonts w:asciiTheme="minorHAnsi" w:hAnsiTheme="minorHAnsi" w:cstheme="minorHAnsi"/>
          <w:color w:val="000000"/>
        </w:rPr>
        <w:t xml:space="preserve"> </w:t>
      </w:r>
      <w:r w:rsidR="00792297">
        <w:rPr>
          <w:rFonts w:asciiTheme="minorHAnsi" w:hAnsiTheme="minorHAnsi" w:cstheme="minorHAnsi"/>
          <w:color w:val="000000"/>
        </w:rPr>
        <w:lastRenderedPageBreak/>
        <w:t>reflects that at this point it seems as if it is more a case of 'hero-worship' on the part of Jonathan</w:t>
      </w:r>
      <w:r w:rsidR="00792297">
        <w:rPr>
          <w:rStyle w:val="FootnoteReference"/>
          <w:rFonts w:asciiTheme="minorHAnsi" w:hAnsiTheme="minorHAnsi" w:cstheme="minorHAnsi"/>
          <w:color w:val="000000"/>
        </w:rPr>
        <w:footnoteReference w:id="11"/>
      </w:r>
      <w:r w:rsidR="00792297">
        <w:rPr>
          <w:rFonts w:asciiTheme="minorHAnsi" w:hAnsiTheme="minorHAnsi" w:cstheme="minorHAnsi"/>
          <w:color w:val="000000"/>
        </w:rPr>
        <w:t xml:space="preserve"> while Jones suggests that it has political implications.</w:t>
      </w:r>
      <w:r w:rsidR="00792297">
        <w:rPr>
          <w:rStyle w:val="FootnoteReference"/>
          <w:rFonts w:asciiTheme="minorHAnsi" w:hAnsiTheme="minorHAnsi" w:cstheme="minorHAnsi"/>
          <w:color w:val="000000"/>
        </w:rPr>
        <w:footnoteReference w:id="12"/>
      </w:r>
    </w:p>
    <w:p w14:paraId="5E6B1D0D" w14:textId="00EC2F9E" w:rsidR="00792297" w:rsidRDefault="00792297"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 xml:space="preserve">[18:2] </w:t>
      </w:r>
      <w:r w:rsidR="009B10E7">
        <w:rPr>
          <w:rFonts w:asciiTheme="minorHAnsi" w:hAnsiTheme="minorHAnsi" w:cstheme="minorHAnsi"/>
          <w:color w:val="000000"/>
        </w:rPr>
        <w:t>Jones gives two suggestions as to why David might be taken into Saul's court.</w:t>
      </w:r>
      <w:r w:rsidR="009B10E7">
        <w:rPr>
          <w:rStyle w:val="FootnoteReference"/>
          <w:rFonts w:asciiTheme="minorHAnsi" w:hAnsiTheme="minorHAnsi" w:cstheme="minorHAnsi"/>
          <w:color w:val="000000"/>
        </w:rPr>
        <w:footnoteReference w:id="13"/>
      </w:r>
      <w:r w:rsidR="009B10E7">
        <w:rPr>
          <w:rFonts w:asciiTheme="minorHAnsi" w:hAnsiTheme="minorHAnsi" w:cstheme="minorHAnsi"/>
          <w:color w:val="000000"/>
        </w:rPr>
        <w:t xml:space="preserve"> While it might be to ensure that David's skills could be used to strengthen Saul's military power, it might also be in order to guard against an uprising led by David. If it is the latter case, then Saul's jealousy is already becoming apparent.</w:t>
      </w:r>
    </w:p>
    <w:p w14:paraId="0AF8D942" w14:textId="712A75ED" w:rsidR="0057093A" w:rsidRDefault="009B10E7"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 xml:space="preserve">[18: 3] Here again the word 'soul' appears, this time alongside </w:t>
      </w:r>
      <w:r w:rsidR="00A777D6">
        <w:rPr>
          <w:rFonts w:asciiTheme="minorHAnsi" w:hAnsiTheme="minorHAnsi" w:cstheme="minorHAnsi"/>
          <w:color w:val="000000"/>
        </w:rPr>
        <w:t>the establishment</w:t>
      </w:r>
      <w:r>
        <w:rPr>
          <w:rFonts w:asciiTheme="minorHAnsi" w:hAnsiTheme="minorHAnsi" w:cstheme="minorHAnsi"/>
          <w:color w:val="000000"/>
        </w:rPr>
        <w:t xml:space="preserve"> of a covenant</w:t>
      </w:r>
      <w:r w:rsidR="0057093A">
        <w:rPr>
          <w:rFonts w:asciiTheme="minorHAnsi" w:hAnsiTheme="minorHAnsi" w:cstheme="minorHAnsi"/>
          <w:color w:val="000000"/>
        </w:rPr>
        <w:t>.</w:t>
      </w:r>
      <w:r w:rsidR="00A777D6">
        <w:rPr>
          <w:rFonts w:asciiTheme="minorHAnsi" w:hAnsiTheme="minorHAnsi" w:cstheme="minorHAnsi"/>
          <w:color w:val="000000"/>
        </w:rPr>
        <w:t xml:space="preserve"> Jones notes that the word 'covenant' or 'pact' implies more than a 'bond of friendship'.</w:t>
      </w:r>
      <w:r w:rsidR="00A777D6">
        <w:rPr>
          <w:rStyle w:val="FootnoteReference"/>
          <w:rFonts w:asciiTheme="minorHAnsi" w:hAnsiTheme="minorHAnsi" w:cstheme="minorHAnsi"/>
          <w:color w:val="000000"/>
        </w:rPr>
        <w:footnoteReference w:id="14"/>
      </w:r>
      <w:r w:rsidR="00A777D6">
        <w:rPr>
          <w:rFonts w:asciiTheme="minorHAnsi" w:hAnsiTheme="minorHAnsi" w:cstheme="minorHAnsi"/>
          <w:color w:val="000000"/>
        </w:rPr>
        <w:t xml:space="preserve"> Fleming identifies the word 'pact' as being used alongside</w:t>
      </w:r>
      <w:r w:rsidR="002E2D0F">
        <w:rPr>
          <w:rFonts w:asciiTheme="minorHAnsi" w:hAnsiTheme="minorHAnsi" w:cstheme="minorHAnsi"/>
          <w:color w:val="000000"/>
        </w:rPr>
        <w:t xml:space="preserve"> a declaration</w:t>
      </w:r>
      <w:r w:rsidR="00A777D6">
        <w:rPr>
          <w:rFonts w:asciiTheme="minorHAnsi" w:hAnsiTheme="minorHAnsi" w:cstheme="minorHAnsi"/>
          <w:color w:val="000000"/>
        </w:rPr>
        <w:t xml:space="preserve"> 'love' in further accounts of interactions between  Jonathan and David (20:</w:t>
      </w:r>
      <w:r w:rsidR="002E2D0F">
        <w:rPr>
          <w:rFonts w:asciiTheme="minorHAnsi" w:hAnsiTheme="minorHAnsi" w:cstheme="minorHAnsi"/>
          <w:color w:val="000000"/>
        </w:rPr>
        <w:t>16, 23:18) supporting the argument that the term 'love' as used in Middle Eastern context can be understood as having political implications.</w:t>
      </w:r>
      <w:r w:rsidR="002E2D0F">
        <w:rPr>
          <w:rStyle w:val="FootnoteReference"/>
          <w:rFonts w:asciiTheme="minorHAnsi" w:hAnsiTheme="minorHAnsi" w:cstheme="minorHAnsi"/>
          <w:color w:val="000000"/>
        </w:rPr>
        <w:footnoteReference w:id="15"/>
      </w:r>
    </w:p>
    <w:p w14:paraId="7FEB7599" w14:textId="38CD68FD" w:rsidR="009B10E7" w:rsidRDefault="0057093A"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[18: 4] The covenant is then</w:t>
      </w:r>
      <w:r w:rsidR="00A777D6">
        <w:rPr>
          <w:rFonts w:asciiTheme="minorHAnsi" w:hAnsiTheme="minorHAnsi" w:cstheme="minorHAnsi"/>
          <w:color w:val="000000"/>
        </w:rPr>
        <w:t xml:space="preserve"> </w:t>
      </w:r>
      <w:r w:rsidR="009A7AF8">
        <w:rPr>
          <w:rFonts w:asciiTheme="minorHAnsi" w:hAnsiTheme="minorHAnsi" w:cstheme="minorHAnsi"/>
          <w:color w:val="000000"/>
        </w:rPr>
        <w:t xml:space="preserve">symbolised with the passing of gifts from Jonathan to David. </w:t>
      </w:r>
      <w:proofErr w:type="spellStart"/>
      <w:r w:rsidR="009A7AF8">
        <w:rPr>
          <w:rFonts w:asciiTheme="minorHAnsi" w:hAnsiTheme="minorHAnsi" w:cstheme="minorHAnsi"/>
          <w:color w:val="000000"/>
        </w:rPr>
        <w:t>Stansell</w:t>
      </w:r>
      <w:proofErr w:type="spellEnd"/>
      <w:r w:rsidR="009A7AF8">
        <w:rPr>
          <w:rFonts w:asciiTheme="minorHAnsi" w:hAnsiTheme="minorHAnsi" w:cstheme="minorHAnsi"/>
          <w:color w:val="000000"/>
        </w:rPr>
        <w:t xml:space="preserve"> perceives the gift-giving as marks of a ritual 'rooted firmly in the friendship and affection'. He is inclined to the view that any political meaning is secondary.</w:t>
      </w:r>
      <w:r w:rsidR="009A7AF8">
        <w:rPr>
          <w:rStyle w:val="FootnoteReference"/>
          <w:rFonts w:asciiTheme="minorHAnsi" w:hAnsiTheme="minorHAnsi" w:cstheme="minorHAnsi"/>
          <w:color w:val="000000"/>
        </w:rPr>
        <w:footnoteReference w:id="16"/>
      </w:r>
      <w:r w:rsidR="009A7AF8">
        <w:rPr>
          <w:rFonts w:asciiTheme="minorHAnsi" w:hAnsiTheme="minorHAnsi" w:cstheme="minorHAnsi"/>
          <w:color w:val="000000"/>
        </w:rPr>
        <w:t xml:space="preserve"> Jones, however, suggests that Jonathan 'was symbolically transferring the right of succession'</w:t>
      </w:r>
      <w:r w:rsidR="00CD753F">
        <w:rPr>
          <w:rFonts w:asciiTheme="minorHAnsi" w:hAnsiTheme="minorHAnsi" w:cstheme="minorHAnsi"/>
          <w:color w:val="000000"/>
        </w:rPr>
        <w:t>.</w:t>
      </w:r>
      <w:r w:rsidR="009A7AF8">
        <w:rPr>
          <w:rStyle w:val="FootnoteReference"/>
          <w:rFonts w:asciiTheme="minorHAnsi" w:hAnsiTheme="minorHAnsi" w:cstheme="minorHAnsi"/>
          <w:color w:val="000000"/>
        </w:rPr>
        <w:footnoteReference w:id="17"/>
      </w:r>
      <w:r w:rsidR="00CD753F">
        <w:rPr>
          <w:rFonts w:asciiTheme="minorHAnsi" w:hAnsiTheme="minorHAnsi" w:cstheme="minorHAnsi"/>
          <w:color w:val="000000"/>
        </w:rPr>
        <w:t xml:space="preserve"> </w:t>
      </w:r>
      <w:r w:rsidR="00314DD4">
        <w:rPr>
          <w:rFonts w:asciiTheme="minorHAnsi" w:hAnsiTheme="minorHAnsi" w:cstheme="minorHAnsi"/>
          <w:color w:val="000000"/>
        </w:rPr>
        <w:t>This is supported by Keren who</w:t>
      </w:r>
      <w:r w:rsidR="00CD753F">
        <w:rPr>
          <w:rFonts w:asciiTheme="minorHAnsi" w:hAnsiTheme="minorHAnsi" w:cstheme="minorHAnsi"/>
          <w:color w:val="000000"/>
        </w:rPr>
        <w:t xml:space="preserve"> identif</w:t>
      </w:r>
      <w:r w:rsidR="00314DD4">
        <w:rPr>
          <w:rFonts w:asciiTheme="minorHAnsi" w:hAnsiTheme="minorHAnsi" w:cstheme="minorHAnsi"/>
          <w:color w:val="000000"/>
        </w:rPr>
        <w:t>ies</w:t>
      </w:r>
      <w:r w:rsidR="00CD753F">
        <w:rPr>
          <w:rFonts w:asciiTheme="minorHAnsi" w:hAnsiTheme="minorHAnsi" w:cstheme="minorHAnsi"/>
          <w:color w:val="000000"/>
        </w:rPr>
        <w:t xml:space="preserve"> other</w:t>
      </w:r>
      <w:r w:rsidR="00314DD4">
        <w:rPr>
          <w:rFonts w:asciiTheme="minorHAnsi" w:hAnsiTheme="minorHAnsi" w:cstheme="minorHAnsi"/>
          <w:color w:val="000000"/>
        </w:rPr>
        <w:t xml:space="preserve"> biblical</w:t>
      </w:r>
      <w:r w:rsidR="00CD753F">
        <w:rPr>
          <w:rFonts w:asciiTheme="minorHAnsi" w:hAnsiTheme="minorHAnsi" w:cstheme="minorHAnsi"/>
          <w:color w:val="000000"/>
        </w:rPr>
        <w:t xml:space="preserve"> instances in which the </w:t>
      </w:r>
      <w:r w:rsidR="00BC0DE5">
        <w:rPr>
          <w:rFonts w:asciiTheme="minorHAnsi" w:hAnsiTheme="minorHAnsi" w:cstheme="minorHAnsi"/>
          <w:color w:val="000000"/>
        </w:rPr>
        <w:t>hand over of a robe</w:t>
      </w:r>
      <w:r w:rsidR="00CD753F">
        <w:rPr>
          <w:rFonts w:asciiTheme="minorHAnsi" w:hAnsiTheme="minorHAnsi" w:cstheme="minorHAnsi"/>
          <w:color w:val="000000"/>
        </w:rPr>
        <w:t xml:space="preserve"> symbolised the handing over of authority (Num.</w:t>
      </w:r>
      <w:r w:rsidR="00314DD4">
        <w:rPr>
          <w:rFonts w:asciiTheme="minorHAnsi" w:hAnsiTheme="minorHAnsi" w:cstheme="minorHAnsi"/>
          <w:color w:val="000000"/>
        </w:rPr>
        <w:t xml:space="preserve"> 20:26, 2 Kings 2:13).</w:t>
      </w:r>
      <w:r w:rsidR="00314DD4">
        <w:rPr>
          <w:rStyle w:val="FootnoteReference"/>
          <w:rFonts w:asciiTheme="minorHAnsi" w:hAnsiTheme="minorHAnsi" w:cstheme="minorHAnsi"/>
          <w:color w:val="000000"/>
        </w:rPr>
        <w:footnoteReference w:id="18"/>
      </w:r>
      <w:r w:rsidR="00314DD4">
        <w:rPr>
          <w:rFonts w:asciiTheme="minorHAnsi" w:hAnsiTheme="minorHAnsi" w:cstheme="minorHAnsi"/>
          <w:color w:val="000000"/>
        </w:rPr>
        <w:t xml:space="preserve"> </w:t>
      </w:r>
      <w:r w:rsidR="00A763A7">
        <w:rPr>
          <w:rFonts w:asciiTheme="minorHAnsi" w:hAnsiTheme="minorHAnsi" w:cstheme="minorHAnsi"/>
          <w:color w:val="000000"/>
        </w:rPr>
        <w:t>Keren</w:t>
      </w:r>
      <w:r w:rsidR="00BC0DE5">
        <w:rPr>
          <w:rFonts w:asciiTheme="minorHAnsi" w:hAnsiTheme="minorHAnsi" w:cstheme="minorHAnsi"/>
          <w:color w:val="000000"/>
        </w:rPr>
        <w:t xml:space="preserve"> also draws attention to the style of the narrative at this point. The giving of the robe is followed by the giving of armour and weapons, with the text identifying the latter as Jonathan's personal items, prefaced by 'his', implying a separate transaction of transferring military command to David.</w:t>
      </w:r>
      <w:r w:rsidR="00BC0DE5">
        <w:rPr>
          <w:rStyle w:val="FootnoteReference"/>
          <w:rFonts w:asciiTheme="minorHAnsi" w:hAnsiTheme="minorHAnsi" w:cstheme="minorHAnsi"/>
          <w:color w:val="000000"/>
        </w:rPr>
        <w:footnoteReference w:id="19"/>
      </w:r>
    </w:p>
    <w:p w14:paraId="1F8EFCA9" w14:textId="2ADD55BF" w:rsidR="00B14D6F" w:rsidRDefault="00C36B5F"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[18: 5] The narrative continues, identifying David as a successful warrior and emphasising his elevation to leadership. The narrator also notes that members of Saul's court 'approved' of David, possibly emphasising that the jealousy which David faced d</w:t>
      </w:r>
      <w:r w:rsidR="00B14D6F">
        <w:rPr>
          <w:rFonts w:asciiTheme="minorHAnsi" w:hAnsiTheme="minorHAnsi" w:cstheme="minorHAnsi"/>
          <w:color w:val="000000"/>
        </w:rPr>
        <w:t>i</w:t>
      </w:r>
      <w:r>
        <w:rPr>
          <w:rFonts w:asciiTheme="minorHAnsi" w:hAnsiTheme="minorHAnsi" w:cstheme="minorHAnsi"/>
          <w:color w:val="000000"/>
        </w:rPr>
        <w:t xml:space="preserve">d not </w:t>
      </w:r>
      <w:r w:rsidR="005D1916">
        <w:rPr>
          <w:rFonts w:asciiTheme="minorHAnsi" w:hAnsiTheme="minorHAnsi" w:cstheme="minorHAnsi"/>
          <w:color w:val="000000"/>
        </w:rPr>
        <w:t>arise as a result of his particular skills in battle but in his elevation as heir-apparent to the throne</w:t>
      </w:r>
      <w:r w:rsidR="00B14D6F">
        <w:rPr>
          <w:rFonts w:asciiTheme="minorHAnsi" w:hAnsiTheme="minorHAnsi" w:cstheme="minorHAnsi"/>
          <w:color w:val="000000"/>
        </w:rPr>
        <w:t>.</w:t>
      </w:r>
    </w:p>
    <w:p w14:paraId="116DDA81" w14:textId="77777777" w:rsidR="0096575E" w:rsidRDefault="00B14D6F"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[18: 6] The use of the word 'Philistine' in the singular implies that the celebration taking place happened immediately after the incident described in chapter 17, that is before David was given command of an army. There is no evidence to suggest that this should read as a plural</w:t>
      </w:r>
      <w:r w:rsidR="005D1916">
        <w:rPr>
          <w:rStyle w:val="FootnoteReference"/>
          <w:rFonts w:asciiTheme="minorHAnsi" w:hAnsiTheme="minorHAnsi" w:cstheme="minorHAnsi"/>
          <w:color w:val="000000"/>
        </w:rPr>
        <w:footnoteReference w:id="20"/>
      </w:r>
      <w:r>
        <w:rPr>
          <w:rFonts w:asciiTheme="minorHAnsi" w:hAnsiTheme="minorHAnsi" w:cstheme="minorHAnsi"/>
          <w:color w:val="000000"/>
        </w:rPr>
        <w:t xml:space="preserve"> or </w:t>
      </w:r>
      <w:r w:rsidR="005D1916">
        <w:rPr>
          <w:rFonts w:asciiTheme="minorHAnsi" w:hAnsiTheme="minorHAnsi" w:cstheme="minorHAnsi"/>
          <w:color w:val="000000"/>
        </w:rPr>
        <w:t xml:space="preserve">that </w:t>
      </w:r>
      <w:r>
        <w:rPr>
          <w:rFonts w:asciiTheme="minorHAnsi" w:hAnsiTheme="minorHAnsi" w:cstheme="minorHAnsi"/>
          <w:color w:val="000000"/>
        </w:rPr>
        <w:t>the exclusion of verses 1-5</w:t>
      </w:r>
      <w:r w:rsidR="005D1916">
        <w:rPr>
          <w:rFonts w:asciiTheme="minorHAnsi" w:hAnsiTheme="minorHAnsi" w:cstheme="minorHAnsi"/>
          <w:color w:val="000000"/>
        </w:rPr>
        <w:t xml:space="preserve"> from LXX is in order to make the narrative more consistent.</w:t>
      </w:r>
      <w:r w:rsidR="005D1916">
        <w:rPr>
          <w:rStyle w:val="FootnoteReference"/>
          <w:rFonts w:asciiTheme="minorHAnsi" w:hAnsiTheme="minorHAnsi" w:cstheme="minorHAnsi"/>
          <w:color w:val="000000"/>
        </w:rPr>
        <w:footnoteReference w:id="21"/>
      </w:r>
      <w:r w:rsidR="005D1916">
        <w:rPr>
          <w:rFonts w:asciiTheme="minorHAnsi" w:hAnsiTheme="minorHAnsi" w:cstheme="minorHAnsi"/>
          <w:color w:val="000000"/>
        </w:rPr>
        <w:t xml:space="preserve"> </w:t>
      </w:r>
      <w:r w:rsidR="00D30A35">
        <w:rPr>
          <w:rFonts w:asciiTheme="minorHAnsi" w:hAnsiTheme="minorHAnsi" w:cstheme="minorHAnsi"/>
          <w:color w:val="000000"/>
        </w:rPr>
        <w:t xml:space="preserve">As a preface to the increasing jealousy exhibited by Saul it seems reasonable to assume that David had </w:t>
      </w:r>
      <w:r w:rsidR="00D30A35">
        <w:rPr>
          <w:rFonts w:asciiTheme="minorHAnsi" w:hAnsiTheme="minorHAnsi" w:cstheme="minorHAnsi"/>
          <w:color w:val="000000"/>
        </w:rPr>
        <w:lastRenderedPageBreak/>
        <w:t xml:space="preserve">been established at court for a period of time at this point. Regardless of the timing, the celebration clearly intensifies the tension in the relationship between Saul and David. </w:t>
      </w:r>
    </w:p>
    <w:p w14:paraId="12954992" w14:textId="0AE59DE6" w:rsidR="0096575E" w:rsidRDefault="0096575E"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 xml:space="preserve">[18:7] </w:t>
      </w:r>
      <w:r w:rsidR="00D30A35">
        <w:rPr>
          <w:rFonts w:asciiTheme="minorHAnsi" w:hAnsiTheme="minorHAnsi" w:cstheme="minorHAnsi"/>
          <w:color w:val="000000"/>
        </w:rPr>
        <w:t xml:space="preserve">Jones points </w:t>
      </w:r>
      <w:r>
        <w:rPr>
          <w:rFonts w:asciiTheme="minorHAnsi" w:hAnsiTheme="minorHAnsi" w:cstheme="minorHAnsi"/>
          <w:color w:val="000000"/>
        </w:rPr>
        <w:t>to the song of the women as an indicator that David was positioned to become king.</w:t>
      </w:r>
      <w:r>
        <w:rPr>
          <w:rStyle w:val="FootnoteReference"/>
          <w:rFonts w:asciiTheme="minorHAnsi" w:hAnsiTheme="minorHAnsi" w:cstheme="minorHAnsi"/>
          <w:color w:val="000000"/>
        </w:rPr>
        <w:footnoteReference w:id="22"/>
      </w:r>
      <w:r>
        <w:rPr>
          <w:rFonts w:asciiTheme="minorHAnsi" w:hAnsiTheme="minorHAnsi" w:cstheme="minorHAnsi"/>
          <w:color w:val="000000"/>
        </w:rPr>
        <w:t xml:space="preserve"> With David clearly excelling over Saul in prowess, his potential status in the eyes of the people becomes unmistakeable. </w:t>
      </w:r>
    </w:p>
    <w:p w14:paraId="65A21A08" w14:textId="558193E7" w:rsidR="00C36B5F" w:rsidRDefault="0096575E"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 xml:space="preserve">[18: 8] </w:t>
      </w:r>
      <w:r w:rsidR="00FD31B3">
        <w:rPr>
          <w:rFonts w:asciiTheme="minorHAnsi" w:hAnsiTheme="minorHAnsi" w:cstheme="minorHAnsi"/>
          <w:color w:val="000000"/>
        </w:rPr>
        <w:t>In verse 8 Saul's anger becomes explicit as the potential kingship of David is expressed in his reflection on the song of the women. King notes that the phrase 'what more can he have but the kingdom?' only appears in the MT</w:t>
      </w:r>
      <w:r>
        <w:rPr>
          <w:rFonts w:asciiTheme="minorHAnsi" w:hAnsiTheme="minorHAnsi" w:cstheme="minorHAnsi"/>
          <w:color w:val="000000"/>
        </w:rPr>
        <w:t xml:space="preserve"> </w:t>
      </w:r>
      <w:r w:rsidR="00FD31B3">
        <w:rPr>
          <w:rFonts w:asciiTheme="minorHAnsi" w:hAnsiTheme="minorHAnsi" w:cstheme="minorHAnsi"/>
          <w:color w:val="000000"/>
        </w:rPr>
        <w:t>but</w:t>
      </w:r>
      <w:r>
        <w:rPr>
          <w:rFonts w:asciiTheme="minorHAnsi" w:hAnsiTheme="minorHAnsi" w:cstheme="minorHAnsi"/>
          <w:color w:val="000000"/>
        </w:rPr>
        <w:t xml:space="preserve"> </w:t>
      </w:r>
      <w:r w:rsidR="00FD31B3">
        <w:rPr>
          <w:rFonts w:asciiTheme="minorHAnsi" w:hAnsiTheme="minorHAnsi" w:cstheme="minorHAnsi"/>
          <w:color w:val="000000"/>
        </w:rPr>
        <w:t>'provides a very specific reason for Saul's aggressive mood'.</w:t>
      </w:r>
      <w:r w:rsidR="00FD31B3">
        <w:rPr>
          <w:rStyle w:val="FootnoteReference"/>
          <w:rFonts w:asciiTheme="minorHAnsi" w:hAnsiTheme="minorHAnsi" w:cstheme="minorHAnsi"/>
          <w:color w:val="000000"/>
        </w:rPr>
        <w:footnoteReference w:id="23"/>
      </w:r>
    </w:p>
    <w:p w14:paraId="72EB22CB" w14:textId="77777777" w:rsidR="00F00EBF" w:rsidRDefault="00FD31B3"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[18:9] At this point the reader is made clearly aware of the animosity which colours Saul's view of David</w:t>
      </w:r>
      <w:r w:rsidR="00F00EBF">
        <w:rPr>
          <w:rFonts w:asciiTheme="minorHAnsi" w:hAnsiTheme="minorHAnsi" w:cstheme="minorHAnsi"/>
          <w:color w:val="000000"/>
        </w:rPr>
        <w:t xml:space="preserve"> and that this is to be a key factor of the forthcoming narrative. The use of the words 'from that day on' indicate that further issues are to emerge as a result of the esteem in which David is held and the jealousy which that generates in Saul.</w:t>
      </w:r>
    </w:p>
    <w:p w14:paraId="5AB2CC98" w14:textId="77777777" w:rsidR="00F00EBF" w:rsidRDefault="00F00EBF" w:rsidP="00FA4D81">
      <w:pPr>
        <w:pStyle w:val="first-line-none"/>
        <w:shd w:val="clear" w:color="auto" w:fill="FFFFFF"/>
        <w:spacing w:before="0" w:beforeAutospacing="0" w:after="150" w:afterAutospacing="0" w:line="276" w:lineRule="auto"/>
        <w:rPr>
          <w:rFonts w:asciiTheme="minorHAnsi" w:hAnsiTheme="minorHAnsi" w:cstheme="minorHAnsi"/>
          <w:b/>
          <w:color w:val="000000"/>
        </w:rPr>
      </w:pPr>
      <w:r>
        <w:rPr>
          <w:rFonts w:asciiTheme="minorHAnsi" w:hAnsiTheme="minorHAnsi" w:cstheme="minorHAnsi"/>
          <w:b/>
          <w:color w:val="000000"/>
        </w:rPr>
        <w:t>Conclusion</w:t>
      </w:r>
    </w:p>
    <w:p w14:paraId="464EF90A" w14:textId="77777777" w:rsidR="00EA3E59" w:rsidRDefault="00F00EBF"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Considering this passage from a socio-scientific perspective</w:t>
      </w:r>
      <w:r w:rsidR="007E6145">
        <w:rPr>
          <w:rFonts w:asciiTheme="minorHAnsi" w:hAnsiTheme="minorHAnsi" w:cstheme="minorHAnsi"/>
          <w:color w:val="000000"/>
        </w:rPr>
        <w:t xml:space="preserve"> raises questions both about the nature of friendship as identified in the relationship between Jonathan and David and about the political power relationships emerging between Saul and David. The latter relationship, particularly, is set to define the ongoing account of the rise of David as King and as appointed by YHWH. </w:t>
      </w:r>
      <w:r w:rsidR="002647F5">
        <w:rPr>
          <w:rFonts w:asciiTheme="minorHAnsi" w:hAnsiTheme="minorHAnsi" w:cstheme="minorHAnsi"/>
          <w:color w:val="000000"/>
        </w:rPr>
        <w:t xml:space="preserve">While the relationships can be </w:t>
      </w:r>
      <w:r w:rsidR="00444369">
        <w:rPr>
          <w:rFonts w:asciiTheme="minorHAnsi" w:hAnsiTheme="minorHAnsi" w:cstheme="minorHAnsi"/>
          <w:color w:val="000000"/>
        </w:rPr>
        <w:t xml:space="preserve">considered separately, the use of sociological models enable the underlying tensions to be viewed </w:t>
      </w:r>
      <w:r w:rsidR="003334B7">
        <w:rPr>
          <w:rFonts w:asciiTheme="minorHAnsi" w:hAnsiTheme="minorHAnsi" w:cstheme="minorHAnsi"/>
          <w:color w:val="000000"/>
        </w:rPr>
        <w:t>i</w:t>
      </w:r>
      <w:r w:rsidR="00EA3E59">
        <w:rPr>
          <w:rFonts w:asciiTheme="minorHAnsi" w:hAnsiTheme="minorHAnsi" w:cstheme="minorHAnsi"/>
          <w:color w:val="000000"/>
        </w:rPr>
        <w:t>n conjunction with the narrative as a whole and its seeming intention to validate the rise of David as king</w:t>
      </w:r>
      <w:r w:rsidR="00444369">
        <w:rPr>
          <w:rFonts w:asciiTheme="minorHAnsi" w:hAnsiTheme="minorHAnsi" w:cstheme="minorHAnsi"/>
          <w:color w:val="000000"/>
        </w:rPr>
        <w:t xml:space="preserve">. </w:t>
      </w:r>
    </w:p>
    <w:p w14:paraId="0DB257FB" w14:textId="00BD338A" w:rsidR="00247CFA" w:rsidRDefault="00EA3E59"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proofErr w:type="spellStart"/>
      <w:r>
        <w:rPr>
          <w:rFonts w:asciiTheme="minorHAnsi" w:hAnsiTheme="minorHAnsi" w:cstheme="minorHAnsi"/>
          <w:color w:val="000000"/>
        </w:rPr>
        <w:t>Stansell</w:t>
      </w:r>
      <w:proofErr w:type="spellEnd"/>
      <w:r>
        <w:rPr>
          <w:rFonts w:asciiTheme="minorHAnsi" w:hAnsiTheme="minorHAnsi" w:cstheme="minorHAnsi"/>
          <w:color w:val="000000"/>
        </w:rPr>
        <w:t xml:space="preserve"> explores the David-Jonathan friendship as part of a triangular relationship between Saul, Jonathan and David which brings into play issues of kinship and politics alongside the nature of friendship</w:t>
      </w:r>
      <w:r w:rsidR="00BD0559">
        <w:rPr>
          <w:rFonts w:asciiTheme="minorHAnsi" w:hAnsiTheme="minorHAnsi" w:cstheme="minorHAnsi"/>
          <w:color w:val="000000"/>
        </w:rPr>
        <w:t xml:space="preserve"> in the personal sense</w:t>
      </w:r>
      <w:r>
        <w:rPr>
          <w:rFonts w:asciiTheme="minorHAnsi" w:hAnsiTheme="minorHAnsi" w:cstheme="minorHAnsi"/>
          <w:color w:val="000000"/>
        </w:rPr>
        <w:t>.</w:t>
      </w:r>
      <w:r>
        <w:rPr>
          <w:rStyle w:val="FootnoteReference"/>
          <w:rFonts w:asciiTheme="minorHAnsi" w:hAnsiTheme="minorHAnsi" w:cstheme="minorHAnsi"/>
          <w:color w:val="000000"/>
        </w:rPr>
        <w:footnoteReference w:id="24"/>
      </w:r>
      <w:r w:rsidR="00BD0559">
        <w:rPr>
          <w:rFonts w:asciiTheme="minorHAnsi" w:hAnsiTheme="minorHAnsi" w:cstheme="minorHAnsi"/>
          <w:color w:val="000000"/>
        </w:rPr>
        <w:t xml:space="preserve"> While this can provide a means of </w:t>
      </w:r>
      <w:r w:rsidR="00A82FA9">
        <w:rPr>
          <w:rFonts w:asciiTheme="minorHAnsi" w:hAnsiTheme="minorHAnsi" w:cstheme="minorHAnsi"/>
          <w:color w:val="000000"/>
        </w:rPr>
        <w:t xml:space="preserve">reflecting on the complexity of the unfolding narrative it </w:t>
      </w:r>
      <w:r w:rsidR="00F6465A">
        <w:rPr>
          <w:rFonts w:asciiTheme="minorHAnsi" w:hAnsiTheme="minorHAnsi" w:cstheme="minorHAnsi"/>
          <w:color w:val="000000"/>
        </w:rPr>
        <w:t xml:space="preserve">may not take fully into account the time and purpose of the written text. </w:t>
      </w:r>
      <w:r w:rsidR="00247CFA">
        <w:rPr>
          <w:rFonts w:asciiTheme="minorHAnsi" w:hAnsiTheme="minorHAnsi" w:cstheme="minorHAnsi"/>
          <w:color w:val="000000"/>
        </w:rPr>
        <w:t xml:space="preserve">As </w:t>
      </w:r>
      <w:proofErr w:type="spellStart"/>
      <w:r w:rsidR="00247CFA">
        <w:rPr>
          <w:rFonts w:asciiTheme="minorHAnsi" w:hAnsiTheme="minorHAnsi" w:cstheme="minorHAnsi"/>
          <w:color w:val="000000"/>
        </w:rPr>
        <w:t>Mowvley</w:t>
      </w:r>
      <w:proofErr w:type="spellEnd"/>
      <w:r w:rsidR="00247CFA">
        <w:rPr>
          <w:rFonts w:asciiTheme="minorHAnsi" w:hAnsiTheme="minorHAnsi" w:cstheme="minorHAnsi"/>
          <w:color w:val="000000"/>
        </w:rPr>
        <w:t xml:space="preserve"> identifies, the writer(s) were attempting to explain the relationship of God to his chosen people, following the destruction of the temple and the exile to Babylon.</w:t>
      </w:r>
      <w:r w:rsidR="00247CFA">
        <w:rPr>
          <w:rStyle w:val="FootnoteReference"/>
          <w:rFonts w:asciiTheme="minorHAnsi" w:hAnsiTheme="minorHAnsi" w:cstheme="minorHAnsi"/>
          <w:color w:val="000000"/>
        </w:rPr>
        <w:footnoteReference w:id="25"/>
      </w:r>
      <w:r w:rsidR="00247CFA">
        <w:rPr>
          <w:rFonts w:asciiTheme="minorHAnsi" w:hAnsiTheme="minorHAnsi" w:cstheme="minorHAnsi"/>
          <w:color w:val="000000"/>
        </w:rPr>
        <w:t xml:space="preserve"> This in itself would allow for </w:t>
      </w:r>
      <w:r w:rsidR="00CC2AF9">
        <w:rPr>
          <w:rFonts w:asciiTheme="minorHAnsi" w:hAnsiTheme="minorHAnsi" w:cstheme="minorHAnsi"/>
          <w:color w:val="000000"/>
        </w:rPr>
        <w:t>the narrative to develop in a particular direction.</w:t>
      </w:r>
    </w:p>
    <w:p w14:paraId="313C41A6" w14:textId="77777777" w:rsidR="00CC2AF9" w:rsidRDefault="00CC2AF9"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 xml:space="preserve">In addition, as </w:t>
      </w:r>
      <w:proofErr w:type="spellStart"/>
      <w:r w:rsidR="00F6465A">
        <w:rPr>
          <w:rFonts w:asciiTheme="minorHAnsi" w:hAnsiTheme="minorHAnsi" w:cstheme="minorHAnsi"/>
          <w:color w:val="000000"/>
        </w:rPr>
        <w:t>Whitelam</w:t>
      </w:r>
      <w:proofErr w:type="spellEnd"/>
      <w:r w:rsidR="00F6465A">
        <w:rPr>
          <w:rFonts w:asciiTheme="minorHAnsi" w:hAnsiTheme="minorHAnsi" w:cstheme="minorHAnsi"/>
          <w:color w:val="000000"/>
        </w:rPr>
        <w:t xml:space="preserve"> </w:t>
      </w:r>
      <w:r w:rsidR="009B3195">
        <w:rPr>
          <w:rFonts w:asciiTheme="minorHAnsi" w:hAnsiTheme="minorHAnsi" w:cstheme="minorHAnsi"/>
          <w:color w:val="000000"/>
        </w:rPr>
        <w:t>notes</w:t>
      </w:r>
      <w:r>
        <w:rPr>
          <w:rFonts w:asciiTheme="minorHAnsi" w:hAnsiTheme="minorHAnsi" w:cstheme="minorHAnsi"/>
          <w:color w:val="000000"/>
        </w:rPr>
        <w:t xml:space="preserve">, </w:t>
      </w:r>
      <w:r w:rsidR="00F6465A">
        <w:rPr>
          <w:rFonts w:asciiTheme="minorHAnsi" w:hAnsiTheme="minorHAnsi" w:cstheme="minorHAnsi"/>
          <w:color w:val="000000"/>
        </w:rPr>
        <w:t>the books of Samuel can be understood as 'skilful and serious literature'.</w:t>
      </w:r>
      <w:r w:rsidR="00F6465A">
        <w:rPr>
          <w:rStyle w:val="FootnoteReference"/>
          <w:rFonts w:asciiTheme="minorHAnsi" w:hAnsiTheme="minorHAnsi" w:cstheme="minorHAnsi"/>
          <w:color w:val="000000"/>
        </w:rPr>
        <w:footnoteReference w:id="26"/>
      </w:r>
      <w:r w:rsidR="009B3195">
        <w:rPr>
          <w:rFonts w:asciiTheme="minorHAnsi" w:hAnsiTheme="minorHAnsi" w:cstheme="minorHAnsi"/>
          <w:color w:val="000000"/>
        </w:rPr>
        <w:t xml:space="preserve"> The juxtaposition of the Jonathan and David encounter and the celebratory return of Saul and David with its hints of potential jealousy may be viewed as a literary device, a storyteller's mechanism for engaging the reader.</w:t>
      </w:r>
      <w:r w:rsidR="00247CFA">
        <w:rPr>
          <w:rFonts w:asciiTheme="minorHAnsi" w:hAnsiTheme="minorHAnsi" w:cstheme="minorHAnsi"/>
          <w:color w:val="000000"/>
        </w:rPr>
        <w:t xml:space="preserve"> </w:t>
      </w:r>
      <w:r w:rsidR="00AF65FD">
        <w:rPr>
          <w:rFonts w:asciiTheme="minorHAnsi" w:hAnsiTheme="minorHAnsi" w:cstheme="minorHAnsi"/>
          <w:color w:val="000000"/>
        </w:rPr>
        <w:t>Given that it is generally accepted that the final form of the narrative was not written until after the exilic period</w:t>
      </w:r>
      <w:r w:rsidR="00AF65FD">
        <w:rPr>
          <w:rStyle w:val="FootnoteReference"/>
          <w:rFonts w:asciiTheme="minorHAnsi" w:hAnsiTheme="minorHAnsi" w:cstheme="minorHAnsi"/>
          <w:color w:val="000000"/>
        </w:rPr>
        <w:footnoteReference w:id="27"/>
      </w:r>
      <w:r w:rsidR="00AF65FD">
        <w:rPr>
          <w:rFonts w:asciiTheme="minorHAnsi" w:hAnsiTheme="minorHAnsi" w:cstheme="minorHAnsi"/>
          <w:color w:val="000000"/>
        </w:rPr>
        <w:t xml:space="preserve"> there is also the question of whether the </w:t>
      </w:r>
      <w:r w:rsidR="00AF65FD">
        <w:rPr>
          <w:rFonts w:asciiTheme="minorHAnsi" w:hAnsiTheme="minorHAnsi" w:cstheme="minorHAnsi"/>
          <w:color w:val="000000"/>
        </w:rPr>
        <w:lastRenderedPageBreak/>
        <w:t>social relationships portrayed accurately reflect society of the time. The mores of the time of writing may have influenced the portrayal of both friendship and jealousy in the narrative.</w:t>
      </w:r>
      <w:r>
        <w:rPr>
          <w:rFonts w:asciiTheme="minorHAnsi" w:hAnsiTheme="minorHAnsi" w:cstheme="minorHAnsi"/>
          <w:color w:val="000000"/>
        </w:rPr>
        <w:t xml:space="preserve"> </w:t>
      </w:r>
    </w:p>
    <w:p w14:paraId="48894335" w14:textId="22F102E0" w:rsidR="009B3195" w:rsidRDefault="00CC2AF9"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 xml:space="preserve">In approaching the text from a social-scientific position there is inevitably a range of perspectives from which models can be drawn. The relationship between Jonathan and David has been frequently interpreted as homosexual or homoerotic. </w:t>
      </w:r>
      <w:r w:rsidR="00E01023">
        <w:rPr>
          <w:rFonts w:asciiTheme="minorHAnsi" w:hAnsiTheme="minorHAnsi" w:cstheme="minorHAnsi"/>
          <w:color w:val="000000"/>
        </w:rPr>
        <w:t>Both Keren</w:t>
      </w:r>
      <w:r w:rsidR="00E01023">
        <w:rPr>
          <w:rStyle w:val="FootnoteReference"/>
          <w:rFonts w:asciiTheme="minorHAnsi" w:hAnsiTheme="minorHAnsi" w:cstheme="minorHAnsi"/>
          <w:color w:val="000000"/>
        </w:rPr>
        <w:footnoteReference w:id="28"/>
      </w:r>
      <w:r w:rsidR="00E01023">
        <w:rPr>
          <w:rFonts w:asciiTheme="minorHAnsi" w:hAnsiTheme="minorHAnsi" w:cstheme="minorHAnsi"/>
          <w:color w:val="000000"/>
        </w:rPr>
        <w:t xml:space="preserve"> and </w:t>
      </w:r>
      <w:proofErr w:type="spellStart"/>
      <w:r w:rsidR="00E01023">
        <w:rPr>
          <w:rFonts w:asciiTheme="minorHAnsi" w:hAnsiTheme="minorHAnsi" w:cstheme="minorHAnsi"/>
          <w:color w:val="000000"/>
        </w:rPr>
        <w:t>Stansell</w:t>
      </w:r>
      <w:proofErr w:type="spellEnd"/>
      <w:r w:rsidR="00E01023">
        <w:rPr>
          <w:rStyle w:val="FootnoteReference"/>
          <w:rFonts w:asciiTheme="minorHAnsi" w:hAnsiTheme="minorHAnsi" w:cstheme="minorHAnsi"/>
          <w:color w:val="000000"/>
        </w:rPr>
        <w:footnoteReference w:id="29"/>
      </w:r>
      <w:r w:rsidR="00E01023">
        <w:rPr>
          <w:rFonts w:asciiTheme="minorHAnsi" w:hAnsiTheme="minorHAnsi" w:cstheme="minorHAnsi"/>
          <w:color w:val="000000"/>
        </w:rPr>
        <w:t>, however feel that it can be viewed as a broader and more complex relationship</w:t>
      </w:r>
      <w:r w:rsidR="002E2BB9">
        <w:rPr>
          <w:rFonts w:asciiTheme="minorHAnsi" w:hAnsiTheme="minorHAnsi" w:cstheme="minorHAnsi"/>
          <w:color w:val="000000"/>
        </w:rPr>
        <w:t>, particularly when viewed alongside the relationships of Saul with both Jonathan and David</w:t>
      </w:r>
      <w:r w:rsidR="002B1934">
        <w:rPr>
          <w:rFonts w:asciiTheme="minorHAnsi" w:hAnsiTheme="minorHAnsi" w:cstheme="minorHAnsi"/>
          <w:color w:val="000000"/>
        </w:rPr>
        <w:t>, with issues of kinship and kingly succession underlying the overt friendship between the two</w:t>
      </w:r>
      <w:r w:rsidR="002E2BB9">
        <w:rPr>
          <w:rFonts w:asciiTheme="minorHAnsi" w:hAnsiTheme="minorHAnsi" w:cstheme="minorHAnsi"/>
          <w:color w:val="000000"/>
        </w:rPr>
        <w:t>.</w:t>
      </w:r>
    </w:p>
    <w:p w14:paraId="3D3830CB" w14:textId="1FEF7BA9" w:rsidR="002E2BB9" w:rsidRDefault="002E2BB9"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 xml:space="preserve">In the passage explored here, the interspersing of the account of Jonathan </w:t>
      </w:r>
      <w:r w:rsidR="0057093A">
        <w:rPr>
          <w:rFonts w:asciiTheme="minorHAnsi" w:hAnsiTheme="minorHAnsi" w:cstheme="minorHAnsi"/>
          <w:color w:val="000000"/>
        </w:rPr>
        <w:t xml:space="preserve">making a covenant with David together with the account of Saul's anger following the celebration suggests that a socio-political approach to examining the friendship and the jealousy can enable effective reflection and analysis. </w:t>
      </w:r>
      <w:r w:rsidR="002B1934">
        <w:rPr>
          <w:rFonts w:asciiTheme="minorHAnsi" w:hAnsiTheme="minorHAnsi" w:cstheme="minorHAnsi"/>
          <w:color w:val="000000"/>
        </w:rPr>
        <w:t xml:space="preserve">However, the complexity of the context in which the narrative is played out cannot be ignored and </w:t>
      </w:r>
      <w:r w:rsidR="00AF1DB3">
        <w:rPr>
          <w:rFonts w:asciiTheme="minorHAnsi" w:hAnsiTheme="minorHAnsi" w:cstheme="minorHAnsi"/>
          <w:color w:val="000000"/>
        </w:rPr>
        <w:t xml:space="preserve">the use of </w:t>
      </w:r>
      <w:r w:rsidR="002B1934">
        <w:rPr>
          <w:rFonts w:asciiTheme="minorHAnsi" w:hAnsiTheme="minorHAnsi" w:cstheme="minorHAnsi"/>
          <w:color w:val="000000"/>
        </w:rPr>
        <w:t xml:space="preserve">historical and literary criticism </w:t>
      </w:r>
      <w:r w:rsidR="00AF1DB3">
        <w:rPr>
          <w:rFonts w:asciiTheme="minorHAnsi" w:hAnsiTheme="minorHAnsi" w:cstheme="minorHAnsi"/>
          <w:color w:val="000000"/>
        </w:rPr>
        <w:t xml:space="preserve">alongside a social-scientific approach </w:t>
      </w:r>
      <w:r w:rsidR="002B1934">
        <w:rPr>
          <w:rFonts w:asciiTheme="minorHAnsi" w:hAnsiTheme="minorHAnsi" w:cstheme="minorHAnsi"/>
          <w:color w:val="000000"/>
        </w:rPr>
        <w:t xml:space="preserve">could </w:t>
      </w:r>
      <w:r w:rsidR="00AF1DB3">
        <w:rPr>
          <w:rFonts w:asciiTheme="minorHAnsi" w:hAnsiTheme="minorHAnsi" w:cstheme="minorHAnsi"/>
          <w:color w:val="000000"/>
        </w:rPr>
        <w:t>lead to</w:t>
      </w:r>
      <w:r w:rsidR="002B1934">
        <w:rPr>
          <w:rFonts w:asciiTheme="minorHAnsi" w:hAnsiTheme="minorHAnsi" w:cstheme="minorHAnsi"/>
          <w:color w:val="000000"/>
        </w:rPr>
        <w:t xml:space="preserve"> a more thorough exegesis. </w:t>
      </w:r>
    </w:p>
    <w:p w14:paraId="5997B153" w14:textId="1C0D8D57" w:rsidR="00FA4D81" w:rsidRDefault="00FA4D81"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(14</w:t>
      </w:r>
      <w:r w:rsidR="00AF1DB3">
        <w:rPr>
          <w:rFonts w:asciiTheme="minorHAnsi" w:hAnsiTheme="minorHAnsi" w:cstheme="minorHAnsi"/>
          <w:color w:val="000000"/>
        </w:rPr>
        <w:t>71</w:t>
      </w:r>
      <w:r>
        <w:rPr>
          <w:rFonts w:asciiTheme="minorHAnsi" w:hAnsiTheme="minorHAnsi" w:cstheme="minorHAnsi"/>
          <w:color w:val="000000"/>
        </w:rPr>
        <w:t xml:space="preserve"> words)</w:t>
      </w:r>
    </w:p>
    <w:p w14:paraId="147E4CBD" w14:textId="4EF3F4E2" w:rsidR="00FA4D81" w:rsidRDefault="00FA4D81" w:rsidP="00FA4D81">
      <w:pPr>
        <w:pStyle w:val="first-line-none"/>
        <w:shd w:val="clear" w:color="auto" w:fill="FFFFFF"/>
        <w:spacing w:before="0" w:beforeAutospacing="0" w:after="150" w:afterAutospacing="0" w:line="276" w:lineRule="auto"/>
        <w:rPr>
          <w:rFonts w:asciiTheme="minorHAnsi" w:hAnsiTheme="minorHAnsi" w:cstheme="minorHAnsi"/>
          <w:b/>
          <w:color w:val="000000"/>
        </w:rPr>
      </w:pPr>
      <w:r>
        <w:rPr>
          <w:rFonts w:asciiTheme="minorHAnsi" w:hAnsiTheme="minorHAnsi" w:cstheme="minorHAnsi"/>
          <w:b/>
          <w:color w:val="000000"/>
        </w:rPr>
        <w:t>Bibliography</w:t>
      </w:r>
    </w:p>
    <w:p w14:paraId="449DA142" w14:textId="6E40374B" w:rsidR="00AF1DB3" w:rsidRDefault="00AF1DB3"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sidRPr="00AF1DB3">
        <w:rPr>
          <w:rFonts w:asciiTheme="minorHAnsi" w:hAnsiTheme="minorHAnsi" w:cstheme="minorHAnsi"/>
          <w:color w:val="000000"/>
        </w:rPr>
        <w:t>Barton, John</w:t>
      </w:r>
      <w:r>
        <w:rPr>
          <w:rFonts w:asciiTheme="minorHAnsi" w:hAnsiTheme="minorHAnsi" w:cstheme="minorHAnsi"/>
          <w:color w:val="000000"/>
        </w:rPr>
        <w:t>, (ed)</w:t>
      </w:r>
      <w:r>
        <w:rPr>
          <w:rFonts w:asciiTheme="minorHAnsi" w:hAnsiTheme="minorHAnsi" w:cstheme="minorHAnsi"/>
          <w:i/>
          <w:color w:val="000000"/>
        </w:rPr>
        <w:t xml:space="preserve"> The Cambridge Companion to Biblical Interpretation </w:t>
      </w:r>
      <w:r>
        <w:rPr>
          <w:rFonts w:asciiTheme="minorHAnsi" w:hAnsiTheme="minorHAnsi" w:cstheme="minorHAnsi"/>
          <w:color w:val="000000"/>
        </w:rPr>
        <w:t>(Cambridge: Cambridge University Press, 1998).</w:t>
      </w:r>
    </w:p>
    <w:p w14:paraId="7677B7BC" w14:textId="30961BAD" w:rsidR="00AF1DB3" w:rsidRDefault="00AF1DB3"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r>
        <w:rPr>
          <w:rFonts w:asciiTheme="minorHAnsi" w:hAnsiTheme="minorHAnsi" w:cstheme="minorHAnsi"/>
          <w:color w:val="000000"/>
        </w:rPr>
        <w:t xml:space="preserve">Barton, John and </w:t>
      </w:r>
      <w:proofErr w:type="spellStart"/>
      <w:r>
        <w:rPr>
          <w:rFonts w:asciiTheme="minorHAnsi" w:hAnsiTheme="minorHAnsi" w:cstheme="minorHAnsi"/>
          <w:color w:val="000000"/>
        </w:rPr>
        <w:t>Muddiman</w:t>
      </w:r>
      <w:proofErr w:type="spellEnd"/>
      <w:r>
        <w:rPr>
          <w:rFonts w:asciiTheme="minorHAnsi" w:hAnsiTheme="minorHAnsi" w:cstheme="minorHAnsi"/>
          <w:color w:val="000000"/>
        </w:rPr>
        <w:t xml:space="preserve">, John, (eds) </w:t>
      </w:r>
      <w:r>
        <w:rPr>
          <w:rFonts w:asciiTheme="minorHAnsi" w:hAnsiTheme="minorHAnsi" w:cstheme="minorHAnsi"/>
          <w:i/>
          <w:color w:val="000000"/>
        </w:rPr>
        <w:t xml:space="preserve">The Oxford Bible Commentary </w:t>
      </w:r>
      <w:r>
        <w:rPr>
          <w:rFonts w:asciiTheme="minorHAnsi" w:hAnsiTheme="minorHAnsi" w:cstheme="minorHAnsi"/>
          <w:color w:val="000000"/>
        </w:rPr>
        <w:t>(Oxford: Oxford University Press, paperback edition 2007).</w:t>
      </w:r>
    </w:p>
    <w:p w14:paraId="09B09730" w14:textId="6EEBAD42" w:rsidR="00AF1DB3" w:rsidRDefault="00AF1DB3" w:rsidP="00FA4D81">
      <w:pPr>
        <w:pStyle w:val="first-line-none"/>
        <w:shd w:val="clear" w:color="auto" w:fill="FFFFFF"/>
        <w:spacing w:before="0" w:beforeAutospacing="0" w:after="150" w:afterAutospacing="0" w:line="276" w:lineRule="auto"/>
        <w:rPr>
          <w:rFonts w:asciiTheme="minorHAnsi" w:hAnsiTheme="minorHAnsi" w:cstheme="minorHAnsi"/>
          <w:lang w:bidi="he-IL"/>
        </w:rPr>
      </w:pPr>
      <w:r w:rsidRPr="00AF1DB3">
        <w:rPr>
          <w:rFonts w:asciiTheme="minorHAnsi" w:hAnsiTheme="minorHAnsi" w:cstheme="minorHAnsi"/>
          <w:color w:val="000000"/>
        </w:rPr>
        <w:t>Fleming, Erin E. '</w:t>
      </w:r>
      <w:r w:rsidRPr="00AF1DB3">
        <w:rPr>
          <w:rFonts w:asciiTheme="minorHAnsi" w:hAnsiTheme="minorHAnsi" w:cstheme="minorHAnsi"/>
        </w:rPr>
        <w:t xml:space="preserve">'Political Favouritism in Saul's Court: </w:t>
      </w:r>
      <w:proofErr w:type="spellStart"/>
      <w:r w:rsidRPr="00AF1DB3">
        <w:rPr>
          <w:rFonts w:asciiTheme="minorHAnsi" w:hAnsiTheme="minorHAnsi" w:cstheme="minorHAnsi"/>
          <w:lang w:bidi="he-IL"/>
        </w:rPr>
        <w:t>נעם</w:t>
      </w:r>
      <w:proofErr w:type="spellEnd"/>
      <w:r w:rsidRPr="00AF1DB3">
        <w:rPr>
          <w:rFonts w:asciiTheme="minorHAnsi" w:hAnsiTheme="minorHAnsi" w:cstheme="minorHAnsi"/>
          <w:lang w:bidi="he-IL"/>
        </w:rPr>
        <w:t xml:space="preserve"> ,</w:t>
      </w:r>
      <w:proofErr w:type="spellStart"/>
      <w:r w:rsidRPr="00AF1DB3">
        <w:rPr>
          <w:rFonts w:asciiTheme="minorHAnsi" w:hAnsiTheme="minorHAnsi" w:cstheme="minorHAnsi"/>
          <w:lang w:bidi="he-IL"/>
        </w:rPr>
        <w:t>חפץ</w:t>
      </w:r>
      <w:proofErr w:type="spellEnd"/>
      <w:r w:rsidRPr="00AF1DB3">
        <w:rPr>
          <w:rFonts w:asciiTheme="minorHAnsi" w:hAnsiTheme="minorHAnsi" w:cstheme="minorHAnsi"/>
          <w:lang w:bidi="he-IL"/>
        </w:rPr>
        <w:t xml:space="preserve">, and the Relationship between David and Jonathan' </w:t>
      </w:r>
      <w:r w:rsidRPr="00AF1DB3">
        <w:rPr>
          <w:rFonts w:asciiTheme="minorHAnsi" w:hAnsiTheme="minorHAnsi" w:cstheme="minorHAnsi"/>
          <w:i/>
          <w:lang w:bidi="he-IL"/>
        </w:rPr>
        <w:t>Journal of Biblical Literature,</w:t>
      </w:r>
      <w:r w:rsidRPr="00AF1DB3">
        <w:rPr>
          <w:rFonts w:asciiTheme="minorHAnsi" w:hAnsiTheme="minorHAnsi" w:cstheme="minorHAnsi"/>
          <w:lang w:bidi="he-IL"/>
        </w:rPr>
        <w:t xml:space="preserve"> 135 No1 (2016) pp19-34.</w:t>
      </w:r>
    </w:p>
    <w:p w14:paraId="6262B6F5" w14:textId="20CD3FC9" w:rsidR="00AF1DB3" w:rsidRDefault="00AF1DB3" w:rsidP="00FA4D81">
      <w:pPr>
        <w:pStyle w:val="first-line-none"/>
        <w:shd w:val="clear" w:color="auto" w:fill="FFFFFF"/>
        <w:spacing w:before="0" w:beforeAutospacing="0" w:after="150" w:afterAutospacing="0" w:line="276" w:lineRule="auto"/>
        <w:rPr>
          <w:rFonts w:asciiTheme="minorHAnsi" w:hAnsiTheme="minorHAnsi" w:cstheme="minorHAnsi"/>
        </w:rPr>
      </w:pPr>
      <w:r>
        <w:rPr>
          <w:rFonts w:asciiTheme="minorHAnsi" w:hAnsiTheme="minorHAnsi" w:cstheme="minorHAnsi"/>
          <w:lang w:bidi="he-IL"/>
        </w:rPr>
        <w:t xml:space="preserve">Keren, </w:t>
      </w:r>
      <w:proofErr w:type="spellStart"/>
      <w:r>
        <w:rPr>
          <w:rFonts w:asciiTheme="minorHAnsi" w:hAnsiTheme="minorHAnsi" w:cstheme="minorHAnsi"/>
          <w:lang w:bidi="he-IL"/>
        </w:rPr>
        <w:t>Orly</w:t>
      </w:r>
      <w:proofErr w:type="spellEnd"/>
      <w:r w:rsidR="00B110F4">
        <w:rPr>
          <w:rFonts w:asciiTheme="minorHAnsi" w:hAnsiTheme="minorHAnsi" w:cstheme="minorHAnsi"/>
          <w:lang w:bidi="he-IL"/>
        </w:rPr>
        <w:t xml:space="preserve">, </w:t>
      </w:r>
      <w:r w:rsidR="00B110F4">
        <w:t xml:space="preserve"> </w:t>
      </w:r>
      <w:r w:rsidR="00B110F4" w:rsidRPr="00B110F4">
        <w:rPr>
          <w:rFonts w:asciiTheme="minorHAnsi" w:hAnsiTheme="minorHAnsi" w:cstheme="minorHAnsi"/>
        </w:rPr>
        <w:t xml:space="preserve">'David and Jonathan: A Case of Unconditional Love?', </w:t>
      </w:r>
      <w:r w:rsidR="00B110F4" w:rsidRPr="00B110F4">
        <w:rPr>
          <w:rFonts w:asciiTheme="minorHAnsi" w:hAnsiTheme="minorHAnsi" w:cstheme="minorHAnsi"/>
          <w:i/>
        </w:rPr>
        <w:t xml:space="preserve">Journal for the Study of The Old Testament </w:t>
      </w:r>
      <w:r w:rsidR="00B110F4" w:rsidRPr="00B110F4">
        <w:rPr>
          <w:rFonts w:asciiTheme="minorHAnsi" w:hAnsiTheme="minorHAnsi" w:cstheme="minorHAnsi"/>
        </w:rPr>
        <w:t>Vol.37.1 (2012), pp3 -23.</w:t>
      </w:r>
    </w:p>
    <w:p w14:paraId="7D14C96C" w14:textId="3A48810E" w:rsidR="00B110F4" w:rsidRDefault="00B110F4" w:rsidP="00FA4D81">
      <w:pPr>
        <w:pStyle w:val="first-line-none"/>
        <w:shd w:val="clear" w:color="auto" w:fill="FFFFFF"/>
        <w:spacing w:before="0" w:beforeAutospacing="0" w:after="150" w:afterAutospacing="0" w:line="276" w:lineRule="auto"/>
        <w:rPr>
          <w:rFonts w:asciiTheme="minorHAnsi" w:hAnsiTheme="minorHAnsi" w:cstheme="minorHAnsi"/>
        </w:rPr>
      </w:pPr>
      <w:r>
        <w:rPr>
          <w:rFonts w:asciiTheme="minorHAnsi" w:hAnsiTheme="minorHAnsi" w:cstheme="minorHAnsi"/>
        </w:rPr>
        <w:t>King, Nicholas</w:t>
      </w:r>
      <w:r w:rsidR="00586AED">
        <w:rPr>
          <w:rFonts w:asciiTheme="minorHAnsi" w:hAnsiTheme="minorHAnsi" w:cstheme="minorHAnsi"/>
        </w:rPr>
        <w:t xml:space="preserve">, </w:t>
      </w:r>
      <w:r w:rsidR="00586AED">
        <w:rPr>
          <w:rFonts w:asciiTheme="minorHAnsi" w:hAnsiTheme="minorHAnsi" w:cstheme="minorHAnsi"/>
          <w:i/>
        </w:rPr>
        <w:t xml:space="preserve">The Old Testament Volume 2 The Historical Books  </w:t>
      </w:r>
      <w:r w:rsidR="00586AED">
        <w:rPr>
          <w:rFonts w:asciiTheme="minorHAnsi" w:hAnsiTheme="minorHAnsi" w:cstheme="minorHAnsi"/>
        </w:rPr>
        <w:t>( Stowmarket: Kevin Mayhew, 2012)</w:t>
      </w:r>
    </w:p>
    <w:p w14:paraId="0A8BCFA1" w14:textId="77C20D62" w:rsidR="00586AED" w:rsidRDefault="00586AED" w:rsidP="00FA4D81">
      <w:pPr>
        <w:pStyle w:val="first-line-none"/>
        <w:shd w:val="clear" w:color="auto" w:fill="FFFFFF"/>
        <w:spacing w:before="0" w:beforeAutospacing="0" w:after="150" w:afterAutospacing="0" w:line="276" w:lineRule="auto"/>
        <w:rPr>
          <w:rFonts w:asciiTheme="minorHAnsi" w:hAnsiTheme="minorHAnsi" w:cstheme="minorHAnsi"/>
        </w:rPr>
      </w:pPr>
      <w:proofErr w:type="spellStart"/>
      <w:r>
        <w:rPr>
          <w:rFonts w:asciiTheme="minorHAnsi" w:hAnsiTheme="minorHAnsi" w:cstheme="minorHAnsi"/>
        </w:rPr>
        <w:t>Mowvley</w:t>
      </w:r>
      <w:proofErr w:type="spellEnd"/>
      <w:r>
        <w:rPr>
          <w:rFonts w:asciiTheme="minorHAnsi" w:hAnsiTheme="minorHAnsi" w:cstheme="minorHAnsi"/>
        </w:rPr>
        <w:t xml:space="preserve">, Harry, </w:t>
      </w:r>
      <w:r>
        <w:rPr>
          <w:rFonts w:asciiTheme="minorHAnsi" w:hAnsiTheme="minorHAnsi" w:cstheme="minorHAnsi"/>
          <w:i/>
        </w:rPr>
        <w:t xml:space="preserve">1 &amp; 2 Samuel The People's Bible Commentary </w:t>
      </w:r>
      <w:r>
        <w:rPr>
          <w:rFonts w:asciiTheme="minorHAnsi" w:hAnsiTheme="minorHAnsi" w:cstheme="minorHAnsi"/>
        </w:rPr>
        <w:t>(Oxford: The Bible Reading Fellowship, 1998)</w:t>
      </w:r>
    </w:p>
    <w:p w14:paraId="6A885B9D" w14:textId="2D74CC16" w:rsidR="00A067A9" w:rsidRPr="00A067A9" w:rsidRDefault="00A067A9" w:rsidP="00FA4D81">
      <w:pPr>
        <w:pStyle w:val="first-line-none"/>
        <w:shd w:val="clear" w:color="auto" w:fill="FFFFFF"/>
        <w:spacing w:before="0" w:beforeAutospacing="0" w:after="150" w:afterAutospacing="0" w:line="276" w:lineRule="auto"/>
        <w:rPr>
          <w:rFonts w:asciiTheme="minorHAnsi" w:hAnsiTheme="minorHAnsi" w:cstheme="minorHAnsi"/>
        </w:rPr>
      </w:pPr>
      <w:r w:rsidRPr="00A067A9">
        <w:rPr>
          <w:rFonts w:asciiTheme="minorHAnsi" w:hAnsiTheme="minorHAnsi" w:cstheme="minorHAnsi"/>
          <w:i/>
        </w:rPr>
        <w:t>New Revised Standard Version Bible</w:t>
      </w:r>
      <w:r w:rsidRPr="00A067A9">
        <w:rPr>
          <w:rFonts w:asciiTheme="minorHAnsi" w:hAnsiTheme="minorHAnsi" w:cstheme="minorHAnsi"/>
        </w:rPr>
        <w:t>, Anglicized Edition (Oxford: Oxford University Press, 1995</w:t>
      </w:r>
      <w:r>
        <w:rPr>
          <w:rFonts w:asciiTheme="minorHAnsi" w:hAnsiTheme="minorHAnsi" w:cstheme="minorHAnsi"/>
        </w:rPr>
        <w:t>)</w:t>
      </w:r>
    </w:p>
    <w:p w14:paraId="380641D7" w14:textId="4BFD06F2" w:rsidR="00586AED" w:rsidRPr="00586AED" w:rsidRDefault="00586AED" w:rsidP="00FA4D81">
      <w:pPr>
        <w:pStyle w:val="first-line-none"/>
        <w:shd w:val="clear" w:color="auto" w:fill="FFFFFF"/>
        <w:spacing w:before="0" w:beforeAutospacing="0" w:after="150" w:afterAutospacing="0" w:line="276" w:lineRule="auto"/>
        <w:rPr>
          <w:rFonts w:asciiTheme="minorHAnsi" w:hAnsiTheme="minorHAnsi" w:cstheme="minorHAnsi"/>
          <w:color w:val="000000"/>
        </w:rPr>
      </w:pPr>
      <w:proofErr w:type="spellStart"/>
      <w:r>
        <w:rPr>
          <w:rFonts w:asciiTheme="minorHAnsi" w:hAnsiTheme="minorHAnsi" w:cstheme="minorHAnsi"/>
        </w:rPr>
        <w:t>Stansell</w:t>
      </w:r>
      <w:proofErr w:type="spellEnd"/>
      <w:r>
        <w:rPr>
          <w:rFonts w:asciiTheme="minorHAnsi" w:hAnsiTheme="minorHAnsi" w:cstheme="minorHAnsi"/>
        </w:rPr>
        <w:t>, Gary,</w:t>
      </w:r>
      <w:r>
        <w:t xml:space="preserve"> </w:t>
      </w:r>
      <w:r w:rsidRPr="00586AED">
        <w:rPr>
          <w:rFonts w:asciiTheme="minorHAnsi" w:hAnsiTheme="minorHAnsi" w:cstheme="minorHAnsi"/>
        </w:rPr>
        <w:t xml:space="preserve">'David and His Friends: Social- Scientific Perspectives on the David-Jonathan Friendship </w:t>
      </w:r>
      <w:r w:rsidRPr="00586AED">
        <w:rPr>
          <w:rFonts w:asciiTheme="minorHAnsi" w:hAnsiTheme="minorHAnsi" w:cstheme="minorHAnsi"/>
          <w:i/>
        </w:rPr>
        <w:t xml:space="preserve">Biblical Theology Bulletin </w:t>
      </w:r>
      <w:r w:rsidRPr="00586AED">
        <w:rPr>
          <w:rFonts w:asciiTheme="minorHAnsi" w:hAnsiTheme="minorHAnsi" w:cstheme="minorHAnsi"/>
        </w:rPr>
        <w:t>Volume 41, Number 5, pp115 – 131.</w:t>
      </w:r>
    </w:p>
    <w:p w14:paraId="517C6644" w14:textId="77777777" w:rsidR="00586AED" w:rsidRDefault="00586AED" w:rsidP="00FA4D81">
      <w:pPr>
        <w:pStyle w:val="first-line-none"/>
        <w:shd w:val="clear" w:color="auto" w:fill="FFFFFF"/>
        <w:spacing w:before="0" w:beforeAutospacing="0" w:after="150" w:afterAutospacing="0" w:line="276" w:lineRule="auto"/>
        <w:rPr>
          <w:rFonts w:asciiTheme="minorHAnsi" w:hAnsiTheme="minorHAnsi" w:cstheme="minorHAnsi"/>
          <w:b/>
          <w:color w:val="000000"/>
        </w:rPr>
      </w:pPr>
    </w:p>
    <w:p w14:paraId="4CC7DDB5" w14:textId="77777777" w:rsidR="00586AED" w:rsidRDefault="00586AED" w:rsidP="00FA4D81">
      <w:pPr>
        <w:pStyle w:val="first-line-none"/>
        <w:shd w:val="clear" w:color="auto" w:fill="FFFFFF"/>
        <w:spacing w:before="0" w:beforeAutospacing="0" w:after="150" w:afterAutospacing="0" w:line="276" w:lineRule="auto"/>
        <w:rPr>
          <w:rFonts w:asciiTheme="minorHAnsi" w:hAnsiTheme="minorHAnsi" w:cstheme="minorHAnsi"/>
          <w:b/>
          <w:color w:val="000000"/>
        </w:rPr>
      </w:pPr>
    </w:p>
    <w:p w14:paraId="21D9F136" w14:textId="77777777" w:rsidR="00586AED" w:rsidRDefault="00586AED" w:rsidP="00FA4D81">
      <w:pPr>
        <w:pStyle w:val="first-line-none"/>
        <w:shd w:val="clear" w:color="auto" w:fill="FFFFFF"/>
        <w:spacing w:before="0" w:beforeAutospacing="0" w:after="150" w:afterAutospacing="0" w:line="276" w:lineRule="auto"/>
        <w:rPr>
          <w:rFonts w:asciiTheme="minorHAnsi" w:hAnsiTheme="minorHAnsi" w:cstheme="minorHAnsi"/>
          <w:b/>
          <w:color w:val="000000"/>
        </w:rPr>
      </w:pPr>
    </w:p>
    <w:p w14:paraId="55325B34" w14:textId="77777777" w:rsidR="00586AED" w:rsidRDefault="00586AED" w:rsidP="00FA4D81">
      <w:pPr>
        <w:pStyle w:val="first-line-none"/>
        <w:shd w:val="clear" w:color="auto" w:fill="FFFFFF"/>
        <w:spacing w:before="0" w:beforeAutospacing="0" w:after="150" w:afterAutospacing="0" w:line="276" w:lineRule="auto"/>
        <w:rPr>
          <w:rFonts w:asciiTheme="minorHAnsi" w:hAnsiTheme="minorHAnsi" w:cstheme="minorHAnsi"/>
          <w:b/>
          <w:color w:val="000000"/>
        </w:rPr>
      </w:pPr>
    </w:p>
    <w:p w14:paraId="7B3FA181" w14:textId="77777777" w:rsidR="00586AED" w:rsidRDefault="00586AED" w:rsidP="00FA4D81">
      <w:pPr>
        <w:pStyle w:val="first-line-none"/>
        <w:shd w:val="clear" w:color="auto" w:fill="FFFFFF"/>
        <w:spacing w:before="0" w:beforeAutospacing="0" w:after="150" w:afterAutospacing="0" w:line="276" w:lineRule="auto"/>
        <w:rPr>
          <w:rFonts w:asciiTheme="minorHAnsi" w:hAnsiTheme="minorHAnsi" w:cstheme="minorHAnsi"/>
          <w:b/>
          <w:color w:val="000000"/>
        </w:rPr>
      </w:pPr>
    </w:p>
    <w:p w14:paraId="311AFAFA" w14:textId="5323CB19" w:rsidR="00FA4D81" w:rsidRDefault="00FA4D81" w:rsidP="00FA4D81">
      <w:pPr>
        <w:pStyle w:val="first-line-none"/>
        <w:shd w:val="clear" w:color="auto" w:fill="FFFFFF"/>
        <w:spacing w:before="0" w:beforeAutospacing="0" w:after="150" w:afterAutospacing="0" w:line="276" w:lineRule="auto"/>
        <w:rPr>
          <w:rFonts w:asciiTheme="minorHAnsi" w:hAnsiTheme="minorHAnsi" w:cstheme="minorHAnsi"/>
          <w:b/>
          <w:color w:val="000000"/>
        </w:rPr>
      </w:pPr>
      <w:r>
        <w:rPr>
          <w:rFonts w:asciiTheme="minorHAnsi" w:hAnsiTheme="minorHAnsi" w:cstheme="minorHAnsi"/>
          <w:b/>
          <w:color w:val="000000"/>
        </w:rPr>
        <w:t>Appendix</w:t>
      </w:r>
    </w:p>
    <w:p w14:paraId="7D6D8EAC" w14:textId="77777777" w:rsidR="00FA4D81" w:rsidRPr="003B1E61" w:rsidRDefault="00FA4D81" w:rsidP="00FA4D81">
      <w:pPr>
        <w:pStyle w:val="chapter-2"/>
        <w:shd w:val="clear" w:color="auto" w:fill="FFFFFF"/>
        <w:spacing w:before="0" w:beforeAutospacing="0" w:after="0" w:afterAutospacing="0" w:line="360" w:lineRule="atLeast"/>
        <w:rPr>
          <w:rFonts w:asciiTheme="minorHAnsi" w:hAnsiTheme="minorHAnsi" w:cstheme="minorHAnsi"/>
          <w:color w:val="000000"/>
        </w:rPr>
      </w:pPr>
      <w:r w:rsidRPr="003B1E61">
        <w:rPr>
          <w:rStyle w:val="chapternum"/>
          <w:rFonts w:asciiTheme="minorHAnsi" w:hAnsiTheme="minorHAnsi" w:cstheme="minorHAnsi"/>
          <w:b/>
          <w:bCs/>
          <w:color w:val="000000"/>
        </w:rPr>
        <w:t>18 </w:t>
      </w:r>
      <w:r w:rsidRPr="003B1E61">
        <w:rPr>
          <w:rStyle w:val="text"/>
          <w:rFonts w:asciiTheme="minorHAnsi" w:hAnsiTheme="minorHAnsi" w:cstheme="minorHAnsi"/>
          <w:color w:val="000000"/>
        </w:rPr>
        <w:t>When David had finished speaking to Saul, the soul of Jonathan was bound to the soul of David, and Jonathan loved him as his own soul. </w:t>
      </w:r>
      <w:r w:rsidRPr="003B1E61">
        <w:rPr>
          <w:rStyle w:val="text"/>
          <w:rFonts w:asciiTheme="minorHAnsi" w:hAnsiTheme="minorHAnsi" w:cstheme="minorHAnsi"/>
          <w:b/>
          <w:bCs/>
          <w:color w:val="000000"/>
          <w:vertAlign w:val="superscript"/>
        </w:rPr>
        <w:t>2 </w:t>
      </w:r>
      <w:r w:rsidRPr="003B1E61">
        <w:rPr>
          <w:rStyle w:val="text"/>
          <w:rFonts w:asciiTheme="minorHAnsi" w:hAnsiTheme="minorHAnsi" w:cstheme="minorHAnsi"/>
          <w:color w:val="000000"/>
        </w:rPr>
        <w:t>Saul took him that day and would not let him return to his father’s house. </w:t>
      </w:r>
      <w:r w:rsidRPr="003B1E61">
        <w:rPr>
          <w:rStyle w:val="text"/>
          <w:rFonts w:asciiTheme="minorHAnsi" w:hAnsiTheme="minorHAnsi" w:cstheme="minorHAnsi"/>
          <w:b/>
          <w:bCs/>
          <w:color w:val="000000"/>
          <w:vertAlign w:val="superscript"/>
        </w:rPr>
        <w:t>3 </w:t>
      </w:r>
      <w:r w:rsidRPr="003B1E61">
        <w:rPr>
          <w:rStyle w:val="text"/>
          <w:rFonts w:asciiTheme="minorHAnsi" w:hAnsiTheme="minorHAnsi" w:cstheme="minorHAnsi"/>
          <w:color w:val="000000"/>
        </w:rPr>
        <w:t>Then Jonathan made a covenant with David, because he loved him as his own soul. </w:t>
      </w:r>
      <w:r w:rsidRPr="003B1E61">
        <w:rPr>
          <w:rStyle w:val="text"/>
          <w:rFonts w:asciiTheme="minorHAnsi" w:hAnsiTheme="minorHAnsi" w:cstheme="minorHAnsi"/>
          <w:b/>
          <w:bCs/>
          <w:color w:val="000000"/>
          <w:vertAlign w:val="superscript"/>
        </w:rPr>
        <w:t>4 </w:t>
      </w:r>
      <w:r w:rsidRPr="003B1E61">
        <w:rPr>
          <w:rStyle w:val="text"/>
          <w:rFonts w:asciiTheme="minorHAnsi" w:hAnsiTheme="minorHAnsi" w:cstheme="minorHAnsi"/>
          <w:color w:val="000000"/>
        </w:rPr>
        <w:t>Jonathan stripped himself of the robe that he was wearing, and gave it to David, and his armour, and even his sword and his bow and his belt. </w:t>
      </w:r>
      <w:r w:rsidRPr="003B1E61">
        <w:rPr>
          <w:rStyle w:val="text"/>
          <w:rFonts w:asciiTheme="minorHAnsi" w:hAnsiTheme="minorHAnsi" w:cstheme="minorHAnsi"/>
          <w:b/>
          <w:bCs/>
          <w:color w:val="000000"/>
          <w:vertAlign w:val="superscript"/>
        </w:rPr>
        <w:t>5 </w:t>
      </w:r>
      <w:r w:rsidRPr="003B1E61">
        <w:rPr>
          <w:rStyle w:val="text"/>
          <w:rFonts w:asciiTheme="minorHAnsi" w:hAnsiTheme="minorHAnsi" w:cstheme="minorHAnsi"/>
          <w:color w:val="000000"/>
        </w:rPr>
        <w:t>David went out and was successful wherever Saul sent him; as a result, Saul set him over the army. And all the people, even the servants of Saul, approved.</w:t>
      </w:r>
    </w:p>
    <w:p w14:paraId="6F075CD6" w14:textId="77777777" w:rsidR="00FA4D81" w:rsidRPr="003B1E61" w:rsidRDefault="00FA4D81" w:rsidP="00FA4D81">
      <w:pPr>
        <w:pStyle w:val="NormalWeb"/>
        <w:shd w:val="clear" w:color="auto" w:fill="FFFFFF"/>
        <w:spacing w:before="0" w:beforeAutospacing="0" w:after="0" w:afterAutospacing="0" w:line="360" w:lineRule="atLeast"/>
        <w:rPr>
          <w:rFonts w:asciiTheme="minorHAnsi" w:hAnsiTheme="minorHAnsi" w:cstheme="minorHAnsi"/>
          <w:color w:val="000000"/>
        </w:rPr>
      </w:pPr>
      <w:r w:rsidRPr="003B1E61">
        <w:rPr>
          <w:rStyle w:val="text"/>
          <w:rFonts w:asciiTheme="minorHAnsi" w:hAnsiTheme="minorHAnsi" w:cstheme="minorHAnsi"/>
          <w:b/>
          <w:bCs/>
          <w:color w:val="000000"/>
          <w:vertAlign w:val="superscript"/>
        </w:rPr>
        <w:t>6 </w:t>
      </w:r>
      <w:r w:rsidRPr="003B1E61">
        <w:rPr>
          <w:rStyle w:val="text"/>
          <w:rFonts w:asciiTheme="minorHAnsi" w:hAnsiTheme="minorHAnsi" w:cstheme="minorHAnsi"/>
          <w:color w:val="000000"/>
        </w:rPr>
        <w:t>As they were coming home, when David returned from killing the Philistine, the women came out of all the towns of Israel, singing and dancing, to meet King Saul, with tambourines, with songs of joy, and with musical instruments. </w:t>
      </w:r>
      <w:r w:rsidRPr="003B1E61">
        <w:rPr>
          <w:rStyle w:val="text"/>
          <w:rFonts w:asciiTheme="minorHAnsi" w:hAnsiTheme="minorHAnsi" w:cstheme="minorHAnsi"/>
          <w:b/>
          <w:bCs/>
          <w:color w:val="000000"/>
          <w:vertAlign w:val="superscript"/>
        </w:rPr>
        <w:t>7 </w:t>
      </w:r>
      <w:r w:rsidRPr="003B1E61">
        <w:rPr>
          <w:rStyle w:val="text"/>
          <w:rFonts w:asciiTheme="minorHAnsi" w:hAnsiTheme="minorHAnsi" w:cstheme="minorHAnsi"/>
          <w:color w:val="000000"/>
        </w:rPr>
        <w:t>And the women sang to one another as they made merry,</w:t>
      </w:r>
    </w:p>
    <w:p w14:paraId="08815D6E" w14:textId="77777777" w:rsidR="00FA4D81" w:rsidRPr="003B1E61" w:rsidRDefault="00FA4D81" w:rsidP="00FA4D81">
      <w:pPr>
        <w:pStyle w:val="line"/>
        <w:shd w:val="clear" w:color="auto" w:fill="FFFFFF"/>
        <w:spacing w:before="0" w:beforeAutospacing="0" w:after="0" w:afterAutospacing="0" w:line="360" w:lineRule="atLeast"/>
        <w:rPr>
          <w:rFonts w:asciiTheme="minorHAnsi" w:hAnsiTheme="minorHAnsi" w:cstheme="minorHAnsi"/>
          <w:color w:val="000000"/>
        </w:rPr>
      </w:pPr>
      <w:r w:rsidRPr="003B1E61">
        <w:rPr>
          <w:rStyle w:val="text"/>
          <w:rFonts w:asciiTheme="minorHAnsi" w:hAnsiTheme="minorHAnsi" w:cstheme="minorHAnsi"/>
          <w:color w:val="000000"/>
        </w:rPr>
        <w:t>‘Saul has killed his thousands,</w:t>
      </w:r>
      <w:r w:rsidRPr="003B1E61">
        <w:rPr>
          <w:rFonts w:asciiTheme="minorHAnsi" w:hAnsiTheme="minorHAnsi" w:cstheme="minorHAnsi"/>
          <w:color w:val="000000"/>
        </w:rPr>
        <w:br/>
      </w:r>
      <w:r w:rsidRPr="003B1E61">
        <w:rPr>
          <w:rStyle w:val="indent-1-breaks"/>
          <w:rFonts w:asciiTheme="minorHAnsi" w:hAnsiTheme="minorHAnsi" w:cstheme="minorHAnsi"/>
          <w:color w:val="000000"/>
        </w:rPr>
        <w:t>    </w:t>
      </w:r>
      <w:r w:rsidRPr="003B1E61">
        <w:rPr>
          <w:rStyle w:val="text"/>
          <w:rFonts w:asciiTheme="minorHAnsi" w:hAnsiTheme="minorHAnsi" w:cstheme="minorHAnsi"/>
          <w:color w:val="000000"/>
        </w:rPr>
        <w:t>and David his tens of thousands.’</w:t>
      </w:r>
    </w:p>
    <w:p w14:paraId="65E9F6C9" w14:textId="77777777" w:rsidR="00FA4D81" w:rsidRDefault="00FA4D81" w:rsidP="00FA4D81">
      <w:pPr>
        <w:pStyle w:val="first-line-none"/>
        <w:shd w:val="clear" w:color="auto" w:fill="FFFFFF"/>
        <w:spacing w:before="0" w:beforeAutospacing="0" w:after="150" w:afterAutospacing="0" w:line="360" w:lineRule="atLeast"/>
        <w:rPr>
          <w:rStyle w:val="text"/>
          <w:rFonts w:asciiTheme="minorHAnsi" w:hAnsiTheme="minorHAnsi" w:cstheme="minorHAnsi"/>
          <w:color w:val="000000"/>
        </w:rPr>
      </w:pPr>
      <w:r w:rsidRPr="003B1E61">
        <w:rPr>
          <w:rStyle w:val="text"/>
          <w:rFonts w:asciiTheme="minorHAnsi" w:hAnsiTheme="minorHAnsi" w:cstheme="minorHAnsi"/>
          <w:b/>
          <w:bCs/>
          <w:color w:val="000000"/>
          <w:vertAlign w:val="superscript"/>
        </w:rPr>
        <w:t>8 </w:t>
      </w:r>
      <w:r w:rsidRPr="003B1E61">
        <w:rPr>
          <w:rStyle w:val="text"/>
          <w:rFonts w:asciiTheme="minorHAnsi" w:hAnsiTheme="minorHAnsi" w:cstheme="minorHAnsi"/>
          <w:color w:val="000000"/>
        </w:rPr>
        <w:t>Saul was very angry, for this saying displeased him. He said, ‘They have ascribed to David tens of thousands, and to me they have ascribed thousands; what more can he have but the kingdom?’ </w:t>
      </w:r>
      <w:r w:rsidRPr="003B1E61">
        <w:rPr>
          <w:rStyle w:val="text"/>
          <w:rFonts w:asciiTheme="minorHAnsi" w:hAnsiTheme="minorHAnsi" w:cstheme="minorHAnsi"/>
          <w:b/>
          <w:bCs/>
          <w:color w:val="000000"/>
          <w:vertAlign w:val="superscript"/>
        </w:rPr>
        <w:t>9 </w:t>
      </w:r>
      <w:r w:rsidRPr="003B1E61">
        <w:rPr>
          <w:rStyle w:val="text"/>
          <w:rFonts w:asciiTheme="minorHAnsi" w:hAnsiTheme="minorHAnsi" w:cstheme="minorHAnsi"/>
          <w:color w:val="000000"/>
        </w:rPr>
        <w:t>So Saul eyed David from that day on.</w:t>
      </w:r>
      <w:r>
        <w:rPr>
          <w:rStyle w:val="FootnoteReference"/>
          <w:rFonts w:asciiTheme="minorHAnsi" w:hAnsiTheme="minorHAnsi" w:cstheme="minorHAnsi"/>
          <w:color w:val="000000"/>
        </w:rPr>
        <w:footnoteReference w:id="30"/>
      </w:r>
    </w:p>
    <w:p w14:paraId="33EF466D" w14:textId="77777777" w:rsidR="00FA4D81" w:rsidRPr="00FA4D81" w:rsidRDefault="00FA4D81" w:rsidP="00FA4D81">
      <w:pPr>
        <w:pStyle w:val="first-line-none"/>
        <w:shd w:val="clear" w:color="auto" w:fill="FFFFFF"/>
        <w:spacing w:before="0" w:beforeAutospacing="0" w:after="150" w:afterAutospacing="0" w:line="276" w:lineRule="auto"/>
        <w:rPr>
          <w:rFonts w:asciiTheme="minorHAnsi" w:hAnsiTheme="minorHAnsi" w:cstheme="minorHAnsi"/>
          <w:b/>
          <w:color w:val="000000"/>
        </w:rPr>
      </w:pPr>
    </w:p>
    <w:sectPr w:rsidR="00FA4D81" w:rsidRPr="00FA4D81" w:rsidSect="003B1E61">
      <w:headerReference w:type="default" r:id="rId7"/>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5DCDDD" w14:textId="77777777" w:rsidR="003D002B" w:rsidRDefault="003D002B" w:rsidP="003B1E61">
      <w:pPr>
        <w:spacing w:after="0" w:line="240" w:lineRule="auto"/>
      </w:pPr>
      <w:r>
        <w:separator/>
      </w:r>
    </w:p>
  </w:endnote>
  <w:endnote w:type="continuationSeparator" w:id="0">
    <w:p w14:paraId="2CA1302D" w14:textId="77777777" w:rsidR="003D002B" w:rsidRDefault="003D002B" w:rsidP="003B1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BLHebrew">
    <w:altName w:val="Arial"/>
    <w:panose1 w:val="00000000000000000000"/>
    <w:charset w:val="B1"/>
    <w:family w:val="auto"/>
    <w:notTrueType/>
    <w:pitch w:val="default"/>
    <w:sig w:usb0="00000801" w:usb1="00000000" w:usb2="00000000" w:usb3="00000000" w:csb0="00000020" w:csb1="00000000"/>
  </w:font>
  <w:font w:name="MinionPro-Semibold">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88B00" w14:textId="77777777" w:rsidR="003D002B" w:rsidRDefault="003D002B" w:rsidP="003B1E61">
      <w:pPr>
        <w:spacing w:after="0" w:line="240" w:lineRule="auto"/>
      </w:pPr>
      <w:r>
        <w:separator/>
      </w:r>
    </w:p>
  </w:footnote>
  <w:footnote w:type="continuationSeparator" w:id="0">
    <w:p w14:paraId="57C04401" w14:textId="77777777" w:rsidR="003D002B" w:rsidRDefault="003D002B" w:rsidP="003B1E61">
      <w:pPr>
        <w:spacing w:after="0" w:line="240" w:lineRule="auto"/>
      </w:pPr>
      <w:r>
        <w:continuationSeparator/>
      </w:r>
    </w:p>
  </w:footnote>
  <w:footnote w:id="1">
    <w:p w14:paraId="0E716CDC" w14:textId="5F7D8161" w:rsidR="00FA4D81" w:rsidRDefault="00FA4D81">
      <w:pPr>
        <w:pStyle w:val="FootnoteText"/>
      </w:pPr>
      <w:r>
        <w:rPr>
          <w:rStyle w:val="FootnoteReference"/>
        </w:rPr>
        <w:footnoteRef/>
      </w:r>
      <w:r>
        <w:t xml:space="preserve"> </w:t>
      </w:r>
      <w:r w:rsidR="00A067A9" w:rsidRPr="00A067A9">
        <w:rPr>
          <w:i/>
        </w:rPr>
        <w:t>New Revised Standard Version Bible</w:t>
      </w:r>
      <w:r w:rsidR="00A067A9">
        <w:t>, Anglicized Edition (Oxford: Oxford University Press, 1995) (p270,271)</w:t>
      </w:r>
    </w:p>
  </w:footnote>
  <w:footnote w:id="2">
    <w:p w14:paraId="224FA473" w14:textId="624E01A4" w:rsidR="003C361B" w:rsidRPr="003C361B" w:rsidRDefault="003C361B">
      <w:pPr>
        <w:pStyle w:val="FootnoteText"/>
      </w:pPr>
      <w:r>
        <w:rPr>
          <w:rStyle w:val="FootnoteReference"/>
        </w:rPr>
        <w:footnoteRef/>
      </w:r>
      <w:r>
        <w:t xml:space="preserve"> Harry </w:t>
      </w:r>
      <w:proofErr w:type="spellStart"/>
      <w:r>
        <w:t>Mowvley</w:t>
      </w:r>
      <w:proofErr w:type="spellEnd"/>
      <w:r>
        <w:t xml:space="preserve"> </w:t>
      </w:r>
      <w:r>
        <w:rPr>
          <w:i/>
        </w:rPr>
        <w:t xml:space="preserve">1 &amp; 2 Samuel The People's Bible Commentary </w:t>
      </w:r>
      <w:r>
        <w:t>(Oxford: The Bible Reading Fellowship, 1998) p.13</w:t>
      </w:r>
    </w:p>
  </w:footnote>
  <w:footnote w:id="3">
    <w:p w14:paraId="7249EBBB" w14:textId="587D1DE8" w:rsidR="006F33F1" w:rsidRPr="006F33F1" w:rsidRDefault="006F33F1">
      <w:pPr>
        <w:pStyle w:val="FootnoteText"/>
      </w:pPr>
      <w:r>
        <w:rPr>
          <w:rStyle w:val="FootnoteReference"/>
        </w:rPr>
        <w:footnoteRef/>
      </w:r>
      <w:r>
        <w:t xml:space="preserve"> Gwilym H. Jones, 1 and 2 Samuel in John Barton and John </w:t>
      </w:r>
      <w:proofErr w:type="spellStart"/>
      <w:r>
        <w:t>Muddiman</w:t>
      </w:r>
      <w:proofErr w:type="spellEnd"/>
      <w:r>
        <w:t xml:space="preserve"> </w:t>
      </w:r>
      <w:r>
        <w:rPr>
          <w:i/>
        </w:rPr>
        <w:t xml:space="preserve">The Oxford Bible Commentary </w:t>
      </w:r>
      <w:r>
        <w:t>(Oxford: Oxford University Press, 200</w:t>
      </w:r>
      <w:r w:rsidR="00AF1DB3">
        <w:t>7</w:t>
      </w:r>
      <w:r>
        <w:t>) p.196</w:t>
      </w:r>
    </w:p>
  </w:footnote>
  <w:footnote w:id="4">
    <w:p w14:paraId="35B15ACB" w14:textId="66C7099A" w:rsidR="006F33F1" w:rsidRPr="00843451" w:rsidRDefault="006F33F1">
      <w:pPr>
        <w:pStyle w:val="FootnoteText"/>
      </w:pPr>
      <w:r>
        <w:rPr>
          <w:rStyle w:val="FootnoteReference"/>
        </w:rPr>
        <w:footnoteRef/>
      </w:r>
      <w:r>
        <w:t xml:space="preserve"> Jones, </w:t>
      </w:r>
      <w:r w:rsidR="00843451">
        <w:t>p.198</w:t>
      </w:r>
      <w:r w:rsidR="00A067A9">
        <w:t>.</w:t>
      </w:r>
    </w:p>
  </w:footnote>
  <w:footnote w:id="5">
    <w:p w14:paraId="63C3B93E" w14:textId="6FEBA6DD" w:rsidR="00CD2F85" w:rsidRPr="00CD2F85" w:rsidRDefault="00CD2F85">
      <w:pPr>
        <w:pStyle w:val="FootnoteText"/>
      </w:pPr>
      <w:r>
        <w:rPr>
          <w:rStyle w:val="FootnoteReference"/>
        </w:rPr>
        <w:footnoteRef/>
      </w:r>
      <w:r>
        <w:t xml:space="preserve"> Nicholas King </w:t>
      </w:r>
      <w:r>
        <w:rPr>
          <w:i/>
        </w:rPr>
        <w:t xml:space="preserve">The Old Testament Volume 2 The Historical Books </w:t>
      </w:r>
      <w:r>
        <w:t>(Stowmarket: Kevin Mayhew, 2012)</w:t>
      </w:r>
    </w:p>
  </w:footnote>
  <w:footnote w:id="6">
    <w:p w14:paraId="72AEE759" w14:textId="5CE50026" w:rsidR="00B817A1" w:rsidRPr="00B817A1" w:rsidRDefault="00B817A1">
      <w:pPr>
        <w:pStyle w:val="FootnoteText"/>
      </w:pPr>
      <w:r>
        <w:rPr>
          <w:rStyle w:val="FootnoteReference"/>
        </w:rPr>
        <w:footnoteRef/>
      </w:r>
      <w:r>
        <w:t xml:space="preserve"> </w:t>
      </w:r>
      <w:proofErr w:type="spellStart"/>
      <w:r>
        <w:t>Mowvley</w:t>
      </w:r>
      <w:proofErr w:type="spellEnd"/>
      <w:r>
        <w:t>, p.80</w:t>
      </w:r>
      <w:r w:rsidR="00A067A9">
        <w:t>.</w:t>
      </w:r>
    </w:p>
  </w:footnote>
  <w:footnote w:id="7">
    <w:p w14:paraId="45682440" w14:textId="743A37F1" w:rsidR="003814FA" w:rsidRDefault="003814FA">
      <w:pPr>
        <w:pStyle w:val="FootnoteText"/>
      </w:pPr>
      <w:r>
        <w:rPr>
          <w:rStyle w:val="FootnoteReference"/>
        </w:rPr>
        <w:footnoteRef/>
      </w:r>
      <w:r>
        <w:t xml:space="preserve"> Or 'bonded to' in The Amplified Bible</w:t>
      </w:r>
    </w:p>
  </w:footnote>
  <w:footnote w:id="8">
    <w:p w14:paraId="0CD75A14" w14:textId="676C8B41" w:rsidR="003814FA" w:rsidRDefault="003814FA">
      <w:pPr>
        <w:pStyle w:val="FootnoteText"/>
      </w:pPr>
      <w:r>
        <w:rPr>
          <w:rStyle w:val="FootnoteReference"/>
        </w:rPr>
        <w:footnoteRef/>
      </w:r>
      <w:r>
        <w:t xml:space="preserve"> </w:t>
      </w:r>
      <w:proofErr w:type="spellStart"/>
      <w:r>
        <w:t>Orly</w:t>
      </w:r>
      <w:proofErr w:type="spellEnd"/>
      <w:r>
        <w:t xml:space="preserve"> Keren, </w:t>
      </w:r>
      <w:r w:rsidR="000F7155">
        <w:t>'</w:t>
      </w:r>
      <w:r>
        <w:t>David and Jonathan: A Case of Unconditional Love?</w:t>
      </w:r>
      <w:r w:rsidR="000F7155">
        <w:t xml:space="preserve">', </w:t>
      </w:r>
      <w:r w:rsidR="000F7155">
        <w:rPr>
          <w:i/>
        </w:rPr>
        <w:t xml:space="preserve">Journal for the Study of The Old Testament </w:t>
      </w:r>
      <w:r w:rsidR="000F7155">
        <w:t>Vol.37.1 (2012), pp3 -23.</w:t>
      </w:r>
      <w:r w:rsidR="00A067A9">
        <w:t xml:space="preserve"> (p.6)</w:t>
      </w:r>
      <w:r>
        <w:t xml:space="preserve"> </w:t>
      </w:r>
    </w:p>
  </w:footnote>
  <w:footnote w:id="9">
    <w:p w14:paraId="099D68A8" w14:textId="29C97E3E" w:rsidR="00E247B0" w:rsidRPr="00E247B0" w:rsidRDefault="00E247B0">
      <w:pPr>
        <w:pStyle w:val="FootnoteText"/>
      </w:pPr>
      <w:r>
        <w:rPr>
          <w:rStyle w:val="FootnoteReference"/>
        </w:rPr>
        <w:footnoteRef/>
      </w:r>
      <w:r>
        <w:t xml:space="preserve"> Keren p.8</w:t>
      </w:r>
      <w:r w:rsidR="00A067A9">
        <w:t>.</w:t>
      </w:r>
    </w:p>
  </w:footnote>
  <w:footnote w:id="10">
    <w:p w14:paraId="59CC0051" w14:textId="4B08EDE0" w:rsidR="00E247B0" w:rsidRPr="00E247B0" w:rsidRDefault="00E247B0">
      <w:pPr>
        <w:pStyle w:val="FootnoteText"/>
      </w:pPr>
      <w:r>
        <w:rPr>
          <w:rStyle w:val="FootnoteReference"/>
        </w:rPr>
        <w:footnoteRef/>
      </w:r>
      <w:r>
        <w:t xml:space="preserve"> Gary </w:t>
      </w:r>
      <w:proofErr w:type="spellStart"/>
      <w:r>
        <w:t>Stansell</w:t>
      </w:r>
      <w:proofErr w:type="spellEnd"/>
      <w:r>
        <w:t xml:space="preserve">, 'David and His Friends: Social- Scientific Perspectives on the David-Jonathan Friendship </w:t>
      </w:r>
      <w:r>
        <w:rPr>
          <w:i/>
        </w:rPr>
        <w:t xml:space="preserve">Biblical Theology Bulletin </w:t>
      </w:r>
      <w:r>
        <w:t>Volume 41, Number 5, pp115 – 131.</w:t>
      </w:r>
      <w:r w:rsidR="00CB095E">
        <w:t xml:space="preserve"> </w:t>
      </w:r>
      <w:r w:rsidR="00A067A9">
        <w:t>(</w:t>
      </w:r>
      <w:r w:rsidR="00CB095E">
        <w:t>p.123</w:t>
      </w:r>
      <w:r w:rsidR="00A067A9">
        <w:t>)</w:t>
      </w:r>
    </w:p>
  </w:footnote>
  <w:footnote w:id="11">
    <w:p w14:paraId="4CA38F8C" w14:textId="1A75568D" w:rsidR="00792297" w:rsidRPr="00792297" w:rsidRDefault="00792297">
      <w:pPr>
        <w:pStyle w:val="FootnoteText"/>
      </w:pPr>
      <w:r>
        <w:rPr>
          <w:rStyle w:val="FootnoteReference"/>
        </w:rPr>
        <w:footnoteRef/>
      </w:r>
      <w:r>
        <w:t xml:space="preserve"> </w:t>
      </w:r>
      <w:proofErr w:type="spellStart"/>
      <w:r>
        <w:t>Mowvley</w:t>
      </w:r>
      <w:proofErr w:type="spellEnd"/>
      <w:r>
        <w:t>, p.80</w:t>
      </w:r>
      <w:r w:rsidR="00A067A9">
        <w:t>.</w:t>
      </w:r>
    </w:p>
  </w:footnote>
  <w:footnote w:id="12">
    <w:p w14:paraId="17192644" w14:textId="228618B2" w:rsidR="00792297" w:rsidRDefault="00792297">
      <w:pPr>
        <w:pStyle w:val="FootnoteText"/>
      </w:pPr>
      <w:r>
        <w:rPr>
          <w:rStyle w:val="FootnoteReference"/>
        </w:rPr>
        <w:footnoteRef/>
      </w:r>
      <w:r>
        <w:t xml:space="preserve"> Jones, p.209</w:t>
      </w:r>
      <w:r w:rsidR="00A067A9">
        <w:t>.</w:t>
      </w:r>
    </w:p>
  </w:footnote>
  <w:footnote w:id="13">
    <w:p w14:paraId="6B52B7F4" w14:textId="3CC4BDD5" w:rsidR="009B10E7" w:rsidRPr="009B10E7" w:rsidRDefault="009B10E7">
      <w:pPr>
        <w:pStyle w:val="FootnoteText"/>
        <w:rPr>
          <w:i/>
        </w:rPr>
      </w:pPr>
      <w:r>
        <w:rPr>
          <w:rStyle w:val="FootnoteReference"/>
        </w:rPr>
        <w:footnoteRef/>
      </w:r>
      <w:r>
        <w:t xml:space="preserve"> Jones, </w:t>
      </w:r>
      <w:r w:rsidR="00A067A9">
        <w:t>p.209</w:t>
      </w:r>
      <w:r>
        <w:rPr>
          <w:i/>
        </w:rPr>
        <w:t>.</w:t>
      </w:r>
    </w:p>
  </w:footnote>
  <w:footnote w:id="14">
    <w:p w14:paraId="7DCC85BE" w14:textId="0850A41D" w:rsidR="00A777D6" w:rsidRPr="00A067A9" w:rsidRDefault="00A777D6">
      <w:pPr>
        <w:pStyle w:val="FootnoteText"/>
      </w:pPr>
      <w:r>
        <w:rPr>
          <w:rStyle w:val="FootnoteReference"/>
        </w:rPr>
        <w:footnoteRef/>
      </w:r>
      <w:r>
        <w:t xml:space="preserve"> Jones, </w:t>
      </w:r>
      <w:r w:rsidR="00A067A9">
        <w:t>p.209.</w:t>
      </w:r>
    </w:p>
  </w:footnote>
  <w:footnote w:id="15">
    <w:p w14:paraId="04FB0BBF" w14:textId="7B7C5627" w:rsidR="002E2D0F" w:rsidRDefault="002E2D0F">
      <w:pPr>
        <w:pStyle w:val="FootnoteText"/>
      </w:pPr>
      <w:r>
        <w:rPr>
          <w:rStyle w:val="FootnoteReference"/>
        </w:rPr>
        <w:footnoteRef/>
      </w:r>
      <w:r>
        <w:t xml:space="preserve"> Erin E. Fleming, 'Political Favouritism in Saul's Court: </w:t>
      </w:r>
      <w:proofErr w:type="spellStart"/>
      <w:r w:rsidRPr="00090882">
        <w:rPr>
          <w:rFonts w:ascii="SBLHebrew" w:cs="SBLHebrew" w:hint="cs"/>
          <w:lang w:bidi="he-IL"/>
        </w:rPr>
        <w:t>נעם</w:t>
      </w:r>
      <w:proofErr w:type="spellEnd"/>
      <w:r w:rsidRPr="00090882">
        <w:rPr>
          <w:rFonts w:ascii="SBLHebrew" w:cs="SBLHebrew"/>
          <w:lang w:bidi="he-IL"/>
        </w:rPr>
        <w:t xml:space="preserve"> </w:t>
      </w:r>
      <w:r w:rsidRPr="00090882">
        <w:rPr>
          <w:rFonts w:ascii="MinionPro-Semibold" w:hAnsi="MinionPro-Semibold" w:cs="MinionPro-Semibold"/>
          <w:lang w:bidi="he-IL"/>
        </w:rPr>
        <w:t>,</w:t>
      </w:r>
      <w:proofErr w:type="spellStart"/>
      <w:r w:rsidRPr="00090882">
        <w:rPr>
          <w:rFonts w:ascii="SBLHebrew" w:cs="SBLHebrew" w:hint="cs"/>
          <w:lang w:bidi="he-IL"/>
        </w:rPr>
        <w:t>חפץ</w:t>
      </w:r>
      <w:proofErr w:type="spellEnd"/>
      <w:r>
        <w:rPr>
          <w:rFonts w:ascii="SBLHebrew" w:cs="SBLHebrew"/>
          <w:lang w:bidi="he-IL"/>
        </w:rPr>
        <w:t xml:space="preserve">, </w:t>
      </w:r>
      <w:r w:rsidRPr="00090882">
        <w:rPr>
          <w:rFonts w:cstheme="minorHAnsi"/>
          <w:lang w:bidi="he-IL"/>
        </w:rPr>
        <w:t>and the Relationship between David and Jonathan</w:t>
      </w:r>
      <w:r>
        <w:rPr>
          <w:rFonts w:cstheme="minorHAnsi"/>
          <w:lang w:bidi="he-IL"/>
        </w:rPr>
        <w:t xml:space="preserve">' </w:t>
      </w:r>
      <w:r>
        <w:rPr>
          <w:rFonts w:cstheme="minorHAnsi"/>
          <w:i/>
          <w:lang w:bidi="he-IL"/>
        </w:rPr>
        <w:t>Journal of Biblical Literature,</w:t>
      </w:r>
      <w:r>
        <w:rPr>
          <w:rFonts w:cstheme="minorHAnsi"/>
          <w:lang w:bidi="he-IL"/>
        </w:rPr>
        <w:t xml:space="preserve"> 135 No1 (2016) pp19-34. p.20</w:t>
      </w:r>
    </w:p>
  </w:footnote>
  <w:footnote w:id="16">
    <w:p w14:paraId="1C02A085" w14:textId="34991DF7" w:rsidR="009A7AF8" w:rsidRDefault="009A7AF8">
      <w:pPr>
        <w:pStyle w:val="FootnoteText"/>
      </w:pPr>
      <w:r>
        <w:rPr>
          <w:rStyle w:val="FootnoteReference"/>
        </w:rPr>
        <w:footnoteRef/>
      </w:r>
      <w:r>
        <w:t xml:space="preserve"> </w:t>
      </w:r>
      <w:proofErr w:type="spellStart"/>
      <w:r>
        <w:t>Stansell</w:t>
      </w:r>
      <w:proofErr w:type="spellEnd"/>
      <w:r>
        <w:t>, p124.</w:t>
      </w:r>
    </w:p>
  </w:footnote>
  <w:footnote w:id="17">
    <w:p w14:paraId="066E36DE" w14:textId="6800437A" w:rsidR="009A7AF8" w:rsidRDefault="009A7AF8">
      <w:pPr>
        <w:pStyle w:val="FootnoteText"/>
      </w:pPr>
      <w:r>
        <w:rPr>
          <w:rStyle w:val="FootnoteReference"/>
        </w:rPr>
        <w:footnoteRef/>
      </w:r>
      <w:r>
        <w:t xml:space="preserve"> Jones, p209.</w:t>
      </w:r>
    </w:p>
  </w:footnote>
  <w:footnote w:id="18">
    <w:p w14:paraId="75C527A5" w14:textId="13D3D6E8" w:rsidR="00314DD4" w:rsidRDefault="00314DD4">
      <w:pPr>
        <w:pStyle w:val="FootnoteText"/>
      </w:pPr>
      <w:r>
        <w:rPr>
          <w:rStyle w:val="FootnoteReference"/>
        </w:rPr>
        <w:footnoteRef/>
      </w:r>
      <w:r>
        <w:t xml:space="preserve"> Keren, p7.</w:t>
      </w:r>
    </w:p>
  </w:footnote>
  <w:footnote w:id="19">
    <w:p w14:paraId="3B417486" w14:textId="6D5336AD" w:rsidR="00BC0DE5" w:rsidRDefault="00BC0DE5">
      <w:pPr>
        <w:pStyle w:val="FootnoteText"/>
      </w:pPr>
      <w:r>
        <w:rPr>
          <w:rStyle w:val="FootnoteReference"/>
        </w:rPr>
        <w:footnoteRef/>
      </w:r>
      <w:r>
        <w:t xml:space="preserve"> Keren, p.7.</w:t>
      </w:r>
    </w:p>
  </w:footnote>
  <w:footnote w:id="20">
    <w:p w14:paraId="09E792F4" w14:textId="03B25D03" w:rsidR="005D1916" w:rsidRDefault="005D1916">
      <w:pPr>
        <w:pStyle w:val="FootnoteText"/>
      </w:pPr>
      <w:r>
        <w:rPr>
          <w:rStyle w:val="FootnoteReference"/>
        </w:rPr>
        <w:footnoteRef/>
      </w:r>
      <w:r>
        <w:t xml:space="preserve"> </w:t>
      </w:r>
      <w:proofErr w:type="spellStart"/>
      <w:r>
        <w:t>Mowvley</w:t>
      </w:r>
      <w:proofErr w:type="spellEnd"/>
      <w:r>
        <w:t>, p.81.</w:t>
      </w:r>
    </w:p>
  </w:footnote>
  <w:footnote w:id="21">
    <w:p w14:paraId="080F93EA" w14:textId="239AC633" w:rsidR="005D1916" w:rsidRDefault="005D1916">
      <w:pPr>
        <w:pStyle w:val="FootnoteText"/>
      </w:pPr>
      <w:r>
        <w:rPr>
          <w:rStyle w:val="FootnoteReference"/>
        </w:rPr>
        <w:footnoteRef/>
      </w:r>
      <w:r>
        <w:t xml:space="preserve"> Jones, p.196</w:t>
      </w:r>
    </w:p>
  </w:footnote>
  <w:footnote w:id="22">
    <w:p w14:paraId="4F03F68D" w14:textId="03471C54" w:rsidR="0096575E" w:rsidRPr="0096575E" w:rsidRDefault="0096575E">
      <w:pPr>
        <w:pStyle w:val="FootnoteText"/>
        <w:rPr>
          <w:i/>
        </w:rPr>
      </w:pPr>
      <w:r>
        <w:rPr>
          <w:rStyle w:val="FootnoteReference"/>
        </w:rPr>
        <w:footnoteRef/>
      </w:r>
      <w:r>
        <w:t xml:space="preserve"> Jones, </w:t>
      </w:r>
      <w:r w:rsidR="00586AED" w:rsidRPr="00586AED">
        <w:t>p.196</w:t>
      </w:r>
      <w:r>
        <w:rPr>
          <w:i/>
        </w:rPr>
        <w:t>.</w:t>
      </w:r>
    </w:p>
  </w:footnote>
  <w:footnote w:id="23">
    <w:p w14:paraId="1282D4C7" w14:textId="12EA7A43" w:rsidR="00FD31B3" w:rsidRDefault="00FD31B3">
      <w:pPr>
        <w:pStyle w:val="FootnoteText"/>
      </w:pPr>
      <w:r>
        <w:rPr>
          <w:rStyle w:val="FootnoteReference"/>
        </w:rPr>
        <w:footnoteRef/>
      </w:r>
      <w:r>
        <w:t xml:space="preserve"> King, p</w:t>
      </w:r>
      <w:r w:rsidR="00247CFA">
        <w:t>.</w:t>
      </w:r>
      <w:r>
        <w:t>133.</w:t>
      </w:r>
    </w:p>
  </w:footnote>
  <w:footnote w:id="24">
    <w:p w14:paraId="77A2ED66" w14:textId="48612432" w:rsidR="00EA3E59" w:rsidRDefault="00EA3E59">
      <w:pPr>
        <w:pStyle w:val="FootnoteText"/>
      </w:pPr>
      <w:r>
        <w:rPr>
          <w:rStyle w:val="FootnoteReference"/>
        </w:rPr>
        <w:footnoteRef/>
      </w:r>
      <w:r>
        <w:t xml:space="preserve"> </w:t>
      </w:r>
      <w:proofErr w:type="spellStart"/>
      <w:r w:rsidR="00BD0559">
        <w:t>Stansell</w:t>
      </w:r>
      <w:proofErr w:type="spellEnd"/>
      <w:r w:rsidR="00BD0559">
        <w:t>, p</w:t>
      </w:r>
      <w:r w:rsidR="00247CFA">
        <w:t>.</w:t>
      </w:r>
      <w:r w:rsidR="00BD0559">
        <w:t>125.</w:t>
      </w:r>
    </w:p>
  </w:footnote>
  <w:footnote w:id="25">
    <w:p w14:paraId="60B3A1FB" w14:textId="51B6736C" w:rsidR="00247CFA" w:rsidRDefault="00247CFA">
      <w:pPr>
        <w:pStyle w:val="FootnoteText"/>
      </w:pPr>
      <w:r>
        <w:rPr>
          <w:rStyle w:val="FootnoteReference"/>
        </w:rPr>
        <w:footnoteRef/>
      </w:r>
      <w:r>
        <w:t xml:space="preserve"> </w:t>
      </w:r>
      <w:proofErr w:type="spellStart"/>
      <w:r>
        <w:t>Mowvley</w:t>
      </w:r>
      <w:proofErr w:type="spellEnd"/>
      <w:r>
        <w:t xml:space="preserve"> p.12.</w:t>
      </w:r>
    </w:p>
  </w:footnote>
  <w:footnote w:id="26">
    <w:p w14:paraId="7487D50B" w14:textId="0BD44EDC" w:rsidR="00F6465A" w:rsidRPr="00F6465A" w:rsidRDefault="00F6465A">
      <w:pPr>
        <w:pStyle w:val="FootnoteText"/>
      </w:pPr>
      <w:r>
        <w:rPr>
          <w:rStyle w:val="FootnoteReference"/>
        </w:rPr>
        <w:footnoteRef/>
      </w:r>
      <w:r>
        <w:t xml:space="preserve"> Keith W. </w:t>
      </w:r>
      <w:proofErr w:type="spellStart"/>
      <w:r>
        <w:t>Whitelam</w:t>
      </w:r>
      <w:proofErr w:type="spellEnd"/>
      <w:r>
        <w:t xml:space="preserve"> 'The Social World of the Bible' in John Barton (ed) </w:t>
      </w:r>
      <w:r>
        <w:rPr>
          <w:i/>
        </w:rPr>
        <w:t xml:space="preserve">The Cambridge Companion to Biblical Interpretation  </w:t>
      </w:r>
      <w:r>
        <w:t>(Cambridge: Cambridge University Press</w:t>
      </w:r>
      <w:r w:rsidR="009B3195">
        <w:t xml:space="preserve">, 1998) </w:t>
      </w:r>
      <w:r w:rsidR="00586AED">
        <w:t>(</w:t>
      </w:r>
      <w:r w:rsidR="009B3195">
        <w:t>p.38</w:t>
      </w:r>
      <w:r w:rsidR="00586AED">
        <w:t>)</w:t>
      </w:r>
    </w:p>
  </w:footnote>
  <w:footnote w:id="27">
    <w:p w14:paraId="6807D1F8" w14:textId="41D3D95A" w:rsidR="00AF65FD" w:rsidRDefault="00AF65FD">
      <w:pPr>
        <w:pStyle w:val="FootnoteText"/>
      </w:pPr>
      <w:r>
        <w:rPr>
          <w:rStyle w:val="FootnoteReference"/>
        </w:rPr>
        <w:footnoteRef/>
      </w:r>
      <w:r>
        <w:t xml:space="preserve"> </w:t>
      </w:r>
      <w:proofErr w:type="spellStart"/>
      <w:r>
        <w:t>Mowvley</w:t>
      </w:r>
      <w:proofErr w:type="spellEnd"/>
      <w:r>
        <w:t>, p.11</w:t>
      </w:r>
    </w:p>
  </w:footnote>
  <w:footnote w:id="28">
    <w:p w14:paraId="3E0A0D04" w14:textId="2239C764" w:rsidR="00E01023" w:rsidRDefault="00E01023">
      <w:pPr>
        <w:pStyle w:val="FootnoteText"/>
      </w:pPr>
      <w:r>
        <w:rPr>
          <w:rStyle w:val="FootnoteReference"/>
        </w:rPr>
        <w:footnoteRef/>
      </w:r>
      <w:r>
        <w:t xml:space="preserve"> Keren, p23</w:t>
      </w:r>
    </w:p>
  </w:footnote>
  <w:footnote w:id="29">
    <w:p w14:paraId="475EC78D" w14:textId="7DCD917B" w:rsidR="00E01023" w:rsidRDefault="00E01023">
      <w:pPr>
        <w:pStyle w:val="FootnoteText"/>
      </w:pPr>
      <w:r>
        <w:rPr>
          <w:rStyle w:val="FootnoteReference"/>
        </w:rPr>
        <w:footnoteRef/>
      </w:r>
      <w:r>
        <w:t xml:space="preserve"> </w:t>
      </w:r>
      <w:proofErr w:type="spellStart"/>
      <w:r>
        <w:t>Stansell</w:t>
      </w:r>
      <w:proofErr w:type="spellEnd"/>
      <w:r>
        <w:t>. p.27</w:t>
      </w:r>
    </w:p>
  </w:footnote>
  <w:footnote w:id="30">
    <w:p w14:paraId="5BAD7534" w14:textId="77777777" w:rsidR="00FA4D81" w:rsidRDefault="00FA4D81" w:rsidP="00FA4D81">
      <w:pPr>
        <w:pStyle w:val="FootnoteText"/>
      </w:pPr>
      <w:r>
        <w:rPr>
          <w:rStyle w:val="FootnoteReference"/>
        </w:rPr>
        <w:footnoteRef/>
      </w:r>
      <w:r>
        <w:t xml:space="preserve"> NRSV(Anglicised)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F997E" w14:textId="7FB49A71" w:rsidR="0025102B" w:rsidRPr="0025102B" w:rsidRDefault="0025102B">
    <w:pPr>
      <w:pStyle w:val="Header"/>
      <w:rPr>
        <w:sz w:val="24"/>
        <w:szCs w:val="24"/>
      </w:rPr>
    </w:pPr>
    <w:r w:rsidRPr="0025102B">
      <w:rPr>
        <w:sz w:val="24"/>
        <w:szCs w:val="24"/>
      </w:rPr>
      <w:t>TRDL 7072 Assignment 1 Student Number 1803715</w:t>
    </w:r>
  </w:p>
  <w:p w14:paraId="18DEB9D1" w14:textId="77777777" w:rsidR="0025102B" w:rsidRDefault="002510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E61"/>
    <w:rsid w:val="00090882"/>
    <w:rsid w:val="000F7155"/>
    <w:rsid w:val="00247CFA"/>
    <w:rsid w:val="0025102B"/>
    <w:rsid w:val="002647F5"/>
    <w:rsid w:val="002B1934"/>
    <w:rsid w:val="002E2BB9"/>
    <w:rsid w:val="002E2D0F"/>
    <w:rsid w:val="00314DD4"/>
    <w:rsid w:val="003334B7"/>
    <w:rsid w:val="003814FA"/>
    <w:rsid w:val="003B1E61"/>
    <w:rsid w:val="003C361B"/>
    <w:rsid w:val="003D002B"/>
    <w:rsid w:val="004148A2"/>
    <w:rsid w:val="00444369"/>
    <w:rsid w:val="0057093A"/>
    <w:rsid w:val="00586AED"/>
    <w:rsid w:val="005D09BF"/>
    <w:rsid w:val="005D1916"/>
    <w:rsid w:val="006F33F1"/>
    <w:rsid w:val="00737283"/>
    <w:rsid w:val="00792297"/>
    <w:rsid w:val="007E6145"/>
    <w:rsid w:val="00843451"/>
    <w:rsid w:val="0085325F"/>
    <w:rsid w:val="0096575E"/>
    <w:rsid w:val="009A7AF8"/>
    <w:rsid w:val="009B10E7"/>
    <w:rsid w:val="009B3195"/>
    <w:rsid w:val="00A067A9"/>
    <w:rsid w:val="00A763A7"/>
    <w:rsid w:val="00A777D6"/>
    <w:rsid w:val="00A82FA9"/>
    <w:rsid w:val="00AB64C7"/>
    <w:rsid w:val="00AF1DB3"/>
    <w:rsid w:val="00AF65FD"/>
    <w:rsid w:val="00B110F4"/>
    <w:rsid w:val="00B14D6F"/>
    <w:rsid w:val="00B817A1"/>
    <w:rsid w:val="00BC0DE5"/>
    <w:rsid w:val="00BD018E"/>
    <w:rsid w:val="00BD0559"/>
    <w:rsid w:val="00C36B5F"/>
    <w:rsid w:val="00CB095E"/>
    <w:rsid w:val="00CB16D8"/>
    <w:rsid w:val="00CC2AF9"/>
    <w:rsid w:val="00CD2F85"/>
    <w:rsid w:val="00CD753F"/>
    <w:rsid w:val="00D30A35"/>
    <w:rsid w:val="00D44528"/>
    <w:rsid w:val="00DF0CBB"/>
    <w:rsid w:val="00DF6D01"/>
    <w:rsid w:val="00E01023"/>
    <w:rsid w:val="00E247B0"/>
    <w:rsid w:val="00E83C37"/>
    <w:rsid w:val="00EA3E59"/>
    <w:rsid w:val="00EA7C57"/>
    <w:rsid w:val="00EB2351"/>
    <w:rsid w:val="00F00EBF"/>
    <w:rsid w:val="00F6465A"/>
    <w:rsid w:val="00FA4D81"/>
    <w:rsid w:val="00FD3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FC1F3C"/>
  <w15:chartTrackingRefBased/>
  <w15:docId w15:val="{CA3B8A0B-9065-44E9-840A-8D4F1672F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2">
    <w:name w:val="chapter-2"/>
    <w:basedOn w:val="Normal"/>
    <w:rsid w:val="003B1E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3B1E61"/>
  </w:style>
  <w:style w:type="character" w:customStyle="1" w:styleId="chapternum">
    <w:name w:val="chapternum"/>
    <w:basedOn w:val="DefaultParagraphFont"/>
    <w:rsid w:val="003B1E61"/>
  </w:style>
  <w:style w:type="paragraph" w:styleId="NormalWeb">
    <w:name w:val="Normal (Web)"/>
    <w:basedOn w:val="Normal"/>
    <w:uiPriority w:val="99"/>
    <w:semiHidden/>
    <w:unhideWhenUsed/>
    <w:rsid w:val="003B1E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ne">
    <w:name w:val="line"/>
    <w:basedOn w:val="Normal"/>
    <w:rsid w:val="003B1E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dent-1-breaks">
    <w:name w:val="indent-1-breaks"/>
    <w:basedOn w:val="DefaultParagraphFont"/>
    <w:rsid w:val="003B1E61"/>
  </w:style>
  <w:style w:type="paragraph" w:customStyle="1" w:styleId="first-line-none">
    <w:name w:val="first-line-none"/>
    <w:basedOn w:val="Normal"/>
    <w:rsid w:val="003B1E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3B1E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1E61"/>
    <w:rPr>
      <w:sz w:val="20"/>
      <w:szCs w:val="20"/>
    </w:rPr>
  </w:style>
  <w:style w:type="character" w:styleId="FootnoteReference">
    <w:name w:val="footnote reference"/>
    <w:basedOn w:val="DefaultParagraphFont"/>
    <w:uiPriority w:val="99"/>
    <w:semiHidden/>
    <w:unhideWhenUsed/>
    <w:rsid w:val="003B1E61"/>
    <w:rPr>
      <w:vertAlign w:val="superscript"/>
    </w:rPr>
  </w:style>
  <w:style w:type="paragraph" w:styleId="Header">
    <w:name w:val="header"/>
    <w:basedOn w:val="Normal"/>
    <w:link w:val="HeaderChar"/>
    <w:uiPriority w:val="99"/>
    <w:unhideWhenUsed/>
    <w:rsid w:val="002510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02B"/>
  </w:style>
  <w:style w:type="paragraph" w:styleId="Footer">
    <w:name w:val="footer"/>
    <w:basedOn w:val="Normal"/>
    <w:link w:val="FooterChar"/>
    <w:uiPriority w:val="99"/>
    <w:unhideWhenUsed/>
    <w:rsid w:val="002510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548490">
      <w:bodyDiv w:val="1"/>
      <w:marLeft w:val="0"/>
      <w:marRight w:val="0"/>
      <w:marTop w:val="0"/>
      <w:marBottom w:val="0"/>
      <w:divBdr>
        <w:top w:val="none" w:sz="0" w:space="0" w:color="auto"/>
        <w:left w:val="none" w:sz="0" w:space="0" w:color="auto"/>
        <w:bottom w:val="none" w:sz="0" w:space="0" w:color="auto"/>
        <w:right w:val="none" w:sz="0" w:space="0" w:color="auto"/>
      </w:divBdr>
      <w:divsChild>
        <w:div w:id="1113473072">
          <w:marLeft w:val="240"/>
          <w:marRight w:val="0"/>
          <w:marTop w:val="240"/>
          <w:marBottom w:val="240"/>
          <w:divBdr>
            <w:top w:val="none" w:sz="0" w:space="0" w:color="auto"/>
            <w:left w:val="none" w:sz="0" w:space="0" w:color="auto"/>
            <w:bottom w:val="none" w:sz="0" w:space="0" w:color="auto"/>
            <w:right w:val="none" w:sz="0" w:space="0" w:color="auto"/>
          </w:divBdr>
        </w:div>
      </w:divsChild>
    </w:div>
    <w:div w:id="1817793806">
      <w:bodyDiv w:val="1"/>
      <w:marLeft w:val="0"/>
      <w:marRight w:val="0"/>
      <w:marTop w:val="0"/>
      <w:marBottom w:val="0"/>
      <w:divBdr>
        <w:top w:val="none" w:sz="0" w:space="0" w:color="auto"/>
        <w:left w:val="none" w:sz="0" w:space="0" w:color="auto"/>
        <w:bottom w:val="none" w:sz="0" w:space="0" w:color="auto"/>
        <w:right w:val="none" w:sz="0" w:space="0" w:color="auto"/>
      </w:divBdr>
      <w:divsChild>
        <w:div w:id="414011143">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F4A20-8801-4F2B-B38B-6E893B60C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5</Pages>
  <Words>1684</Words>
  <Characters>9604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Barlow</dc:creator>
  <cp:keywords/>
  <dc:description/>
  <cp:lastModifiedBy>Ann Barlow</cp:lastModifiedBy>
  <cp:revision>14</cp:revision>
  <dcterms:created xsi:type="dcterms:W3CDTF">2019-03-26T09:05:00Z</dcterms:created>
  <dcterms:modified xsi:type="dcterms:W3CDTF">2019-04-03T08:33:00Z</dcterms:modified>
</cp:coreProperties>
</file>