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ascii="Times New Roman" w:hAnsi="Times New Roman" w:cs="Times New Roman"/>
          <w:sz w:val="32"/>
          <w:szCs w:val="32"/>
          <w:lang w:val="en-US" w:eastAsia="zh-CN"/>
        </w:rPr>
      </w:pPr>
      <w:bookmarkStart w:id="0" w:name="_Toc25989"/>
      <w:r>
        <w:rPr>
          <w:rFonts w:hint="default" w:ascii="Times New Roman" w:hAnsi="Times New Roman" w:cs="Times New Roman"/>
          <w:sz w:val="32"/>
          <w:szCs w:val="32"/>
          <w:lang w:val="en-US" w:eastAsia="zh-CN"/>
        </w:rPr>
        <w:t>Report of Quantitative Research</w:t>
      </w:r>
    </w:p>
    <w:p>
      <w:pPr>
        <w:pStyle w:val="2"/>
        <w:bidi w:val="0"/>
        <w:jc w:val="center"/>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Bowen Yu</w:t>
      </w:r>
    </w:p>
    <w:p>
      <w:pPr>
        <w:pStyle w:val="2"/>
        <w:bidi w:val="0"/>
        <w:jc w:val="center"/>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2008848</w:t>
      </w:r>
    </w:p>
    <w:p>
      <w:pPr>
        <w:pStyle w:val="2"/>
        <w:bidi w:val="0"/>
        <w:jc w:val="center"/>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32"/>
          <w:szCs w:val="32"/>
          <w:lang w:val="en-US" w:eastAsia="zh-CN"/>
        </w:rPr>
        <w:t>3406 Words</w:t>
      </w:r>
    </w:p>
    <w:p>
      <w:pPr>
        <w:pStyle w:val="2"/>
        <w:bidi w:val="0"/>
        <w:rPr>
          <w:rFonts w:hint="eastAsia"/>
          <w:lang w:val="en-US" w:eastAsia="zh-CN"/>
        </w:rPr>
      </w:pPr>
      <w:r>
        <w:rPr>
          <w:rFonts w:hint="eastAsia"/>
          <w:lang w:val="en-US" w:eastAsia="zh-CN"/>
        </w:rPr>
        <w:t>Summary</w:t>
      </w:r>
      <w:bookmarkEnd w:id="0"/>
    </w:p>
    <w:p>
      <w:pPr>
        <w:rPr>
          <w:rFonts w:hint="eastAsia"/>
          <w:lang w:val="en-US" w:eastAsia="zh-CN"/>
        </w:rPr>
      </w:pPr>
    </w:p>
    <w:p>
      <w:pPr>
        <w:rPr>
          <w:rFonts w:hint="default"/>
          <w:lang w:val="en-US" w:eastAsia="zh-CN"/>
        </w:rPr>
        <w:sectPr>
          <w:pgSz w:w="11906" w:h="16838"/>
          <w:pgMar w:top="1440" w:right="1800" w:bottom="1440" w:left="1800" w:header="851" w:footer="992" w:gutter="0"/>
          <w:cols w:space="425" w:num="1"/>
          <w:docGrid w:type="lines" w:linePitch="312" w:charSpace="0"/>
        </w:sectPr>
      </w:pPr>
      <w:r>
        <w:rPr>
          <w:rFonts w:hint="default"/>
          <w:lang w:val="en-US" w:eastAsia="zh-CN"/>
        </w:rPr>
        <w:t>This report mainly discusses quantitative analysis research methods, and discusses the application of quantitative analysis in the report using parametric and non-parametric statistics, and finally gives evaluations and suggestions.</w:t>
      </w:r>
    </w:p>
    <w:sdt>
      <w:sdtPr>
        <w:rPr>
          <w:rFonts w:ascii="宋体" w:hAnsi="宋体" w:eastAsia="宋体" w:cstheme="minorBidi"/>
          <w:kern w:val="2"/>
          <w:sz w:val="21"/>
          <w:szCs w:val="24"/>
          <w:lang w:val="en-US" w:eastAsia="zh-CN" w:bidi="ar-SA"/>
        </w:rPr>
        <w:id w:val="147466399"/>
        <w15:color w:val="DBDBDB"/>
        <w:docPartObj>
          <w:docPartGallery w:val="Table of Contents"/>
          <w:docPartUnique/>
        </w:docPartObj>
      </w:sdtPr>
      <w:sdtEndPr>
        <w:rPr>
          <w:rFonts w:hint="default" w:ascii="Times New Roman" w:hAnsi="Times New Roman" w:cs="Times New Roman" w:eastAsiaTheme="minorEastAsia"/>
          <w:b/>
          <w:kern w:val="44"/>
          <w:sz w:val="44"/>
          <w:szCs w:val="30"/>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kern w:val="2"/>
              <w:sz w:val="28"/>
              <w:szCs w:val="28"/>
              <w:lang w:val="en-US" w:eastAsia="zh-CN" w:bidi="ar-SA"/>
            </w:rPr>
            <w:t>Table of Contents</w:t>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TOC \o "1-3" \h \u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_Toc25989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Summary</w:t>
          </w:r>
          <w:r>
            <w:rPr>
              <w:rFonts w:hint="default" w:ascii="Times New Roman" w:hAnsi="Times New Roman" w:cs="Times New Roman"/>
              <w:b/>
              <w:bCs/>
              <w:sz w:val="28"/>
              <w:szCs w:val="28"/>
            </w:rPr>
            <w:tab/>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_Toc16663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1.0 Introduction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_Toc16663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1</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_Toc22511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2.0 Rationale for Choice of Articles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_Toc22511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2</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3"/>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_Toc15469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2.1 Two Decades of Sustainability Management Tools for SMEs: How Far Have We Come?</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_Toc15469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2</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3"/>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_Toc25294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2.2 Organizational Commitment in Mexican Small and Medium-Sized Firms: The Role of Work Status, Organizational Climate, and Entrepreneurial Orientation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_Toc25294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4</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_Toc18252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3.0 Discussion of Methodology and Research Design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_Toc18252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5</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3"/>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_Toc22885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eastAsia="Adobe Gothic Std B" w:cs="Times New Roman"/>
              <w:b/>
              <w:bCs/>
              <w:sz w:val="28"/>
              <w:szCs w:val="28"/>
              <w:lang w:val="en-US" w:eastAsia="zh-CN"/>
            </w:rPr>
            <w:t>3.1 Parametric and non-parametric statistic</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_Toc22885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5</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3"/>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_Toc20751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3.2 Critical Discussion to Articles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_Toc20751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6</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4"/>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_Toc23071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3.2.1 Two Decades of Sustainability Management Tools for SMEs: How Far Have We Come?</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_Toc23071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6</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4"/>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_Toc16627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3.2.2 Organizational Commitment in Mexican Small and Medium-Sized Firms: The Role of Work Status, Organizational Climate, and Entrepreneurial Orientation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_Toc16627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8</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_Toc20446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 xml:space="preserve">4.0 </w:t>
          </w:r>
          <w:r>
            <w:rPr>
              <w:rFonts w:hint="default" w:ascii="Times New Roman" w:hAnsi="Times New Roman" w:cs="Times New Roman"/>
              <w:b/>
              <w:bCs/>
              <w:sz w:val="28"/>
              <w:szCs w:val="28"/>
            </w:rPr>
            <w:t>Conclusion and recommendations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_Toc20446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9</w:t>
          </w: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_Toc15517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5.0 References</w:t>
          </w:r>
          <w:r>
            <w:rPr>
              <w:rFonts w:hint="default" w:ascii="Times New Roman" w:hAnsi="Times New Roman" w:cs="Times New Roman"/>
              <w:b/>
              <w:bCs/>
              <w:sz w:val="28"/>
              <w:szCs w:val="28"/>
            </w:rPr>
            <w:tab/>
          </w:r>
          <w:r>
            <w:rPr>
              <w:rFonts w:hint="default" w:ascii="Times New Roman" w:hAnsi="Times New Roman" w:cs="Times New Roman"/>
              <w:b/>
              <w:bCs/>
              <w:sz w:val="28"/>
              <w:szCs w:val="28"/>
              <w:lang w:val="en-US" w:eastAsia="zh-CN"/>
            </w:rPr>
            <w:fldChar w:fldCharType="end"/>
          </w:r>
        </w:p>
        <w:p>
          <w:pPr>
            <w:pStyle w:val="12"/>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_Toc16078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Appendix</w:t>
          </w:r>
          <w:r>
            <w:rPr>
              <w:rFonts w:hint="default" w:ascii="Times New Roman" w:hAnsi="Times New Roman" w:cs="Times New Roman"/>
              <w:b/>
              <w:bCs/>
              <w:sz w:val="28"/>
              <w:szCs w:val="28"/>
            </w:rPr>
            <w:tab/>
          </w:r>
          <w:r>
            <w:rPr>
              <w:rFonts w:hint="default" w:ascii="Times New Roman" w:hAnsi="Times New Roman" w:cs="Times New Roman"/>
              <w:b/>
              <w:bCs/>
              <w:sz w:val="28"/>
              <w:szCs w:val="28"/>
              <w:lang w:val="en-US" w:eastAsia="zh-CN"/>
            </w:rPr>
            <w:fldChar w:fldCharType="end"/>
          </w:r>
        </w:p>
        <w:p>
          <w:pPr>
            <w:pStyle w:val="13"/>
            <w:tabs>
              <w:tab w:val="right" w:leader="dot" w:pos="8306"/>
            </w:tabs>
            <w:rPr>
              <w:rFonts w:hint="default" w:ascii="Times New Roman" w:hAnsi="Times New Roman" w:cs="Times New Roman"/>
              <w:b/>
              <w:bCs/>
              <w:sz w:val="28"/>
              <w:szCs w:val="28"/>
            </w:rPr>
          </w:pPr>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_Toc24608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Copy of Articles</w:t>
          </w:r>
          <w:r>
            <w:rPr>
              <w:rFonts w:hint="default" w:ascii="Times New Roman" w:hAnsi="Times New Roman" w:cs="Times New Roman"/>
              <w:b/>
              <w:bCs/>
              <w:sz w:val="28"/>
              <w:szCs w:val="28"/>
            </w:rPr>
            <w:tab/>
          </w:r>
          <w:r>
            <w:rPr>
              <w:rFonts w:hint="default" w:ascii="Times New Roman" w:hAnsi="Times New Roman" w:cs="Times New Roman"/>
              <w:b/>
              <w:bCs/>
              <w:sz w:val="28"/>
              <w:szCs w:val="28"/>
              <w:lang w:val="en-US" w:eastAsia="zh-CN"/>
            </w:rPr>
            <w:fldChar w:fldCharType="end"/>
          </w:r>
        </w:p>
        <w:p>
          <w:pPr>
            <w:pStyle w:val="2"/>
            <w:bidi w:val="0"/>
            <w:outlineLvl w:val="9"/>
            <w:rPr>
              <w:rFonts w:hint="default"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p>
        <w:p>
          <w:pPr>
            <w:pStyle w:val="2"/>
            <w:bidi w:val="0"/>
            <w:outlineLvl w:val="9"/>
          </w:pPr>
          <w:r>
            <w:rPr>
              <w:rFonts w:hint="default" w:ascii="Times New Roman" w:hAnsi="Times New Roman" w:cs="Times New Roman"/>
              <w:b/>
              <w:bCs/>
              <w:sz w:val="28"/>
              <w:szCs w:val="28"/>
              <w:lang w:val="en-US" w:eastAsia="zh-CN"/>
            </w:rPr>
            <w:fldChar w:fldCharType="end"/>
          </w:r>
          <w:bookmarkStart w:id="1" w:name="_Toc16663"/>
        </w:p>
      </w:sdtContent>
    </w:sdt>
    <w:p>
      <w:pPr>
        <w:pStyle w:val="2"/>
        <w:bidi w:val="0"/>
        <w:spacing w:line="360" w:lineRule="auto"/>
        <w:outlineLvl w:val="9"/>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1.0 Introduction</w:t>
      </w:r>
      <w:bookmarkEnd w:id="1"/>
    </w:p>
    <w:p>
      <w:pPr>
        <w:spacing w:line="360" w:lineRule="auto"/>
        <w:rPr>
          <w:rFonts w:hint="eastAsia"/>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Generally, quantitative research is defined as the systematic investigation of targets by collecting quantifiable data and performing statistics, mathematics or computer technology. Quantitative research uses systematic sampling to collect information from target groups and issue survey actions. The results of the survey can be described in the form of numbers, which can predict the future of a survey object and make corresponding changes.</w:t>
      </w:r>
      <w:r>
        <w:rPr>
          <w:rFonts w:hint="eastAsia" w:ascii="Times New Roman" w:hAnsi="Times New Roman" w:cs="Times New Roman"/>
          <w:sz w:val="24"/>
          <w:szCs w:val="24"/>
          <w:lang w:val="en-US" w:eastAsia="zh-CN"/>
        </w:rPr>
        <w:t xml:space="preserve"> (Goertzen, 2017, Chan,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emphasizes objective measurement, public opinion surveys, questionnaire surveys, and computer technology to process and analyze pre-existing statistical data. Quantitative research focuses on collecting numerical data and generalizing it to different populations or explaining specific phenomena.</w:t>
      </w:r>
      <w:r>
        <w:rPr>
          <w:rFonts w:hint="eastAsia" w:ascii="Times New Roman" w:hAnsi="Times New Roman" w:cs="Times New Roman"/>
          <w:sz w:val="24"/>
          <w:szCs w:val="24"/>
          <w:lang w:val="en-US" w:eastAsia="zh-CN"/>
        </w:rPr>
        <w:t xml:space="preserve"> (Goertzen, 2017, Chan, 2003. Bhandari, 2020.)</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templates are objective, detailed, and in many cases even investigative. The results obtained by this research method are logical, statistical, and unbiased. Data collection is conducted using structured methods and on a larger sample that represents the entire statistical data.</w:t>
      </w:r>
      <w:r>
        <w:rPr>
          <w:rFonts w:hint="eastAsia" w:ascii="Times New Roman" w:hAnsi="Times New Roman" w:cs="Times New Roman"/>
          <w:sz w:val="24"/>
          <w:szCs w:val="24"/>
          <w:lang w:val="en-US" w:eastAsia="zh-CN"/>
        </w:rPr>
        <w:t xml:space="preserve"> (Goertzen, 2017, Chan, 2003. Bhandari, 2020.)</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the researcher chooses two articles as the research objects of quantitative analysis. The researcher selected the article from the Journal of Small Business Management, and the subject of the article was mainly related to the development and management of small and medium-sized enterprises. The first article mainly introduces the relevant content of the sustainable development management tools of small and medium-sized enterprises. The second article analyzes the impact of organizational commitment, organizational climate and organizational orientation on employees based on the background of Mexican small and medium-sized enterprises and employees. These two articles are a good demonstration of the application of quantitative research in journal articles, and show the importance of quantitative research from different angles.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lang w:val="en-US" w:eastAsia="zh-CN"/>
        </w:rPr>
        <w:t>This report will first introduce the main content of the two articles, and then analyze and critically discuss the articles. At the end of the article, the researcher will summarize, evaluate and give some suggestions on the article.</w:t>
      </w:r>
      <w:bookmarkStart w:id="14" w:name="_GoBack"/>
      <w:bookmarkEnd w:id="14"/>
    </w:p>
    <w:p>
      <w:pPr>
        <w:pStyle w:val="2"/>
        <w:bidi w:val="0"/>
        <w:spacing w:line="360" w:lineRule="auto"/>
        <w:rPr>
          <w:rFonts w:hint="default" w:ascii="Times New Roman" w:hAnsi="Times New Roman" w:cs="Times New Roman"/>
          <w:sz w:val="30"/>
          <w:szCs w:val="30"/>
          <w:lang w:val="en-US" w:eastAsia="zh-CN"/>
        </w:rPr>
      </w:pPr>
      <w:bookmarkStart w:id="2" w:name="_Toc22511"/>
      <w:r>
        <w:rPr>
          <w:rFonts w:hint="default" w:ascii="Times New Roman" w:hAnsi="Times New Roman" w:cs="Times New Roman"/>
          <w:sz w:val="30"/>
          <w:szCs w:val="30"/>
          <w:lang w:val="en-US" w:eastAsia="zh-CN"/>
        </w:rPr>
        <w:t>2.0 Rationale for Choice of Articles</w:t>
      </w:r>
      <w:bookmarkEnd w:id="2"/>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selected two articles related to quantitative analysis. They are Johnson and Schaltegger (2016)'s Two Decades of Sustainability Management Tools for SMEs: How Far Have We Come? and Clercq and Rius (2007) Organizational Commitment in Mexican Small and Medium-Sized Firms: The Role of Work Status, Organizational Climate, and Entrepreneurial Orientation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themes of the two articles are discussed around the development, innovation and future planning of small and medium enterprises.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reason why the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chose these two articles is that they both illustrate the importance of the management and development of enterprises, especially small and medium-sized enterprises. These two articles are related to the organizational crisis and crisis management theories studied by the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and can help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understand useful information such as organizational management, organizational development, and organizational resource allocation.</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researcher believes that it is necessary to give a brief introduction to the two articles in this section, and then the researcher will briefly summarize the content of the two articles.</w:t>
      </w:r>
    </w:p>
    <w:p>
      <w:pPr>
        <w:pStyle w:val="3"/>
        <w:bidi w:val="0"/>
        <w:spacing w:line="360" w:lineRule="auto"/>
        <w:rPr>
          <w:rFonts w:hint="default" w:ascii="Times New Roman" w:hAnsi="Times New Roman" w:cs="Times New Roman"/>
          <w:sz w:val="28"/>
          <w:szCs w:val="28"/>
          <w:lang w:val="en-US" w:eastAsia="zh-CN"/>
        </w:rPr>
      </w:pPr>
      <w:bookmarkStart w:id="3" w:name="_Toc15469"/>
      <w:r>
        <w:rPr>
          <w:rFonts w:hint="eastAsia" w:ascii="Times New Roman" w:hAnsi="Times New Roman" w:cs="Times New Roman"/>
          <w:sz w:val="28"/>
          <w:szCs w:val="28"/>
          <w:lang w:val="en-US" w:eastAsia="zh-CN"/>
        </w:rPr>
        <w:t xml:space="preserve">2.1 </w:t>
      </w:r>
      <w:r>
        <w:rPr>
          <w:rFonts w:hint="default" w:ascii="Times New Roman" w:hAnsi="Times New Roman" w:cs="Times New Roman"/>
          <w:sz w:val="28"/>
          <w:szCs w:val="28"/>
          <w:lang w:val="en-US" w:eastAsia="zh-CN"/>
        </w:rPr>
        <w:t>Two Decades of Sustainability Management Tools for</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SMEs: How Far Have We Come?</w:t>
      </w:r>
      <w:bookmarkEnd w:id="3"/>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article,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emphasize the importance of sustainable development management in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although many scholars have discussed different management methods and potential challenges, there is still a lack of research and review of sustainable development management tools for SMEs. Therefore, the center of this article is based on a systematic review of academic literature, discussing the importance of implementing sustainability management tools for SMEs, and discussing the main implementation obstacles and promotion standards. In addition, the impact on future research, SME management and public policy is also mapped.</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article has four core parts in total: First,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confirm the number of sustainable development tools for SMEs through quantitative and qualitative research. These include: auditing, corporate social responsibility management, environmental management, policy, life cycle and network, etc. Secondly,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 the reasons why SMEs implement sustainable development management, which includes several aspects. The first is the decision-making aspect: sustainable development management helps small and medium-sized enterprises have legal rules and regulations, and evaluates the content of decision-making. Secondly, the sustainable development management of small and medium-sized enterprises can help enterprises reduce the complexity of the company and help managers measure the environment and internal performance. Finally, the sustainable development of SMEs can help companies manage stakeholder relationships, especially the relationship between development agencies and local administrative bodies.</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Secondly,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 the obstacles to the sustainable development management of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classif</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 these obstacles into two categories, namely internal obstacles and external obstacles. The internal shortcomings of SMEs include lack of awareness of sustainability issues, lack of perceivable benefits, lack of knowledge and expertise, and lack of human and financial resources. The second category involves external deficiencies, including insufficient external drivers and incentives, the inapplicability of formal management tools in the informal SME structure, and the complexity of international standards and tools designed for local-focused SMEs.</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third part,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describe the standards that promote the implementation of sustainable development management tools for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that the implementation of sustainable development management tools for SMEs should be: the simplicity of management tools/user convenience, the practicality/cost-effectiveness of management tools, the adaptability/flexibility of management tools, the company’s customized management tools to local Focus on management tools and group and network management-oriented tools. In this section,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that the current information is mainly focused on the development and adjustment of existing sustainable development management tools. In terms of further implementation or improvement of management tools, or whether it is necessary to develop new management tools,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the need for further observation.</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the end,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discussed and prospected this article.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over time, the scope of continuous development of management tools for small and medium enterprises has become larger and more diverse. Not only that, the current vulnerabilities and problems existing in the enterprise can be solved through manageable solutions. Most of the management tools implemented by enterprises are also rationally supported by experience.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although the current sustainable development management tools for small and medium-sized enterprises have been extensively developed, the excessive or blind use of management tools by business managers can also lead to negative effects.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managers of small and medium-sized enterprises need to optimize the management tools that are most suitable for the development of the enterprise while considering the enterprise's own situation.</w:t>
      </w:r>
      <w:r>
        <w:rPr>
          <w:rFonts w:hint="eastAsia" w:ascii="Times New Roman" w:hAnsi="Times New Roman" w:cs="Times New Roman"/>
          <w:sz w:val="24"/>
          <w:szCs w:val="24"/>
          <w:lang w:val="en-US" w:eastAsia="zh-CN"/>
        </w:rPr>
        <w:t xml:space="preserve"> (Johnson and schaltegger, 2016)</w:t>
      </w:r>
    </w:p>
    <w:p>
      <w:pPr>
        <w:pStyle w:val="3"/>
        <w:bidi w:val="0"/>
        <w:spacing w:line="360" w:lineRule="auto"/>
        <w:rPr>
          <w:rFonts w:hint="default" w:ascii="Times New Roman" w:hAnsi="Times New Roman" w:cs="Times New Roman"/>
          <w:sz w:val="28"/>
          <w:szCs w:val="28"/>
          <w:lang w:val="en-US" w:eastAsia="zh-CN"/>
        </w:rPr>
      </w:pPr>
      <w:bookmarkStart w:id="4" w:name="_Toc25294"/>
      <w:r>
        <w:rPr>
          <w:rFonts w:hint="eastAsia" w:ascii="Times New Roman" w:hAnsi="Times New Roman" w:cs="Times New Roman"/>
          <w:sz w:val="28"/>
          <w:szCs w:val="28"/>
          <w:lang w:val="en-US" w:eastAsia="zh-CN"/>
        </w:rPr>
        <w:t xml:space="preserve">2.2 </w:t>
      </w:r>
      <w:r>
        <w:rPr>
          <w:rFonts w:hint="default" w:ascii="Times New Roman" w:hAnsi="Times New Roman" w:cs="Times New Roman"/>
          <w:sz w:val="28"/>
          <w:szCs w:val="28"/>
          <w:lang w:val="en-US" w:eastAsia="zh-CN"/>
        </w:rPr>
        <w:t>Organizational Commitment in Mexican Small and Medium-Sized Firms: The Role of Work Status, Organizational Climate, and Entrepreneurial Orientation</w:t>
      </w:r>
      <w:bookmarkEnd w:id="4"/>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made several hypotheses in order to demonstrate their views to promote their quantitative research activities. First,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tr</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 to solve this gap by studying how the organizational commitment and efforts of small and medium-sized companies rely on the following factors: the individual's job status in the company, their perception of the organizational climate, and the company's entrepreneurial direction. Therefore, they assume that holding a higher position in the company will positively affect the individual’s attitude towards the employer and the positive impact of their actual behavior in the organization. That is: the status of individuals in the company is positively related to their organizational commitment. The level of an individual’s position in the company is positively correlated with their efforts.</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second hypothesis given by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is: assuming that the tenure of individuals in the company will affect their attitudes relative to their organization, as well as their actual behavior in the organization. That is: the tenure of individuals in the company is positively related to their organizational commitments. Individuals’ tenure in the company is positively correlated with their efforts</w:t>
      </w:r>
      <w:r>
        <w:rPr>
          <w:rFonts w:hint="eastAsia" w:ascii="Times New Roman" w:hAnsi="Times New Roman" w:cs="Times New Roman"/>
          <w:sz w:val="24"/>
          <w:szCs w:val="24"/>
          <w:lang w:val="en-US" w:eastAsia="zh-CN"/>
        </w:rPr>
        <w:t>.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perceived safety of the heart will contribute to one's commitment and effort. Through research,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found that the personal loyalty of Mexican SME employees to their organization is positively affected by their overall perception of supervisor support and overall satisfaction with work goals. Their perception of psychological safety may be an important driving factor for their attitudes and behaviors. That is, the individual's perception of psychological safety is positively related to their organizational commitment. Individuals’ perception of psychological safety is positively correlated with their efforts.</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Next,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assum</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that there is a positive relationship between the perception of meaning and the individual's efforts with respect to his organization. That is: the individual's perception of psychological meaning is positively correlated with their firm commitment to themselves. Individuals’ perception of psychological meaning is positively related to their efforts to the company.</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Next,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assume that the company’s entrepreneurial orientation is positively correlated with the individual’s organizational commitment. The company's entrepreneurial direction is positively related to individual efforts. And personal organizational commitments are positively related to their efforts, and personal organizational commitments mediate the relationship between position, tenure, psychological safety, psychological meaning, entrepreneurial orientation and effort</w:t>
      </w:r>
      <w:r>
        <w:rPr>
          <w:rFonts w:hint="eastAsia" w:ascii="Times New Roman" w:hAnsi="Times New Roman" w:cs="Times New Roman"/>
          <w:sz w:val="24"/>
          <w:szCs w:val="24"/>
          <w:lang w:val="en-US" w:eastAsia="zh-CN"/>
        </w:rPr>
        <w:t>.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After the statistics of quantitative analysis actions,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personal work status, their perception of the organizational atmosphere, and the company's entrepreneurial orientation are positively related to the individual's commitment and effort. The level of company commitment is positively correlated with personal effort.</w:t>
      </w:r>
      <w:r>
        <w:rPr>
          <w:rFonts w:hint="eastAsia" w:ascii="Times New Roman" w:hAnsi="Times New Roman" w:cs="Times New Roman"/>
          <w:sz w:val="24"/>
          <w:szCs w:val="24"/>
          <w:lang w:val="en-US" w:eastAsia="zh-CN"/>
        </w:rPr>
        <w:t xml:space="preserve"> (Clercq and Rius, 2007)</w:t>
      </w:r>
    </w:p>
    <w:p>
      <w:pPr>
        <w:pStyle w:val="2"/>
        <w:bidi w:val="0"/>
        <w:spacing w:line="360" w:lineRule="auto"/>
        <w:rPr>
          <w:rFonts w:hint="default" w:ascii="Times New Roman" w:hAnsi="Times New Roman" w:cs="Times New Roman"/>
          <w:sz w:val="30"/>
          <w:szCs w:val="30"/>
          <w:lang w:val="en-US" w:eastAsia="zh-CN"/>
        </w:rPr>
      </w:pPr>
      <w:bookmarkStart w:id="5" w:name="_Toc18252"/>
      <w:r>
        <w:rPr>
          <w:rFonts w:hint="default" w:ascii="Times New Roman" w:hAnsi="Times New Roman" w:cs="Times New Roman"/>
          <w:sz w:val="30"/>
          <w:szCs w:val="30"/>
          <w:lang w:val="en-US" w:eastAsia="zh-CN"/>
        </w:rPr>
        <w:t>3.0 Discussion of Methodology and Research Design</w:t>
      </w:r>
      <w:bookmarkEnd w:id="5"/>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part, the researcher will discuss and evaluate the research methods of the two articles. First, the researcher will analyze the parametric and non-parametric properties of the two articles, and introduce and analyze the parametric and non-parametric properties. Second, the researcher will combine the research methods of the two articles, analyze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research and analysis of the central argument of the article, and give a critical discussion.</w:t>
      </w:r>
    </w:p>
    <w:p>
      <w:pPr>
        <w:pStyle w:val="3"/>
        <w:bidi w:val="0"/>
        <w:spacing w:line="360" w:lineRule="auto"/>
        <w:rPr>
          <w:rFonts w:hint="default" w:ascii="Times New Roman" w:hAnsi="Times New Roman" w:eastAsia="Adobe Gothic Std B" w:cs="Times New Roman"/>
          <w:sz w:val="28"/>
          <w:szCs w:val="28"/>
          <w:lang w:val="en-US" w:eastAsia="zh-CN"/>
        </w:rPr>
      </w:pPr>
      <w:bookmarkStart w:id="6" w:name="_Toc22885"/>
      <w:r>
        <w:rPr>
          <w:rFonts w:hint="default" w:ascii="Times New Roman" w:hAnsi="Times New Roman" w:eastAsia="Adobe Gothic Std B" w:cs="Times New Roman"/>
          <w:sz w:val="28"/>
          <w:szCs w:val="28"/>
          <w:lang w:val="en-US" w:eastAsia="zh-CN"/>
        </w:rPr>
        <w:t>3.1 Parametric and non-parametric statistic</w:t>
      </w:r>
      <w:bookmarkEnd w:id="6"/>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parametric statistics, information about the overall distribution is known and based on a fixed set of parameters. Parametric statistics assume data that has been extracted from a specific distribution and used for parametric testing. (Chan, 2003. Dutta, 2014. Sheskin, 2003.)</w:t>
      </w:r>
    </w:p>
    <w:p>
      <w:pPr>
        <w:spacing w:line="360" w:lineRule="auto"/>
        <w:rPr>
          <w:rFonts w:hint="eastAsia"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Parametric hypothesis statistics indicate that the sample data follows a probability distribution based on a set of parametric. The most common assumption is that the data are normally distributed. Most common statistical methods are parameterized. Although parametric statistics are considered more powerful than non-parametric statistics, they are not always suitable for analyzing the significance of differences. The reason is that the assumptions they are based on are not always met.(Chan, 2003. Dutta, 2014. Sheskin, 2003.)</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parametric statistics, information about the overall distribution of data is known and based on a fixed set of parameters. Parametric statistics assume data that has been extracted from a specific distribution and used for parameter testing. Parametric statistics assume that the sample data is based on the probability distribution of a set of parameters. The most common one is to assume that the data is normally distributed. Nowadays, most common statistical methods are parametric statistic. (Chan, 2003. Dutta, 2014. Sheskin, 2003.)</w:t>
      </w:r>
    </w:p>
    <w:p>
      <w:pPr>
        <w:spacing w:line="360" w:lineRule="auto"/>
        <w:rPr>
          <w:rFonts w:hint="eastAsia" w:ascii="Times New Roman" w:hAnsi="Times New Roman" w:cs="Times New Roman"/>
          <w:sz w:val="24"/>
          <w:szCs w:val="24"/>
          <w:lang w:val="en-US" w:eastAsia="zh-CN"/>
        </w:rPr>
      </w:pPr>
    </w:p>
    <w:p>
      <w:pPr>
        <w:spacing w:line="360" w:lineRule="auto"/>
        <w:rPr>
          <w:rFonts w:hint="default"/>
          <w:lang w:val="en-US" w:eastAsia="zh-CN"/>
        </w:rPr>
      </w:pPr>
      <w:r>
        <w:rPr>
          <w:rFonts w:hint="eastAsia" w:ascii="Times New Roman" w:hAnsi="Times New Roman" w:cs="Times New Roman"/>
          <w:sz w:val="24"/>
          <w:szCs w:val="24"/>
          <w:lang w:val="en-US" w:eastAsia="zh-CN"/>
        </w:rPr>
        <w:t>But it is worth noting that although parametric statistics are considered to be widely used and more powerful than non-parametric statistics, it cannot always be applied to analyze the significance of differences. The reason is that the assumptions they are based on are not always met.(Chan, 2003. Dutta, 2014. Sheskin, 2003.)</w:t>
      </w:r>
    </w:p>
    <w:p>
      <w:pPr>
        <w:spacing w:line="360" w:lineRule="auto"/>
        <w:rPr>
          <w:rFonts w:hint="default"/>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Non-parametric statistics refers to methods that do not assume that the data comes from a prescribed model determined by a few parameters. The sample data of non-parametric statistics does not have to follow a normal distribution. The sample data is not based on numbers but on other criteria, such as ranking or commonality.</w:t>
      </w:r>
      <w:r>
        <w:rPr>
          <w:rFonts w:hint="eastAsia" w:ascii="Times New Roman" w:hAnsi="Times New Roman" w:cs="Times New Roman"/>
          <w:sz w:val="24"/>
          <w:szCs w:val="24"/>
          <w:lang w:val="en-US" w:eastAsia="zh-CN"/>
        </w:rPr>
        <w:t xml:space="preserve"> (Chan, 2003. Dutta, 2014. 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Non-parametric statistics include non-parametric descriptive statistics, statistical models, reasoning and statistical testing. The model structure of this statistical model is not formulated a priori, but determined based on data. It should be noted that non-parametric does not mean that these models have no parameters at all, but the number and nature of parameters are flexible and not fixed in advance. The histogram is an example of non-parametric estimation of the probability distribution.</w:t>
      </w:r>
      <w:r>
        <w:rPr>
          <w:rFonts w:hint="eastAsia" w:ascii="Times New Roman" w:hAnsi="Times New Roman" w:cs="Times New Roman"/>
          <w:sz w:val="24"/>
          <w:szCs w:val="24"/>
          <w:lang w:val="en-US" w:eastAsia="zh-CN"/>
        </w:rPr>
        <w:t xml:space="preserve"> (Chan, 2003. Dutta, 2014. 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figure below shows the difference between parametric and non-parametric statistics.</w:t>
      </w:r>
    </w:p>
    <w:p>
      <w:pPr>
        <w:spacing w:line="360" w:lineRule="auto"/>
        <w:rPr>
          <w:rFonts w:hint="default" w:ascii="Times New Roman" w:hAnsi="Times New Roman" w:cs="Times New Roman"/>
          <w:sz w:val="24"/>
          <w:szCs w:val="24"/>
          <w:lang w:val="en-US" w:eastAsia="zh-CN"/>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Parametric</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Non-parametric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Statistics are known</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No statistics information is available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Assumptions about statistical quantities</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No assumptions about statistical quantities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Distribution-based sample data</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Arbitrary sample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Suitable for continuous variables</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Suitable for continuous and discrete variables</w:t>
            </w:r>
          </w:p>
        </w:tc>
      </w:tr>
    </w:tbl>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Chart 1: Differences Between Parametric and Non-Parametric Statistics. (Chan, 2003. Dutta, 2014. Sheskin, 2003.)</w:t>
      </w:r>
    </w:p>
    <w:p>
      <w:pPr>
        <w:spacing w:line="360" w:lineRule="auto"/>
        <w:jc w:val="center"/>
        <w:rPr>
          <w:rFonts w:hint="eastAsia" w:ascii="Times New Roman" w:hAnsi="Times New Roman" w:cs="Times New Roman"/>
          <w:sz w:val="24"/>
          <w:szCs w:val="24"/>
          <w:lang w:val="en-US" w:eastAsia="zh-CN"/>
        </w:rPr>
      </w:pPr>
    </w:p>
    <w:p>
      <w:pPr>
        <w:pStyle w:val="3"/>
        <w:bidi w:val="0"/>
        <w:spacing w:line="360" w:lineRule="auto"/>
        <w:jc w:val="left"/>
        <w:rPr>
          <w:rFonts w:hint="default" w:ascii="Times New Roman" w:hAnsi="Times New Roman" w:cs="Times New Roman"/>
          <w:sz w:val="30"/>
          <w:szCs w:val="30"/>
          <w:lang w:val="en-US" w:eastAsia="zh-CN"/>
        </w:rPr>
      </w:pPr>
      <w:bookmarkStart w:id="7" w:name="_Toc20751"/>
      <w:r>
        <w:rPr>
          <w:rFonts w:hint="eastAsia" w:ascii="Times New Roman" w:hAnsi="Times New Roman" w:cs="Times New Roman"/>
          <w:sz w:val="30"/>
          <w:szCs w:val="30"/>
          <w:lang w:val="en-US" w:eastAsia="zh-CN"/>
        </w:rPr>
        <w:t>3</w:t>
      </w:r>
      <w:r>
        <w:rPr>
          <w:rFonts w:hint="default" w:ascii="Times New Roman" w:hAnsi="Times New Roman" w:cs="Times New Roman"/>
          <w:sz w:val="30"/>
          <w:szCs w:val="30"/>
          <w:lang w:val="en-US" w:eastAsia="zh-CN"/>
        </w:rPr>
        <w:t>.</w:t>
      </w:r>
      <w:r>
        <w:rPr>
          <w:rFonts w:hint="eastAsia" w:ascii="Times New Roman" w:hAnsi="Times New Roman" w:cs="Times New Roman"/>
          <w:sz w:val="30"/>
          <w:szCs w:val="30"/>
          <w:lang w:val="en-US" w:eastAsia="zh-CN"/>
        </w:rPr>
        <w:t>2</w:t>
      </w:r>
      <w:r>
        <w:rPr>
          <w:rFonts w:hint="default" w:ascii="Times New Roman" w:hAnsi="Times New Roman" w:cs="Times New Roman"/>
          <w:sz w:val="30"/>
          <w:szCs w:val="30"/>
          <w:lang w:val="en-US" w:eastAsia="zh-CN"/>
        </w:rPr>
        <w:t xml:space="preserve"> Critical Discussion to Articles</w:t>
      </w:r>
      <w:bookmarkEnd w:id="7"/>
    </w:p>
    <w:p>
      <w:pPr>
        <w:pStyle w:val="4"/>
        <w:bidi w:val="0"/>
        <w:spacing w:line="360" w:lineRule="auto"/>
        <w:rPr>
          <w:rFonts w:hint="default" w:ascii="Times New Roman" w:hAnsi="Times New Roman" w:cs="Times New Roman"/>
          <w:sz w:val="24"/>
          <w:szCs w:val="24"/>
          <w:lang w:val="en-US" w:eastAsia="zh-CN"/>
        </w:rPr>
      </w:pPr>
      <w:bookmarkStart w:id="8" w:name="_Toc23071"/>
      <w:r>
        <w:rPr>
          <w:rFonts w:hint="eastAsia" w:ascii="Times New Roman" w:hAnsi="Times New Roman" w:cs="Times New Roman"/>
          <w:sz w:val="24"/>
          <w:szCs w:val="24"/>
          <w:lang w:val="en-US" w:eastAsia="zh-CN"/>
        </w:rPr>
        <w:t xml:space="preserve">3.2.1 </w:t>
      </w:r>
      <w:r>
        <w:rPr>
          <w:rFonts w:hint="default" w:ascii="Times New Roman" w:hAnsi="Times New Roman" w:cs="Times New Roman"/>
          <w:sz w:val="24"/>
          <w:szCs w:val="24"/>
          <w:lang w:val="en-US" w:eastAsia="zh-CN"/>
        </w:rPr>
        <w:t>Two Decades of Sustainability Management Tools for SMEs: How Far Have We Come?</w:t>
      </w:r>
      <w:bookmarkEnd w:id="8"/>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this article, the authors use quantitative research to collect the required literature and finally provided 112 publications. In the research method stage, the authors raised the research question, namely: Are sustainability management tools, including corporate social responsibility tools and environmental management tools, designed for and suitable for SMEs? (Johnson and schaltegger, 2016)</w:t>
      </w:r>
    </w:p>
    <w:p>
      <w:pPr>
        <w:spacing w:line="360" w:lineRule="auto"/>
        <w:rPr>
          <w:rFonts w:hint="eastAsia"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After confirming the research themes, the authors confirm the four themes and began to conduct quantitative research actions on the research themes, namely:</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What specific sustainability management tools have been proposed and observed in SMEs? (Johnson and schaltegger, 2016)</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Should SMEs implement sustainable management tools? (Johnson and schaltegger, 2016)</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What are the main reasons why SMEs have not implemented sustainable management tools? (Johnson and schaltegger, 2016)</w:t>
      </w:r>
    </w:p>
    <w:p>
      <w:pPr>
        <w:spacing w:line="360" w:lineRule="auto"/>
        <w:rPr>
          <w:rFonts w:hint="eastAsia"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literature emphasizes which sustainable management tools must meet key criteria to improve the applicability of SMEs? (Johnson and schaltegger, 2016)</w:t>
      </w:r>
    </w:p>
    <w:p>
      <w:pPr>
        <w:spacing w:line="360" w:lineRule="auto"/>
        <w:rPr>
          <w:rFonts w:hint="default"/>
          <w:lang w:val="en-US" w:eastAsia="zh-CN"/>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conduct a quantitative research check on the paper according to the research questions and themes put forward in order to get the research results.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conduct quantifiable statistical data for each article, including the year of publication, the type of publication, the type of journal, the research method used, the geographic location of the survey and case study analysis, and the industry and department of the sample. Not only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made a special analysis of each paper in the above survey categories, including: the proposed sustainable development management tools, the reasons for the implementation of sustainable development management tools for small and medium-sized enterprises, and the implementation of sustainable development management tools for small and medium-sized enterprises. Barriers and promotion standards for SMEs to implement management tools.</w:t>
      </w:r>
      <w:r>
        <w:rPr>
          <w:rFonts w:hint="eastAsia" w:ascii="Times New Roman" w:hAnsi="Times New Roman" w:cs="Times New Roman"/>
          <w:sz w:val="24"/>
          <w:szCs w:val="24"/>
          <w:lang w:val="en-US" w:eastAsia="zh-CN"/>
        </w:rPr>
        <w:t xml:space="preserve"> (Johnson and schaltegger, 2016)</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researcher believe that the quantitative analysis of this article can be defined as non-parametric statistics. First of all, the authors did not fix the statistics at the beginning, but the final statistics after a large number of screenings. Secondly, the authors did not make any assumptions about quantitative research in this quantification, but only proposed research centers and research questions to pave the way for follow-up quantitative actions. Obviously, the purpose of the authors' quantitative research is to collect literature related to the sustainable development of small and medium-sized enterprises and the sustainable development management tools of small and medium-sized enterprises as the theoretical support of the article for discussion. In the article, the authors summarized and classified the documents after collecting 112 documents, including small and medium-sized enterprises, sustainable development management, general management, technical management, etc., so as to make it more convenient for the authors to discuss the research topics.</w:t>
      </w:r>
    </w:p>
    <w:p>
      <w:pPr>
        <w:bidi w:val="0"/>
        <w:spacing w:line="360" w:lineRule="auto"/>
        <w:rPr>
          <w:rFonts w:hint="eastAsia" w:ascii="Times New Roman" w:hAnsi="Times New Roman" w:cs="Times New Roman"/>
          <w:sz w:val="24"/>
          <w:szCs w:val="24"/>
          <w:lang w:val="en-US" w:eastAsia="zh-CN"/>
        </w:rPr>
      </w:pPr>
    </w:p>
    <w:p>
      <w:pPr>
        <w:bidi w:val="0"/>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 believe that the academic support of this article is undoubtedly very successful. The quantitative analysis and statistics performed by the authors help them obtain a lot of information and development about SMEs and sustainable development management tools of SMEs, which helped the authors to comment and analyze the management tools of enterprises and development after the statistics. This article describes in detail the process, current situation, obstacles and future trends of sustainable development management for small and medium-sized enterprises from the perspective of literature review and macro analysis, and describes the importance, applicability and future possibilities of sustainable development management tools. It is undeniable that quantitative research and analysis have played an important role in this.</w:t>
      </w:r>
    </w:p>
    <w:p>
      <w:pPr>
        <w:pStyle w:val="4"/>
        <w:bidi w:val="0"/>
        <w:spacing w:line="360" w:lineRule="auto"/>
        <w:rPr>
          <w:rFonts w:hint="default" w:ascii="Times New Roman" w:hAnsi="Times New Roman" w:cs="Times New Roman"/>
          <w:sz w:val="24"/>
          <w:szCs w:val="24"/>
          <w:lang w:val="en-US" w:eastAsia="zh-CN"/>
        </w:rPr>
      </w:pPr>
      <w:bookmarkStart w:id="9" w:name="_Toc16627"/>
      <w:r>
        <w:rPr>
          <w:rFonts w:hint="eastAsia" w:ascii="Times New Roman" w:hAnsi="Times New Roman" w:cs="Times New Roman"/>
          <w:sz w:val="24"/>
          <w:szCs w:val="24"/>
          <w:lang w:val="en-US" w:eastAsia="zh-CN"/>
        </w:rPr>
        <w:t xml:space="preserve">3.2.2 </w:t>
      </w:r>
      <w:r>
        <w:rPr>
          <w:rFonts w:hint="default" w:ascii="Times New Roman" w:hAnsi="Times New Roman" w:cs="Times New Roman"/>
          <w:sz w:val="24"/>
          <w:szCs w:val="24"/>
          <w:lang w:val="en-US" w:eastAsia="zh-CN"/>
        </w:rPr>
        <w:t>Organizational Commitment in Mexican Small and Medium-Sized Firms: The Role of Work Status, Organizational Climate, and Entrepreneurial Orientation</w:t>
      </w:r>
      <w:bookmarkEnd w:id="9"/>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Different from the previous article,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use obvious parameter statistical methods in this article to help demonstrate his point of view.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employees will serve the company based on their current working conditions in the company, the company's organizational climate, and the company's corporate orientation. In order to demonstrate this point of view,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conduct statistics on 863 Mexican small and medium-sized companies to verify this hypothesis.</w:t>
      </w:r>
      <w:r>
        <w:rPr>
          <w:rFonts w:hint="eastAsia" w:ascii="Times New Roman" w:hAnsi="Times New Roman" w:cs="Times New Roman"/>
          <w:sz w:val="24"/>
          <w:szCs w:val="24"/>
          <w:lang w:val="en-US" w:eastAsia="zh-CN"/>
        </w:rPr>
        <w:t xml:space="preserve"> (Clercq and Rius, 2007)</w:t>
      </w:r>
    </w:p>
    <w:p>
      <w:pPr>
        <w:spacing w:line="360" w:lineRule="auto"/>
        <w:jc w:val="both"/>
        <w:rPr>
          <w:rFonts w:hint="default" w:ascii="Times New Roman" w:hAnsi="Times New Roman" w:cs="Times New Roman"/>
          <w:sz w:val="24"/>
          <w:szCs w:val="24"/>
          <w:lang w:val="en-US" w:eastAsia="zh-CN"/>
        </w:rPr>
      </w:pPr>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addition, in the above, the researcher mentioned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made several thesis hypotheses in the article to help the quantitative analysis research be carried out effectively. After statistics on these data,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combined several previous assumptions and came to the following conclusion: People with higher positions and longer tenure are more likely to be very attached to their own organization. Individuals’ perception of the organizational climate is positively correlated with the support of the relationship between their organizational commitments.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also argue that the research results emphasize the importance of organizational commitment in SMEs, because individuals with higher emotional commitment are found to put more energy in the workplace.</w:t>
      </w:r>
      <w:r>
        <w:rPr>
          <w:rFonts w:hint="eastAsia" w:ascii="Times New Roman" w:hAnsi="Times New Roman" w:cs="Times New Roman"/>
          <w:sz w:val="24"/>
          <w:szCs w:val="24"/>
          <w:lang w:val="en-US" w:eastAsia="zh-CN"/>
        </w:rPr>
        <w:t xml:space="preserve"> (Clercq and Rius, 2007)</w:t>
      </w:r>
    </w:p>
    <w:p>
      <w:pPr>
        <w:spacing w:line="360" w:lineRule="auto"/>
        <w:jc w:val="both"/>
        <w:rPr>
          <w:rFonts w:hint="default" w:ascii="Times New Roman" w:hAnsi="Times New Roman" w:cs="Times New Roman"/>
          <w:sz w:val="24"/>
          <w:szCs w:val="24"/>
          <w:lang w:val="en-US" w:eastAsia="zh-CN"/>
        </w:rPr>
      </w:pPr>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quantitative analysis of this article is mainly based on investigating detailed actual conditions and conducting a large number of data investigations to obtain real data feedback. A large amount of real feedback can help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obtain the most direct and real-time answers to demonstrate their hypotheses and opinions, and combine the theoretical support to analyze the resulting combination and complete the theoretical argument.</w:t>
      </w:r>
    </w:p>
    <w:p>
      <w:pPr>
        <w:pStyle w:val="2"/>
        <w:bidi w:val="0"/>
        <w:spacing w:line="360" w:lineRule="auto"/>
        <w:rPr>
          <w:rFonts w:hint="default" w:ascii="Times New Roman" w:hAnsi="Times New Roman" w:cs="Times New Roman"/>
          <w:sz w:val="30"/>
          <w:szCs w:val="30"/>
          <w:lang w:val="en-US" w:eastAsia="zh-CN"/>
        </w:rPr>
      </w:pPr>
      <w:bookmarkStart w:id="10" w:name="_Toc20446"/>
      <w:r>
        <w:rPr>
          <w:rFonts w:hint="default" w:ascii="Times New Roman" w:hAnsi="Times New Roman" w:cs="Times New Roman"/>
          <w:sz w:val="30"/>
          <w:szCs w:val="30"/>
          <w:lang w:val="en-US" w:eastAsia="zh-CN"/>
        </w:rPr>
        <w:t xml:space="preserve">4.0 </w:t>
      </w:r>
      <w:r>
        <w:rPr>
          <w:rFonts w:hint="default" w:ascii="Times New Roman" w:hAnsi="Times New Roman" w:cs="Times New Roman"/>
          <w:sz w:val="30"/>
          <w:szCs w:val="30"/>
        </w:rPr>
        <w:t>Conclusion and recommendations</w:t>
      </w:r>
      <w:bookmarkEnd w:id="10"/>
    </w:p>
    <w:p>
      <w:pPr>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article Two Decades of Sustainability Management Tools for SMEs: How Far Have We Come?, the researcher mentioned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collect a large amount of literature through quantitative research and analysis to analyze the status quo of small and medium-sized enterprises and sustainable development management tools. Difficulties and future trends. The advantage of this is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can use the theoretical support and existential analysis in the literature review as support to explain his point of view and get his own argument. However, due to the lack of micro analysis, that is, the lack of analysis of the latest reality. The researcher believes that in order to make the central argument of the article: the applicability of sustainable development management tools to small and medium-sized enterprises and future development trends more in line with the real situation,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can increase the questionnaire survey of current small and medium-sized enterprise managers. The reason for this is to allow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to understand the latest status of SMEs and corporate sustainable management tools: What are the obstacles and difficulties in the current development of SMEs? What is the current status of enterprise sustainable management tools? What are the assessments and attitudes of managers on the management tools of corporate sustainable development? and many more.</w:t>
      </w:r>
    </w:p>
    <w:p>
      <w:pPr>
        <w:spacing w:line="360" w:lineRule="auto"/>
        <w:jc w:val="both"/>
        <w:rPr>
          <w:rFonts w:hint="default" w:ascii="Times New Roman" w:hAnsi="Times New Roman" w:cs="Times New Roman"/>
          <w:sz w:val="24"/>
          <w:szCs w:val="24"/>
          <w:lang w:val="en-US" w:eastAsia="zh-CN"/>
        </w:rPr>
      </w:pPr>
    </w:p>
    <w:p>
      <w:pPr>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believe that this article has achieved very good results in theoretical analysis and literature review. However, because the thesis of the article is closely linked to the actual development of the enterprise, in addition to theoretical support, the article also needs to conduct a more comprehensive research and analysis in conjunction with the actual situation, so that the analysis and evaluation of the article is more feasible and real-time.</w:t>
      </w:r>
    </w:p>
    <w:p>
      <w:pPr>
        <w:spacing w:line="360" w:lineRule="auto"/>
        <w:jc w:val="both"/>
        <w:rPr>
          <w:rFonts w:hint="default" w:ascii="Times New Roman" w:hAnsi="Times New Roman" w:cs="Times New Roman"/>
          <w:sz w:val="24"/>
          <w:szCs w:val="24"/>
          <w:lang w:val="en-US" w:eastAsia="zh-CN"/>
        </w:rPr>
      </w:pPr>
    </w:p>
    <w:p>
      <w:pPr>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believe that Organizational Commitment in Mexican Small and Medium-Sized Firms: The Role of Work Status, Organizational Climate, and Entrepreneurial Orientation is a more detailed and comprehensive article. In this article,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analyz</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the most timely employee attitude survey and SME analysis through a large number of data surveys. The advantage of this is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arguments and themes can be close to the status quo and get the most realistic results, thereby making the analysis and discussion more effective. Not only that,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also combine the literature review, and obtained a more comprehensive result by combining existing arguments related to the company's employees with quantitative data. In summary, the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believe that this article is a relatively comprehensive and complete quantitative research report, which combines the real-time and comprehensiveness of the data, and also has academic support, so that it has more powerful discussion and analysis.</w:t>
      </w:r>
    </w:p>
    <w:p>
      <w:pPr>
        <w:pStyle w:val="2"/>
        <w:bidi w:val="0"/>
        <w:spacing w:line="360" w:lineRule="auto"/>
        <w:outlineLvl w:val="9"/>
        <w:rPr>
          <w:rFonts w:hint="default"/>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sz w:val="30"/>
          <w:szCs w:val="30"/>
          <w:lang w:val="en-US" w:eastAsia="zh-CN"/>
        </w:rPr>
      </w:pPr>
      <w:bookmarkStart w:id="11" w:name="_Toc15517"/>
      <w:r>
        <w:rPr>
          <w:rFonts w:hint="default" w:ascii="Times New Roman" w:hAnsi="Times New Roman" w:cs="Times New Roman"/>
          <w:sz w:val="30"/>
          <w:szCs w:val="30"/>
          <w:lang w:val="en-US" w:eastAsia="zh-CN"/>
        </w:rPr>
        <w:t>5.0 References</w:t>
      </w:r>
      <w:bookmarkEnd w:id="11"/>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Anderson, H. 1961. Scales and statistics: Parametric and nonparametric. </w:t>
      </w:r>
      <w:r>
        <w:rPr>
          <w:rFonts w:hint="default" w:ascii="Times New Roman" w:hAnsi="Times New Roman" w:cs="Times New Roman"/>
          <w:i/>
          <w:iCs/>
          <w:sz w:val="24"/>
          <w:szCs w:val="24"/>
          <w:lang w:val="en-US" w:eastAsia="zh-CN"/>
        </w:rPr>
        <w:t>Psychological Bulletin</w:t>
      </w:r>
      <w:r>
        <w:rPr>
          <w:rFonts w:hint="default" w:ascii="Times New Roman" w:hAnsi="Times New Roman" w:cs="Times New Roman"/>
          <w:sz w:val="24"/>
          <w:szCs w:val="24"/>
          <w:lang w:val="en-US" w:eastAsia="zh-CN"/>
        </w:rPr>
        <w:t>, 58(4), 305–316.</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Altman, G and Bland, M., Parametric v non-parametric methods for data analysis. </w:t>
      </w:r>
      <w:r>
        <w:rPr>
          <w:rFonts w:hint="default" w:ascii="Times New Roman" w:hAnsi="Times New Roman" w:cs="Times New Roman"/>
          <w:i/>
          <w:iCs/>
          <w:sz w:val="24"/>
          <w:szCs w:val="24"/>
          <w:lang w:val="en-US" w:eastAsia="zh-CN"/>
        </w:rPr>
        <w:t>BMJ</w:t>
      </w:r>
      <w:r>
        <w:rPr>
          <w:rFonts w:hint="default" w:ascii="Times New Roman" w:hAnsi="Times New Roman" w:cs="Times New Roman"/>
          <w:sz w:val="24"/>
          <w:szCs w:val="24"/>
          <w:lang w:val="en-US" w:eastAsia="zh-CN"/>
        </w:rPr>
        <w:t>. 2009.</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Bhandari, P. 2020. </w:t>
      </w:r>
      <w:r>
        <w:rPr>
          <w:rFonts w:hint="default" w:ascii="Times New Roman" w:hAnsi="Times New Roman" w:cs="Times New Roman"/>
          <w:i/>
          <w:iCs/>
          <w:sz w:val="24"/>
          <w:szCs w:val="24"/>
          <w:lang w:val="en-US" w:eastAsia="zh-CN"/>
        </w:rPr>
        <w:t>An Introduction to Quantitative Research</w:t>
      </w:r>
      <w:r>
        <w:rPr>
          <w:rFonts w:hint="default" w:ascii="Times New Roman" w:hAnsi="Times New Roman" w:cs="Times New Roman"/>
          <w:sz w:val="24"/>
          <w:szCs w:val="24"/>
          <w:lang w:val="en-US" w:eastAsia="zh-CN"/>
        </w:rPr>
        <w:t>. [online] Available at: https://www.scribbr.com/methodology/quantitative-research/[Accessed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Clercq</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Rius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2007</w:t>
      </w:r>
      <w:r>
        <w:rPr>
          <w:rFonts w:hint="default" w:ascii="Times New Roman" w:hAnsi="Times New Roman" w:cs="Times New Roman"/>
          <w:sz w:val="24"/>
          <w:szCs w:val="24"/>
          <w:lang w:val="en-US" w:eastAsia="zh-CN"/>
        </w:rPr>
        <w:t>, Organizational Commitment in Mexican Small and Medium-Sized Firms: The Role of Work Status, Organizational Climate, and Entrepreneurial Orientation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Journal of Small Business Management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45</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pp. </w:t>
      </w:r>
      <w:r>
        <w:rPr>
          <w:rFonts w:hint="eastAsia" w:ascii="Times New Roman" w:hAnsi="Times New Roman" w:cs="Times New Roman"/>
          <w:sz w:val="24"/>
          <w:szCs w:val="24"/>
          <w:lang w:val="en-US" w:eastAsia="zh-CN"/>
        </w:rPr>
        <w:t>467-490</w:t>
      </w:r>
      <w:r>
        <w:rPr>
          <w:rFonts w:hint="default" w:ascii="Times New Roman" w:hAnsi="Times New Roman" w:cs="Times New Roman"/>
          <w:sz w:val="24"/>
          <w:szCs w:val="24"/>
          <w:lang w:val="en-US" w:eastAsia="zh-CN"/>
        </w:rPr>
        <w:t>.</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Chan, H., 2003. Biostatistics 102: quantitative data–parametric &amp; non-parametric tests. </w:t>
      </w:r>
      <w:r>
        <w:rPr>
          <w:rFonts w:hint="eastAsia" w:ascii="Times New Roman" w:hAnsi="Times New Roman" w:cs="Times New Roman"/>
          <w:i/>
          <w:iCs/>
          <w:sz w:val="24"/>
          <w:szCs w:val="24"/>
          <w:lang w:val="en-US" w:eastAsia="zh-CN"/>
        </w:rPr>
        <w:t>Blood Press</w:t>
      </w:r>
      <w:r>
        <w:rPr>
          <w:rFonts w:hint="eastAsia" w:ascii="Times New Roman" w:hAnsi="Times New Roman" w:cs="Times New Roman"/>
          <w:sz w:val="24"/>
          <w:szCs w:val="24"/>
          <w:lang w:val="en-US" w:eastAsia="zh-CN"/>
        </w:rPr>
        <w:t>, 140(24.08), pp. 79.</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Dutta A. 2014. Parametric and nonparametric event study tests: A review.</w:t>
      </w:r>
      <w:r>
        <w:rPr>
          <w:rFonts w:hint="eastAsia" w:ascii="Times New Roman" w:hAnsi="Times New Roman" w:cs="Times New Roman"/>
          <w:i/>
          <w:iCs/>
          <w:sz w:val="24"/>
          <w:szCs w:val="24"/>
          <w:lang w:val="en-US" w:eastAsia="zh-CN"/>
        </w:rPr>
        <w:t xml:space="preserve"> International Business Research</w:t>
      </w:r>
      <w:r>
        <w:rPr>
          <w:rFonts w:hint="eastAsia" w:ascii="Times New Roman" w:hAnsi="Times New Roman" w:cs="Times New Roman"/>
          <w:sz w:val="24"/>
          <w:szCs w:val="24"/>
          <w:lang w:val="en-US" w:eastAsia="zh-CN"/>
        </w:rPr>
        <w:t>, 7(12), pp. 136-142.</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FAQ., 2021. </w:t>
      </w:r>
      <w:r>
        <w:rPr>
          <w:rFonts w:hint="default" w:ascii="Times New Roman" w:hAnsi="Times New Roman" w:cs="Times New Roman"/>
          <w:i/>
          <w:iCs/>
          <w:sz w:val="24"/>
          <w:szCs w:val="24"/>
          <w:lang w:val="en-US" w:eastAsia="zh-CN"/>
        </w:rPr>
        <w:t>What is the difference between parametric and nonparametric statistical tests?</w:t>
      </w:r>
      <w:r>
        <w:rPr>
          <w:rFonts w:hint="default" w:ascii="Times New Roman" w:hAnsi="Times New Roman" w:cs="Times New Roman"/>
          <w:sz w:val="24"/>
          <w:szCs w:val="24"/>
          <w:lang w:val="en-US" w:eastAsia="zh-CN"/>
        </w:rPr>
        <w:t xml:space="preserve"> [online] Available at: https://faq-qa.com/en/Q%26A/page=5a2c1554cba6d95ebd3d1e8b8c399c3a#s0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Grant, M., 2021. </w:t>
      </w:r>
      <w:r>
        <w:rPr>
          <w:rFonts w:hint="default" w:ascii="Times New Roman" w:hAnsi="Times New Roman" w:cs="Times New Roman"/>
          <w:i/>
          <w:iCs/>
          <w:sz w:val="24"/>
          <w:szCs w:val="24"/>
          <w:lang w:val="en-US" w:eastAsia="zh-CN"/>
        </w:rPr>
        <w:t>Nonparametric Statistics</w:t>
      </w:r>
      <w:r>
        <w:rPr>
          <w:rFonts w:hint="default" w:ascii="Times New Roman" w:hAnsi="Times New Roman" w:cs="Times New Roman"/>
          <w:sz w:val="24"/>
          <w:szCs w:val="24"/>
          <w:lang w:val="en-US" w:eastAsia="zh-CN"/>
        </w:rPr>
        <w:t>. [online] Available at: https://www.investopedia.com/terms/n/nonparametric-statistics.asp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Goertzen, M., 2017. Chapter 3. Introduction to Quantitative Research and Data. </w:t>
      </w:r>
      <w:r>
        <w:rPr>
          <w:rFonts w:hint="default" w:ascii="Times New Roman" w:hAnsi="Times New Roman" w:cs="Times New Roman"/>
          <w:i/>
          <w:iCs/>
          <w:sz w:val="24"/>
          <w:szCs w:val="24"/>
          <w:lang w:val="en-US" w:eastAsia="zh-CN"/>
        </w:rPr>
        <w:t>Library Technology Reports</w:t>
      </w:r>
      <w:r>
        <w:rPr>
          <w:rFonts w:hint="default" w:ascii="Times New Roman" w:hAnsi="Times New Roman" w:cs="Times New Roman"/>
          <w:sz w:val="24"/>
          <w:szCs w:val="24"/>
          <w:lang w:val="en-US" w:eastAsia="zh-CN"/>
        </w:rPr>
        <w:t>. 57(8).</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Hajian-Tilaki, K. O. et </w:t>
      </w:r>
      <w:r>
        <w:rPr>
          <w:rFonts w:hint="default" w:ascii="Times New Roman" w:hAnsi="Times New Roman" w:cs="Times New Roman"/>
          <w:sz w:val="24"/>
          <w:szCs w:val="24"/>
          <w:lang w:val="en-US" w:eastAsia="zh-CN"/>
        </w:rPr>
        <w:t>al</w:t>
      </w:r>
      <w:r>
        <w:rPr>
          <w:rFonts w:hint="default" w:ascii="Times New Roman" w:hAnsi="Times New Roman" w:cs="Times New Roman"/>
          <w:sz w:val="24"/>
          <w:szCs w:val="24"/>
        </w:rPr>
        <w:t>. 1997 A Comparison of Parametric and Nonparametric Approaches to ROC Analysis of Quantitative Diagnostic Tests, </w:t>
      </w:r>
      <w:r>
        <w:rPr>
          <w:rFonts w:hint="default" w:ascii="Times New Roman" w:hAnsi="Times New Roman" w:cs="Times New Roman"/>
          <w:i/>
          <w:iCs/>
          <w:sz w:val="24"/>
          <w:szCs w:val="24"/>
        </w:rPr>
        <w:t>Medical Decision Making</w:t>
      </w:r>
      <w:r>
        <w:rPr>
          <w:rFonts w:hint="default" w:ascii="Times New Roman" w:hAnsi="Times New Roman" w:cs="Times New Roman"/>
          <w:sz w:val="24"/>
          <w:szCs w:val="24"/>
        </w:rPr>
        <w:t>, 17(1), pp. 94–102.</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 xml:space="preserve">Holton, E. and Burnett, M., 2009. </w:t>
      </w:r>
      <w:r>
        <w:rPr>
          <w:rFonts w:hint="default" w:ascii="Times New Roman" w:hAnsi="Times New Roman" w:eastAsia="宋体" w:cs="Times New Roman"/>
          <w:i/>
          <w:iCs/>
          <w:caps w:val="0"/>
          <w:color w:val="000000"/>
          <w:spacing w:val="0"/>
          <w:sz w:val="24"/>
          <w:szCs w:val="24"/>
          <w:shd w:val="clear" w:color="auto" w:fill="FFFFFF"/>
          <w:lang w:val="en-US" w:eastAsia="zh-CN"/>
        </w:rPr>
        <w:t>Foundations and Methods of Inquiry</w:t>
      </w:r>
      <w:r>
        <w:rPr>
          <w:rFonts w:hint="default" w:ascii="Times New Roman" w:hAnsi="Times New Roman" w:eastAsia="宋体" w:cs="Times New Roman"/>
          <w:i w:val="0"/>
          <w:iCs w:val="0"/>
          <w:caps w:val="0"/>
          <w:color w:val="000000"/>
          <w:spacing w:val="0"/>
          <w:sz w:val="24"/>
          <w:szCs w:val="24"/>
          <w:shd w:val="clear" w:color="auto" w:fill="FFFFFF"/>
          <w:lang w:val="en-US" w:eastAsia="zh-CN"/>
        </w:rPr>
        <w:t>. San Francisco: Berrett- Koehler Publisher, Inc</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IBM., 2021.</w:t>
      </w:r>
      <w:r>
        <w:rPr>
          <w:rFonts w:hint="default" w:ascii="Times New Roman" w:hAnsi="Times New Roman" w:cs="Times New Roman"/>
          <w:i/>
          <w:iCs/>
          <w:sz w:val="24"/>
          <w:szCs w:val="24"/>
          <w:lang w:val="en-US" w:eastAsia="zh-CN"/>
        </w:rPr>
        <w:t xml:space="preserve"> Background of parametric and nonparametric statistics.</w:t>
      </w:r>
      <w:r>
        <w:rPr>
          <w:rFonts w:hint="default" w:ascii="Times New Roman" w:hAnsi="Times New Roman" w:cs="Times New Roman"/>
          <w:sz w:val="24"/>
          <w:szCs w:val="24"/>
          <w:lang w:val="en-US" w:eastAsia="zh-CN"/>
        </w:rPr>
        <w:t xml:space="preserve"> [online] Available at: https://www.ibm.com/docs/vi/db2woc?topic=nonparametric-background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Jensen, K., 2002,</w:t>
      </w:r>
      <w:r>
        <w:rPr>
          <w:rFonts w:hint="default" w:ascii="Times New Roman" w:hAnsi="Times New Roman" w:cs="Times New Roman"/>
          <w:i/>
          <w:iCs/>
          <w:sz w:val="24"/>
          <w:szCs w:val="24"/>
          <w:lang w:val="en-US" w:eastAsia="zh-CN"/>
        </w:rPr>
        <w:t xml:space="preserve"> A handbook of media and communication research</w:t>
      </w:r>
      <w:r>
        <w:rPr>
          <w:rFonts w:hint="default" w:ascii="Times New Roman" w:hAnsi="Times New Roman" w:cs="Times New Roman"/>
          <w:sz w:val="24"/>
          <w:szCs w:val="24"/>
          <w:lang w:val="en-US" w:eastAsia="zh-CN"/>
        </w:rPr>
        <w:t>. London: Routledge.</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Johnson, P. and Schaltegger, S., 2016, Two Decades of Sustainability Management Tools for SMEs: How Far Have We Come? </w:t>
      </w:r>
      <w:r>
        <w:rPr>
          <w:rFonts w:hint="default" w:ascii="Times New Roman" w:hAnsi="Times New Roman" w:cs="Times New Roman"/>
          <w:i/>
          <w:iCs/>
          <w:sz w:val="24"/>
          <w:szCs w:val="24"/>
          <w:lang w:val="en-US" w:eastAsia="zh-CN"/>
        </w:rPr>
        <w:t>Journal of Small Business Management</w:t>
      </w:r>
      <w:r>
        <w:rPr>
          <w:rFonts w:hint="default" w:ascii="Times New Roman" w:hAnsi="Times New Roman" w:cs="Times New Roman"/>
          <w:sz w:val="24"/>
          <w:szCs w:val="24"/>
          <w:lang w:val="en-US" w:eastAsia="zh-CN"/>
        </w:rPr>
        <w:t>, 54(2). pp. 481-505.</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QuestionPro., 2021, </w:t>
      </w:r>
      <w:r>
        <w:rPr>
          <w:rFonts w:hint="default" w:ascii="Times New Roman" w:hAnsi="Times New Roman" w:cs="Times New Roman"/>
          <w:i/>
          <w:iCs/>
          <w:sz w:val="24"/>
          <w:szCs w:val="24"/>
          <w:lang w:val="en-US" w:eastAsia="zh-CN"/>
        </w:rPr>
        <w:t>Quantitative Research: Definition, Methods, Types and Examples.</w:t>
      </w:r>
      <w:r>
        <w:rPr>
          <w:rFonts w:hint="default" w:ascii="Times New Roman" w:hAnsi="Times New Roman" w:cs="Times New Roman"/>
          <w:sz w:val="24"/>
          <w:szCs w:val="24"/>
          <w:lang w:val="en-US" w:eastAsia="zh-CN"/>
        </w:rPr>
        <w:t xml:space="preserve"> [online] Available at: https://www.questionpro.com/blog/quantitative-research/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StatisticSolutions., 2021. </w:t>
      </w:r>
      <w:r>
        <w:rPr>
          <w:rFonts w:hint="default" w:ascii="Times New Roman" w:hAnsi="Times New Roman" w:cs="Times New Roman"/>
          <w:i/>
          <w:iCs/>
          <w:sz w:val="24"/>
          <w:szCs w:val="24"/>
          <w:lang w:val="en-US" w:eastAsia="zh-CN"/>
        </w:rPr>
        <w:t>Selecting Between Parametric and Non-Parametric Analyses.</w:t>
      </w:r>
      <w:r>
        <w:rPr>
          <w:rFonts w:hint="default" w:ascii="Times New Roman" w:hAnsi="Times New Roman" w:cs="Times New Roman"/>
          <w:sz w:val="24"/>
          <w:szCs w:val="24"/>
          <w:lang w:val="en-US" w:eastAsia="zh-CN"/>
        </w:rPr>
        <w:t xml:space="preserve"> [online] Available at: https://www.statisticssolutions.com/selecting-between-parametric-and-non-parametric-analyses/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Stephanie., 2021. </w:t>
      </w:r>
      <w:r>
        <w:rPr>
          <w:rFonts w:hint="default" w:ascii="Times New Roman" w:hAnsi="Times New Roman" w:cs="Times New Roman"/>
          <w:i/>
          <w:iCs/>
          <w:sz w:val="24"/>
          <w:szCs w:val="24"/>
          <w:lang w:val="en-US" w:eastAsia="zh-CN"/>
        </w:rPr>
        <w:t>Parametric Statistics, Tests and Data</w:t>
      </w:r>
      <w:r>
        <w:rPr>
          <w:rFonts w:hint="default" w:ascii="Times New Roman" w:hAnsi="Times New Roman" w:cs="Times New Roman"/>
          <w:sz w:val="24"/>
          <w:szCs w:val="24"/>
          <w:lang w:val="en-US" w:eastAsia="zh-CN"/>
        </w:rPr>
        <w:t>. [online] Available at: https://www.statisticshowto.com/parametric-statistics/#Parametrictest [Accessed 3rd Dec. 2021]</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Sheskin,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2003. </w:t>
      </w:r>
      <w:r>
        <w:rPr>
          <w:rFonts w:hint="default" w:ascii="Times New Roman" w:hAnsi="Times New Roman" w:cs="Times New Roman"/>
          <w:i/>
          <w:iCs/>
          <w:sz w:val="24"/>
          <w:szCs w:val="24"/>
          <w:lang w:val="en-US" w:eastAsia="zh-CN"/>
        </w:rPr>
        <w:t>Handbook of parametric and nonparametric statistical procedures</w:t>
      </w:r>
      <w:r>
        <w:rPr>
          <w:rFonts w:hint="default" w:ascii="Times New Roman" w:hAnsi="Times New Roman" w:cs="Times New Roman"/>
          <w:sz w:val="24"/>
          <w:szCs w:val="24"/>
          <w:lang w:val="en-US" w:eastAsia="zh-CN"/>
        </w:rPr>
        <w:t>. Chapman and Hall/CRC.</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Swanson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w:t>
      </w:r>
      <w:r>
        <w:rPr>
          <w:rFonts w:hint="default"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Holton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w:t>
      </w:r>
      <w:r>
        <w:rPr>
          <w:rFonts w:hint="default" w:ascii="Times New Roman" w:hAnsi="Times New Roman" w:cs="Times New Roman"/>
          <w:sz w:val="24"/>
          <w:szCs w:val="24"/>
          <w:lang w:val="en-US" w:eastAsia="zh-CN"/>
        </w:rPr>
        <w:t>, 2005.</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Research in organizations: Foundations and methods in inquiry.</w:t>
      </w:r>
      <w:r>
        <w:rPr>
          <w:rFonts w:hint="default" w:ascii="Times New Roman" w:hAnsi="Times New Roman" w:cs="Times New Roman"/>
          <w:sz w:val="24"/>
          <w:szCs w:val="24"/>
          <w:lang w:val="en-US" w:eastAsia="zh-CN"/>
        </w:rPr>
        <w:t xml:space="preserve"> California:</w:t>
      </w:r>
      <w:r>
        <w:rPr>
          <w:rFonts w:hint="default" w:ascii="Times New Roman" w:hAnsi="Times New Roman" w:cs="Times New Roman"/>
          <w:sz w:val="24"/>
          <w:szCs w:val="24"/>
        </w:rPr>
        <w:t xml:space="preserve"> Berrett-Koehler Publishers</w:t>
      </w:r>
      <w:r>
        <w:rPr>
          <w:rFonts w:hint="default" w:ascii="Times New Roman" w:hAnsi="Times New Roman" w:cs="Times New Roman"/>
          <w:sz w:val="24"/>
          <w:szCs w:val="24"/>
          <w:lang w:val="en-US" w:eastAsia="zh-CN"/>
        </w:rPr>
        <w:t>.</w:t>
      </w:r>
    </w:p>
    <w:p>
      <w:pPr>
        <w:numPr>
          <w:numId w:val="0"/>
        </w:numPr>
        <w:bidi w:val="0"/>
        <w:spacing w:line="360" w:lineRule="auto"/>
        <w:ind w:leftChars="0"/>
        <w:rPr>
          <w:rFonts w:hint="default" w:ascii="Times New Roman" w:hAnsi="Times New Roman" w:cs="Times New Roman"/>
          <w:sz w:val="24"/>
          <w:szCs w:val="24"/>
          <w:lang w:val="en-US" w:eastAsia="zh-CN"/>
        </w:rPr>
      </w:pPr>
    </w:p>
    <w:p>
      <w:pPr>
        <w:numPr>
          <w:ilvl w:val="0"/>
          <w:numId w:val="1"/>
        </w:numPr>
        <w:bidi w:val="0"/>
        <w:spacing w:line="360" w:lineRule="auto"/>
        <w:ind w:left="425" w:leftChars="0" w:hanging="425" w:firstLineChars="0"/>
        <w:rPr>
          <w:rFonts w:hint="default" w:ascii="Times New Roman" w:hAnsi="Times New Roman" w:cs="Times New Roman"/>
          <w:sz w:val="24"/>
          <w:szCs w:val="24"/>
          <w:lang w:val="en-US" w:eastAsia="zh-CN"/>
        </w:rPr>
        <w:sectPr>
          <w:footerReference r:id="rId4"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sz w:val="24"/>
          <w:szCs w:val="24"/>
          <w:lang w:val="en-US" w:eastAsia="zh-CN"/>
        </w:rPr>
        <w:t xml:space="preserve">Teesside University., 2021. </w:t>
      </w:r>
      <w:r>
        <w:rPr>
          <w:rFonts w:hint="default" w:ascii="Times New Roman" w:hAnsi="Times New Roman" w:cs="Times New Roman"/>
          <w:i/>
          <w:iCs/>
          <w:sz w:val="24"/>
          <w:szCs w:val="24"/>
          <w:lang w:val="en-US" w:eastAsia="zh-CN"/>
        </w:rPr>
        <w:t>Quantitative data collection and analysis.</w:t>
      </w:r>
      <w:r>
        <w:rPr>
          <w:rFonts w:hint="default" w:ascii="Times New Roman" w:hAnsi="Times New Roman" w:cs="Times New Roman"/>
          <w:sz w:val="24"/>
          <w:szCs w:val="24"/>
          <w:lang w:val="en-US" w:eastAsia="zh-CN"/>
        </w:rPr>
        <w:t xml:space="preserve"> [online] Available at: https://libguides.tees.ac.uk/quantitative/statistical_tests_paramedic [Accessed 3rd Dec. 2021]</w:t>
      </w:r>
    </w:p>
    <w:p>
      <w:pPr>
        <w:pStyle w:val="2"/>
        <w:bidi w:val="0"/>
        <w:rPr>
          <w:rFonts w:hint="eastAsia"/>
          <w:lang w:val="en-US" w:eastAsia="zh-CN"/>
        </w:rPr>
      </w:pPr>
      <w:bookmarkStart w:id="12" w:name="_Toc16078"/>
      <w:r>
        <w:rPr>
          <w:rFonts w:hint="eastAsia"/>
          <w:lang w:val="en-US" w:eastAsia="zh-CN"/>
        </w:rPr>
        <w:t>Appendix</w:t>
      </w:r>
      <w:bookmarkEnd w:id="12"/>
    </w:p>
    <w:p>
      <w:pPr>
        <w:rPr>
          <w:rFonts w:hint="eastAsia"/>
          <w:lang w:val="en-US" w:eastAsia="zh-CN"/>
        </w:rPr>
      </w:pPr>
    </w:p>
    <w:p>
      <w:pPr>
        <w:pStyle w:val="3"/>
        <w:bidi w:val="0"/>
        <w:rPr>
          <w:rFonts w:hint="eastAsia"/>
          <w:lang w:val="en-US" w:eastAsia="zh-CN"/>
        </w:rPr>
      </w:pPr>
      <w:bookmarkStart w:id="13" w:name="_Toc24608"/>
      <w:r>
        <w:rPr>
          <w:rFonts w:hint="eastAsia"/>
          <w:lang w:val="en-US" w:eastAsia="zh-CN"/>
        </w:rPr>
        <w:t>Copy of Articles</w:t>
      </w:r>
      <w:bookmarkEnd w:id="13"/>
    </w:p>
    <w:p>
      <w:pPr>
        <w:rPr>
          <w:rFonts w:hint="eastAsia"/>
          <w:lang w:val="en-US" w:eastAsia="zh-CN"/>
        </w:rPr>
      </w:pPr>
      <w:r>
        <w:rPr>
          <w:rFonts w:hint="eastAsia"/>
          <w:lang w:val="en-US" w:eastAsia="zh-CN"/>
        </w:rPr>
        <w:drawing>
          <wp:inline distT="0" distB="0" distL="114300" distR="114300">
            <wp:extent cx="5274310" cy="7534910"/>
            <wp:effectExtent l="0" t="0" r="13970" b="8890"/>
            <wp:docPr id="52" name="图片 52" descr="ContentServer (2)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ContentServer (2)_00"/>
                    <pic:cNvPicPr>
                      <a:picLocks noChangeAspect="1"/>
                    </pic:cNvPicPr>
                  </pic:nvPicPr>
                  <pic:blipFill>
                    <a:blip r:embed="rId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51" name="图片 51" descr="ContentServer (2)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ContentServer (2)_01"/>
                    <pic:cNvPicPr>
                      <a:picLocks noChangeAspect="1"/>
                    </pic:cNvPicPr>
                  </pic:nvPicPr>
                  <pic:blipFill>
                    <a:blip r:embed="rId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50" name="图片 50" descr="ContentServer (2)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ContentServer (2)_02"/>
                    <pic:cNvPicPr>
                      <a:picLocks noChangeAspect="1"/>
                    </pic:cNvPicPr>
                  </pic:nvPicPr>
                  <pic:blipFill>
                    <a:blip r:embed="rId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9" name="图片 49" descr="ContentServer (2)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ContentServer (2)_03"/>
                    <pic:cNvPicPr>
                      <a:picLocks noChangeAspect="1"/>
                    </pic:cNvPicPr>
                  </pic:nvPicPr>
                  <pic:blipFill>
                    <a:blip r:embed="rId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8" name="图片 48" descr="ContentServer (2)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ContentServer (2)_04"/>
                    <pic:cNvPicPr>
                      <a:picLocks noChangeAspect="1"/>
                    </pic:cNvPicPr>
                  </pic:nvPicPr>
                  <pic:blipFill>
                    <a:blip r:embed="rId1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7" name="图片 47" descr="ContentServer (2)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ContentServer (2)_05"/>
                    <pic:cNvPicPr>
                      <a:picLocks noChangeAspect="1"/>
                    </pic:cNvPicPr>
                  </pic:nvPicPr>
                  <pic:blipFill>
                    <a:blip r:embed="rId11"/>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6" name="图片 46" descr="ContentServer (2)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ContentServer (2)_06"/>
                    <pic:cNvPicPr>
                      <a:picLocks noChangeAspect="1"/>
                    </pic:cNvPicPr>
                  </pic:nvPicPr>
                  <pic:blipFill>
                    <a:blip r:embed="rId12"/>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5" name="图片 45" descr="ContentServer (2)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ContentServer (2)_07"/>
                    <pic:cNvPicPr>
                      <a:picLocks noChangeAspect="1"/>
                    </pic:cNvPicPr>
                  </pic:nvPicPr>
                  <pic:blipFill>
                    <a:blip r:embed="rId13"/>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4" name="图片 44" descr="ContentServer (2)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ContentServer (2)_08"/>
                    <pic:cNvPicPr>
                      <a:picLocks noChangeAspect="1"/>
                    </pic:cNvPicPr>
                  </pic:nvPicPr>
                  <pic:blipFill>
                    <a:blip r:embed="rId14"/>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3" name="图片 43" descr="ContentServer (2)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ContentServer (2)_09"/>
                    <pic:cNvPicPr>
                      <a:picLocks noChangeAspect="1"/>
                    </pic:cNvPicPr>
                  </pic:nvPicPr>
                  <pic:blipFill>
                    <a:blip r:embed="rId15"/>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2" name="图片 42" descr="ContentServer (2)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ContentServer (2)_10"/>
                    <pic:cNvPicPr>
                      <a:picLocks noChangeAspect="1"/>
                    </pic:cNvPicPr>
                  </pic:nvPicPr>
                  <pic:blipFill>
                    <a:blip r:embed="rId1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1" name="图片 41" descr="ContentServer (2)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ContentServer (2)_11"/>
                    <pic:cNvPicPr>
                      <a:picLocks noChangeAspect="1"/>
                    </pic:cNvPicPr>
                  </pic:nvPicPr>
                  <pic:blipFill>
                    <a:blip r:embed="rId1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0" name="图片 40" descr="ContentServer (2)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ContentServer (2)_12"/>
                    <pic:cNvPicPr>
                      <a:picLocks noChangeAspect="1"/>
                    </pic:cNvPicPr>
                  </pic:nvPicPr>
                  <pic:blipFill>
                    <a:blip r:embed="rId1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9" name="图片 39" descr="ContentServer (2)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ContentServer (2)_13"/>
                    <pic:cNvPicPr>
                      <a:picLocks noChangeAspect="1"/>
                    </pic:cNvPicPr>
                  </pic:nvPicPr>
                  <pic:blipFill>
                    <a:blip r:embed="rId1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8" name="图片 38" descr="ContentServer (2)_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ContentServer (2)_14"/>
                    <pic:cNvPicPr>
                      <a:picLocks noChangeAspect="1"/>
                    </pic:cNvPicPr>
                  </pic:nvPicPr>
                  <pic:blipFill>
                    <a:blip r:embed="rId2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7" name="图片 37" descr="ContentServer (2)_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ContentServer (2)_15"/>
                    <pic:cNvPicPr>
                      <a:picLocks noChangeAspect="1"/>
                    </pic:cNvPicPr>
                  </pic:nvPicPr>
                  <pic:blipFill>
                    <a:blip r:embed="rId21"/>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6" name="图片 36" descr="ContentServer (2)_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ContentServer (2)_16"/>
                    <pic:cNvPicPr>
                      <a:picLocks noChangeAspect="1"/>
                    </pic:cNvPicPr>
                  </pic:nvPicPr>
                  <pic:blipFill>
                    <a:blip r:embed="rId22"/>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5" name="图片 35" descr="ContentServer (2)_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ContentServer (2)_17"/>
                    <pic:cNvPicPr>
                      <a:picLocks noChangeAspect="1"/>
                    </pic:cNvPicPr>
                  </pic:nvPicPr>
                  <pic:blipFill>
                    <a:blip r:embed="rId23"/>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4" name="图片 34" descr="ContentServer (2)_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ContentServer (2)_18"/>
                    <pic:cNvPicPr>
                      <a:picLocks noChangeAspect="1"/>
                    </pic:cNvPicPr>
                  </pic:nvPicPr>
                  <pic:blipFill>
                    <a:blip r:embed="rId24"/>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3" name="图片 33" descr="ContentServer (2)_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ContentServer (2)_19"/>
                    <pic:cNvPicPr>
                      <a:picLocks noChangeAspect="1"/>
                    </pic:cNvPicPr>
                  </pic:nvPicPr>
                  <pic:blipFill>
                    <a:blip r:embed="rId25"/>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2" name="图片 32" descr="ContentServer (2)_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ContentServer (2)_20"/>
                    <pic:cNvPicPr>
                      <a:picLocks noChangeAspect="1"/>
                    </pic:cNvPicPr>
                  </pic:nvPicPr>
                  <pic:blipFill>
                    <a:blip r:embed="rId2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1" name="图片 31" descr="ContentServer (2)_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ContentServer (2)_21"/>
                    <pic:cNvPicPr>
                      <a:picLocks noChangeAspect="1"/>
                    </pic:cNvPicPr>
                  </pic:nvPicPr>
                  <pic:blipFill>
                    <a:blip r:embed="rId2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0" name="图片 30" descr="ContentServer (2)_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ContentServer (2)_22"/>
                    <pic:cNvPicPr>
                      <a:picLocks noChangeAspect="1"/>
                    </pic:cNvPicPr>
                  </pic:nvPicPr>
                  <pic:blipFill>
                    <a:blip r:embed="rId2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29" name="图片 29" descr="ContentServer (2)_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ContentServer (2)_23"/>
                    <pic:cNvPicPr>
                      <a:picLocks noChangeAspect="1"/>
                    </pic:cNvPicPr>
                  </pic:nvPicPr>
                  <pic:blipFill>
                    <a:blip r:embed="rId2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28" name="图片 28" descr="ContentServer (2)_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ContentServer (2)_24"/>
                    <pic:cNvPicPr>
                      <a:picLocks noChangeAspect="1"/>
                    </pic:cNvPicPr>
                  </pic:nvPicPr>
                  <pic:blipFill>
                    <a:blip r:embed="rId3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69865" cy="7452995"/>
            <wp:effectExtent l="0" t="0" r="3175" b="14605"/>
            <wp:docPr id="27" name="图片 27" descr="ContentServer (2)_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ContentServer (2)_25"/>
                    <pic:cNvPicPr>
                      <a:picLocks noChangeAspect="1"/>
                    </pic:cNvPicPr>
                  </pic:nvPicPr>
                  <pic:blipFill>
                    <a:blip r:embed="rId31"/>
                    <a:stretch>
                      <a:fillRect/>
                    </a:stretch>
                  </pic:blipFill>
                  <pic:spPr>
                    <a:xfrm>
                      <a:off x="0" y="0"/>
                      <a:ext cx="5269865" cy="7452995"/>
                    </a:xfrm>
                    <a:prstGeom prst="rect">
                      <a:avLst/>
                    </a:prstGeom>
                  </pic:spPr>
                </pic:pic>
              </a:graphicData>
            </a:graphic>
          </wp:inline>
        </w:drawing>
      </w:r>
    </w:p>
    <w:p>
      <w:pPr>
        <w:rPr>
          <w:rFonts w:hint="default"/>
          <w:lang w:val="en-US" w:eastAsia="zh-CN"/>
        </w:rPr>
        <w:sectPr>
          <w:pgSz w:w="11906" w:h="16838"/>
          <w:pgMar w:top="1440" w:right="1800" w:bottom="1440" w:left="1800" w:header="851" w:footer="992" w:gutter="0"/>
          <w:pgNumType w:fmt="decimal"/>
          <w:cols w:space="425" w:num="1"/>
          <w:docGrid w:type="lines" w:linePitch="312" w:charSpace="0"/>
        </w:sectPr>
      </w:pPr>
      <w:r>
        <w:rPr>
          <w:rFonts w:hint="default"/>
          <w:lang w:val="en-US" w:eastAsia="zh-CN"/>
        </w:rPr>
        <w:drawing>
          <wp:inline distT="0" distB="0" distL="114300" distR="114300">
            <wp:extent cx="5272405" cy="7908925"/>
            <wp:effectExtent l="0" t="0" r="635" b="635"/>
            <wp:docPr id="26" name="图片 26" descr="ContentServer (1)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ContentServer (1)_00"/>
                    <pic:cNvPicPr>
                      <a:picLocks noChangeAspect="1"/>
                    </pic:cNvPicPr>
                  </pic:nvPicPr>
                  <pic:blipFill>
                    <a:blip r:embed="rId3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5" name="图片 25" descr="ContentServer (1)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ContentServer (1)_01"/>
                    <pic:cNvPicPr>
                      <a:picLocks noChangeAspect="1"/>
                    </pic:cNvPicPr>
                  </pic:nvPicPr>
                  <pic:blipFill>
                    <a:blip r:embed="rId3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4" name="图片 24" descr="ContentServer (1)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ContentServer (1)_02"/>
                    <pic:cNvPicPr>
                      <a:picLocks noChangeAspect="1"/>
                    </pic:cNvPicPr>
                  </pic:nvPicPr>
                  <pic:blipFill>
                    <a:blip r:embed="rId3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3" name="图片 23" descr="ContentServer (1)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ContentServer (1)_03"/>
                    <pic:cNvPicPr>
                      <a:picLocks noChangeAspect="1"/>
                    </pic:cNvPicPr>
                  </pic:nvPicPr>
                  <pic:blipFill>
                    <a:blip r:embed="rId3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2" name="图片 22" descr="ContentServer (1)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ContentServer (1)_04"/>
                    <pic:cNvPicPr>
                      <a:picLocks noChangeAspect="1"/>
                    </pic:cNvPicPr>
                  </pic:nvPicPr>
                  <pic:blipFill>
                    <a:blip r:embed="rId36"/>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1" name="图片 21" descr="ContentServer (1)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ContentServer (1)_05"/>
                    <pic:cNvPicPr>
                      <a:picLocks noChangeAspect="1"/>
                    </pic:cNvPicPr>
                  </pic:nvPicPr>
                  <pic:blipFill>
                    <a:blip r:embed="rId37"/>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0" name="图片 20" descr="ContentServer (1)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ContentServer (1)_06"/>
                    <pic:cNvPicPr>
                      <a:picLocks noChangeAspect="1"/>
                    </pic:cNvPicPr>
                  </pic:nvPicPr>
                  <pic:blipFill>
                    <a:blip r:embed="rId38"/>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9" name="图片 19" descr="ContentServer (1)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ContentServer (1)_07"/>
                    <pic:cNvPicPr>
                      <a:picLocks noChangeAspect="1"/>
                    </pic:cNvPicPr>
                  </pic:nvPicPr>
                  <pic:blipFill>
                    <a:blip r:embed="rId39"/>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8" name="图片 18" descr="ContentServer (1)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ContentServer (1)_08"/>
                    <pic:cNvPicPr>
                      <a:picLocks noChangeAspect="1"/>
                    </pic:cNvPicPr>
                  </pic:nvPicPr>
                  <pic:blipFill>
                    <a:blip r:embed="rId40"/>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7" name="图片 17" descr="ContentServer (1)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ContentServer (1)_09"/>
                    <pic:cNvPicPr>
                      <a:picLocks noChangeAspect="1"/>
                    </pic:cNvPicPr>
                  </pic:nvPicPr>
                  <pic:blipFill>
                    <a:blip r:embed="rId41"/>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6" name="图片 16" descr="ContentServer (1)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ContentServer (1)_10"/>
                    <pic:cNvPicPr>
                      <a:picLocks noChangeAspect="1"/>
                    </pic:cNvPicPr>
                  </pic:nvPicPr>
                  <pic:blipFill>
                    <a:blip r:embed="rId4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5" name="图片 15" descr="ContentServer (1)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ontentServer (1)_11"/>
                    <pic:cNvPicPr>
                      <a:picLocks noChangeAspect="1"/>
                    </pic:cNvPicPr>
                  </pic:nvPicPr>
                  <pic:blipFill>
                    <a:blip r:embed="rId4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4" name="图片 14" descr="ContentServer (1)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ContentServer (1)_12"/>
                    <pic:cNvPicPr>
                      <a:picLocks noChangeAspect="1"/>
                    </pic:cNvPicPr>
                  </pic:nvPicPr>
                  <pic:blipFill>
                    <a:blip r:embed="rId4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3" name="图片 13" descr="ContentServer (1)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ontentServer (1)_13"/>
                    <pic:cNvPicPr>
                      <a:picLocks noChangeAspect="1"/>
                    </pic:cNvPicPr>
                  </pic:nvPicPr>
                  <pic:blipFill>
                    <a:blip r:embed="rId4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2" name="图片 12" descr="ContentServer (1)_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ContentServer (1)_14"/>
                    <pic:cNvPicPr>
                      <a:picLocks noChangeAspect="1"/>
                    </pic:cNvPicPr>
                  </pic:nvPicPr>
                  <pic:blipFill>
                    <a:blip r:embed="rId46"/>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1" name="图片 11" descr="ContentServer (1)_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ContentServer (1)_15"/>
                    <pic:cNvPicPr>
                      <a:picLocks noChangeAspect="1"/>
                    </pic:cNvPicPr>
                  </pic:nvPicPr>
                  <pic:blipFill>
                    <a:blip r:embed="rId47"/>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0" name="图片 10" descr="ContentServer (1)_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ContentServer (1)_16"/>
                    <pic:cNvPicPr>
                      <a:picLocks noChangeAspect="1"/>
                    </pic:cNvPicPr>
                  </pic:nvPicPr>
                  <pic:blipFill>
                    <a:blip r:embed="rId48"/>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9" name="图片 9" descr="ContentServer (1)_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ontentServer (1)_17"/>
                    <pic:cNvPicPr>
                      <a:picLocks noChangeAspect="1"/>
                    </pic:cNvPicPr>
                  </pic:nvPicPr>
                  <pic:blipFill>
                    <a:blip r:embed="rId49"/>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8" name="图片 8" descr="ContentServer (1)_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ContentServer (1)_18"/>
                    <pic:cNvPicPr>
                      <a:picLocks noChangeAspect="1"/>
                    </pic:cNvPicPr>
                  </pic:nvPicPr>
                  <pic:blipFill>
                    <a:blip r:embed="rId50"/>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7" name="图片 7" descr="ContentServer (1)_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ontentServer (1)_19"/>
                    <pic:cNvPicPr>
                      <a:picLocks noChangeAspect="1"/>
                    </pic:cNvPicPr>
                  </pic:nvPicPr>
                  <pic:blipFill>
                    <a:blip r:embed="rId51"/>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6" name="图片 6" descr="ContentServer (1)_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ontentServer (1)_20"/>
                    <pic:cNvPicPr>
                      <a:picLocks noChangeAspect="1"/>
                    </pic:cNvPicPr>
                  </pic:nvPicPr>
                  <pic:blipFill>
                    <a:blip r:embed="rId5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5" name="图片 5" descr="ContentServer (1)_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ontentServer (1)_21"/>
                    <pic:cNvPicPr>
                      <a:picLocks noChangeAspect="1"/>
                    </pic:cNvPicPr>
                  </pic:nvPicPr>
                  <pic:blipFill>
                    <a:blip r:embed="rId5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4" name="图片 4" descr="ContentServer (1)_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ContentServer (1)_22"/>
                    <pic:cNvPicPr>
                      <a:picLocks noChangeAspect="1"/>
                    </pic:cNvPicPr>
                  </pic:nvPicPr>
                  <pic:blipFill>
                    <a:blip r:embed="rId5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3" name="图片 3" descr="ContentServer (1)_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ontentServer (1)_23"/>
                    <pic:cNvPicPr>
                      <a:picLocks noChangeAspect="1"/>
                    </pic:cNvPicPr>
                  </pic:nvPicPr>
                  <pic:blipFill>
                    <a:blip r:embed="rId5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69865" cy="6819900"/>
            <wp:effectExtent l="0" t="0" r="3175" b="7620"/>
            <wp:docPr id="2" name="图片 2" descr="ContentServer (1)_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ontentServer (1)_24"/>
                    <pic:cNvPicPr>
                      <a:picLocks noChangeAspect="1"/>
                    </pic:cNvPicPr>
                  </pic:nvPicPr>
                  <pic:blipFill>
                    <a:blip r:embed="rId56"/>
                    <a:stretch>
                      <a:fillRect/>
                    </a:stretch>
                  </pic:blipFill>
                  <pic:spPr>
                    <a:xfrm>
                      <a:off x="0" y="0"/>
                      <a:ext cx="5269865" cy="6819900"/>
                    </a:xfrm>
                    <a:prstGeom prst="rect">
                      <a:avLst/>
                    </a:prstGeom>
                  </pic:spPr>
                </pic:pic>
              </a:graphicData>
            </a:graphic>
          </wp:inline>
        </w:drawing>
      </w:r>
    </w:p>
    <w:p>
      <w:pPr>
        <w:numPr>
          <w:numId w:val="0"/>
        </w:numPr>
        <w:bidi w:val="0"/>
        <w:ind w:leftChars="0"/>
        <w:rPr>
          <w:rFonts w:hint="default" w:ascii="Times New Roman" w:hAnsi="Times New Roman" w:cs="Times New Roman"/>
          <w:sz w:val="24"/>
          <w:szCs w:val="24"/>
          <w:lang w:val="en-US" w:eastAsia="zh-CN"/>
        </w:rPr>
      </w:pPr>
    </w:p>
    <w:p>
      <w:pPr>
        <w:numPr>
          <w:numId w:val="0"/>
        </w:numPr>
        <w:bidi w:val="0"/>
        <w:ind w:leftChars="0"/>
        <w:rPr>
          <w:rFonts w:hint="default" w:ascii="Times New Roman" w:hAnsi="Times New Roman" w:cs="Times New Roman"/>
          <w:sz w:val="24"/>
          <w:szCs w:val="24"/>
          <w:lang w:val="en-US" w:eastAsia="zh-CN"/>
        </w:rPr>
      </w:pPr>
    </w:p>
    <w:p>
      <w:pPr>
        <w:numPr>
          <w:numId w:val="0"/>
        </w:numPr>
        <w:bidi w:val="0"/>
        <w:ind w:leftChars="0"/>
        <w:rPr>
          <w:rFonts w:hint="default" w:ascii="Times New Roman" w:hAnsi="Times New Roman" w:cs="Times New Roman"/>
          <w:sz w:val="24"/>
          <w:szCs w:val="24"/>
          <w:lang w:val="en-US" w:eastAsia="zh-CN"/>
        </w:rPr>
      </w:pPr>
    </w:p>
    <w:p>
      <w:pPr>
        <w:widowControl w:val="0"/>
        <w:numPr>
          <w:numId w:val="0"/>
        </w:numPr>
        <w:jc w:val="both"/>
        <w:rPr>
          <w:rFonts w:hint="default" w:ascii="Times New Roman" w:hAnsi="Times New Roman" w:cs="Times New Roman"/>
          <w:sz w:val="24"/>
          <w:szCs w:val="24"/>
          <w:lang w:val="en-US" w:eastAsia="zh-CN"/>
        </w:rPr>
      </w:pPr>
    </w:p>
    <w:p>
      <w:pPr>
        <w:widowControl w:val="0"/>
        <w:numPr>
          <w:numId w:val="0"/>
        </w:numPr>
        <w:jc w:val="both"/>
        <w:rPr>
          <w:rFonts w:hint="eastAsia" w:ascii="Times New Roman" w:hAnsi="Times New Roman" w:cs="Times New Roman"/>
          <w:sz w:val="24"/>
          <w:szCs w:val="24"/>
          <w:lang w:val="en-US" w:eastAsia="zh-CN"/>
        </w:rPr>
      </w:pPr>
    </w:p>
    <w:p>
      <w:pPr>
        <w:widowControl w:val="0"/>
        <w:numPr>
          <w:numId w:val="0"/>
        </w:numPr>
        <w:jc w:val="both"/>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p>
    <w:p>
      <w:pPr>
        <w:rPr>
          <w:rFonts w:hint="default"/>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 w:name="Adobe Gothic Std B">
    <w:panose1 w:val="020B0800000000000000"/>
    <w:charset w:val="80"/>
    <w:family w:val="auto"/>
    <w:pitch w:val="default"/>
    <w:sig w:usb0="00000001" w:usb1="21D72C10" w:usb2="00000010" w:usb3="00000000" w:csb0="602A0005" w:csb1="00000000"/>
  </w:font>
  <w:font w:name="Adobe 仿宋 Std R">
    <w:panose1 w:val="02020400000000000000"/>
    <w:charset w:val="86"/>
    <w:family w:val="auto"/>
    <w:pitch w:val="default"/>
    <w:sig w:usb0="00000001" w:usb1="0A0F1810" w:usb2="00000016" w:usb3="00000000" w:csb0="00060007" w:csb1="00000000"/>
  </w:font>
  <w:font w:name="楷体">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Adobe Garamond Pro Bold">
    <w:panose1 w:val="02020702060506020403"/>
    <w:charset w:val="00"/>
    <w:family w:val="auto"/>
    <w:pitch w:val="default"/>
    <w:sig w:usb0="00000007" w:usb1="00000001" w:usb2="00000000" w:usb3="00000000" w:csb0="2000009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PhxoXeAgAAJgYAAA4AAABkcnMvZTJvRG9jLnhtbK1US27bMBDdF+gd&#10;CO4VSY7s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08xEqSF&#10;it9/+3r//ef9jy8I9kCgrTITiLtVEGl3l3IHbdPvG9h0vHeVbt0/MELgB3nvDvKynUXUHUoHaRqB&#10;i4KvXwB+eDyutLGvmGyRMzKsoX5eVrJZGNuF9iHuNiGLhnNfQy7QNsOj02HkDxw8AM6Fi4UsAGNv&#10;dbX5NI7GV+lVmgTJYHQVJFGeB7NingSjIj4b5qf5fJ7Hnx1enEzqpiyZcPf1fRInz6vDvle6Ch86&#10;xUjelA7OpWT0ajnnGm0I9Gnhf05hSP5BWPg4De8GVk8oxYMkuhyMg2KUngVJkQyD8VmUBlE8vhyP&#10;omSc5MVjSotGsH+n9Ej9B0mTiSvYgduSE/rhr9RcOkdqoEBfuND1YddvzrK75Q4kcuZSlnfQm1p2&#10;z9soWjRw6YIYe0M0vGfoOZh49ho+FZfQJ3JvYVRL/fFP+y4eygtejLYwHzIsYBxixF8LeH4AaHtD&#10;98ayN8S6nUsoZAyTVFFvwgFteW9WWrbvYQzO3B3gIoLCTRm2vTm33YyCMUrZbOaD1ko3q7o7AMND&#10;EbsQt4q6a3wLqdnawnvwz+SoCkjpFjA+vKj7Uefm08O1jzqO9+k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RwUAAFtDb250ZW50X1R5cGVzXS54&#10;bWxQSwECFAAKAAAAAACHTuJAAAAAAAAAAAAAAAAABgAAAAAAAAAAABAAAAApBAAAX3JlbHMvUEsB&#10;AhQAFAAAAAgAh07iQIoUZjzRAAAAlAEAAAsAAAAAAAAAAQAgAAAATQQAAF9yZWxzLy5yZWxzUEsB&#10;AhQACgAAAAAAh07iQAAAAAAAAAAAAAAAAAQAAAAAAAAAAAAQAAAAAAAAAGRycy9QSwECFAAUAAAA&#10;CACHTuJAs0lY7tAAAAAFAQAADwAAAAAAAAABACAAAAAiAAAAZHJzL2Rvd25yZXYueG1sUEsBAhQA&#10;FAAAAAgAh07iQJPhxoXeAgAAJgYAAA4AAAAAAAAAAQAgAAAAHwEAAGRycy9lMm9Eb2MueG1sUEsF&#10;BgAAAAAGAAYAWQEAAG8G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1E53606"/>
    <w:multiLevelType w:val="singleLevel"/>
    <w:tmpl w:val="51E53606"/>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1174AE"/>
    <w:rsid w:val="0B7D242F"/>
    <w:rsid w:val="0C9B220E"/>
    <w:rsid w:val="132D37A7"/>
    <w:rsid w:val="23366A59"/>
    <w:rsid w:val="2B5A00CB"/>
    <w:rsid w:val="338C43D0"/>
    <w:rsid w:val="497A3D55"/>
    <w:rsid w:val="64EA1F91"/>
    <w:rsid w:val="6A8818BD"/>
    <w:rsid w:val="6B8761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Emphasis"/>
    <w:basedOn w:val="9"/>
    <w:qFormat/>
    <w:uiPriority w:val="0"/>
    <w:rPr>
      <w:i/>
    </w:rPr>
  </w:style>
  <w:style w:type="paragraph" w:styleId="11">
    <w:name w:val="List Paragraph"/>
    <w:basedOn w:val="1"/>
    <w:qFormat/>
    <w:uiPriority w:val="34"/>
    <w:pPr>
      <w:spacing w:after="0" w:line="240" w:lineRule="auto"/>
      <w:ind w:left="720"/>
      <w:contextualSpacing/>
    </w:pPr>
    <w:rPr>
      <w:rFonts w:ascii="Times New Roman" w:hAnsi="Times New Roman"/>
      <w:sz w:val="20"/>
      <w:szCs w:val="20"/>
      <w:lang w:eastAsia="en-GB"/>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 w:type="paragraph" w:customStyle="1" w:styleId="14">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9" Type="http://schemas.openxmlformats.org/officeDocument/2006/relationships/fontTable" Target="fontTable.xml"/><Relationship Id="rId58" Type="http://schemas.openxmlformats.org/officeDocument/2006/relationships/numbering" Target="numbering.xml"/><Relationship Id="rId57" Type="http://schemas.openxmlformats.org/officeDocument/2006/relationships/customXml" Target="../customXml/item1.xml"/><Relationship Id="rId56" Type="http://schemas.openxmlformats.org/officeDocument/2006/relationships/image" Target="media/image51.jpeg"/><Relationship Id="rId55" Type="http://schemas.openxmlformats.org/officeDocument/2006/relationships/image" Target="media/image50.jpeg"/><Relationship Id="rId54" Type="http://schemas.openxmlformats.org/officeDocument/2006/relationships/image" Target="media/image49.jpeg"/><Relationship Id="rId53" Type="http://schemas.openxmlformats.org/officeDocument/2006/relationships/image" Target="media/image48.jpeg"/><Relationship Id="rId52" Type="http://schemas.openxmlformats.org/officeDocument/2006/relationships/image" Target="media/image47.jpeg"/><Relationship Id="rId51" Type="http://schemas.openxmlformats.org/officeDocument/2006/relationships/image" Target="media/image46.jpeg"/><Relationship Id="rId50" Type="http://schemas.openxmlformats.org/officeDocument/2006/relationships/image" Target="media/image45.jpeg"/><Relationship Id="rId5" Type="http://schemas.openxmlformats.org/officeDocument/2006/relationships/theme" Target="theme/theme1.xml"/><Relationship Id="rId49" Type="http://schemas.openxmlformats.org/officeDocument/2006/relationships/image" Target="media/image44.jpeg"/><Relationship Id="rId48" Type="http://schemas.openxmlformats.org/officeDocument/2006/relationships/image" Target="media/image43.jpeg"/><Relationship Id="rId47" Type="http://schemas.openxmlformats.org/officeDocument/2006/relationships/image" Target="media/image42.jpeg"/><Relationship Id="rId46" Type="http://schemas.openxmlformats.org/officeDocument/2006/relationships/image" Target="media/image41.jpeg"/><Relationship Id="rId45" Type="http://schemas.openxmlformats.org/officeDocument/2006/relationships/image" Target="media/image40.jpeg"/><Relationship Id="rId44" Type="http://schemas.openxmlformats.org/officeDocument/2006/relationships/image" Target="media/image39.jpeg"/><Relationship Id="rId43" Type="http://schemas.openxmlformats.org/officeDocument/2006/relationships/image" Target="media/image38.jpeg"/><Relationship Id="rId42" Type="http://schemas.openxmlformats.org/officeDocument/2006/relationships/image" Target="media/image37.jpeg"/><Relationship Id="rId41" Type="http://schemas.openxmlformats.org/officeDocument/2006/relationships/image" Target="media/image36.jpeg"/><Relationship Id="rId40" Type="http://schemas.openxmlformats.org/officeDocument/2006/relationships/image" Target="media/image35.jpeg"/><Relationship Id="rId4" Type="http://schemas.openxmlformats.org/officeDocument/2006/relationships/footer" Target="footer2.xml"/><Relationship Id="rId39" Type="http://schemas.openxmlformats.org/officeDocument/2006/relationships/image" Target="media/image34.jpeg"/><Relationship Id="rId38" Type="http://schemas.openxmlformats.org/officeDocument/2006/relationships/image" Target="media/image33.jpeg"/><Relationship Id="rId37" Type="http://schemas.openxmlformats.org/officeDocument/2006/relationships/image" Target="media/image32.jpeg"/><Relationship Id="rId36" Type="http://schemas.openxmlformats.org/officeDocument/2006/relationships/image" Target="media/image31.jpeg"/><Relationship Id="rId35" Type="http://schemas.openxmlformats.org/officeDocument/2006/relationships/image" Target="media/image30.jpeg"/><Relationship Id="rId34" Type="http://schemas.openxmlformats.org/officeDocument/2006/relationships/image" Target="media/image29.jpeg"/><Relationship Id="rId33" Type="http://schemas.openxmlformats.org/officeDocument/2006/relationships/image" Target="media/image28.jpeg"/><Relationship Id="rId32" Type="http://schemas.openxmlformats.org/officeDocument/2006/relationships/image" Target="media/image27.jpeg"/><Relationship Id="rId31" Type="http://schemas.openxmlformats.org/officeDocument/2006/relationships/image" Target="media/image26.jpeg"/><Relationship Id="rId30" Type="http://schemas.openxmlformats.org/officeDocument/2006/relationships/image" Target="media/image25.jpeg"/><Relationship Id="rId3" Type="http://schemas.openxmlformats.org/officeDocument/2006/relationships/footer" Target="footer1.xml"/><Relationship Id="rId29" Type="http://schemas.openxmlformats.org/officeDocument/2006/relationships/image" Target="media/image24.jpeg"/><Relationship Id="rId28" Type="http://schemas.openxmlformats.org/officeDocument/2006/relationships/image" Target="media/image23.jpeg"/><Relationship Id="rId27" Type="http://schemas.openxmlformats.org/officeDocument/2006/relationships/image" Target="media/image22.jpeg"/><Relationship Id="rId26" Type="http://schemas.openxmlformats.org/officeDocument/2006/relationships/image" Target="media/image21.jpeg"/><Relationship Id="rId25" Type="http://schemas.openxmlformats.org/officeDocument/2006/relationships/image" Target="media/image20.jpeg"/><Relationship Id="rId24" Type="http://schemas.openxmlformats.org/officeDocument/2006/relationships/image" Target="media/image19.jpeg"/><Relationship Id="rId23" Type="http://schemas.openxmlformats.org/officeDocument/2006/relationships/image" Target="media/image18.jpeg"/><Relationship Id="rId22" Type="http://schemas.openxmlformats.org/officeDocument/2006/relationships/image" Target="media/image17.jpeg"/><Relationship Id="rId21" Type="http://schemas.openxmlformats.org/officeDocument/2006/relationships/image" Target="media/image16.jpeg"/><Relationship Id="rId20" Type="http://schemas.openxmlformats.org/officeDocument/2006/relationships/image" Target="media/image15.jpeg"/><Relationship Id="rId2" Type="http://schemas.openxmlformats.org/officeDocument/2006/relationships/settings" Target="settings.xml"/><Relationship Id="rId19" Type="http://schemas.openxmlformats.org/officeDocument/2006/relationships/image" Target="media/image14.jpeg"/><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asus</dc:creator>
  <cp:lastModifiedBy>Semper_Fidelis</cp:lastModifiedBy>
  <dcterms:modified xsi:type="dcterms:W3CDTF">2021-12-03T18:33:32Z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665DF1B65EF342379653DAA7266BDBEE</vt:lpwstr>
  </property>
</Properties>
</file>