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5120F" w14:textId="77777777" w:rsidR="00CB6781" w:rsidRDefault="00CB6781" w:rsidP="00CB6781">
      <w:pPr>
        <w:pStyle w:val="Heading2"/>
        <w:numPr>
          <w:ilvl w:val="0"/>
          <w:numId w:val="0"/>
        </w:numPr>
        <w:spacing w:before="0"/>
        <w:ind w:left="576" w:hanging="576"/>
      </w:pPr>
    </w:p>
    <w:p w14:paraId="001FCBB3" w14:textId="77777777" w:rsidR="00CB6781" w:rsidRDefault="00CB6781" w:rsidP="00CB6781">
      <w:pPr>
        <w:pStyle w:val="Heading2"/>
        <w:numPr>
          <w:ilvl w:val="0"/>
          <w:numId w:val="0"/>
        </w:numPr>
        <w:spacing w:before="0"/>
        <w:ind w:left="576" w:hanging="576"/>
      </w:pPr>
    </w:p>
    <w:p w14:paraId="5CB6BD3A" w14:textId="31DFDA4A" w:rsidR="00CB6781" w:rsidRDefault="00CB6781" w:rsidP="00CB6781">
      <w:pPr>
        <w:pStyle w:val="Heading2"/>
        <w:numPr>
          <w:ilvl w:val="0"/>
          <w:numId w:val="0"/>
        </w:numPr>
        <w:spacing w:before="0"/>
        <w:ind w:left="576" w:hanging="576"/>
      </w:pPr>
      <w:r>
        <w:rPr>
          <w:noProof/>
        </w:rPr>
        <w:drawing>
          <wp:inline distT="0" distB="0" distL="0" distR="0" wp14:anchorId="59EF06F1" wp14:editId="111A1D39">
            <wp:extent cx="3218815" cy="1122045"/>
            <wp:effectExtent l="0" t="0" r="635" b="1905"/>
            <wp:docPr id="29587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8815" cy="1122045"/>
                    </a:xfrm>
                    <a:prstGeom prst="rect">
                      <a:avLst/>
                    </a:prstGeom>
                    <a:noFill/>
                  </pic:spPr>
                </pic:pic>
              </a:graphicData>
            </a:graphic>
          </wp:inline>
        </w:drawing>
      </w:r>
    </w:p>
    <w:p w14:paraId="7BCB1C3A" w14:textId="77777777" w:rsidR="00CB6781" w:rsidRDefault="00CB6781" w:rsidP="00CB6781">
      <w:pPr>
        <w:pStyle w:val="BodyText"/>
      </w:pPr>
      <w:r>
        <w:t>MODULE CODE/ COD Y MODIWL: LCBB4002</w:t>
      </w:r>
    </w:p>
    <w:p w14:paraId="3A06E836" w14:textId="77777777" w:rsidR="00CB6781" w:rsidRDefault="00CB6781" w:rsidP="00CB6781">
      <w:pPr>
        <w:pStyle w:val="BodyText"/>
      </w:pPr>
      <w:r>
        <w:t xml:space="preserve">COMMUNITY ENGAGEMENT </w:t>
      </w:r>
    </w:p>
    <w:p w14:paraId="3607454C" w14:textId="77777777" w:rsidR="00CB6781" w:rsidRDefault="00CB6781" w:rsidP="00CB6781">
      <w:pPr>
        <w:pStyle w:val="BodyText"/>
      </w:pPr>
      <w:r>
        <w:t>ASSESSMENT TYPE: ASSIGNMENT</w:t>
      </w:r>
    </w:p>
    <w:p w14:paraId="4FFA3ABE" w14:textId="77777777" w:rsidR="00CB6781" w:rsidRDefault="00CB6781" w:rsidP="00CB6781">
      <w:pPr>
        <w:pStyle w:val="BodyText"/>
      </w:pPr>
      <w:r>
        <w:t>ASSESSMENT/COMPONENT: 2</w:t>
      </w:r>
    </w:p>
    <w:p w14:paraId="30E9A4BE" w14:textId="46D04956" w:rsidR="00CB6781" w:rsidRPr="00E015C4" w:rsidRDefault="00CB6781" w:rsidP="00CB6781">
      <w:pPr>
        <w:pStyle w:val="BodyText"/>
        <w:rPr>
          <w:lang w:val="it-IT"/>
        </w:rPr>
      </w:pPr>
      <w:r w:rsidRPr="00E015C4">
        <w:rPr>
          <w:lang w:val="it-IT"/>
        </w:rPr>
        <w:t>Student Name:</w:t>
      </w:r>
      <w:r w:rsidR="00E015C4" w:rsidRPr="00E015C4">
        <w:rPr>
          <w:lang w:val="it-IT"/>
        </w:rPr>
        <w:t xml:space="preserve"> I</w:t>
      </w:r>
      <w:r w:rsidR="00E015C4">
        <w:rPr>
          <w:lang w:val="it-IT"/>
        </w:rPr>
        <w:t>uliana</w:t>
      </w:r>
      <w:r w:rsidR="00E015C4" w:rsidRPr="00E015C4">
        <w:rPr>
          <w:lang w:val="it-IT"/>
        </w:rPr>
        <w:t xml:space="preserve"> Luminita N</w:t>
      </w:r>
      <w:r w:rsidR="00E015C4">
        <w:rPr>
          <w:lang w:val="it-IT"/>
        </w:rPr>
        <w:t xml:space="preserve">ica </w:t>
      </w:r>
    </w:p>
    <w:p w14:paraId="6764D70D" w14:textId="2F6178BB" w:rsidR="00CB6781" w:rsidRDefault="00CB6781" w:rsidP="00CB6781">
      <w:pPr>
        <w:pStyle w:val="BodyText"/>
      </w:pPr>
      <w:r>
        <w:t xml:space="preserve">Student ID: </w:t>
      </w:r>
      <w:r w:rsidR="00E015C4">
        <w:t>2244846</w:t>
      </w:r>
    </w:p>
    <w:p w14:paraId="37713182" w14:textId="77777777" w:rsidR="00CB6781" w:rsidRDefault="00CB6781" w:rsidP="00CB6781">
      <w:pPr>
        <w:pStyle w:val="BodyText"/>
      </w:pPr>
    </w:p>
    <w:p w14:paraId="4BE9BB39" w14:textId="77777777" w:rsidR="00CB6781" w:rsidRDefault="00CB6781" w:rsidP="00CB6781">
      <w:pPr>
        <w:pStyle w:val="BodyText"/>
      </w:pPr>
    </w:p>
    <w:p w14:paraId="69BD42EC" w14:textId="77777777" w:rsidR="00CB6781" w:rsidRDefault="00CB6781" w:rsidP="00CB6781">
      <w:pPr>
        <w:pStyle w:val="BodyText"/>
      </w:pPr>
    </w:p>
    <w:p w14:paraId="21E15D8A" w14:textId="77777777" w:rsidR="00CB6781" w:rsidRDefault="00CB6781" w:rsidP="00CB6781">
      <w:pPr>
        <w:pStyle w:val="BodyText"/>
      </w:pPr>
    </w:p>
    <w:p w14:paraId="4E6FB8DA" w14:textId="77777777" w:rsidR="00CB6781" w:rsidRDefault="00CB6781" w:rsidP="00CB6781">
      <w:pPr>
        <w:pStyle w:val="BodyText"/>
      </w:pPr>
    </w:p>
    <w:p w14:paraId="18320DEC" w14:textId="77777777" w:rsidR="00CB6781" w:rsidRDefault="00CB6781" w:rsidP="00CB6781">
      <w:pPr>
        <w:pStyle w:val="BodyText"/>
      </w:pPr>
    </w:p>
    <w:p w14:paraId="464C3064" w14:textId="77777777" w:rsidR="00CB6781" w:rsidRDefault="00CB6781" w:rsidP="00CB6781">
      <w:pPr>
        <w:pStyle w:val="BodyText"/>
      </w:pPr>
    </w:p>
    <w:p w14:paraId="552A88D4" w14:textId="77777777" w:rsidR="00CB6781" w:rsidRDefault="00CB6781" w:rsidP="00CB6781">
      <w:pPr>
        <w:pStyle w:val="BodyText"/>
      </w:pPr>
    </w:p>
    <w:p w14:paraId="59BD2D89" w14:textId="77777777" w:rsidR="00CB6781" w:rsidRDefault="00CB6781" w:rsidP="00CB6781">
      <w:pPr>
        <w:pStyle w:val="BodyText"/>
      </w:pPr>
    </w:p>
    <w:p w14:paraId="1F5FEDD8" w14:textId="77777777" w:rsidR="00CB6781" w:rsidRDefault="00CB6781" w:rsidP="00CB6781">
      <w:pPr>
        <w:pStyle w:val="BodyText"/>
      </w:pPr>
    </w:p>
    <w:p w14:paraId="741543ED" w14:textId="77777777" w:rsidR="00CB6781" w:rsidRDefault="00CB6781" w:rsidP="00CB6781">
      <w:pPr>
        <w:pStyle w:val="BodyText"/>
      </w:pPr>
    </w:p>
    <w:p w14:paraId="0184C13A" w14:textId="77777777" w:rsidR="00CB6781" w:rsidRDefault="00CB6781" w:rsidP="00CB6781">
      <w:pPr>
        <w:pStyle w:val="BodyText"/>
      </w:pPr>
    </w:p>
    <w:p w14:paraId="50AE7296" w14:textId="77777777" w:rsidR="00CB6781" w:rsidRDefault="00CB6781" w:rsidP="00CB6781">
      <w:pPr>
        <w:pStyle w:val="BodyText"/>
      </w:pPr>
    </w:p>
    <w:p w14:paraId="656C015A" w14:textId="77777777" w:rsidR="00CB6781" w:rsidRDefault="00CB6781" w:rsidP="00CB6781">
      <w:pPr>
        <w:pStyle w:val="BodyText"/>
      </w:pPr>
    </w:p>
    <w:p w14:paraId="462A36C3" w14:textId="77777777" w:rsidR="00CB6781" w:rsidRPr="00CB6781" w:rsidRDefault="00CB6781" w:rsidP="00CB6781">
      <w:pPr>
        <w:pStyle w:val="BodyText"/>
        <w:rPr>
          <w:b/>
          <w:bCs/>
        </w:rPr>
      </w:pPr>
      <w:r w:rsidRPr="00CB6781">
        <w:rPr>
          <w:b/>
          <w:bCs/>
        </w:rPr>
        <w:t>Introduction</w:t>
      </w:r>
    </w:p>
    <w:p w14:paraId="5C83C43C"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Urban development plans increasingly recognise the need for community engagement for their success and longevity (</w:t>
      </w:r>
      <w:r w:rsidRPr="00CB6781">
        <w:rPr>
          <w:rFonts w:ascii="Times New Roman" w:hAnsi="Times New Roman"/>
          <w:i/>
          <w:iCs/>
        </w:rPr>
        <w:t xml:space="preserve">Bryson, </w:t>
      </w:r>
      <w:proofErr w:type="gramStart"/>
      <w:r w:rsidRPr="00CB6781">
        <w:rPr>
          <w:rFonts w:ascii="Times New Roman" w:hAnsi="Times New Roman"/>
          <w:i/>
          <w:iCs/>
        </w:rPr>
        <w:t>Crosby</w:t>
      </w:r>
      <w:proofErr w:type="gramEnd"/>
      <w:r w:rsidRPr="00CB6781">
        <w:rPr>
          <w:rFonts w:ascii="Times New Roman" w:hAnsi="Times New Roman"/>
          <w:i/>
          <w:iCs/>
        </w:rPr>
        <w:t xml:space="preserve"> and Stone, 2015).</w:t>
      </w:r>
      <w:r w:rsidRPr="00CB6781">
        <w:rPr>
          <w:rFonts w:ascii="Times New Roman" w:hAnsi="Times New Roman"/>
        </w:rPr>
        <w:t xml:space="preserve"> This participatory technique gives community members a sense of ownership and ensures that programmes meet their needs. Effective engagement approaches may help varied stakeholders bridge gaps, making urban planning more inclusive and responsive. Future initiatives in this environment aim to improve digital literacy and technological empowerment in metropolitan regions. The project's main goal is to promote technological inclusivity so that people of all ages and socioeconomic backgrounds can benefit from digital resources and training. This endeavour is particularly important in the age of digitalization, as technical skills are increasingly linked to social and economic success (</w:t>
      </w:r>
      <w:r w:rsidRPr="00CB6781">
        <w:rPr>
          <w:rFonts w:ascii="Times New Roman" w:hAnsi="Times New Roman"/>
          <w:i/>
          <w:iCs/>
        </w:rPr>
        <w:t>Van Dijk, 2017).</w:t>
      </w:r>
      <w:r w:rsidRPr="00CB6781">
        <w:rPr>
          <w:rFonts w:ascii="Times New Roman" w:hAnsi="Times New Roman"/>
        </w:rPr>
        <w:t xml:space="preserve"> This report compares a future digital knowledge project to the Nuneaton Green Space Initiative, a successful community involvement programme that promotes environmental sustainability. The comparison study will reveal different techniques and outcomes, demonstrating the adaptability of community participation strategies across project themes. However, the sources on community engagement best practices (</w:t>
      </w:r>
      <w:r w:rsidRPr="00CB6781">
        <w:rPr>
          <w:rFonts w:ascii="Times New Roman" w:hAnsi="Times New Roman"/>
          <w:i/>
          <w:iCs/>
        </w:rPr>
        <w:t>Innes and Booher, 2004)</w:t>
      </w:r>
      <w:r w:rsidRPr="00CB6781">
        <w:rPr>
          <w:rFonts w:ascii="Times New Roman" w:hAnsi="Times New Roman"/>
        </w:rPr>
        <w:t xml:space="preserve"> will be used to suggest ways to adapt them for environmental sustainability or digital inclusion.</w:t>
      </w:r>
    </w:p>
    <w:p w14:paraId="460C1321" w14:textId="77777777" w:rsidR="00CB6781" w:rsidRPr="00CB6781" w:rsidRDefault="00CB6781" w:rsidP="00CB6781">
      <w:pPr>
        <w:pStyle w:val="BodyText"/>
        <w:rPr>
          <w:b/>
          <w:bCs/>
        </w:rPr>
      </w:pPr>
      <w:r w:rsidRPr="00CB6781">
        <w:rPr>
          <w:b/>
          <w:bCs/>
        </w:rPr>
        <w:t>Main Body</w:t>
      </w:r>
    </w:p>
    <w:p w14:paraId="5846B0F4"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The Nuneaton Green Space Initiative and the proposed Future Digital Literacy Project differ in strategy, focus, and community participation. Nuneaton's environmental sustainability project successfully encompassed a diverse population. An inclusive method helped solve many environmental issues and encouraged community involvement and green space care </w:t>
      </w:r>
      <w:r w:rsidRPr="00CB6781">
        <w:rPr>
          <w:rFonts w:ascii="Times New Roman" w:hAnsi="Times New Roman"/>
          <w:i/>
          <w:iCs/>
        </w:rPr>
        <w:t>(Smith and Lehman, 2016).</w:t>
      </w:r>
      <w:r w:rsidRPr="00CB6781">
        <w:rPr>
          <w:rFonts w:ascii="Times New Roman" w:hAnsi="Times New Roman"/>
        </w:rPr>
        <w:t xml:space="preserve"> Traditional means, including town hall meetings, a project website, and monthly newsletters, facilitated contact. Also, these channels were chosen to provide knowledge to a diverse audience, including non-technical individuals (</w:t>
      </w:r>
      <w:r w:rsidRPr="00CB6781">
        <w:rPr>
          <w:rFonts w:ascii="Times New Roman" w:hAnsi="Times New Roman"/>
          <w:i/>
          <w:iCs/>
        </w:rPr>
        <w:t>Wates, 2014).</w:t>
      </w:r>
      <w:r w:rsidRPr="00CB6781">
        <w:rPr>
          <w:rFonts w:ascii="Times New Roman" w:hAnsi="Times New Roman"/>
        </w:rPr>
        <w:t xml:space="preserve"> In contrast, the Future Digital Knowledge Project targets neighbourhood members without access to technology and resources. This research addresses the growing digital divide and recognises the importance of digital literacy for social involvement and professional possibilities (</w:t>
      </w:r>
      <w:r w:rsidRPr="00CB6781">
        <w:rPr>
          <w:rFonts w:ascii="Times New Roman" w:hAnsi="Times New Roman"/>
          <w:i/>
          <w:iCs/>
        </w:rPr>
        <w:t>Van Deursen and Helsper, 2015)</w:t>
      </w:r>
      <w:r w:rsidRPr="00CB6781">
        <w:rPr>
          <w:rFonts w:ascii="Times New Roman" w:hAnsi="Times New Roman"/>
        </w:rPr>
        <w:t>. This project's communication approach matches its goals. Therefore, digital platforms, virtual workshops, and interactive online forums should be the main communication routes. The strategy targets the target group and models the skills and behaviours the project seeks to promote. Digital technologies are expected to make engagement more dynamic and participatory than the Nuneaton project's static and traditional methods. However, this shift in communication style also indicates a larger community engagement pattern, as digital platforms are increasingly recognised for their ability to allow greater participation and quick reaction (</w:t>
      </w:r>
      <w:r w:rsidRPr="00CB6781">
        <w:rPr>
          <w:rFonts w:ascii="Times New Roman" w:hAnsi="Times New Roman"/>
          <w:i/>
          <w:iCs/>
        </w:rPr>
        <w:t>Taylor and Quayle, 2018).</w:t>
      </w:r>
      <w:r w:rsidRPr="00CB6781">
        <w:rPr>
          <w:rFonts w:ascii="Times New Roman" w:hAnsi="Times New Roman"/>
        </w:rPr>
        <w:t xml:space="preserve"> It worked to promote inclusion in Nuneaton using both online and offline methods. The Digital Literacy Project depends primarily on online platforms, which may cause accessibility issues for certain community members. Thus, initiatives to reduce exclusions are essential. The variance in approach emphasises the necessity to align methods of contact with project goals while considering the community's varying communication technology availability and understanding.</w:t>
      </w:r>
    </w:p>
    <w:p w14:paraId="2AFF63EC"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The Nuneaton Green Space Initiative's inclusive, cooperative approach contrasts with the Future Digital Information Project's more focused approach when analysing and assessing community involvement best practices. </w:t>
      </w:r>
      <w:r w:rsidRPr="00CB6781">
        <w:rPr>
          <w:rFonts w:ascii="Times New Roman" w:hAnsi="Times New Roman"/>
          <w:i/>
          <w:iCs/>
        </w:rPr>
        <w:t>Innes and Booher (2004)</w:t>
      </w:r>
      <w:r w:rsidRPr="00CB6781">
        <w:rPr>
          <w:rFonts w:ascii="Times New Roman" w:hAnsi="Times New Roman"/>
        </w:rPr>
        <w:t xml:space="preserve"> stated that the Nuneaton initiative successfully engaged multiple community sectors and stakeholders. This strategy promoted shared accountability and common gain, essential for environmental sustainability programmes. One thing the Nuneaton project might have done better was increase digital involvement. Also, traditional techniques like town hall meetings and newsletters were beneficial, but additional digital tools may have broadened the project's appeal, especially among younger, more tech-savvy community members. Due to changing community dynamics and the prevalence of digital platforms, this change is not only about adopting technology (</w:t>
      </w:r>
      <w:r w:rsidRPr="00CB6781">
        <w:rPr>
          <w:rFonts w:ascii="Times New Roman" w:hAnsi="Times New Roman"/>
          <w:i/>
          <w:iCs/>
        </w:rPr>
        <w:t xml:space="preserve">Ragnedda and </w:t>
      </w:r>
      <w:proofErr w:type="spellStart"/>
      <w:r w:rsidRPr="00CB6781">
        <w:rPr>
          <w:rFonts w:ascii="Times New Roman" w:hAnsi="Times New Roman"/>
          <w:i/>
          <w:iCs/>
        </w:rPr>
        <w:t>Muschert</w:t>
      </w:r>
      <w:proofErr w:type="spellEnd"/>
      <w:r w:rsidRPr="00CB6781">
        <w:rPr>
          <w:rFonts w:ascii="Times New Roman" w:hAnsi="Times New Roman"/>
          <w:i/>
          <w:iCs/>
        </w:rPr>
        <w:t>, 2013</w:t>
      </w:r>
      <w:r w:rsidRPr="00CB6781">
        <w:rPr>
          <w:rFonts w:ascii="Times New Roman" w:hAnsi="Times New Roman"/>
        </w:rPr>
        <w:t>). Interactive maps for community comments or mobile applications for environmental problem reporting might have involved more people and offered real-time data for more responsive project management. Adding these tools to current tactics might have improved inclusion and kept up with technology. This perspective emphasises the need to regularly evaluate engagement techniques to adapt to changing community profiles and technology environments to keep efforts relevant, accessible, and successful (</w:t>
      </w:r>
      <w:r w:rsidRPr="00CB6781">
        <w:rPr>
          <w:rFonts w:ascii="Times New Roman" w:hAnsi="Times New Roman"/>
          <w:i/>
          <w:iCs/>
        </w:rPr>
        <w:t>Van Dijk, 2017).</w:t>
      </w:r>
    </w:p>
    <w:p w14:paraId="22A92210"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Active discussion is vital to the Nuneaton Green Space Initiative and the proposed Future Digital Literacy Project, albeit utilising different methods. Township meetings in Nuneaton were essential because they enabled varied community members to participate directly and personally. According to </w:t>
      </w:r>
      <w:r w:rsidRPr="00CB6781">
        <w:rPr>
          <w:rFonts w:ascii="Times New Roman" w:hAnsi="Times New Roman"/>
          <w:i/>
          <w:iCs/>
        </w:rPr>
        <w:t>Arnstein (1969),</w:t>
      </w:r>
      <w:r w:rsidRPr="00CB6781">
        <w:rPr>
          <w:rFonts w:ascii="Times New Roman" w:hAnsi="Times New Roman"/>
        </w:rPr>
        <w:t xml:space="preserve"> this strategy allowed direct and personal connection, which led to swift reaction and communal participation. The town hall meetings effectively featured a broad spectrum of community opinions, encouraging project selections to coincide with community objectives. However, the Future Digital Literacy Project advocates employing online polls and virtual town halls to broaden the project's reach and accessibility. This strategy is significant since the initiative emphasises digital literacy. Not only does it match with the project's goals, but it also gives marginalised internet users a platform to voice their worries and wants (</w:t>
      </w:r>
      <w:r w:rsidRPr="00CB6781">
        <w:rPr>
          <w:rFonts w:ascii="Times New Roman" w:hAnsi="Times New Roman"/>
          <w:i/>
          <w:iCs/>
        </w:rPr>
        <w:t xml:space="preserve">Ragnedda and </w:t>
      </w:r>
      <w:proofErr w:type="spellStart"/>
      <w:r w:rsidRPr="00CB6781">
        <w:rPr>
          <w:rFonts w:ascii="Times New Roman" w:hAnsi="Times New Roman"/>
          <w:i/>
          <w:iCs/>
        </w:rPr>
        <w:t>Muschert</w:t>
      </w:r>
      <w:proofErr w:type="spellEnd"/>
      <w:r w:rsidRPr="00CB6781">
        <w:rPr>
          <w:rFonts w:ascii="Times New Roman" w:hAnsi="Times New Roman"/>
          <w:i/>
          <w:iCs/>
        </w:rPr>
        <w:t>, 2013).</w:t>
      </w:r>
      <w:r w:rsidRPr="00CB6781">
        <w:rPr>
          <w:rFonts w:ascii="Times New Roman" w:hAnsi="Times New Roman"/>
        </w:rPr>
        <w:t xml:space="preserve"> This method may incorporate more people, especially younger or more tech-savvy ones, encouraging their active participation in the project. Effective communication is important in many industries. Effective communication is well acknowledged. The Nuneaton initiative also relied on efficient communication tactics, largely utilising traditional media and direct interactions. This solution fits the project's audience and aims, ensuring communication efficacy and consistency. However, as digital media becomes more integrated into daily life, future projects like the Digital Literacy programme may leverage digital communication channels. A generation acclimated to digital communication likes these platforms' real-time communication. </w:t>
      </w:r>
      <w:r w:rsidRPr="00CB6781">
        <w:rPr>
          <w:rFonts w:ascii="Times New Roman" w:hAnsi="Times New Roman"/>
          <w:i/>
          <w:iCs/>
        </w:rPr>
        <w:t>Van Dijk (2017</w:t>
      </w:r>
      <w:r w:rsidRPr="00CB6781">
        <w:rPr>
          <w:rFonts w:ascii="Times New Roman" w:hAnsi="Times New Roman"/>
        </w:rPr>
        <w:t>) observed that this supports the project's digital skills goal. Stakeholder engagement and inclusion involve people and groups with a stake in a decision-making process or project. The Nuneaton initiative set a norm for stakeholder participation by including several demographic divides. Inclusion methods ensured that the project met the different needs and preferences of a wide range of community members, ensuring true representation (</w:t>
      </w:r>
      <w:r w:rsidRPr="00CB6781">
        <w:rPr>
          <w:rFonts w:ascii="Times New Roman" w:hAnsi="Times New Roman"/>
          <w:i/>
          <w:iCs/>
        </w:rPr>
        <w:t>Innes and Booher, 2004).</w:t>
      </w:r>
      <w:r w:rsidRPr="00CB6781">
        <w:rPr>
          <w:rFonts w:ascii="Times New Roman" w:hAnsi="Times New Roman"/>
        </w:rPr>
        <w:t xml:space="preserve"> The Future Digital Literacy Project promotes inclusive participation, focusing on technologically deprived groups. A targeted strategy is essential to closing the digital divide because it ensures that all people, especially those who have been excluded, have access to digital literacy and technology. Therefore, both efforts demonstrate the need for active consultation, strong communication, and stakeholder inclusion, but in different ways customised to their aims and audiences.</w:t>
      </w:r>
    </w:p>
    <w:p w14:paraId="4D8C84AC"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The Nuneaton Green Space Initiative and Future Digital Literacy Project tailored their study methods to their goals. In Nuneaton, the Nuneaton Green Space Initiative and Future Digital Literacy Project used community surveys and environmental studies to gather data on green space creation and environmental impacts (</w:t>
      </w:r>
      <w:r w:rsidRPr="00CB6781">
        <w:rPr>
          <w:rFonts w:ascii="Times New Roman" w:hAnsi="Times New Roman"/>
          <w:i/>
          <w:iCs/>
        </w:rPr>
        <w:t xml:space="preserve">Bryson, </w:t>
      </w:r>
      <w:proofErr w:type="gramStart"/>
      <w:r w:rsidRPr="00CB6781">
        <w:rPr>
          <w:rFonts w:ascii="Times New Roman" w:hAnsi="Times New Roman"/>
          <w:i/>
          <w:iCs/>
        </w:rPr>
        <w:t>Crosby</w:t>
      </w:r>
      <w:proofErr w:type="gramEnd"/>
      <w:r w:rsidRPr="00CB6781">
        <w:rPr>
          <w:rFonts w:ascii="Times New Roman" w:hAnsi="Times New Roman"/>
          <w:i/>
          <w:iCs/>
        </w:rPr>
        <w:t xml:space="preserve"> and Stone, 2015).</w:t>
      </w:r>
      <w:r w:rsidRPr="00CB6781">
        <w:rPr>
          <w:rFonts w:ascii="Times New Roman" w:hAnsi="Times New Roman"/>
        </w:rPr>
        <w:t xml:space="preserve"> Incorporating multiple community opinions and environmental factors was successful with standard data collection. However, the Internet Literacy Project recommends online surveys and internet usage data. As the initiative emphasises technology, this technique helps understand the community's digital literacy and technology usage. Digital data collection provides real-time data and reaches a wider audience, especially digital platform users. Community mapping involves carefully identifying and recording a community's assets, resources, and features. The Nuneaton initiative identified green development sites via community mapping. To determine the most important areas for environmental development, the process was crucial (</w:t>
      </w:r>
      <w:r w:rsidRPr="00CB6781">
        <w:rPr>
          <w:rFonts w:ascii="Times New Roman" w:hAnsi="Times New Roman"/>
          <w:i/>
          <w:iCs/>
        </w:rPr>
        <w:t>Smith and Lehman, 2016</w:t>
      </w:r>
      <w:r w:rsidRPr="00CB6781">
        <w:rPr>
          <w:rFonts w:ascii="Times New Roman" w:hAnsi="Times New Roman"/>
        </w:rPr>
        <w:t>). The Future Project measures digital literacy and identifies neighbourhood access needs. Digital mapping may help identify places with low digital literacy and access to digital resources. This data may inform and execute strategies to address these challenges. In the Nuneaton project, the team primarily used social media to share information. Although this method was effective in terms of reaching many people, it limited the amount of meaningful engagement and communication that could take place. Also, the Digital Literacy Project aims to employ social media for interactive learning, feedback, and community participation. The above strategy distributes information and facilitates interactive communication, allowing instant engagement and knowledge acquisition (</w:t>
      </w:r>
      <w:proofErr w:type="spellStart"/>
      <w:r w:rsidRPr="00CB6781">
        <w:rPr>
          <w:rFonts w:ascii="Times New Roman" w:hAnsi="Times New Roman"/>
          <w:i/>
          <w:iCs/>
        </w:rPr>
        <w:t>Hargittai</w:t>
      </w:r>
      <w:proofErr w:type="spellEnd"/>
      <w:r w:rsidRPr="00CB6781">
        <w:rPr>
          <w:rFonts w:ascii="Times New Roman" w:hAnsi="Times New Roman"/>
          <w:i/>
          <w:iCs/>
        </w:rPr>
        <w:t xml:space="preserve"> and Hsieh, 2013</w:t>
      </w:r>
      <w:r w:rsidRPr="00CB6781">
        <w:rPr>
          <w:rFonts w:ascii="Times New Roman" w:hAnsi="Times New Roman"/>
        </w:rPr>
        <w:t xml:space="preserve">).  Analysing the results of a choice, action, or event is what this analysis is all about. The Nuneaton project evaluated environmental and social impacts via biannual community surveys, providing significant insights into progress and areas for improvement. Also, the future project will leverage online feedback channels and data analytics to measure its impact in real time. </w:t>
      </w:r>
      <w:r w:rsidRPr="00CB6781">
        <w:rPr>
          <w:rFonts w:ascii="Times New Roman" w:hAnsi="Times New Roman"/>
          <w:i/>
          <w:iCs/>
        </w:rPr>
        <w:t>Van Dijk (2017</w:t>
      </w:r>
      <w:r w:rsidRPr="00CB6781">
        <w:rPr>
          <w:rFonts w:ascii="Times New Roman" w:hAnsi="Times New Roman"/>
        </w:rPr>
        <w:t>) says this technique allows constant review and quick changes to programmes based on community feedback. Nuneaton's strategies promoted urban greening and environmental conservation by using proven environmental sustainability methods. Digital inclusion theories and technology adoption models like Rogers' Diffusion of Innovations theory underlie the Future Digital Literacy Project (</w:t>
      </w:r>
      <w:r w:rsidRPr="00CB6781">
        <w:rPr>
          <w:rFonts w:ascii="Times New Roman" w:hAnsi="Times New Roman"/>
          <w:i/>
          <w:iCs/>
        </w:rPr>
        <w:t>Rogers, 2003).</w:t>
      </w:r>
      <w:r w:rsidRPr="00CB6781">
        <w:rPr>
          <w:rFonts w:ascii="Times New Roman" w:hAnsi="Times New Roman"/>
        </w:rPr>
        <w:t xml:space="preserve"> These models help people understand digital technologies and may help improve digital literacy. As a result of the comparison that was shown earlier, it is necessary to apply individualised engagement strategies to successfully accomplish project goals and communicate with the target groups that were intended. Therefore, the Digital Literacy Project focuses on technology, whereas the Nuneaton Project is environmental and needs a different method. </w:t>
      </w:r>
      <w:r w:rsidRPr="00CB6781">
        <w:rPr>
          <w:rFonts w:ascii="Times New Roman" w:hAnsi="Times New Roman"/>
          <w:i/>
          <w:iCs/>
        </w:rPr>
        <w:t>Healey (1997)</w:t>
      </w:r>
      <w:r w:rsidRPr="00CB6781">
        <w:rPr>
          <w:rFonts w:ascii="Times New Roman" w:hAnsi="Times New Roman"/>
        </w:rPr>
        <w:t xml:space="preserve"> says that matching strategies with project objectives ensures intervention relevance and efficacy.</w:t>
      </w:r>
    </w:p>
    <w:p w14:paraId="22CA918E" w14:textId="77777777" w:rsidR="00CB6781" w:rsidRPr="00CB6781" w:rsidRDefault="00CB6781" w:rsidP="00CB6781">
      <w:pPr>
        <w:pStyle w:val="BodyText"/>
        <w:spacing w:line="360" w:lineRule="auto"/>
        <w:jc w:val="both"/>
        <w:rPr>
          <w:rFonts w:ascii="Times New Roman" w:hAnsi="Times New Roman"/>
          <w:b/>
          <w:bCs/>
        </w:rPr>
      </w:pPr>
      <w:r w:rsidRPr="00CB6781">
        <w:rPr>
          <w:rFonts w:ascii="Times New Roman" w:hAnsi="Times New Roman"/>
          <w:b/>
          <w:bCs/>
        </w:rPr>
        <w:t>Conclusion</w:t>
      </w:r>
    </w:p>
    <w:p w14:paraId="503EAA9C"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In conclusion, the examination of community participation procedures across several projects elucidates numerous fundamental components that are necessary for their efficacy. The significance of customising interaction tactics to project aims and community settings is shown by the juxtaposition of the Nuneaton Green Space Initiative and the planned Future Digital Literacy Project. Therefore, the Nuneaton initiative demonstrated the effectiveness of conventional approaches to community engagement, such as town hall meetings and community surveys, in facilitating widespread involvement and including a range of various community viewpoints. The strategy played a pivotal role in fostering a community feeling of responsibility and mutual benefit, which is of utmost importance in initiatives centred on environmental concerns. However, the successful integration of different demographic groups into the project underscores the significance of inclusion in community endeavours. Conversely, the Future Digital Literacy Project places emphasis on the potential of digital technologies in facilitating community involvement, with a specific focus on reaching populations who have limited access to technology. This strategy is in accordance with current trends in digital communication and the growing significance of digital literacy in contemporary society. Also, the use of digital platforms for the purpose of interacting and gathering feedback has the potential to enhance involvement in a more dynamic and ongoing manner, accommodating the evolving requirements and preferences of the community. Upon careful examination, it becomes evident that active consultation, good communication, and stakeholder involvement play a crucial role in the success of any community engagement process. Nevertheless, the approaches to attaining these objectives might exhibit substantial variations contingent upon the project's objectives, intended recipients, and improvements in technology. By tailoring engagement tactics to these criteria, it guarantees that programmes maintain their relevance, accessibility, and efficacy in attaining their intended results.</w:t>
      </w:r>
    </w:p>
    <w:p w14:paraId="0F23FB17" w14:textId="77777777" w:rsidR="00CB6781" w:rsidRPr="00CB6781" w:rsidRDefault="00CB6781" w:rsidP="00CB6781">
      <w:pPr>
        <w:pStyle w:val="BodyText"/>
        <w:spacing w:line="360" w:lineRule="auto"/>
        <w:jc w:val="both"/>
        <w:rPr>
          <w:rFonts w:ascii="Times New Roman" w:hAnsi="Times New Roman"/>
        </w:rPr>
      </w:pPr>
    </w:p>
    <w:p w14:paraId="726461B7" w14:textId="77777777" w:rsidR="00CB6781" w:rsidRPr="00CB6781" w:rsidRDefault="00CB6781" w:rsidP="00CB6781">
      <w:pPr>
        <w:pStyle w:val="BodyText"/>
      </w:pPr>
    </w:p>
    <w:p w14:paraId="1005AACF" w14:textId="77777777" w:rsidR="00CB6781" w:rsidRPr="00CB6781" w:rsidRDefault="00CB6781" w:rsidP="00CB6781">
      <w:pPr>
        <w:pStyle w:val="BodyText"/>
      </w:pPr>
    </w:p>
    <w:p w14:paraId="44768E75" w14:textId="77777777" w:rsidR="00CB6781" w:rsidRPr="00CB6781" w:rsidRDefault="00CB6781" w:rsidP="00CB6781">
      <w:pPr>
        <w:pStyle w:val="BodyText"/>
      </w:pPr>
    </w:p>
    <w:p w14:paraId="1343EE61" w14:textId="77777777" w:rsidR="00CB6781" w:rsidRPr="00CB6781" w:rsidRDefault="00CB6781" w:rsidP="00CB6781">
      <w:pPr>
        <w:pStyle w:val="BodyText"/>
      </w:pPr>
    </w:p>
    <w:p w14:paraId="301CCAD8" w14:textId="77777777" w:rsidR="00CB6781" w:rsidRPr="00CB6781" w:rsidRDefault="00CB6781" w:rsidP="00CB6781">
      <w:pPr>
        <w:pStyle w:val="BodyText"/>
      </w:pPr>
    </w:p>
    <w:p w14:paraId="5B9E7E82" w14:textId="77777777" w:rsidR="00CB6781" w:rsidRPr="00CB6781" w:rsidRDefault="00CB6781" w:rsidP="00CB6781">
      <w:pPr>
        <w:pStyle w:val="BodyText"/>
      </w:pPr>
    </w:p>
    <w:p w14:paraId="6A682A59" w14:textId="77777777" w:rsidR="00CB6781" w:rsidRPr="00CB6781" w:rsidRDefault="00CB6781" w:rsidP="00CB6781">
      <w:pPr>
        <w:pStyle w:val="BodyText"/>
      </w:pPr>
    </w:p>
    <w:p w14:paraId="392D9277" w14:textId="77777777" w:rsidR="00CB6781" w:rsidRPr="00CB6781" w:rsidRDefault="00CB6781" w:rsidP="00CB6781">
      <w:pPr>
        <w:pStyle w:val="BodyText"/>
      </w:pPr>
    </w:p>
    <w:p w14:paraId="2458BBEB" w14:textId="77777777" w:rsidR="00CB6781" w:rsidRPr="00CB6781" w:rsidRDefault="00CB6781" w:rsidP="00CB6781">
      <w:pPr>
        <w:pStyle w:val="BodyText"/>
      </w:pPr>
    </w:p>
    <w:p w14:paraId="7B2DF44B" w14:textId="77777777" w:rsidR="00CB6781" w:rsidRPr="00CB6781" w:rsidRDefault="00CB6781" w:rsidP="00CB6781">
      <w:pPr>
        <w:pStyle w:val="BodyText"/>
      </w:pPr>
    </w:p>
    <w:p w14:paraId="2D01DDDA" w14:textId="77777777" w:rsidR="00CB6781" w:rsidRPr="00CB6781" w:rsidRDefault="00CB6781" w:rsidP="00CB6781">
      <w:pPr>
        <w:pStyle w:val="BodyText"/>
      </w:pPr>
    </w:p>
    <w:p w14:paraId="3BA8D0BB" w14:textId="77777777" w:rsidR="00CB6781" w:rsidRDefault="00CB6781" w:rsidP="00CB6781">
      <w:pPr>
        <w:pStyle w:val="BodyText"/>
      </w:pPr>
    </w:p>
    <w:p w14:paraId="6D9A4BA7" w14:textId="77777777" w:rsidR="00CB6781" w:rsidRDefault="00CB6781" w:rsidP="00CB6781">
      <w:pPr>
        <w:pStyle w:val="BodyText"/>
      </w:pPr>
    </w:p>
    <w:p w14:paraId="0755658F" w14:textId="77777777" w:rsidR="00CB6781" w:rsidRDefault="00CB6781" w:rsidP="00CB6781">
      <w:pPr>
        <w:pStyle w:val="BodyText"/>
      </w:pPr>
    </w:p>
    <w:p w14:paraId="2FA7958A" w14:textId="77777777" w:rsidR="00CB6781" w:rsidRDefault="00CB6781" w:rsidP="00CB6781">
      <w:pPr>
        <w:pStyle w:val="BodyText"/>
      </w:pPr>
    </w:p>
    <w:p w14:paraId="3C5308E9" w14:textId="77777777" w:rsidR="00CB6781" w:rsidRDefault="00CB6781" w:rsidP="00CB6781">
      <w:pPr>
        <w:pStyle w:val="BodyText"/>
      </w:pPr>
    </w:p>
    <w:p w14:paraId="321B8035" w14:textId="77777777" w:rsidR="00CB6781" w:rsidRDefault="00CB6781" w:rsidP="00CB6781">
      <w:pPr>
        <w:pStyle w:val="BodyText"/>
      </w:pPr>
    </w:p>
    <w:p w14:paraId="29DB0BCB" w14:textId="77777777" w:rsidR="00CB6781" w:rsidRDefault="00CB6781" w:rsidP="00CB6781">
      <w:pPr>
        <w:pStyle w:val="BodyText"/>
      </w:pPr>
    </w:p>
    <w:p w14:paraId="2CB01D22" w14:textId="77777777" w:rsidR="00CB6781" w:rsidRDefault="00CB6781" w:rsidP="00CB6781">
      <w:pPr>
        <w:pStyle w:val="BodyText"/>
      </w:pPr>
    </w:p>
    <w:p w14:paraId="597F951C" w14:textId="77777777" w:rsidR="00CB6781" w:rsidRPr="00CB6781" w:rsidRDefault="00CB6781" w:rsidP="00CB6781">
      <w:pPr>
        <w:pStyle w:val="BodyText"/>
      </w:pPr>
    </w:p>
    <w:p w14:paraId="565C7C49"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References</w:t>
      </w:r>
    </w:p>
    <w:p w14:paraId="3518DB01"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Arnstein, S. R. (1969). A Ladder of Citizen Participation. </w:t>
      </w:r>
      <w:r w:rsidRPr="00CB6781">
        <w:rPr>
          <w:rFonts w:ascii="Times New Roman" w:hAnsi="Times New Roman"/>
          <w:i/>
          <w:iCs/>
        </w:rPr>
        <w:t>Journal of the American Institute of Planners</w:t>
      </w:r>
      <w:r w:rsidRPr="00CB6781">
        <w:rPr>
          <w:rFonts w:ascii="Times New Roman" w:hAnsi="Times New Roman"/>
        </w:rPr>
        <w:t>, 35(4), 216-224.</w:t>
      </w:r>
    </w:p>
    <w:p w14:paraId="15969114"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Bryson, J. M., Crosby, B. C., &amp; Stone, M. M. (2015). The Design and Implementation of Cross-Sector Collaborations: Propositions from the Literature. </w:t>
      </w:r>
      <w:r w:rsidRPr="00CB6781">
        <w:rPr>
          <w:rFonts w:ascii="Times New Roman" w:hAnsi="Times New Roman"/>
          <w:i/>
          <w:iCs/>
        </w:rPr>
        <w:t>Public Administration Review</w:t>
      </w:r>
      <w:r w:rsidRPr="00CB6781">
        <w:rPr>
          <w:rFonts w:ascii="Times New Roman" w:hAnsi="Times New Roman"/>
        </w:rPr>
        <w:t>, 75, 44-55.</w:t>
      </w:r>
    </w:p>
    <w:p w14:paraId="4C486C54" w14:textId="77777777" w:rsidR="00CB6781" w:rsidRPr="00CB6781" w:rsidRDefault="00CB6781" w:rsidP="00CB6781">
      <w:pPr>
        <w:pStyle w:val="BodyText"/>
        <w:spacing w:line="360" w:lineRule="auto"/>
        <w:jc w:val="both"/>
        <w:rPr>
          <w:rFonts w:ascii="Times New Roman" w:hAnsi="Times New Roman"/>
        </w:rPr>
      </w:pPr>
      <w:proofErr w:type="spellStart"/>
      <w:r w:rsidRPr="00CB6781">
        <w:rPr>
          <w:rFonts w:ascii="Times New Roman" w:hAnsi="Times New Roman"/>
        </w:rPr>
        <w:t>Hargittai</w:t>
      </w:r>
      <w:proofErr w:type="spellEnd"/>
      <w:r w:rsidRPr="00CB6781">
        <w:rPr>
          <w:rFonts w:ascii="Times New Roman" w:hAnsi="Times New Roman"/>
        </w:rPr>
        <w:t xml:space="preserve">, E., &amp; Hsieh, Y. P. (2013). Digital Inequality. In </w:t>
      </w:r>
      <w:r w:rsidRPr="00CB6781">
        <w:rPr>
          <w:rFonts w:ascii="Times New Roman" w:hAnsi="Times New Roman"/>
          <w:i/>
          <w:iCs/>
        </w:rPr>
        <w:t>The Oxford Handbook of Internet Studies</w:t>
      </w:r>
      <w:r w:rsidRPr="00CB6781">
        <w:rPr>
          <w:rFonts w:ascii="Times New Roman" w:hAnsi="Times New Roman"/>
        </w:rPr>
        <w:t>. Oxford University Press.</w:t>
      </w:r>
    </w:p>
    <w:p w14:paraId="1170B7F9" w14:textId="77777777" w:rsidR="00CB6781" w:rsidRPr="00CB6781" w:rsidRDefault="00CB6781" w:rsidP="00CB6781">
      <w:pPr>
        <w:pStyle w:val="BodyText"/>
        <w:spacing w:line="360" w:lineRule="auto"/>
        <w:jc w:val="both"/>
        <w:rPr>
          <w:rFonts w:ascii="Times New Roman" w:hAnsi="Times New Roman"/>
        </w:rPr>
      </w:pPr>
    </w:p>
    <w:p w14:paraId="2C4E7CB0"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Healey, P. (1997). Collaborative Planning: Shaping Places in Fragmented Societies. </w:t>
      </w:r>
      <w:r w:rsidRPr="00CB6781">
        <w:rPr>
          <w:rFonts w:ascii="Times New Roman" w:hAnsi="Times New Roman"/>
          <w:i/>
          <w:iCs/>
        </w:rPr>
        <w:t>Macmillan International Higher Education</w:t>
      </w:r>
      <w:r w:rsidRPr="00CB6781">
        <w:rPr>
          <w:rFonts w:ascii="Times New Roman" w:hAnsi="Times New Roman"/>
        </w:rPr>
        <w:t>.</w:t>
      </w:r>
    </w:p>
    <w:p w14:paraId="5A122C60"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Innes, J. E., &amp; Booher, D. E. (2004). Reframing Public Participation: Strategies for the 21st Century. </w:t>
      </w:r>
      <w:r w:rsidRPr="00CB6781">
        <w:rPr>
          <w:rFonts w:ascii="Times New Roman" w:hAnsi="Times New Roman"/>
          <w:i/>
          <w:iCs/>
        </w:rPr>
        <w:t>Planning Theory &amp; Practice</w:t>
      </w:r>
      <w:r w:rsidRPr="00CB6781">
        <w:rPr>
          <w:rFonts w:ascii="Times New Roman" w:hAnsi="Times New Roman"/>
        </w:rPr>
        <w:t>, 5(4), 419-436.</w:t>
      </w:r>
    </w:p>
    <w:p w14:paraId="063D40CF"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Ragnedda, M., &amp; Ruiu, M. L. (2017). The Third Digital Divide: A Weberian Approach to Digital Inequalities. </w:t>
      </w:r>
      <w:r w:rsidRPr="00CB6781">
        <w:rPr>
          <w:rFonts w:ascii="Times New Roman" w:hAnsi="Times New Roman"/>
          <w:i/>
          <w:iCs/>
        </w:rPr>
        <w:t>Routledge</w:t>
      </w:r>
      <w:r w:rsidRPr="00CB6781">
        <w:rPr>
          <w:rFonts w:ascii="Times New Roman" w:hAnsi="Times New Roman"/>
        </w:rPr>
        <w:t>.</w:t>
      </w:r>
    </w:p>
    <w:p w14:paraId="76EC082F"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Rogers, E. M. (2003). </w:t>
      </w:r>
      <w:r w:rsidRPr="00CB6781">
        <w:rPr>
          <w:rFonts w:ascii="Times New Roman" w:hAnsi="Times New Roman"/>
          <w:i/>
          <w:iCs/>
        </w:rPr>
        <w:t>Diffusion of Innovations, 5th Edition</w:t>
      </w:r>
      <w:r w:rsidRPr="00CB6781">
        <w:rPr>
          <w:rFonts w:ascii="Times New Roman" w:hAnsi="Times New Roman"/>
        </w:rPr>
        <w:t>. Free Press.</w:t>
      </w:r>
    </w:p>
    <w:p w14:paraId="5802DBBF"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Smith, G., &amp; Lehman, P. (2016). </w:t>
      </w:r>
      <w:r w:rsidRPr="00CB6781">
        <w:rPr>
          <w:rFonts w:ascii="Times New Roman" w:hAnsi="Times New Roman"/>
          <w:i/>
          <w:iCs/>
        </w:rPr>
        <w:t>Green Urbanism: Learning from European Cities</w:t>
      </w:r>
      <w:r w:rsidRPr="00CB6781">
        <w:rPr>
          <w:rFonts w:ascii="Times New Roman" w:hAnsi="Times New Roman"/>
        </w:rPr>
        <w:t>. Island Press.</w:t>
      </w:r>
    </w:p>
    <w:p w14:paraId="00B52527"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Taylor, M., &amp; Quayle, A. (2018). The digital revolution and its impact on public engagement and consultation. </w:t>
      </w:r>
      <w:r w:rsidRPr="00CB6781">
        <w:rPr>
          <w:rFonts w:ascii="Times New Roman" w:hAnsi="Times New Roman"/>
          <w:i/>
          <w:iCs/>
        </w:rPr>
        <w:t>Public Money &amp; Management</w:t>
      </w:r>
      <w:r w:rsidRPr="00CB6781">
        <w:rPr>
          <w:rFonts w:ascii="Times New Roman" w:hAnsi="Times New Roman"/>
        </w:rPr>
        <w:t>, 38(7), 477-484.</w:t>
      </w:r>
    </w:p>
    <w:p w14:paraId="405EF8D3"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Van Dijk, J. (2017). Digital Divide: Impact of Access. In </w:t>
      </w:r>
      <w:r w:rsidRPr="00CB6781">
        <w:rPr>
          <w:rFonts w:ascii="Times New Roman" w:hAnsi="Times New Roman"/>
          <w:i/>
          <w:iCs/>
        </w:rPr>
        <w:t>The International Encyclopedia of Media Effects</w:t>
      </w:r>
      <w:r w:rsidRPr="00CB6781">
        <w:rPr>
          <w:rFonts w:ascii="Times New Roman" w:hAnsi="Times New Roman"/>
        </w:rPr>
        <w:t xml:space="preserve"> (pp. 1-11). Wiley.</w:t>
      </w:r>
    </w:p>
    <w:p w14:paraId="167C7E37"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Van Dijk, J. (2017). The Network Society. </w:t>
      </w:r>
      <w:r w:rsidRPr="00CB6781">
        <w:rPr>
          <w:rFonts w:ascii="Times New Roman" w:hAnsi="Times New Roman"/>
          <w:i/>
          <w:iCs/>
        </w:rPr>
        <w:t>SAGE Publications Ltd</w:t>
      </w:r>
      <w:r w:rsidRPr="00CB6781">
        <w:rPr>
          <w:rFonts w:ascii="Times New Roman" w:hAnsi="Times New Roman"/>
        </w:rPr>
        <w:t>.</w:t>
      </w:r>
    </w:p>
    <w:p w14:paraId="4102AE77"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Van Deursen, A. J., &amp; Helsper, E. J. (2015). The Third-Level Digital Divide: Who Benefits Most from Being Online? In </w:t>
      </w:r>
      <w:r w:rsidRPr="00CB6781">
        <w:rPr>
          <w:rFonts w:ascii="Times New Roman" w:hAnsi="Times New Roman"/>
          <w:i/>
          <w:iCs/>
        </w:rPr>
        <w:t>Communication and Information Technologies Annual</w:t>
      </w:r>
      <w:r w:rsidRPr="00CB6781">
        <w:rPr>
          <w:rFonts w:ascii="Times New Roman" w:hAnsi="Times New Roman"/>
        </w:rPr>
        <w:t xml:space="preserve"> (pp. 29-52). Emerald Group Publishing Limited.</w:t>
      </w:r>
    </w:p>
    <w:p w14:paraId="1EEBE4B2" w14:textId="77777777"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 xml:space="preserve">Wates, N. (2014). </w:t>
      </w:r>
      <w:r w:rsidRPr="00CB6781">
        <w:rPr>
          <w:rFonts w:ascii="Times New Roman" w:hAnsi="Times New Roman"/>
          <w:i/>
          <w:iCs/>
        </w:rPr>
        <w:t>The Community Planning Handbook: How People Can Shape Their Cities, Towns &amp; Villages in Any Part of the World</w:t>
      </w:r>
      <w:r w:rsidRPr="00CB6781">
        <w:rPr>
          <w:rFonts w:ascii="Times New Roman" w:hAnsi="Times New Roman"/>
        </w:rPr>
        <w:t>. Earthscan.</w:t>
      </w:r>
    </w:p>
    <w:p w14:paraId="773E89E6" w14:textId="2D2004ED" w:rsidR="00CB6781" w:rsidRPr="00CB6781" w:rsidRDefault="00CB6781" w:rsidP="00CB6781">
      <w:pPr>
        <w:pStyle w:val="BodyText"/>
        <w:spacing w:line="360" w:lineRule="auto"/>
        <w:jc w:val="both"/>
        <w:rPr>
          <w:rFonts w:ascii="Times New Roman" w:hAnsi="Times New Roman"/>
        </w:rPr>
      </w:pPr>
      <w:r w:rsidRPr="00CB6781">
        <w:rPr>
          <w:rFonts w:ascii="Times New Roman" w:hAnsi="Times New Roman"/>
        </w:rPr>
        <w:t>Appendix:</w:t>
      </w:r>
    </w:p>
    <w:p w14:paraId="62EEF896" w14:textId="7C703217" w:rsidR="00CB6781" w:rsidRPr="00CB6781" w:rsidRDefault="0099230B" w:rsidP="00CB6781">
      <w:pPr>
        <w:pStyle w:val="Heading2"/>
        <w:numPr>
          <w:ilvl w:val="0"/>
          <w:numId w:val="0"/>
        </w:numPr>
        <w:spacing w:before="0"/>
        <w:ind w:left="576" w:hanging="576"/>
      </w:pPr>
      <w:r>
        <w:t xml:space="preserve">CPD Record </w:t>
      </w:r>
    </w:p>
    <w:p w14:paraId="5E335F0B" w14:textId="77777777" w:rsidR="0099230B" w:rsidRPr="009B3F09" w:rsidRDefault="0099230B" w:rsidP="0099230B">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99230B" w:rsidRPr="00EE0E49" w14:paraId="0B481398" w14:textId="77777777" w:rsidTr="00F00DC3">
        <w:trPr>
          <w:trHeight w:val="819"/>
        </w:trPr>
        <w:tc>
          <w:tcPr>
            <w:tcW w:w="5016" w:type="dxa"/>
          </w:tcPr>
          <w:p w14:paraId="73D20D3F" w14:textId="0BD36392" w:rsidR="0099230B" w:rsidRPr="00EE0E49" w:rsidRDefault="0099230B" w:rsidP="0099230B">
            <w:pPr>
              <w:rPr>
                <w:b/>
              </w:rPr>
            </w:pPr>
            <w:r w:rsidRPr="00EE0E49">
              <w:rPr>
                <w:b/>
              </w:rPr>
              <w:t>Name:</w:t>
            </w:r>
            <w:r>
              <w:rPr>
                <w:b/>
              </w:rPr>
              <w:t xml:space="preserve"> </w:t>
            </w:r>
            <w:r w:rsidR="00EB4E7E" w:rsidRPr="00EB4E7E">
              <w:rPr>
                <w:b/>
              </w:rPr>
              <w:t xml:space="preserve">Iuliana Luminita Nica </w:t>
            </w:r>
            <w:r w:rsidR="00EB4E7E">
              <w:rPr>
                <w:b/>
              </w:rPr>
              <w:t xml:space="preserve"> </w:t>
            </w:r>
          </w:p>
        </w:tc>
        <w:tc>
          <w:tcPr>
            <w:tcW w:w="4486" w:type="dxa"/>
          </w:tcPr>
          <w:p w14:paraId="5C532B70" w14:textId="77777777" w:rsidR="0099230B" w:rsidRPr="00553C72" w:rsidRDefault="0099230B" w:rsidP="00F00DC3">
            <w:pPr>
              <w:rPr>
                <w:rFonts w:ascii="Constantia" w:hAnsi="Constantia"/>
                <w:i/>
              </w:rPr>
            </w:pPr>
          </w:p>
        </w:tc>
        <w:tc>
          <w:tcPr>
            <w:tcW w:w="4532" w:type="dxa"/>
          </w:tcPr>
          <w:p w14:paraId="7DB643C5" w14:textId="77777777" w:rsidR="0099230B" w:rsidRPr="00EE0E49" w:rsidRDefault="0099230B" w:rsidP="00F00DC3">
            <w:pPr>
              <w:rPr>
                <w:b/>
              </w:rPr>
            </w:pPr>
            <w:r w:rsidRPr="00EE0E49">
              <w:rPr>
                <w:b/>
              </w:rPr>
              <w:t>Covering the period from:</w:t>
            </w:r>
          </w:p>
          <w:p w14:paraId="5452E5D6" w14:textId="581EA61D" w:rsidR="0099230B" w:rsidRPr="00EE0E49" w:rsidRDefault="0099230B" w:rsidP="00F00DC3">
            <w:r w:rsidRPr="00EE0E49">
              <w:rPr>
                <w:b/>
              </w:rPr>
              <w:t>To:</w:t>
            </w:r>
            <w:r>
              <w:rPr>
                <w:b/>
              </w:rPr>
              <w:t xml:space="preserve"> </w:t>
            </w:r>
            <w:r w:rsidR="00E92643">
              <w:rPr>
                <w:b/>
              </w:rPr>
              <w:t xml:space="preserve">September-December </w:t>
            </w:r>
          </w:p>
        </w:tc>
      </w:tr>
    </w:tbl>
    <w:p w14:paraId="67246151" w14:textId="77777777" w:rsidR="0099230B" w:rsidRDefault="0099230B" w:rsidP="0099230B">
      <w:pPr>
        <w:rPr>
          <w:rFonts w:ascii="Verdana" w:hAnsi="Verdana"/>
          <w:sz w:val="20"/>
        </w:rPr>
      </w:pPr>
    </w:p>
    <w:tbl>
      <w:tblPr>
        <w:tblW w:w="14856"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3119"/>
        <w:gridCol w:w="1984"/>
        <w:gridCol w:w="3657"/>
        <w:gridCol w:w="4536"/>
      </w:tblGrid>
      <w:tr w:rsidR="0099230B" w:rsidRPr="00E541C1" w14:paraId="6DC3BE64" w14:textId="77777777" w:rsidTr="005022D4">
        <w:tc>
          <w:tcPr>
            <w:tcW w:w="1560" w:type="dxa"/>
            <w:tcBorders>
              <w:bottom w:val="single" w:sz="4" w:space="0" w:color="auto"/>
            </w:tcBorders>
          </w:tcPr>
          <w:p w14:paraId="79B65BFB" w14:textId="77777777" w:rsidR="0099230B" w:rsidRPr="00E541C1" w:rsidRDefault="0099230B" w:rsidP="00F00DC3">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3119" w:type="dxa"/>
            <w:tcBorders>
              <w:bottom w:val="single" w:sz="4" w:space="0" w:color="auto"/>
            </w:tcBorders>
          </w:tcPr>
          <w:p w14:paraId="63F39A2D" w14:textId="77777777" w:rsidR="0099230B" w:rsidRPr="00E541C1" w:rsidRDefault="0099230B" w:rsidP="00F00DC3">
            <w:pPr>
              <w:jc w:val="center"/>
              <w:rPr>
                <w:rFonts w:ascii="Verdana" w:hAnsi="Verdana"/>
                <w:b/>
                <w:sz w:val="18"/>
                <w:szCs w:val="18"/>
              </w:rPr>
            </w:pPr>
            <w:r w:rsidRPr="00E541C1">
              <w:rPr>
                <w:rFonts w:ascii="Verdana" w:hAnsi="Verdana"/>
                <w:b/>
                <w:sz w:val="18"/>
                <w:szCs w:val="18"/>
              </w:rPr>
              <w:t>What did you do?</w:t>
            </w:r>
          </w:p>
        </w:tc>
        <w:tc>
          <w:tcPr>
            <w:tcW w:w="1984" w:type="dxa"/>
            <w:tcBorders>
              <w:bottom w:val="single" w:sz="4" w:space="0" w:color="auto"/>
            </w:tcBorders>
          </w:tcPr>
          <w:p w14:paraId="136EA311" w14:textId="77777777" w:rsidR="0099230B" w:rsidRPr="00E541C1" w:rsidRDefault="0099230B" w:rsidP="00F00DC3">
            <w:pPr>
              <w:jc w:val="center"/>
              <w:rPr>
                <w:rFonts w:ascii="Verdana" w:hAnsi="Verdana"/>
                <w:b/>
                <w:sz w:val="18"/>
                <w:szCs w:val="18"/>
              </w:rPr>
            </w:pPr>
            <w:r w:rsidRPr="00E541C1">
              <w:rPr>
                <w:rFonts w:ascii="Verdana" w:hAnsi="Verdana"/>
                <w:b/>
                <w:sz w:val="18"/>
                <w:szCs w:val="18"/>
              </w:rPr>
              <w:t>Why?</w:t>
            </w:r>
          </w:p>
        </w:tc>
        <w:tc>
          <w:tcPr>
            <w:tcW w:w="3657" w:type="dxa"/>
            <w:tcBorders>
              <w:bottom w:val="single" w:sz="4" w:space="0" w:color="auto"/>
            </w:tcBorders>
          </w:tcPr>
          <w:p w14:paraId="16727A2D" w14:textId="77777777" w:rsidR="0099230B" w:rsidRPr="00E541C1" w:rsidRDefault="0099230B" w:rsidP="00F00DC3">
            <w:pPr>
              <w:jc w:val="center"/>
              <w:rPr>
                <w:rFonts w:ascii="Verdana" w:hAnsi="Verdana"/>
                <w:b/>
                <w:sz w:val="18"/>
                <w:szCs w:val="18"/>
              </w:rPr>
            </w:pPr>
            <w:r w:rsidRPr="00E541C1">
              <w:rPr>
                <w:rFonts w:ascii="Verdana" w:hAnsi="Verdana"/>
                <w:b/>
                <w:sz w:val="18"/>
                <w:szCs w:val="18"/>
              </w:rPr>
              <w:t>What did you learn from this?</w:t>
            </w:r>
          </w:p>
        </w:tc>
        <w:tc>
          <w:tcPr>
            <w:tcW w:w="4536" w:type="dxa"/>
            <w:tcBorders>
              <w:bottom w:val="single" w:sz="4" w:space="0" w:color="auto"/>
            </w:tcBorders>
          </w:tcPr>
          <w:p w14:paraId="40C5D043" w14:textId="77777777" w:rsidR="0099230B" w:rsidRPr="00E541C1" w:rsidRDefault="0099230B" w:rsidP="00F00DC3">
            <w:pPr>
              <w:jc w:val="center"/>
              <w:rPr>
                <w:rFonts w:ascii="Verdana" w:hAnsi="Verdana"/>
                <w:b/>
                <w:sz w:val="18"/>
                <w:szCs w:val="18"/>
              </w:rPr>
            </w:pPr>
            <w:r w:rsidRPr="00E541C1">
              <w:rPr>
                <w:rFonts w:ascii="Verdana" w:hAnsi="Verdana"/>
                <w:b/>
                <w:sz w:val="18"/>
                <w:szCs w:val="18"/>
              </w:rPr>
              <w:t>How have/will you use this?</w:t>
            </w:r>
          </w:p>
          <w:p w14:paraId="7FD371DA" w14:textId="77777777" w:rsidR="0099230B" w:rsidRPr="00E541C1" w:rsidRDefault="0099230B" w:rsidP="00F00DC3">
            <w:pPr>
              <w:jc w:val="center"/>
              <w:rPr>
                <w:rFonts w:ascii="Verdana" w:hAnsi="Verdana"/>
                <w:b/>
                <w:sz w:val="18"/>
                <w:szCs w:val="18"/>
              </w:rPr>
            </w:pPr>
            <w:r w:rsidRPr="00E541C1">
              <w:rPr>
                <w:rFonts w:ascii="Verdana" w:hAnsi="Verdana"/>
                <w:b/>
                <w:sz w:val="18"/>
                <w:szCs w:val="18"/>
              </w:rPr>
              <w:t>Any further action?</w:t>
            </w:r>
          </w:p>
        </w:tc>
      </w:tr>
      <w:tr w:rsidR="0099230B" w:rsidRPr="00553C72" w14:paraId="444410D7" w14:textId="77777777" w:rsidTr="005022D4">
        <w:tc>
          <w:tcPr>
            <w:tcW w:w="1560" w:type="dxa"/>
            <w:tcBorders>
              <w:top w:val="single" w:sz="4" w:space="0" w:color="auto"/>
              <w:left w:val="single" w:sz="4" w:space="0" w:color="auto"/>
              <w:bottom w:val="single" w:sz="4" w:space="0" w:color="auto"/>
              <w:right w:val="single" w:sz="4" w:space="0" w:color="auto"/>
            </w:tcBorders>
            <w:shd w:val="clear" w:color="auto" w:fill="D9D9D9"/>
          </w:tcPr>
          <w:p w14:paraId="096BE876" w14:textId="25041495" w:rsidR="0099230B" w:rsidRPr="00553C72" w:rsidRDefault="0099230B" w:rsidP="00F00DC3">
            <w:pPr>
              <w:rPr>
                <w:rFonts w:ascii="Constantia" w:hAnsi="Constantia"/>
                <w:i/>
                <w:sz w:val="20"/>
              </w:rPr>
            </w:pPr>
            <w:r w:rsidRPr="00553C72">
              <w:rPr>
                <w:rFonts w:ascii="Constantia" w:hAnsi="Constantia"/>
                <w:i/>
                <w:sz w:val="20"/>
              </w:rPr>
              <w:t xml:space="preserve"> </w:t>
            </w:r>
            <w:r w:rsidR="00E92643">
              <w:rPr>
                <w:rStyle w:val="A1"/>
              </w:rPr>
              <w:t xml:space="preserve">Week </w:t>
            </w:r>
            <w:r w:rsidR="0089160B">
              <w:rPr>
                <w:rStyle w:val="A1"/>
              </w:rPr>
              <w:t>O</w:t>
            </w:r>
            <w:r w:rsidR="00E92643">
              <w:rPr>
                <w:rStyle w:val="A1"/>
              </w:rPr>
              <w:t xml:space="preserve">ne </w:t>
            </w:r>
          </w:p>
        </w:tc>
        <w:tc>
          <w:tcPr>
            <w:tcW w:w="3119" w:type="dxa"/>
            <w:tcBorders>
              <w:top w:val="single" w:sz="4" w:space="0" w:color="auto"/>
              <w:left w:val="single" w:sz="4" w:space="0" w:color="auto"/>
              <w:bottom w:val="single" w:sz="4" w:space="0" w:color="auto"/>
              <w:right w:val="single" w:sz="4" w:space="0" w:color="auto"/>
            </w:tcBorders>
            <w:shd w:val="clear" w:color="auto" w:fill="D9D9D9"/>
          </w:tcPr>
          <w:p w14:paraId="0BC19A29" w14:textId="469BDD35" w:rsidR="0099230B" w:rsidRPr="00CB6781" w:rsidRDefault="00CB6781" w:rsidP="00F00DC3">
            <w:pPr>
              <w:rPr>
                <w:rFonts w:ascii="Times New Roman" w:hAnsi="Times New Roman"/>
                <w:iCs/>
                <w:szCs w:val="24"/>
              </w:rPr>
            </w:pPr>
            <w:r w:rsidRPr="00CB6781">
              <w:rPr>
                <w:rFonts w:ascii="Times New Roman" w:hAnsi="Times New Roman"/>
                <w:iCs/>
                <w:szCs w:val="24"/>
              </w:rPr>
              <w:t>I studied companies, assessed reflective practises, and developed personal skills. I learned to adapt transferable skills to an organization's demands and apply theoretical concepts and creative problem-solving to real-world situations.</w:t>
            </w:r>
          </w:p>
        </w:tc>
        <w:tc>
          <w:tcPr>
            <w:tcW w:w="1984" w:type="dxa"/>
            <w:tcBorders>
              <w:top w:val="single" w:sz="4" w:space="0" w:color="auto"/>
              <w:left w:val="single" w:sz="4" w:space="0" w:color="auto"/>
              <w:bottom w:val="single" w:sz="4" w:space="0" w:color="auto"/>
              <w:right w:val="single" w:sz="4" w:space="0" w:color="auto"/>
            </w:tcBorders>
            <w:shd w:val="clear" w:color="auto" w:fill="D9D9D9"/>
          </w:tcPr>
          <w:p w14:paraId="1D43DF94" w14:textId="3EC2DBA7" w:rsidR="0099230B" w:rsidRPr="00CB6781" w:rsidRDefault="00CB6781" w:rsidP="00F00DC3">
            <w:pPr>
              <w:rPr>
                <w:rFonts w:ascii="Times New Roman" w:hAnsi="Times New Roman"/>
                <w:iCs/>
                <w:szCs w:val="24"/>
              </w:rPr>
            </w:pPr>
            <w:r w:rsidRPr="00CB6781">
              <w:rPr>
                <w:rFonts w:ascii="Times New Roman" w:hAnsi="Times New Roman"/>
                <w:iCs/>
                <w:szCs w:val="24"/>
              </w:rPr>
              <w:t>These exercises helped me integrate theory and practise, preparing me for job by providing relevant skills and knowledge.</w:t>
            </w:r>
          </w:p>
        </w:tc>
        <w:tc>
          <w:tcPr>
            <w:tcW w:w="3657" w:type="dxa"/>
            <w:tcBorders>
              <w:top w:val="single" w:sz="4" w:space="0" w:color="auto"/>
              <w:left w:val="single" w:sz="4" w:space="0" w:color="auto"/>
              <w:bottom w:val="single" w:sz="4" w:space="0" w:color="auto"/>
              <w:right w:val="single" w:sz="4" w:space="0" w:color="auto"/>
            </w:tcBorders>
            <w:shd w:val="clear" w:color="auto" w:fill="D9D9D9"/>
          </w:tcPr>
          <w:p w14:paraId="4FE4EB95" w14:textId="45BA2B2B" w:rsidR="0099230B" w:rsidRPr="00CB6781" w:rsidRDefault="0099230B" w:rsidP="00F00DC3">
            <w:pPr>
              <w:pStyle w:val="Pa1"/>
              <w:spacing w:after="60"/>
              <w:rPr>
                <w:rFonts w:ascii="Times New Roman" w:hAnsi="Times New Roman"/>
                <w:iCs/>
              </w:rPr>
            </w:pPr>
            <w:r w:rsidRPr="00553C72">
              <w:rPr>
                <w:rFonts w:ascii="Constantia" w:hAnsi="Constantia"/>
                <w:i/>
                <w:sz w:val="20"/>
                <w:szCs w:val="22"/>
              </w:rPr>
              <w:t xml:space="preserve"> </w:t>
            </w:r>
            <w:r w:rsidR="00CB6781" w:rsidRPr="00CB6781">
              <w:rPr>
                <w:rFonts w:ascii="Times New Roman" w:hAnsi="Times New Roman"/>
                <w:iCs/>
              </w:rPr>
              <w:t>I learned the value of transferable skills in the business and how to apply them to other organisations. I also learned the need of self-reflection, continual education, and personal growth in interpersonal and professional development.</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1C2EA386" w14:textId="2DB74F6E" w:rsidR="0099230B" w:rsidRPr="00CB6781" w:rsidRDefault="00CB6781" w:rsidP="00F00DC3">
            <w:pPr>
              <w:pStyle w:val="Pa1"/>
              <w:spacing w:after="60"/>
              <w:rPr>
                <w:rFonts w:ascii="Times New Roman" w:hAnsi="Times New Roman"/>
                <w:iCs/>
              </w:rPr>
            </w:pPr>
            <w:r w:rsidRPr="00CB6781">
              <w:rPr>
                <w:rFonts w:ascii="Times New Roman" w:hAnsi="Times New Roman"/>
                <w:iCs/>
              </w:rPr>
              <w:t>I will use this module's content to demonstrate my skills to prospective employers and tailor them to their needs. I will also prioritise self-improvement and education to better my interpersonal skills and professional performance.</w:t>
            </w:r>
          </w:p>
        </w:tc>
      </w:tr>
      <w:tr w:rsidR="0099230B" w:rsidRPr="00553C72" w14:paraId="296814EC" w14:textId="77777777" w:rsidTr="005022D4">
        <w:tc>
          <w:tcPr>
            <w:tcW w:w="1560" w:type="dxa"/>
            <w:tcBorders>
              <w:top w:val="single" w:sz="4" w:space="0" w:color="auto"/>
              <w:left w:val="single" w:sz="4" w:space="0" w:color="auto"/>
              <w:bottom w:val="single" w:sz="4" w:space="0" w:color="auto"/>
              <w:right w:val="single" w:sz="4" w:space="0" w:color="auto"/>
            </w:tcBorders>
            <w:shd w:val="clear" w:color="auto" w:fill="D9D9D9"/>
          </w:tcPr>
          <w:p w14:paraId="0246D4B0" w14:textId="721B0B6E" w:rsidR="0099230B" w:rsidRPr="00CB6781" w:rsidRDefault="00E92643" w:rsidP="00F00DC3">
            <w:pPr>
              <w:rPr>
                <w:rFonts w:ascii="Times New Roman" w:hAnsi="Times New Roman"/>
                <w:iCs/>
                <w:szCs w:val="24"/>
              </w:rPr>
            </w:pPr>
            <w:r w:rsidRPr="00CB6781">
              <w:rPr>
                <w:rFonts w:ascii="Times New Roman" w:hAnsi="Times New Roman"/>
                <w:iCs/>
                <w:szCs w:val="24"/>
              </w:rPr>
              <w:t xml:space="preserve">Week </w:t>
            </w:r>
            <w:r w:rsidR="0089160B" w:rsidRPr="00CB6781">
              <w:rPr>
                <w:rFonts w:ascii="Times New Roman" w:hAnsi="Times New Roman"/>
                <w:iCs/>
                <w:szCs w:val="24"/>
              </w:rPr>
              <w:t>T</w:t>
            </w:r>
            <w:r w:rsidRPr="00CB6781">
              <w:rPr>
                <w:rFonts w:ascii="Times New Roman" w:hAnsi="Times New Roman"/>
                <w:iCs/>
                <w:szCs w:val="24"/>
              </w:rPr>
              <w:t xml:space="preserve">wo </w:t>
            </w:r>
          </w:p>
        </w:tc>
        <w:tc>
          <w:tcPr>
            <w:tcW w:w="3119" w:type="dxa"/>
            <w:tcBorders>
              <w:top w:val="single" w:sz="4" w:space="0" w:color="auto"/>
              <w:left w:val="single" w:sz="4" w:space="0" w:color="auto"/>
              <w:bottom w:val="single" w:sz="4" w:space="0" w:color="auto"/>
              <w:right w:val="single" w:sz="4" w:space="0" w:color="auto"/>
            </w:tcBorders>
            <w:shd w:val="clear" w:color="auto" w:fill="D9D9D9"/>
          </w:tcPr>
          <w:p w14:paraId="725A0979" w14:textId="7C097A1B" w:rsidR="0099230B" w:rsidRPr="00CB6781" w:rsidRDefault="00CB6781" w:rsidP="00F00DC3">
            <w:pPr>
              <w:rPr>
                <w:rFonts w:ascii="Times New Roman" w:hAnsi="Times New Roman"/>
                <w:iCs/>
                <w:szCs w:val="24"/>
              </w:rPr>
            </w:pPr>
            <w:r w:rsidRPr="00CB6781">
              <w:rPr>
                <w:rFonts w:ascii="Times New Roman" w:hAnsi="Times New Roman"/>
                <w:iCs/>
                <w:szCs w:val="24"/>
              </w:rPr>
              <w:t>I learned how community involvement concepts help community-based practise succeed. I learned the benefits of effective community participation. I also understood the need of considering individual needs while making community initiative decisions.</w:t>
            </w:r>
          </w:p>
        </w:tc>
        <w:tc>
          <w:tcPr>
            <w:tcW w:w="1984" w:type="dxa"/>
            <w:tcBorders>
              <w:top w:val="single" w:sz="4" w:space="0" w:color="auto"/>
              <w:left w:val="single" w:sz="4" w:space="0" w:color="auto"/>
              <w:bottom w:val="single" w:sz="4" w:space="0" w:color="auto"/>
              <w:right w:val="single" w:sz="4" w:space="0" w:color="auto"/>
            </w:tcBorders>
            <w:shd w:val="clear" w:color="auto" w:fill="D9D9D9"/>
          </w:tcPr>
          <w:p w14:paraId="032A673E" w14:textId="02A63904" w:rsidR="0099230B" w:rsidRPr="00CB6781" w:rsidRDefault="00CB6781" w:rsidP="00F00DC3">
            <w:pPr>
              <w:rPr>
                <w:rFonts w:ascii="Times New Roman" w:hAnsi="Times New Roman"/>
                <w:iCs/>
                <w:szCs w:val="24"/>
              </w:rPr>
            </w:pPr>
            <w:r w:rsidRPr="00CB6781">
              <w:rPr>
                <w:rFonts w:ascii="Times New Roman" w:hAnsi="Times New Roman"/>
                <w:iCs/>
                <w:szCs w:val="24"/>
              </w:rPr>
              <w:t>I examined this problem to better understand the significance of community engagement for enterprises and partnerships. I wanted to learn how to raise awareness of programmes, include people in decision-making, and build social capital via community participation.</w:t>
            </w:r>
          </w:p>
        </w:tc>
        <w:tc>
          <w:tcPr>
            <w:tcW w:w="3657" w:type="dxa"/>
            <w:tcBorders>
              <w:top w:val="single" w:sz="4" w:space="0" w:color="auto"/>
              <w:left w:val="single" w:sz="4" w:space="0" w:color="auto"/>
              <w:bottom w:val="single" w:sz="4" w:space="0" w:color="auto"/>
              <w:right w:val="single" w:sz="4" w:space="0" w:color="auto"/>
            </w:tcBorders>
            <w:shd w:val="clear" w:color="auto" w:fill="D9D9D9"/>
          </w:tcPr>
          <w:p w14:paraId="0CC75885" w14:textId="7FA2CE7C" w:rsidR="0099230B" w:rsidRPr="00CB6781" w:rsidRDefault="00CB6781" w:rsidP="00F00DC3">
            <w:pPr>
              <w:pStyle w:val="Pa1"/>
              <w:spacing w:after="60"/>
              <w:rPr>
                <w:rFonts w:ascii="Times New Roman" w:hAnsi="Times New Roman"/>
                <w:iCs/>
              </w:rPr>
            </w:pPr>
            <w:r w:rsidRPr="00CB6781">
              <w:rPr>
                <w:rFonts w:ascii="Times New Roman" w:hAnsi="Times New Roman"/>
                <w:iCs/>
              </w:rPr>
              <w:t>Because of this, I now see that extensive community engagement has many benefits. They help firms and their partners by raising project awareness, incorporating community needs into decision-making, and fostering social capital. I also learned how community participation and shared values affect community-based practise.</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569B9320" w14:textId="74F5AA02" w:rsidR="005022D4" w:rsidRPr="00CB6781" w:rsidRDefault="00CB6781" w:rsidP="00CB6781">
            <w:pPr>
              <w:pStyle w:val="Pa1"/>
              <w:spacing w:after="60"/>
              <w:rPr>
                <w:rFonts w:ascii="Times New Roman" w:hAnsi="Times New Roman"/>
              </w:rPr>
            </w:pPr>
            <w:r w:rsidRPr="00CB6781">
              <w:rPr>
                <w:rFonts w:ascii="Times New Roman" w:hAnsi="Times New Roman"/>
              </w:rPr>
              <w:t>I will utilise this information to stress community engagement in my future attempts. I will prioritise robust community participation tactics, community needs in decision-making, and social capital development by hiring individuals to provide ideas. This knowledge will help me develop community-based practise and build meaningful connections.</w:t>
            </w:r>
          </w:p>
        </w:tc>
      </w:tr>
      <w:tr w:rsidR="0099230B" w:rsidRPr="008E3E20" w14:paraId="0571BFC4" w14:textId="77777777" w:rsidTr="005022D4">
        <w:tc>
          <w:tcPr>
            <w:tcW w:w="1560" w:type="dxa"/>
            <w:tcBorders>
              <w:top w:val="single" w:sz="4" w:space="0" w:color="auto"/>
              <w:left w:val="single" w:sz="4" w:space="0" w:color="auto"/>
              <w:bottom w:val="single" w:sz="4" w:space="0" w:color="auto"/>
              <w:right w:val="single" w:sz="4" w:space="0" w:color="auto"/>
            </w:tcBorders>
          </w:tcPr>
          <w:p w14:paraId="603382F4" w14:textId="00046C0C" w:rsidR="0099230B" w:rsidRPr="00CB6781" w:rsidRDefault="005022D4" w:rsidP="00F00DC3">
            <w:pPr>
              <w:rPr>
                <w:rFonts w:ascii="Times New Roman" w:hAnsi="Times New Roman"/>
                <w:szCs w:val="24"/>
              </w:rPr>
            </w:pPr>
            <w:r w:rsidRPr="00CB6781">
              <w:rPr>
                <w:rFonts w:ascii="Times New Roman" w:hAnsi="Times New Roman"/>
                <w:szCs w:val="24"/>
              </w:rPr>
              <w:t xml:space="preserve">Week </w:t>
            </w:r>
            <w:r w:rsidR="0089160B" w:rsidRPr="00CB6781">
              <w:rPr>
                <w:rFonts w:ascii="Times New Roman" w:hAnsi="Times New Roman"/>
                <w:szCs w:val="24"/>
              </w:rPr>
              <w:t>T</w:t>
            </w:r>
            <w:r w:rsidRPr="00CB6781">
              <w:rPr>
                <w:rFonts w:ascii="Times New Roman" w:hAnsi="Times New Roman"/>
                <w:szCs w:val="24"/>
              </w:rPr>
              <w:t xml:space="preserve">hree </w:t>
            </w:r>
          </w:p>
          <w:p w14:paraId="3333B497" w14:textId="77777777" w:rsidR="0099230B" w:rsidRPr="008E3E20" w:rsidRDefault="0099230B" w:rsidP="00F00DC3">
            <w:pPr>
              <w:rPr>
                <w:rFonts w:ascii="Verdana" w:hAnsi="Verdana"/>
                <w:sz w:val="18"/>
                <w:szCs w:val="18"/>
              </w:rPr>
            </w:pPr>
          </w:p>
        </w:tc>
        <w:tc>
          <w:tcPr>
            <w:tcW w:w="3119" w:type="dxa"/>
            <w:tcBorders>
              <w:top w:val="single" w:sz="4" w:space="0" w:color="auto"/>
              <w:left w:val="single" w:sz="4" w:space="0" w:color="auto"/>
              <w:bottom w:val="single" w:sz="4" w:space="0" w:color="auto"/>
              <w:right w:val="single" w:sz="4" w:space="0" w:color="auto"/>
            </w:tcBorders>
          </w:tcPr>
          <w:p w14:paraId="61A3D88C" w14:textId="063F0E42" w:rsidR="0099230B" w:rsidRPr="00CB6781" w:rsidRDefault="00CB6781" w:rsidP="00F00DC3">
            <w:pPr>
              <w:rPr>
                <w:rFonts w:ascii="Times New Roman" w:hAnsi="Times New Roman"/>
                <w:szCs w:val="24"/>
              </w:rPr>
            </w:pPr>
            <w:r w:rsidRPr="00CB6781">
              <w:rPr>
                <w:rFonts w:ascii="Times New Roman" w:hAnsi="Times New Roman"/>
                <w:szCs w:val="24"/>
              </w:rPr>
              <w:t>I learned why planning and developing community engagement is important, how to define its scope, and what activities are included. I also learned about hurdles to effective planning and designing and the training and help needed at this time.</w:t>
            </w:r>
          </w:p>
        </w:tc>
        <w:tc>
          <w:tcPr>
            <w:tcW w:w="1984" w:type="dxa"/>
            <w:tcBorders>
              <w:top w:val="single" w:sz="4" w:space="0" w:color="auto"/>
              <w:left w:val="single" w:sz="4" w:space="0" w:color="auto"/>
              <w:bottom w:val="single" w:sz="4" w:space="0" w:color="auto"/>
              <w:right w:val="single" w:sz="4" w:space="0" w:color="auto"/>
            </w:tcBorders>
          </w:tcPr>
          <w:p w14:paraId="65B76EF0" w14:textId="013A2D7B" w:rsidR="0099230B" w:rsidRPr="00CB6781" w:rsidRDefault="00CB6781" w:rsidP="00F00DC3">
            <w:pPr>
              <w:rPr>
                <w:rFonts w:ascii="Times New Roman" w:hAnsi="Times New Roman"/>
                <w:szCs w:val="24"/>
              </w:rPr>
            </w:pPr>
            <w:r w:rsidRPr="00CB6781">
              <w:rPr>
                <w:rFonts w:ascii="Times New Roman" w:hAnsi="Times New Roman"/>
                <w:szCs w:val="24"/>
              </w:rPr>
              <w:t>I researched this topic to comprehend planning, community engagement, and its objective. I wanted to learn about its aims, operations, and possible issues. I was also curious about the training and support needed during this period.</w:t>
            </w:r>
          </w:p>
        </w:tc>
        <w:tc>
          <w:tcPr>
            <w:tcW w:w="3657" w:type="dxa"/>
            <w:tcBorders>
              <w:top w:val="single" w:sz="4" w:space="0" w:color="auto"/>
              <w:left w:val="single" w:sz="4" w:space="0" w:color="auto"/>
              <w:bottom w:val="single" w:sz="4" w:space="0" w:color="auto"/>
              <w:right w:val="single" w:sz="4" w:space="0" w:color="auto"/>
            </w:tcBorders>
          </w:tcPr>
          <w:p w14:paraId="4927E599" w14:textId="0932C7BF" w:rsidR="0099230B" w:rsidRPr="00CB6781" w:rsidRDefault="00CB6781" w:rsidP="00F00DC3">
            <w:pPr>
              <w:rPr>
                <w:rFonts w:ascii="Times New Roman" w:hAnsi="Times New Roman"/>
                <w:szCs w:val="24"/>
              </w:rPr>
            </w:pPr>
            <w:r w:rsidRPr="00CB6781">
              <w:rPr>
                <w:rFonts w:ascii="Times New Roman" w:hAnsi="Times New Roman"/>
                <w:szCs w:val="24"/>
              </w:rPr>
              <w:t>This showed me that community engagement must be planned and constructed to offer fair and balanced information, include the community in decision-making, and allow them to make changes collaboratively. I also learned about community engagement challenges and the need for training and support.</w:t>
            </w:r>
          </w:p>
        </w:tc>
        <w:tc>
          <w:tcPr>
            <w:tcW w:w="4536" w:type="dxa"/>
            <w:tcBorders>
              <w:top w:val="single" w:sz="4" w:space="0" w:color="auto"/>
              <w:left w:val="single" w:sz="4" w:space="0" w:color="auto"/>
              <w:bottom w:val="single" w:sz="4" w:space="0" w:color="auto"/>
              <w:right w:val="single" w:sz="4" w:space="0" w:color="auto"/>
            </w:tcBorders>
          </w:tcPr>
          <w:p w14:paraId="1A9FF474" w14:textId="70339E60" w:rsidR="0099230B" w:rsidRPr="005C7626" w:rsidRDefault="005C7626" w:rsidP="00F00DC3">
            <w:pPr>
              <w:rPr>
                <w:rFonts w:ascii="Times New Roman" w:hAnsi="Times New Roman"/>
                <w:szCs w:val="24"/>
              </w:rPr>
            </w:pPr>
            <w:r w:rsidRPr="005C7626">
              <w:rPr>
                <w:rFonts w:ascii="Times New Roman" w:hAnsi="Times New Roman"/>
                <w:szCs w:val="24"/>
              </w:rPr>
              <w:t>I will use this knowledge to guide my community involvement. I will design engagement events that offer fair and balanced information, encourage community involvement, and empower people to make positive changes. I will also be aware of the challenges and seek training and support to overcome them.</w:t>
            </w:r>
          </w:p>
        </w:tc>
      </w:tr>
      <w:tr w:rsidR="0089160B" w:rsidRPr="008E3E20" w14:paraId="54662AAD" w14:textId="77777777" w:rsidTr="005022D4">
        <w:tc>
          <w:tcPr>
            <w:tcW w:w="1560" w:type="dxa"/>
            <w:tcBorders>
              <w:top w:val="single" w:sz="4" w:space="0" w:color="auto"/>
              <w:left w:val="single" w:sz="4" w:space="0" w:color="auto"/>
              <w:bottom w:val="single" w:sz="4" w:space="0" w:color="auto"/>
              <w:right w:val="single" w:sz="4" w:space="0" w:color="auto"/>
            </w:tcBorders>
          </w:tcPr>
          <w:p w14:paraId="57CE98E6" w14:textId="13009CDB" w:rsidR="0089160B" w:rsidRPr="005C7626" w:rsidRDefault="0089160B" w:rsidP="00F00DC3">
            <w:pPr>
              <w:rPr>
                <w:rFonts w:ascii="Times New Roman" w:hAnsi="Times New Roman"/>
                <w:szCs w:val="24"/>
              </w:rPr>
            </w:pPr>
            <w:r w:rsidRPr="005C7626">
              <w:rPr>
                <w:rFonts w:ascii="Times New Roman" w:hAnsi="Times New Roman"/>
                <w:szCs w:val="24"/>
              </w:rPr>
              <w:t xml:space="preserve">Week Four </w:t>
            </w:r>
          </w:p>
        </w:tc>
        <w:tc>
          <w:tcPr>
            <w:tcW w:w="3119" w:type="dxa"/>
            <w:tcBorders>
              <w:top w:val="single" w:sz="4" w:space="0" w:color="auto"/>
              <w:left w:val="single" w:sz="4" w:space="0" w:color="auto"/>
              <w:bottom w:val="single" w:sz="4" w:space="0" w:color="auto"/>
              <w:right w:val="single" w:sz="4" w:space="0" w:color="auto"/>
            </w:tcBorders>
          </w:tcPr>
          <w:p w14:paraId="2BCCA172" w14:textId="326CD673" w:rsidR="0089160B" w:rsidRPr="005C7626" w:rsidRDefault="005C7626" w:rsidP="00F00DC3">
            <w:pPr>
              <w:rPr>
                <w:rFonts w:ascii="Times New Roman" w:hAnsi="Times New Roman"/>
                <w:szCs w:val="24"/>
              </w:rPr>
            </w:pPr>
            <w:r w:rsidRPr="005C7626">
              <w:rPr>
                <w:rFonts w:ascii="Times New Roman" w:hAnsi="Times New Roman"/>
                <w:szCs w:val="24"/>
              </w:rPr>
              <w:t>I researched community engagement features and requirements. Learning about the different standardised ways was part of this. The need of establishing norms that promote inclusivity, justice, equality, and community participation was another thing I learned.</w:t>
            </w:r>
          </w:p>
        </w:tc>
        <w:tc>
          <w:tcPr>
            <w:tcW w:w="1984" w:type="dxa"/>
            <w:tcBorders>
              <w:top w:val="single" w:sz="4" w:space="0" w:color="auto"/>
              <w:left w:val="single" w:sz="4" w:space="0" w:color="auto"/>
              <w:bottom w:val="single" w:sz="4" w:space="0" w:color="auto"/>
              <w:right w:val="single" w:sz="4" w:space="0" w:color="auto"/>
            </w:tcBorders>
          </w:tcPr>
          <w:p w14:paraId="645A6FD9" w14:textId="71F1908E" w:rsidR="0089160B" w:rsidRPr="0089160B" w:rsidRDefault="005C7626" w:rsidP="00F00DC3">
            <w:pPr>
              <w:rPr>
                <w:rFonts w:ascii="Verdana" w:hAnsi="Verdana"/>
                <w:sz w:val="18"/>
                <w:szCs w:val="18"/>
              </w:rPr>
            </w:pPr>
            <w:r w:rsidRPr="005C7626">
              <w:rPr>
                <w:rFonts w:ascii="Times New Roman" w:hAnsi="Times New Roman"/>
                <w:szCs w:val="24"/>
              </w:rPr>
              <w:t>I studied community engagement to understand its features and standards. I wanted to understand how to employ many methods and ensure</w:t>
            </w:r>
            <w:r w:rsidRPr="005C7626">
              <w:rPr>
                <w:rFonts w:ascii="Verdana" w:hAnsi="Verdana"/>
                <w:sz w:val="18"/>
                <w:szCs w:val="18"/>
              </w:rPr>
              <w:t xml:space="preserve"> </w:t>
            </w:r>
            <w:r w:rsidRPr="005C7626">
              <w:rPr>
                <w:rFonts w:ascii="Times New Roman" w:hAnsi="Times New Roman"/>
                <w:szCs w:val="24"/>
              </w:rPr>
              <w:t>engagement consistency. My second goal was to investigate how policies may promote fair and inclusive community engagement.</w:t>
            </w:r>
          </w:p>
        </w:tc>
        <w:tc>
          <w:tcPr>
            <w:tcW w:w="3657" w:type="dxa"/>
            <w:tcBorders>
              <w:top w:val="single" w:sz="4" w:space="0" w:color="auto"/>
              <w:left w:val="single" w:sz="4" w:space="0" w:color="auto"/>
              <w:bottom w:val="single" w:sz="4" w:space="0" w:color="auto"/>
              <w:right w:val="single" w:sz="4" w:space="0" w:color="auto"/>
            </w:tcBorders>
          </w:tcPr>
          <w:p w14:paraId="7C81C513" w14:textId="4355CE89" w:rsidR="0089160B" w:rsidRPr="005C7626" w:rsidRDefault="005C7626" w:rsidP="00F00DC3">
            <w:pPr>
              <w:rPr>
                <w:rFonts w:ascii="Times New Roman" w:hAnsi="Times New Roman"/>
                <w:szCs w:val="24"/>
              </w:rPr>
            </w:pPr>
            <w:r w:rsidRPr="005C7626">
              <w:rPr>
                <w:rFonts w:ascii="Times New Roman" w:hAnsi="Times New Roman"/>
                <w:szCs w:val="24"/>
              </w:rPr>
              <w:t xml:space="preserve">This material showed me that community engagement criteria determine process success and efficiency. I learned this from the information. A policy that emphasises inclusion, </w:t>
            </w:r>
            <w:r w:rsidRPr="005C7626">
              <w:rPr>
                <w:rFonts w:ascii="Times New Roman" w:hAnsi="Times New Roman"/>
                <w:szCs w:val="24"/>
              </w:rPr>
              <w:t>fairness</w:t>
            </w:r>
            <w:r w:rsidRPr="005C7626">
              <w:rPr>
                <w:rFonts w:ascii="Times New Roman" w:hAnsi="Times New Roman"/>
                <w:szCs w:val="24"/>
              </w:rPr>
              <w:t xml:space="preserve">, </w:t>
            </w:r>
            <w:r w:rsidRPr="005C7626">
              <w:rPr>
                <w:rFonts w:ascii="Times New Roman" w:hAnsi="Times New Roman"/>
                <w:szCs w:val="24"/>
              </w:rPr>
              <w:t>equivalence</w:t>
            </w:r>
            <w:r w:rsidRPr="005C7626">
              <w:rPr>
                <w:rFonts w:ascii="Times New Roman" w:hAnsi="Times New Roman"/>
                <w:szCs w:val="24"/>
              </w:rPr>
              <w:t xml:space="preserve">, and participation </w:t>
            </w:r>
            <w:r w:rsidRPr="005C7626">
              <w:rPr>
                <w:rFonts w:ascii="Times New Roman" w:hAnsi="Times New Roman"/>
                <w:szCs w:val="24"/>
              </w:rPr>
              <w:t>underpin</w:t>
            </w:r>
            <w:r w:rsidRPr="005C7626">
              <w:rPr>
                <w:rFonts w:ascii="Times New Roman" w:hAnsi="Times New Roman"/>
                <w:szCs w:val="24"/>
              </w:rPr>
              <w:t xml:space="preserve"> these ideas. Understanding these traits and norms is essential for meaningful and successful community involvement.</w:t>
            </w:r>
          </w:p>
        </w:tc>
        <w:tc>
          <w:tcPr>
            <w:tcW w:w="4536" w:type="dxa"/>
            <w:tcBorders>
              <w:top w:val="single" w:sz="4" w:space="0" w:color="auto"/>
              <w:left w:val="single" w:sz="4" w:space="0" w:color="auto"/>
              <w:bottom w:val="single" w:sz="4" w:space="0" w:color="auto"/>
              <w:right w:val="single" w:sz="4" w:space="0" w:color="auto"/>
            </w:tcBorders>
          </w:tcPr>
          <w:p w14:paraId="197263AA" w14:textId="63867FA8" w:rsidR="0089160B" w:rsidRPr="005C7626" w:rsidRDefault="005C7626" w:rsidP="00F00DC3">
            <w:pPr>
              <w:rPr>
                <w:rFonts w:ascii="Times New Roman" w:hAnsi="Times New Roman"/>
                <w:szCs w:val="24"/>
              </w:rPr>
            </w:pPr>
            <w:r w:rsidRPr="005C7626">
              <w:rPr>
                <w:rFonts w:ascii="Times New Roman" w:hAnsi="Times New Roman"/>
                <w:szCs w:val="24"/>
              </w:rPr>
              <w:t>I will use this knowledge to guide my community involvement. I'll utilise many tactics efficiently and consistently. I shall also follow the requirements to promote participation, justice, equality, and inclusion. If I use this approach, I can ensure my community engagement is meaningful and beneficial to everybody.</w:t>
            </w:r>
          </w:p>
        </w:tc>
      </w:tr>
      <w:tr w:rsidR="0089160B" w:rsidRPr="008E3E20" w14:paraId="26C26458" w14:textId="77777777" w:rsidTr="005022D4">
        <w:tc>
          <w:tcPr>
            <w:tcW w:w="1560" w:type="dxa"/>
            <w:tcBorders>
              <w:top w:val="single" w:sz="4" w:space="0" w:color="auto"/>
              <w:left w:val="single" w:sz="4" w:space="0" w:color="auto"/>
              <w:bottom w:val="single" w:sz="4" w:space="0" w:color="auto"/>
              <w:right w:val="single" w:sz="4" w:space="0" w:color="auto"/>
            </w:tcBorders>
          </w:tcPr>
          <w:p w14:paraId="4FB6FABD" w14:textId="7A8B3769" w:rsidR="0089160B" w:rsidRPr="005C7626" w:rsidRDefault="0089160B" w:rsidP="00F00DC3">
            <w:pPr>
              <w:rPr>
                <w:rFonts w:ascii="Times New Roman" w:hAnsi="Times New Roman"/>
                <w:szCs w:val="24"/>
              </w:rPr>
            </w:pPr>
            <w:r w:rsidRPr="005C7626">
              <w:rPr>
                <w:rFonts w:ascii="Times New Roman" w:hAnsi="Times New Roman"/>
                <w:szCs w:val="24"/>
              </w:rPr>
              <w:t>Week Five</w:t>
            </w:r>
          </w:p>
        </w:tc>
        <w:tc>
          <w:tcPr>
            <w:tcW w:w="3119" w:type="dxa"/>
            <w:tcBorders>
              <w:top w:val="single" w:sz="4" w:space="0" w:color="auto"/>
              <w:left w:val="single" w:sz="4" w:space="0" w:color="auto"/>
              <w:bottom w:val="single" w:sz="4" w:space="0" w:color="auto"/>
              <w:right w:val="single" w:sz="4" w:space="0" w:color="auto"/>
            </w:tcBorders>
          </w:tcPr>
          <w:p w14:paraId="39BDFCB4" w14:textId="5685E52F" w:rsidR="0089160B" w:rsidRPr="005C7626" w:rsidRDefault="005C7626" w:rsidP="00F00DC3">
            <w:pPr>
              <w:rPr>
                <w:rFonts w:ascii="Times New Roman" w:hAnsi="Times New Roman"/>
                <w:szCs w:val="24"/>
              </w:rPr>
            </w:pPr>
            <w:r w:rsidRPr="005C7626">
              <w:rPr>
                <w:rFonts w:ascii="Times New Roman" w:hAnsi="Times New Roman"/>
                <w:szCs w:val="24"/>
              </w:rPr>
              <w:t>The different community engagement options and platforms were explained to me. This required understanding their feasibility, efficiency, and cost-effectiveness. I also examined the need of considering time management approaches while utilising these tools.</w:t>
            </w:r>
          </w:p>
        </w:tc>
        <w:tc>
          <w:tcPr>
            <w:tcW w:w="1984" w:type="dxa"/>
            <w:tcBorders>
              <w:top w:val="single" w:sz="4" w:space="0" w:color="auto"/>
              <w:left w:val="single" w:sz="4" w:space="0" w:color="auto"/>
              <w:bottom w:val="single" w:sz="4" w:space="0" w:color="auto"/>
              <w:right w:val="single" w:sz="4" w:space="0" w:color="auto"/>
            </w:tcBorders>
          </w:tcPr>
          <w:p w14:paraId="48944947" w14:textId="6B1AAD65" w:rsidR="0089160B" w:rsidRPr="005C7626" w:rsidRDefault="005C7626" w:rsidP="00F00DC3">
            <w:pPr>
              <w:rPr>
                <w:rFonts w:ascii="Times New Roman" w:hAnsi="Times New Roman"/>
                <w:szCs w:val="24"/>
              </w:rPr>
            </w:pPr>
            <w:r w:rsidRPr="005C7626">
              <w:rPr>
                <w:rFonts w:ascii="Times New Roman" w:hAnsi="Times New Roman"/>
                <w:szCs w:val="24"/>
              </w:rPr>
              <w:t>I learned about community involvement tools and platforms via my study. I wanted to know when and how to employ different tactics. I also wanted to grasp time management using these tools.</w:t>
            </w:r>
          </w:p>
        </w:tc>
        <w:tc>
          <w:tcPr>
            <w:tcW w:w="3657" w:type="dxa"/>
            <w:tcBorders>
              <w:top w:val="single" w:sz="4" w:space="0" w:color="auto"/>
              <w:left w:val="single" w:sz="4" w:space="0" w:color="auto"/>
              <w:bottom w:val="single" w:sz="4" w:space="0" w:color="auto"/>
              <w:right w:val="single" w:sz="4" w:space="0" w:color="auto"/>
            </w:tcBorders>
          </w:tcPr>
          <w:p w14:paraId="7BCBF1FF" w14:textId="137212E6" w:rsidR="0089160B" w:rsidRPr="005C7626" w:rsidRDefault="005C7626" w:rsidP="00F00DC3">
            <w:pPr>
              <w:rPr>
                <w:rFonts w:ascii="Times New Roman" w:hAnsi="Times New Roman"/>
                <w:szCs w:val="24"/>
              </w:rPr>
            </w:pPr>
            <w:r w:rsidRPr="005C7626">
              <w:rPr>
                <w:rFonts w:ascii="Times New Roman" w:hAnsi="Times New Roman"/>
                <w:szCs w:val="24"/>
              </w:rPr>
              <w:t>Due to this information, I now realise that there are many cutting-edge community engagement techniques and platforms. Creative arts, music, social media, interviews, and public gatherings. I also found that these tools are cost-effective and handy. I also learned the need of time management while utilising these tools.</w:t>
            </w:r>
          </w:p>
        </w:tc>
        <w:tc>
          <w:tcPr>
            <w:tcW w:w="4536" w:type="dxa"/>
            <w:tcBorders>
              <w:top w:val="single" w:sz="4" w:space="0" w:color="auto"/>
              <w:left w:val="single" w:sz="4" w:space="0" w:color="auto"/>
              <w:bottom w:val="single" w:sz="4" w:space="0" w:color="auto"/>
              <w:right w:val="single" w:sz="4" w:space="0" w:color="auto"/>
            </w:tcBorders>
          </w:tcPr>
          <w:p w14:paraId="5A0FAF3C" w14:textId="6592E7F3" w:rsidR="0089160B" w:rsidRPr="005C7626" w:rsidRDefault="005C7626" w:rsidP="00F00DC3">
            <w:pPr>
              <w:rPr>
                <w:rFonts w:ascii="Times New Roman" w:hAnsi="Times New Roman"/>
                <w:szCs w:val="24"/>
              </w:rPr>
            </w:pPr>
            <w:r w:rsidRPr="005C7626">
              <w:rPr>
                <w:rFonts w:ascii="Times New Roman" w:hAnsi="Times New Roman"/>
                <w:szCs w:val="24"/>
              </w:rPr>
              <w:t xml:space="preserve">I wish to utilise this information to better my community interaction. Knowing the numerous tools and platforms available lets me </w:t>
            </w:r>
            <w:r w:rsidRPr="005C7626">
              <w:rPr>
                <w:rFonts w:ascii="Times New Roman" w:hAnsi="Times New Roman"/>
                <w:szCs w:val="24"/>
              </w:rPr>
              <w:t>choose</w:t>
            </w:r>
            <w:r w:rsidRPr="005C7626">
              <w:rPr>
                <w:rFonts w:ascii="Times New Roman" w:hAnsi="Times New Roman"/>
                <w:szCs w:val="24"/>
              </w:rPr>
              <w:t xml:space="preserve"> the ideal ones for the situation. I wish to utilise their usefulness, efficiency, and cost-effectiveness. I will also manage my time to ensure community engagement is effective and timely.</w:t>
            </w:r>
          </w:p>
        </w:tc>
      </w:tr>
      <w:tr w:rsidR="001D29F8" w:rsidRPr="008E3E20" w14:paraId="2ED1D4B6" w14:textId="77777777" w:rsidTr="005022D4">
        <w:tc>
          <w:tcPr>
            <w:tcW w:w="1560" w:type="dxa"/>
            <w:tcBorders>
              <w:top w:val="single" w:sz="4" w:space="0" w:color="auto"/>
              <w:left w:val="single" w:sz="4" w:space="0" w:color="auto"/>
              <w:bottom w:val="single" w:sz="4" w:space="0" w:color="auto"/>
              <w:right w:val="single" w:sz="4" w:space="0" w:color="auto"/>
            </w:tcBorders>
          </w:tcPr>
          <w:p w14:paraId="1DAFAAED" w14:textId="4EB919FE" w:rsidR="001D29F8" w:rsidRPr="005C7626" w:rsidRDefault="001D29F8" w:rsidP="00F00DC3">
            <w:pPr>
              <w:rPr>
                <w:rFonts w:ascii="Times New Roman" w:hAnsi="Times New Roman"/>
                <w:szCs w:val="24"/>
              </w:rPr>
            </w:pPr>
            <w:r w:rsidRPr="005C7626">
              <w:rPr>
                <w:rFonts w:ascii="Times New Roman" w:hAnsi="Times New Roman"/>
                <w:szCs w:val="24"/>
              </w:rPr>
              <w:t>Week Six</w:t>
            </w:r>
          </w:p>
        </w:tc>
        <w:tc>
          <w:tcPr>
            <w:tcW w:w="3119" w:type="dxa"/>
            <w:tcBorders>
              <w:top w:val="single" w:sz="4" w:space="0" w:color="auto"/>
              <w:left w:val="single" w:sz="4" w:space="0" w:color="auto"/>
              <w:bottom w:val="single" w:sz="4" w:space="0" w:color="auto"/>
              <w:right w:val="single" w:sz="4" w:space="0" w:color="auto"/>
            </w:tcBorders>
          </w:tcPr>
          <w:p w14:paraId="773D0AE1" w14:textId="32F534B9" w:rsidR="001D29F8" w:rsidRPr="005C7626" w:rsidRDefault="005C7626" w:rsidP="00F00DC3">
            <w:pPr>
              <w:rPr>
                <w:rFonts w:ascii="Times New Roman" w:hAnsi="Times New Roman"/>
                <w:szCs w:val="24"/>
              </w:rPr>
            </w:pPr>
            <w:r w:rsidRPr="005C7626">
              <w:rPr>
                <w:rFonts w:ascii="Times New Roman" w:hAnsi="Times New Roman"/>
                <w:szCs w:val="24"/>
              </w:rPr>
              <w:t>My studies centred on sustainable community engagement. It was important to know what it is and is not. I also examined the benefits of sustainable community engagement and its role in sustainable development.</w:t>
            </w:r>
          </w:p>
        </w:tc>
        <w:tc>
          <w:tcPr>
            <w:tcW w:w="1984" w:type="dxa"/>
            <w:tcBorders>
              <w:top w:val="single" w:sz="4" w:space="0" w:color="auto"/>
              <w:left w:val="single" w:sz="4" w:space="0" w:color="auto"/>
              <w:bottom w:val="single" w:sz="4" w:space="0" w:color="auto"/>
              <w:right w:val="single" w:sz="4" w:space="0" w:color="auto"/>
            </w:tcBorders>
          </w:tcPr>
          <w:p w14:paraId="7BD75032" w14:textId="18E9F752" w:rsidR="001D29F8" w:rsidRPr="001D29F8" w:rsidRDefault="005C7626" w:rsidP="00F00DC3">
            <w:pPr>
              <w:rPr>
                <w:rFonts w:ascii="Verdana" w:hAnsi="Verdana"/>
                <w:sz w:val="18"/>
                <w:szCs w:val="18"/>
              </w:rPr>
            </w:pPr>
            <w:r w:rsidRPr="005C7626">
              <w:rPr>
                <w:rFonts w:ascii="Times New Roman" w:hAnsi="Times New Roman"/>
                <w:szCs w:val="24"/>
              </w:rPr>
              <w:t>I investigated this topic to learn about sustainable community engagement. I wanted to learn its fundamentals and benefits. I also wanted to learn how this technique supports sustainable growth.</w:t>
            </w:r>
          </w:p>
        </w:tc>
        <w:tc>
          <w:tcPr>
            <w:tcW w:w="3657" w:type="dxa"/>
            <w:tcBorders>
              <w:top w:val="single" w:sz="4" w:space="0" w:color="auto"/>
              <w:left w:val="single" w:sz="4" w:space="0" w:color="auto"/>
              <w:bottom w:val="single" w:sz="4" w:space="0" w:color="auto"/>
              <w:right w:val="single" w:sz="4" w:space="0" w:color="auto"/>
            </w:tcBorders>
          </w:tcPr>
          <w:p w14:paraId="0E2C951D" w14:textId="07212166" w:rsidR="001D29F8" w:rsidRPr="005C7626" w:rsidRDefault="005C7626" w:rsidP="00F00DC3">
            <w:pPr>
              <w:rPr>
                <w:rFonts w:ascii="Times New Roman" w:hAnsi="Times New Roman"/>
                <w:szCs w:val="24"/>
              </w:rPr>
            </w:pPr>
            <w:r w:rsidRPr="005C7626">
              <w:rPr>
                <w:rFonts w:ascii="Times New Roman" w:hAnsi="Times New Roman"/>
                <w:szCs w:val="24"/>
              </w:rPr>
              <w:t>This material taught me that sustainable community involvement needs considering interdependencies and focusing on global conservation, both people and money. It promotes communities to protect local ecosystems and build resilience. I also learned that strong communication, social connectedness, and self-sustaining groups are crucial.</w:t>
            </w:r>
          </w:p>
        </w:tc>
        <w:tc>
          <w:tcPr>
            <w:tcW w:w="4536" w:type="dxa"/>
            <w:tcBorders>
              <w:top w:val="single" w:sz="4" w:space="0" w:color="auto"/>
              <w:left w:val="single" w:sz="4" w:space="0" w:color="auto"/>
              <w:bottom w:val="single" w:sz="4" w:space="0" w:color="auto"/>
              <w:right w:val="single" w:sz="4" w:space="0" w:color="auto"/>
            </w:tcBorders>
          </w:tcPr>
          <w:p w14:paraId="5F613241" w14:textId="7E95BDD9" w:rsidR="001D29F8" w:rsidRPr="003B4EB9" w:rsidRDefault="003B4EB9" w:rsidP="00F00DC3">
            <w:pPr>
              <w:rPr>
                <w:rFonts w:ascii="Times New Roman" w:hAnsi="Times New Roman"/>
                <w:szCs w:val="24"/>
              </w:rPr>
            </w:pPr>
            <w:r w:rsidRPr="003B4EB9">
              <w:rPr>
                <w:rFonts w:ascii="Times New Roman" w:hAnsi="Times New Roman"/>
                <w:szCs w:val="24"/>
              </w:rPr>
              <w:t>I wish to utilise this knowledge to continue my community engagement. Knowing the basics and benefits of sustainable community engagement helps me prioritise environmental protection and community well-being. I will promote communication, socialisation, and self-sufficiency via my involvement activities. I want to accomplish sustainable development goals via sustainable community participation.</w:t>
            </w:r>
          </w:p>
        </w:tc>
      </w:tr>
      <w:tr w:rsidR="001D29F8" w:rsidRPr="008E3E20" w14:paraId="3F74B708" w14:textId="77777777" w:rsidTr="005022D4">
        <w:tc>
          <w:tcPr>
            <w:tcW w:w="1560" w:type="dxa"/>
            <w:tcBorders>
              <w:top w:val="single" w:sz="4" w:space="0" w:color="auto"/>
              <w:left w:val="single" w:sz="4" w:space="0" w:color="auto"/>
              <w:bottom w:val="single" w:sz="4" w:space="0" w:color="auto"/>
              <w:right w:val="single" w:sz="4" w:space="0" w:color="auto"/>
            </w:tcBorders>
          </w:tcPr>
          <w:p w14:paraId="1A4D2499" w14:textId="5528BF46" w:rsidR="001D29F8" w:rsidRPr="003B4EB9" w:rsidRDefault="001D29F8" w:rsidP="00F00DC3">
            <w:pPr>
              <w:rPr>
                <w:rFonts w:ascii="Times New Roman" w:hAnsi="Times New Roman"/>
                <w:szCs w:val="24"/>
              </w:rPr>
            </w:pPr>
            <w:r w:rsidRPr="003B4EB9">
              <w:rPr>
                <w:rFonts w:ascii="Times New Roman" w:hAnsi="Times New Roman"/>
                <w:szCs w:val="24"/>
              </w:rPr>
              <w:t xml:space="preserve">Week Seven </w:t>
            </w:r>
          </w:p>
        </w:tc>
        <w:tc>
          <w:tcPr>
            <w:tcW w:w="3119" w:type="dxa"/>
            <w:tcBorders>
              <w:top w:val="single" w:sz="4" w:space="0" w:color="auto"/>
              <w:left w:val="single" w:sz="4" w:space="0" w:color="auto"/>
              <w:bottom w:val="single" w:sz="4" w:space="0" w:color="auto"/>
              <w:right w:val="single" w:sz="4" w:space="0" w:color="auto"/>
            </w:tcBorders>
          </w:tcPr>
          <w:p w14:paraId="1C81B270" w14:textId="0D716B29" w:rsidR="001D29F8" w:rsidRPr="003B4EB9" w:rsidRDefault="003B4EB9" w:rsidP="00F00DC3">
            <w:pPr>
              <w:rPr>
                <w:rFonts w:ascii="Times New Roman" w:hAnsi="Times New Roman"/>
                <w:szCs w:val="24"/>
              </w:rPr>
            </w:pPr>
            <w:r w:rsidRPr="003B4EB9">
              <w:rPr>
                <w:rFonts w:ascii="Times New Roman" w:hAnsi="Times New Roman"/>
                <w:szCs w:val="24"/>
              </w:rPr>
              <w:t>The relevance of community-driven transformation and the evaluation methods used to measure its effects were examined. I also learned about community participation-based social impact evaluation approaches.</w:t>
            </w:r>
          </w:p>
        </w:tc>
        <w:tc>
          <w:tcPr>
            <w:tcW w:w="1984" w:type="dxa"/>
            <w:tcBorders>
              <w:top w:val="single" w:sz="4" w:space="0" w:color="auto"/>
              <w:left w:val="single" w:sz="4" w:space="0" w:color="auto"/>
              <w:bottom w:val="single" w:sz="4" w:space="0" w:color="auto"/>
              <w:right w:val="single" w:sz="4" w:space="0" w:color="auto"/>
            </w:tcBorders>
          </w:tcPr>
          <w:p w14:paraId="36A736A6" w14:textId="262BD8E1" w:rsidR="001D29F8" w:rsidRPr="003B4EB9" w:rsidRDefault="003B4EB9" w:rsidP="00F00DC3">
            <w:pPr>
              <w:rPr>
                <w:rFonts w:ascii="Times New Roman" w:hAnsi="Times New Roman"/>
                <w:szCs w:val="24"/>
              </w:rPr>
            </w:pPr>
            <w:r w:rsidRPr="003B4EB9">
              <w:rPr>
                <w:rFonts w:ascii="Times New Roman" w:hAnsi="Times New Roman"/>
                <w:szCs w:val="24"/>
              </w:rPr>
              <w:t>I learned the importance of community engagement in transformation throughout my studies. I also wanted to learn about community engagement evaluation and social impact quantification. This information may help organise and run community participation activities.</w:t>
            </w:r>
          </w:p>
        </w:tc>
        <w:tc>
          <w:tcPr>
            <w:tcW w:w="3657" w:type="dxa"/>
            <w:tcBorders>
              <w:top w:val="single" w:sz="4" w:space="0" w:color="auto"/>
              <w:left w:val="single" w:sz="4" w:space="0" w:color="auto"/>
              <w:bottom w:val="single" w:sz="4" w:space="0" w:color="auto"/>
              <w:right w:val="single" w:sz="4" w:space="0" w:color="auto"/>
            </w:tcBorders>
          </w:tcPr>
          <w:p w14:paraId="47E84E7A" w14:textId="31A5CCC4" w:rsidR="001D29F8" w:rsidRPr="003B4EB9" w:rsidRDefault="003B4EB9" w:rsidP="00F00DC3">
            <w:pPr>
              <w:rPr>
                <w:rFonts w:ascii="Times New Roman" w:hAnsi="Times New Roman"/>
                <w:szCs w:val="24"/>
              </w:rPr>
            </w:pPr>
            <w:r w:rsidRPr="003B4EB9">
              <w:rPr>
                <w:rFonts w:ascii="Times New Roman" w:hAnsi="Times New Roman"/>
                <w:szCs w:val="24"/>
              </w:rPr>
              <w:t>This content taught me that community service is crucial to a healthy society. It changes social elements and promotes growth, wealth, and relationships. I also learned that politicians involve communities in tackling several socioeconomic issues, each of which has a distinct impact. The main benefits of community participation include bridging gaps and forming connections between groups and communities.</w:t>
            </w:r>
          </w:p>
        </w:tc>
        <w:tc>
          <w:tcPr>
            <w:tcW w:w="4536" w:type="dxa"/>
            <w:tcBorders>
              <w:top w:val="single" w:sz="4" w:space="0" w:color="auto"/>
              <w:left w:val="single" w:sz="4" w:space="0" w:color="auto"/>
              <w:bottom w:val="single" w:sz="4" w:space="0" w:color="auto"/>
              <w:right w:val="single" w:sz="4" w:space="0" w:color="auto"/>
            </w:tcBorders>
          </w:tcPr>
          <w:p w14:paraId="361785CC" w14:textId="78CF6900" w:rsidR="001D29F8" w:rsidRPr="003B4EB9" w:rsidRDefault="003B4EB9" w:rsidP="00F00DC3">
            <w:pPr>
              <w:rPr>
                <w:rFonts w:ascii="Times New Roman" w:hAnsi="Times New Roman"/>
                <w:szCs w:val="24"/>
              </w:rPr>
            </w:pPr>
            <w:r w:rsidRPr="003B4EB9">
              <w:rPr>
                <w:rFonts w:ascii="Times New Roman" w:hAnsi="Times New Roman"/>
                <w:szCs w:val="24"/>
              </w:rPr>
              <w:t>I will utilise this knowledge to stress the importance of community engagement in positive transformation. Additionally, I will utilise the assessment techniques indicated to assess community engagement project impacts. I will also examine social consequences to better understand community participation programmes' outcomes and effectiveness. This information will help me plan and implement community engagement initiatives that will yield meaningful change.</w:t>
            </w:r>
          </w:p>
        </w:tc>
      </w:tr>
      <w:tr w:rsidR="00642145" w:rsidRPr="008E3E20" w14:paraId="3A3F11B5" w14:textId="77777777" w:rsidTr="005022D4">
        <w:tc>
          <w:tcPr>
            <w:tcW w:w="1560" w:type="dxa"/>
            <w:tcBorders>
              <w:top w:val="single" w:sz="4" w:space="0" w:color="auto"/>
              <w:left w:val="single" w:sz="4" w:space="0" w:color="auto"/>
              <w:bottom w:val="single" w:sz="4" w:space="0" w:color="auto"/>
              <w:right w:val="single" w:sz="4" w:space="0" w:color="auto"/>
            </w:tcBorders>
          </w:tcPr>
          <w:p w14:paraId="36318776" w14:textId="6EE27697" w:rsidR="00642145" w:rsidRPr="003B4EB9" w:rsidRDefault="00642145" w:rsidP="00F00DC3">
            <w:pPr>
              <w:rPr>
                <w:rFonts w:ascii="Times New Roman" w:hAnsi="Times New Roman"/>
                <w:szCs w:val="24"/>
              </w:rPr>
            </w:pPr>
            <w:r w:rsidRPr="003B4EB9">
              <w:rPr>
                <w:rFonts w:ascii="Times New Roman" w:hAnsi="Times New Roman"/>
                <w:szCs w:val="24"/>
              </w:rPr>
              <w:t xml:space="preserve">Week Eight </w:t>
            </w:r>
          </w:p>
        </w:tc>
        <w:tc>
          <w:tcPr>
            <w:tcW w:w="3119" w:type="dxa"/>
            <w:tcBorders>
              <w:top w:val="single" w:sz="4" w:space="0" w:color="auto"/>
              <w:left w:val="single" w:sz="4" w:space="0" w:color="auto"/>
              <w:bottom w:val="single" w:sz="4" w:space="0" w:color="auto"/>
              <w:right w:val="single" w:sz="4" w:space="0" w:color="auto"/>
            </w:tcBorders>
          </w:tcPr>
          <w:p w14:paraId="252690B6" w14:textId="6F8B0453" w:rsidR="00642145" w:rsidRPr="003B4EB9" w:rsidRDefault="003B4EB9" w:rsidP="00F00DC3">
            <w:pPr>
              <w:rPr>
                <w:rFonts w:ascii="Times New Roman" w:hAnsi="Times New Roman"/>
                <w:szCs w:val="24"/>
              </w:rPr>
            </w:pPr>
            <w:r w:rsidRPr="003B4EB9">
              <w:rPr>
                <w:rFonts w:ascii="Times New Roman" w:hAnsi="Times New Roman"/>
                <w:szCs w:val="24"/>
              </w:rPr>
              <w:t>I studied the importance and numerous elements of student reflection. I also learned how to stimulate contemplation by studying everyday happenings and important moments.</w:t>
            </w:r>
          </w:p>
        </w:tc>
        <w:tc>
          <w:tcPr>
            <w:tcW w:w="1984" w:type="dxa"/>
            <w:tcBorders>
              <w:top w:val="single" w:sz="4" w:space="0" w:color="auto"/>
              <w:left w:val="single" w:sz="4" w:space="0" w:color="auto"/>
              <w:bottom w:val="single" w:sz="4" w:space="0" w:color="auto"/>
              <w:right w:val="single" w:sz="4" w:space="0" w:color="auto"/>
            </w:tcBorders>
          </w:tcPr>
          <w:p w14:paraId="538A5D99" w14:textId="3DD0604C" w:rsidR="00642145" w:rsidRPr="00642145" w:rsidRDefault="003B4EB9" w:rsidP="00F00DC3">
            <w:pPr>
              <w:rPr>
                <w:rFonts w:ascii="Verdana" w:hAnsi="Verdana"/>
                <w:sz w:val="18"/>
                <w:szCs w:val="18"/>
              </w:rPr>
            </w:pPr>
            <w:r w:rsidRPr="003B4EB9">
              <w:rPr>
                <w:rFonts w:ascii="Times New Roman" w:hAnsi="Times New Roman"/>
                <w:szCs w:val="24"/>
              </w:rPr>
              <w:t>I studied this topic to grasp the benefits of reflection in learning. I also wanted to study how reflection might help learners grasp issues, determine their learning needs, make sense of new information, and grow.</w:t>
            </w:r>
          </w:p>
        </w:tc>
        <w:tc>
          <w:tcPr>
            <w:tcW w:w="3657" w:type="dxa"/>
            <w:tcBorders>
              <w:top w:val="single" w:sz="4" w:space="0" w:color="auto"/>
              <w:left w:val="single" w:sz="4" w:space="0" w:color="auto"/>
              <w:bottom w:val="single" w:sz="4" w:space="0" w:color="auto"/>
              <w:right w:val="single" w:sz="4" w:space="0" w:color="auto"/>
            </w:tcBorders>
          </w:tcPr>
          <w:p w14:paraId="7E359B5B" w14:textId="1CBD092B" w:rsidR="00642145" w:rsidRPr="003B4EB9" w:rsidRDefault="003B4EB9" w:rsidP="00F00DC3">
            <w:pPr>
              <w:rPr>
                <w:rFonts w:ascii="Times New Roman" w:hAnsi="Times New Roman"/>
                <w:szCs w:val="24"/>
              </w:rPr>
            </w:pPr>
            <w:r w:rsidRPr="003B4EB9">
              <w:rPr>
                <w:rFonts w:ascii="Times New Roman" w:hAnsi="Times New Roman"/>
                <w:szCs w:val="24"/>
              </w:rPr>
              <w:t>I learned from this content that introspection helps pupils. It lets people assess their knowledge, identify gaps in their knowledge, draw connections between new material and their own experiences, and make informed schooling choices. Many of the methods listed may promote good reflection.</w:t>
            </w:r>
          </w:p>
        </w:tc>
        <w:tc>
          <w:tcPr>
            <w:tcW w:w="4536" w:type="dxa"/>
            <w:tcBorders>
              <w:top w:val="single" w:sz="4" w:space="0" w:color="auto"/>
              <w:left w:val="single" w:sz="4" w:space="0" w:color="auto"/>
              <w:bottom w:val="single" w:sz="4" w:space="0" w:color="auto"/>
              <w:right w:val="single" w:sz="4" w:space="0" w:color="auto"/>
            </w:tcBorders>
          </w:tcPr>
          <w:p w14:paraId="6995FE06" w14:textId="738DCD1A" w:rsidR="00642145" w:rsidRPr="003B4EB9" w:rsidRDefault="003B4EB9" w:rsidP="00F00DC3">
            <w:pPr>
              <w:rPr>
                <w:rFonts w:ascii="Times New Roman" w:hAnsi="Times New Roman"/>
                <w:szCs w:val="24"/>
              </w:rPr>
            </w:pPr>
            <w:r w:rsidRPr="003B4EB9">
              <w:rPr>
                <w:rFonts w:ascii="Times New Roman" w:hAnsi="Times New Roman"/>
                <w:szCs w:val="24"/>
              </w:rPr>
              <w:t xml:space="preserve">I will utilise this information to reflect on my learning. Actively thinking on what I know, identifying my learning needs, and making connections to my personal experiences helps me understand many subjects. I will also utilise the methods outlined, such as assessing </w:t>
            </w:r>
            <w:r w:rsidRPr="003B4EB9">
              <w:rPr>
                <w:rFonts w:ascii="Times New Roman" w:hAnsi="Times New Roman"/>
                <w:szCs w:val="24"/>
              </w:rPr>
              <w:t>every day</w:t>
            </w:r>
            <w:r w:rsidRPr="003B4EB9">
              <w:rPr>
                <w:rFonts w:ascii="Times New Roman" w:hAnsi="Times New Roman"/>
                <w:szCs w:val="24"/>
              </w:rPr>
              <w:t xml:space="preserve"> and noteworthy events, to inspire meaningful thought. Overall, this material will help me learn and improve.</w:t>
            </w:r>
          </w:p>
        </w:tc>
      </w:tr>
      <w:tr w:rsidR="00642145" w:rsidRPr="008E3E20" w14:paraId="489E30C8" w14:textId="77777777" w:rsidTr="005022D4">
        <w:tc>
          <w:tcPr>
            <w:tcW w:w="1560" w:type="dxa"/>
            <w:tcBorders>
              <w:top w:val="single" w:sz="4" w:space="0" w:color="auto"/>
              <w:left w:val="single" w:sz="4" w:space="0" w:color="auto"/>
              <w:bottom w:val="single" w:sz="4" w:space="0" w:color="auto"/>
              <w:right w:val="single" w:sz="4" w:space="0" w:color="auto"/>
            </w:tcBorders>
          </w:tcPr>
          <w:p w14:paraId="3C5DE36F" w14:textId="104C293E" w:rsidR="00642145" w:rsidRPr="003B4EB9" w:rsidRDefault="00642145" w:rsidP="00F00DC3">
            <w:pPr>
              <w:rPr>
                <w:rFonts w:ascii="Times New Roman" w:hAnsi="Times New Roman"/>
                <w:szCs w:val="24"/>
              </w:rPr>
            </w:pPr>
            <w:r w:rsidRPr="003B4EB9">
              <w:rPr>
                <w:rFonts w:ascii="Times New Roman" w:hAnsi="Times New Roman"/>
                <w:szCs w:val="24"/>
              </w:rPr>
              <w:t xml:space="preserve">Week Nine </w:t>
            </w:r>
          </w:p>
        </w:tc>
        <w:tc>
          <w:tcPr>
            <w:tcW w:w="3119" w:type="dxa"/>
            <w:tcBorders>
              <w:top w:val="single" w:sz="4" w:space="0" w:color="auto"/>
              <w:left w:val="single" w:sz="4" w:space="0" w:color="auto"/>
              <w:bottom w:val="single" w:sz="4" w:space="0" w:color="auto"/>
              <w:right w:val="single" w:sz="4" w:space="0" w:color="auto"/>
            </w:tcBorders>
          </w:tcPr>
          <w:p w14:paraId="78EAE7B3" w14:textId="64AE5ABE" w:rsidR="00642145" w:rsidRPr="003B4EB9" w:rsidRDefault="003B4EB9" w:rsidP="00F00DC3">
            <w:pPr>
              <w:rPr>
                <w:rFonts w:ascii="Times New Roman" w:hAnsi="Times New Roman"/>
                <w:szCs w:val="24"/>
              </w:rPr>
            </w:pPr>
            <w:r w:rsidRPr="003B4EB9">
              <w:rPr>
                <w:rFonts w:ascii="Times New Roman" w:hAnsi="Times New Roman"/>
                <w:szCs w:val="24"/>
              </w:rPr>
              <w:t>I researched monitoring and analysing community engagement and its importance. I learned how to gather data to analyse community participation initiatives as part of my studies.</w:t>
            </w:r>
          </w:p>
        </w:tc>
        <w:tc>
          <w:tcPr>
            <w:tcW w:w="1984" w:type="dxa"/>
            <w:tcBorders>
              <w:top w:val="single" w:sz="4" w:space="0" w:color="auto"/>
              <w:left w:val="single" w:sz="4" w:space="0" w:color="auto"/>
              <w:bottom w:val="single" w:sz="4" w:space="0" w:color="auto"/>
              <w:right w:val="single" w:sz="4" w:space="0" w:color="auto"/>
            </w:tcBorders>
          </w:tcPr>
          <w:p w14:paraId="66C7AEB8" w14:textId="613C512F" w:rsidR="00642145" w:rsidRPr="003B4EB9" w:rsidRDefault="003B4EB9" w:rsidP="00F00DC3">
            <w:pPr>
              <w:rPr>
                <w:rFonts w:ascii="Times New Roman" w:hAnsi="Times New Roman"/>
                <w:szCs w:val="24"/>
              </w:rPr>
            </w:pPr>
            <w:r w:rsidRPr="003B4EB9">
              <w:rPr>
                <w:rFonts w:ascii="Times New Roman" w:hAnsi="Times New Roman"/>
                <w:szCs w:val="24"/>
              </w:rPr>
              <w:t>I explored this problem to better understand how measurement and assessment affect community engagement. This study aimed to understand the importance of assessing community engagement and how it can be utilised to improve and lead future efforts.</w:t>
            </w:r>
          </w:p>
        </w:tc>
        <w:tc>
          <w:tcPr>
            <w:tcW w:w="3657" w:type="dxa"/>
            <w:tcBorders>
              <w:top w:val="single" w:sz="4" w:space="0" w:color="auto"/>
              <w:left w:val="single" w:sz="4" w:space="0" w:color="auto"/>
              <w:bottom w:val="single" w:sz="4" w:space="0" w:color="auto"/>
              <w:right w:val="single" w:sz="4" w:space="0" w:color="auto"/>
            </w:tcBorders>
          </w:tcPr>
          <w:p w14:paraId="1586A9E1" w14:textId="3A458B77" w:rsidR="00642145" w:rsidRPr="003B4EB9" w:rsidRDefault="003B4EB9" w:rsidP="00F00DC3">
            <w:pPr>
              <w:rPr>
                <w:rFonts w:ascii="Times New Roman" w:hAnsi="Times New Roman"/>
                <w:szCs w:val="24"/>
              </w:rPr>
            </w:pPr>
            <w:r w:rsidRPr="003B4EB9">
              <w:rPr>
                <w:rFonts w:ascii="Times New Roman" w:hAnsi="Times New Roman"/>
                <w:szCs w:val="24"/>
              </w:rPr>
              <w:t>This course taught me that community engagement must be measured and evaluated to understand its effectiveness and impact. It helps determine whether engagement programmes are meeting expectations. Measurement and evaluation give valuable feedback and insights that may be utilised to make educated decisions and improve community-participation activities.</w:t>
            </w:r>
          </w:p>
        </w:tc>
        <w:tc>
          <w:tcPr>
            <w:tcW w:w="4536" w:type="dxa"/>
            <w:tcBorders>
              <w:top w:val="single" w:sz="4" w:space="0" w:color="auto"/>
              <w:left w:val="single" w:sz="4" w:space="0" w:color="auto"/>
              <w:bottom w:val="single" w:sz="4" w:space="0" w:color="auto"/>
              <w:right w:val="single" w:sz="4" w:space="0" w:color="auto"/>
            </w:tcBorders>
          </w:tcPr>
          <w:p w14:paraId="6A2FD8D4" w14:textId="50137BE8" w:rsidR="00642145" w:rsidRPr="003B4EB9" w:rsidRDefault="003B4EB9" w:rsidP="00F00DC3">
            <w:pPr>
              <w:rPr>
                <w:rFonts w:ascii="Times New Roman" w:hAnsi="Times New Roman"/>
                <w:szCs w:val="24"/>
              </w:rPr>
            </w:pPr>
            <w:r w:rsidRPr="003B4EB9">
              <w:rPr>
                <w:rFonts w:ascii="Times New Roman" w:hAnsi="Times New Roman"/>
                <w:szCs w:val="24"/>
              </w:rPr>
              <w:t>This information should be used to stress the need of monitoring and measuring community engagement in my practise and efforts. I can assess the impact of my engagement activities and make informed improvements by using suitable measurement and evaluation methods. With this data, I can properly track and assess community participation's effects, which will boost my efforts.</w:t>
            </w:r>
          </w:p>
        </w:tc>
      </w:tr>
      <w:tr w:rsidR="00107C02" w:rsidRPr="008E3E20" w14:paraId="2730F7C7" w14:textId="77777777" w:rsidTr="005022D4">
        <w:tc>
          <w:tcPr>
            <w:tcW w:w="1560" w:type="dxa"/>
            <w:tcBorders>
              <w:top w:val="single" w:sz="4" w:space="0" w:color="auto"/>
              <w:left w:val="single" w:sz="4" w:space="0" w:color="auto"/>
              <w:bottom w:val="single" w:sz="4" w:space="0" w:color="auto"/>
              <w:right w:val="single" w:sz="4" w:space="0" w:color="auto"/>
            </w:tcBorders>
          </w:tcPr>
          <w:p w14:paraId="132E7B04" w14:textId="06B71FA5" w:rsidR="00107C02" w:rsidRPr="00E015C4" w:rsidRDefault="00107C02" w:rsidP="00F00DC3">
            <w:pPr>
              <w:rPr>
                <w:rFonts w:ascii="Times New Roman" w:hAnsi="Times New Roman"/>
                <w:szCs w:val="24"/>
              </w:rPr>
            </w:pPr>
            <w:r w:rsidRPr="00E015C4">
              <w:rPr>
                <w:rFonts w:ascii="Times New Roman" w:hAnsi="Times New Roman"/>
                <w:szCs w:val="24"/>
              </w:rPr>
              <w:t>Week Ten</w:t>
            </w:r>
          </w:p>
        </w:tc>
        <w:tc>
          <w:tcPr>
            <w:tcW w:w="3119" w:type="dxa"/>
            <w:tcBorders>
              <w:top w:val="single" w:sz="4" w:space="0" w:color="auto"/>
              <w:left w:val="single" w:sz="4" w:space="0" w:color="auto"/>
              <w:bottom w:val="single" w:sz="4" w:space="0" w:color="auto"/>
              <w:right w:val="single" w:sz="4" w:space="0" w:color="auto"/>
            </w:tcBorders>
          </w:tcPr>
          <w:p w14:paraId="7932084A" w14:textId="339B3CBA" w:rsidR="00107C02" w:rsidRPr="00E015C4" w:rsidRDefault="00E015C4" w:rsidP="00F00DC3">
            <w:pPr>
              <w:rPr>
                <w:rFonts w:ascii="Times New Roman" w:hAnsi="Times New Roman"/>
                <w:szCs w:val="24"/>
              </w:rPr>
            </w:pPr>
            <w:r w:rsidRPr="00E015C4">
              <w:rPr>
                <w:rFonts w:ascii="Times New Roman" w:hAnsi="Times New Roman"/>
                <w:szCs w:val="24"/>
              </w:rPr>
              <w:t>I participated in a workshop that included discussion, correction, and evaluation.</w:t>
            </w:r>
          </w:p>
        </w:tc>
        <w:tc>
          <w:tcPr>
            <w:tcW w:w="1984" w:type="dxa"/>
            <w:tcBorders>
              <w:top w:val="single" w:sz="4" w:space="0" w:color="auto"/>
              <w:left w:val="single" w:sz="4" w:space="0" w:color="auto"/>
              <w:bottom w:val="single" w:sz="4" w:space="0" w:color="auto"/>
              <w:right w:val="single" w:sz="4" w:space="0" w:color="auto"/>
            </w:tcBorders>
          </w:tcPr>
          <w:p w14:paraId="0F74F5CC" w14:textId="2E042281" w:rsidR="00107C02" w:rsidRPr="00E015C4" w:rsidRDefault="00E015C4" w:rsidP="00F00DC3">
            <w:pPr>
              <w:rPr>
                <w:rFonts w:ascii="Times New Roman" w:hAnsi="Times New Roman"/>
                <w:szCs w:val="24"/>
              </w:rPr>
            </w:pPr>
            <w:r w:rsidRPr="00E015C4">
              <w:rPr>
                <w:rFonts w:ascii="Times New Roman" w:hAnsi="Times New Roman"/>
                <w:szCs w:val="24"/>
              </w:rPr>
              <w:t>with the purpose of enhancing both my grasp of the subject matter and my overall learning experience.</w:t>
            </w:r>
          </w:p>
        </w:tc>
        <w:tc>
          <w:tcPr>
            <w:tcW w:w="3657" w:type="dxa"/>
            <w:tcBorders>
              <w:top w:val="single" w:sz="4" w:space="0" w:color="auto"/>
              <w:left w:val="single" w:sz="4" w:space="0" w:color="auto"/>
              <w:bottom w:val="single" w:sz="4" w:space="0" w:color="auto"/>
              <w:right w:val="single" w:sz="4" w:space="0" w:color="auto"/>
            </w:tcBorders>
          </w:tcPr>
          <w:p w14:paraId="150650C7" w14:textId="2BA610E8" w:rsidR="00107C02" w:rsidRPr="00E015C4" w:rsidRDefault="00E015C4" w:rsidP="00F00DC3">
            <w:pPr>
              <w:rPr>
                <w:rFonts w:ascii="Times New Roman" w:hAnsi="Times New Roman"/>
                <w:szCs w:val="24"/>
              </w:rPr>
            </w:pPr>
            <w:r w:rsidRPr="00E015C4">
              <w:rPr>
                <w:rFonts w:ascii="Times New Roman" w:hAnsi="Times New Roman"/>
                <w:szCs w:val="24"/>
              </w:rPr>
              <w:t>I want to emphasise the significance of engaging in interactive conversations, reviewing resources, and evaluating my progress in learning.</w:t>
            </w:r>
          </w:p>
        </w:tc>
        <w:tc>
          <w:tcPr>
            <w:tcW w:w="4536" w:type="dxa"/>
            <w:tcBorders>
              <w:top w:val="single" w:sz="4" w:space="0" w:color="auto"/>
              <w:left w:val="single" w:sz="4" w:space="0" w:color="auto"/>
              <w:bottom w:val="single" w:sz="4" w:space="0" w:color="auto"/>
              <w:right w:val="single" w:sz="4" w:space="0" w:color="auto"/>
            </w:tcBorders>
          </w:tcPr>
          <w:p w14:paraId="2E55A894" w14:textId="0A7B0875" w:rsidR="00107C02" w:rsidRPr="00E015C4" w:rsidRDefault="00E015C4" w:rsidP="00F00DC3">
            <w:pPr>
              <w:rPr>
                <w:rFonts w:ascii="Times New Roman" w:hAnsi="Times New Roman"/>
                <w:szCs w:val="24"/>
              </w:rPr>
            </w:pPr>
            <w:r w:rsidRPr="00E015C4">
              <w:rPr>
                <w:rFonts w:ascii="Times New Roman" w:hAnsi="Times New Roman"/>
                <w:szCs w:val="24"/>
              </w:rPr>
              <w:t>To ensure that my future educational experiences are as beneficial as possible, I will participate actively in conversations, edit materials, and evaluate my progress.</w:t>
            </w:r>
          </w:p>
        </w:tc>
      </w:tr>
    </w:tbl>
    <w:p w14:paraId="77D66976" w14:textId="77777777" w:rsidR="00716A66" w:rsidRDefault="00716A66"/>
    <w:sectPr w:rsidR="00716A66" w:rsidSect="0099230B">
      <w:pgSz w:w="15840" w:h="12240" w:orient="landscape" w:code="1"/>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Futura BT">
    <w:altName w:val="Century Gothic"/>
    <w:panose1 w:val="00000000000000000000"/>
    <w:charset w:val="00"/>
    <w:family w:val="swiss"/>
    <w:notTrueType/>
    <w:pitch w:val="default"/>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56693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30B"/>
    <w:rsid w:val="00107C02"/>
    <w:rsid w:val="001D29F8"/>
    <w:rsid w:val="00232EC8"/>
    <w:rsid w:val="00297452"/>
    <w:rsid w:val="003B4EB9"/>
    <w:rsid w:val="005022D4"/>
    <w:rsid w:val="005C7626"/>
    <w:rsid w:val="00642145"/>
    <w:rsid w:val="00716A66"/>
    <w:rsid w:val="0089160B"/>
    <w:rsid w:val="008E3C4E"/>
    <w:rsid w:val="0099230B"/>
    <w:rsid w:val="00C97E80"/>
    <w:rsid w:val="00CB6781"/>
    <w:rsid w:val="00E015C4"/>
    <w:rsid w:val="00E92643"/>
    <w:rsid w:val="00EB4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46E5"/>
  <w15:docId w15:val="{09FB1D1B-36CF-4276-A83E-31A511EEE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DPG Normal"/>
    <w:qFormat/>
    <w:rsid w:val="0099230B"/>
    <w:pPr>
      <w:spacing w:after="60" w:line="240" w:lineRule="auto"/>
    </w:pPr>
    <w:rPr>
      <w:rFonts w:ascii="Tahoma" w:eastAsia="Calibri" w:hAnsi="Tahoma" w:cs="Times New Roman"/>
      <w:sz w:val="24"/>
    </w:rPr>
  </w:style>
  <w:style w:type="paragraph" w:styleId="Heading1">
    <w:name w:val="heading 1"/>
    <w:basedOn w:val="Normal"/>
    <w:next w:val="Normal"/>
    <w:link w:val="Heading1Char"/>
    <w:qFormat/>
    <w:rsid w:val="0099230B"/>
    <w:pPr>
      <w:keepNext/>
      <w:keepLines/>
      <w:numPr>
        <w:numId w:val="1"/>
      </w:numPr>
      <w:spacing w:before="240" w:after="120"/>
      <w:contextualSpacing/>
      <w:outlineLvl w:val="0"/>
    </w:pPr>
    <w:rPr>
      <w:rFonts w:ascii="Verdana" w:eastAsia="Times New Roman" w:hAnsi="Verdana"/>
      <w:b/>
      <w:bCs/>
      <w:color w:val="000099"/>
      <w:sz w:val="40"/>
      <w:szCs w:val="28"/>
    </w:rPr>
  </w:style>
  <w:style w:type="paragraph" w:styleId="Heading2">
    <w:name w:val="heading 2"/>
    <w:basedOn w:val="Normal"/>
    <w:next w:val="BodyText"/>
    <w:link w:val="Heading2Char"/>
    <w:autoRedefine/>
    <w:qFormat/>
    <w:rsid w:val="0099230B"/>
    <w:pPr>
      <w:keepNext/>
      <w:numPr>
        <w:ilvl w:val="1"/>
        <w:numId w:val="1"/>
      </w:numPr>
      <w:tabs>
        <w:tab w:val="center" w:pos="1134"/>
      </w:tabs>
      <w:spacing w:before="240"/>
      <w:outlineLvl w:val="1"/>
    </w:pPr>
    <w:rPr>
      <w:rFonts w:ascii="Verdana" w:eastAsia="Times New Roman" w:hAnsi="Verdana"/>
      <w:b/>
      <w:i/>
      <w:color w:val="006600"/>
      <w:sz w:val="32"/>
      <w:szCs w:val="20"/>
    </w:rPr>
  </w:style>
  <w:style w:type="paragraph" w:styleId="Heading3">
    <w:name w:val="heading 3"/>
    <w:basedOn w:val="Normal"/>
    <w:next w:val="Normal"/>
    <w:link w:val="Heading3Char"/>
    <w:qFormat/>
    <w:rsid w:val="0099230B"/>
    <w:pPr>
      <w:keepNext/>
      <w:keepLines/>
      <w:numPr>
        <w:ilvl w:val="2"/>
        <w:numId w:val="1"/>
      </w:numPr>
      <w:spacing w:before="120"/>
      <w:contextualSpacing/>
      <w:outlineLvl w:val="2"/>
    </w:pPr>
    <w:rPr>
      <w:rFonts w:ascii="Verdana" w:eastAsia="Times New Roman" w:hAnsi="Verdana"/>
      <w:b/>
      <w:bCs/>
      <w:color w:val="003366"/>
      <w:sz w:val="28"/>
    </w:rPr>
  </w:style>
  <w:style w:type="paragraph" w:styleId="Heading4">
    <w:name w:val="heading 4"/>
    <w:basedOn w:val="Normal"/>
    <w:next w:val="Normal"/>
    <w:link w:val="Heading4Char"/>
    <w:qFormat/>
    <w:rsid w:val="0099230B"/>
    <w:pPr>
      <w:keepNext/>
      <w:numPr>
        <w:ilvl w:val="3"/>
        <w:numId w:val="1"/>
      </w:numPr>
      <w:spacing w:before="240"/>
      <w:outlineLvl w:val="3"/>
    </w:pPr>
    <w:rPr>
      <w:rFonts w:ascii="Calibri" w:eastAsia="Times New Roman" w:hAnsi="Calibri"/>
      <w:b/>
      <w:bCs/>
      <w:sz w:val="28"/>
      <w:szCs w:val="28"/>
    </w:rPr>
  </w:style>
  <w:style w:type="paragraph" w:styleId="Heading5">
    <w:name w:val="heading 5"/>
    <w:basedOn w:val="Normal"/>
    <w:next w:val="Normal"/>
    <w:link w:val="Heading5Char"/>
    <w:qFormat/>
    <w:rsid w:val="0099230B"/>
    <w:pPr>
      <w:numPr>
        <w:ilvl w:val="4"/>
        <w:numId w:val="1"/>
      </w:numPr>
      <w:spacing w:before="240"/>
      <w:outlineLvl w:val="4"/>
    </w:pPr>
    <w:rPr>
      <w:rFonts w:ascii="Calibri" w:eastAsia="Times New Roman" w:hAnsi="Calibri"/>
      <w:b/>
      <w:bCs/>
      <w:i/>
      <w:iCs/>
      <w:sz w:val="26"/>
      <w:szCs w:val="26"/>
    </w:rPr>
  </w:style>
  <w:style w:type="paragraph" w:styleId="Heading6">
    <w:name w:val="heading 6"/>
    <w:basedOn w:val="Normal"/>
    <w:next w:val="Normal"/>
    <w:link w:val="Heading6Char"/>
    <w:qFormat/>
    <w:rsid w:val="0099230B"/>
    <w:pPr>
      <w:numPr>
        <w:ilvl w:val="5"/>
        <w:numId w:val="1"/>
      </w:numPr>
      <w:spacing w:before="240"/>
      <w:outlineLvl w:val="5"/>
    </w:pPr>
    <w:rPr>
      <w:rFonts w:ascii="Calibri" w:eastAsia="Times New Roman" w:hAnsi="Calibri"/>
      <w:b/>
      <w:bCs/>
      <w:sz w:val="22"/>
    </w:rPr>
  </w:style>
  <w:style w:type="paragraph" w:styleId="Heading7">
    <w:name w:val="heading 7"/>
    <w:basedOn w:val="Normal"/>
    <w:next w:val="Normal"/>
    <w:link w:val="Heading7Char"/>
    <w:qFormat/>
    <w:rsid w:val="0099230B"/>
    <w:pPr>
      <w:numPr>
        <w:ilvl w:val="6"/>
        <w:numId w:val="1"/>
      </w:numPr>
      <w:spacing w:before="240"/>
      <w:outlineLvl w:val="6"/>
    </w:pPr>
    <w:rPr>
      <w:rFonts w:ascii="Calibri" w:eastAsia="Times New Roman" w:hAnsi="Calibri"/>
      <w:szCs w:val="24"/>
    </w:rPr>
  </w:style>
  <w:style w:type="paragraph" w:styleId="Heading8">
    <w:name w:val="heading 8"/>
    <w:basedOn w:val="Normal"/>
    <w:next w:val="Normal"/>
    <w:link w:val="Heading8Char"/>
    <w:qFormat/>
    <w:rsid w:val="0099230B"/>
    <w:pPr>
      <w:numPr>
        <w:ilvl w:val="7"/>
        <w:numId w:val="1"/>
      </w:numPr>
      <w:spacing w:before="240"/>
      <w:outlineLvl w:val="7"/>
    </w:pPr>
    <w:rPr>
      <w:rFonts w:ascii="Calibri" w:eastAsia="Times New Roman" w:hAnsi="Calibri"/>
      <w:i/>
      <w:iCs/>
      <w:szCs w:val="24"/>
    </w:rPr>
  </w:style>
  <w:style w:type="paragraph" w:styleId="Heading9">
    <w:name w:val="heading 9"/>
    <w:basedOn w:val="Normal"/>
    <w:next w:val="Normal"/>
    <w:link w:val="Heading9Char"/>
    <w:qFormat/>
    <w:rsid w:val="0099230B"/>
    <w:pPr>
      <w:numPr>
        <w:ilvl w:val="8"/>
        <w:numId w:val="1"/>
      </w:numPr>
      <w:spacing w:before="240"/>
      <w:outlineLvl w:val="8"/>
    </w:pPr>
    <w:rPr>
      <w:rFonts w:ascii="Cambria" w:eastAsia="Times New Roman" w:hAnsi="Cambria"/>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9230B"/>
    <w:rPr>
      <w:rFonts w:ascii="Verdana" w:eastAsia="Times New Roman" w:hAnsi="Verdana" w:cs="Times New Roman"/>
      <w:b/>
      <w:bCs/>
      <w:color w:val="000099"/>
      <w:sz w:val="40"/>
      <w:szCs w:val="28"/>
    </w:rPr>
  </w:style>
  <w:style w:type="character" w:customStyle="1" w:styleId="Heading2Char">
    <w:name w:val="Heading 2 Char"/>
    <w:basedOn w:val="DefaultParagraphFont"/>
    <w:link w:val="Heading2"/>
    <w:rsid w:val="0099230B"/>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99230B"/>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99230B"/>
    <w:rPr>
      <w:rFonts w:ascii="Calibri" w:eastAsia="Times New Roman" w:hAnsi="Calibri" w:cs="Times New Roman"/>
      <w:b/>
      <w:bCs/>
      <w:sz w:val="28"/>
      <w:szCs w:val="28"/>
    </w:rPr>
  </w:style>
  <w:style w:type="character" w:customStyle="1" w:styleId="Heading5Char">
    <w:name w:val="Heading 5 Char"/>
    <w:basedOn w:val="DefaultParagraphFont"/>
    <w:link w:val="Heading5"/>
    <w:rsid w:val="0099230B"/>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99230B"/>
    <w:rPr>
      <w:rFonts w:ascii="Calibri" w:eastAsia="Times New Roman" w:hAnsi="Calibri" w:cs="Times New Roman"/>
      <w:b/>
      <w:bCs/>
    </w:rPr>
  </w:style>
  <w:style w:type="character" w:customStyle="1" w:styleId="Heading7Char">
    <w:name w:val="Heading 7 Char"/>
    <w:basedOn w:val="DefaultParagraphFont"/>
    <w:link w:val="Heading7"/>
    <w:rsid w:val="0099230B"/>
    <w:rPr>
      <w:rFonts w:ascii="Calibri" w:eastAsia="Times New Roman" w:hAnsi="Calibri" w:cs="Times New Roman"/>
      <w:sz w:val="24"/>
      <w:szCs w:val="24"/>
    </w:rPr>
  </w:style>
  <w:style w:type="character" w:customStyle="1" w:styleId="Heading8Char">
    <w:name w:val="Heading 8 Char"/>
    <w:basedOn w:val="DefaultParagraphFont"/>
    <w:link w:val="Heading8"/>
    <w:rsid w:val="0099230B"/>
    <w:rPr>
      <w:rFonts w:ascii="Calibri" w:eastAsia="Times New Roman" w:hAnsi="Calibri" w:cs="Times New Roman"/>
      <w:i/>
      <w:iCs/>
      <w:sz w:val="24"/>
      <w:szCs w:val="24"/>
    </w:rPr>
  </w:style>
  <w:style w:type="character" w:customStyle="1" w:styleId="Heading9Char">
    <w:name w:val="Heading 9 Char"/>
    <w:basedOn w:val="DefaultParagraphFont"/>
    <w:link w:val="Heading9"/>
    <w:rsid w:val="0099230B"/>
    <w:rPr>
      <w:rFonts w:ascii="Cambria" w:eastAsia="Times New Roman" w:hAnsi="Cambria" w:cs="Times New Roman"/>
    </w:rPr>
  </w:style>
  <w:style w:type="paragraph" w:styleId="BodyText">
    <w:name w:val="Body Text"/>
    <w:basedOn w:val="Normal"/>
    <w:link w:val="BodyTextChar"/>
    <w:unhideWhenUsed/>
    <w:rsid w:val="0099230B"/>
    <w:pPr>
      <w:spacing w:after="120"/>
    </w:pPr>
  </w:style>
  <w:style w:type="character" w:customStyle="1" w:styleId="BodyTextChar">
    <w:name w:val="Body Text Char"/>
    <w:basedOn w:val="DefaultParagraphFont"/>
    <w:link w:val="BodyText"/>
    <w:rsid w:val="0099230B"/>
    <w:rPr>
      <w:rFonts w:ascii="Tahoma" w:eastAsia="Calibri" w:hAnsi="Tahoma" w:cs="Times New Roman"/>
      <w:sz w:val="24"/>
    </w:rPr>
  </w:style>
  <w:style w:type="character" w:customStyle="1" w:styleId="A1">
    <w:name w:val="A1"/>
    <w:uiPriority w:val="99"/>
    <w:rsid w:val="0099230B"/>
    <w:rPr>
      <w:rFonts w:cs="Futura BT"/>
      <w:color w:val="000000"/>
      <w:sz w:val="22"/>
      <w:szCs w:val="22"/>
    </w:rPr>
  </w:style>
  <w:style w:type="paragraph" w:customStyle="1" w:styleId="Pa1">
    <w:name w:val="Pa1"/>
    <w:basedOn w:val="Normal"/>
    <w:next w:val="Normal"/>
    <w:uiPriority w:val="99"/>
    <w:rsid w:val="0099230B"/>
    <w:pPr>
      <w:autoSpaceDE w:val="0"/>
      <w:autoSpaceDN w:val="0"/>
      <w:adjustRightInd w:val="0"/>
      <w:spacing w:after="0" w:line="241" w:lineRule="atLeast"/>
    </w:pPr>
    <w:rPr>
      <w:rFonts w:ascii="Futura BT" w:hAnsi="Futura BT"/>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TotalTime>
  <Pages>13</Pages>
  <Words>3853</Words>
  <Characters>21964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dc:creator>
  <cp:lastModifiedBy>iulia chiriac</cp:lastModifiedBy>
  <cp:revision>2</cp:revision>
  <dcterms:created xsi:type="dcterms:W3CDTF">2023-11-23T11:19:00Z</dcterms:created>
  <dcterms:modified xsi:type="dcterms:W3CDTF">2023-11-23T11:19:00Z</dcterms:modified>
</cp:coreProperties>
</file>