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13680628"/>
        <w:docPartObj>
          <w:docPartGallery w:val="Cover Pages"/>
          <w:docPartUnique/>
        </w:docPartObj>
      </w:sdtPr>
      <w:sdtContent>
        <w:p w14:paraId="59E4D0C8" w14:textId="24F0B0C6" w:rsidR="009A43E7" w:rsidRDefault="009A43E7">
          <w:r>
            <w:rPr>
              <w:noProof/>
            </w:rPr>
            <mc:AlternateContent>
              <mc:Choice Requires="wpg">
                <w:drawing>
                  <wp:anchor distT="0" distB="0" distL="114300" distR="114300" simplePos="0" relativeHeight="251662336" behindDoc="0" locked="0" layoutInCell="1" allowOverlap="1" wp14:anchorId="3A2A5E60" wp14:editId="06735AE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376675E"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273E59B" wp14:editId="2B574CF4">
                    <wp:simplePos x="0" y="0"/>
                    <wp:positionH relativeFrom="page">
                      <wp:posOffset>-264160</wp:posOffset>
                    </wp:positionH>
                    <wp:positionV relativeFrom="page">
                      <wp:posOffset>8280400</wp:posOffset>
                    </wp:positionV>
                    <wp:extent cx="7802880" cy="1367417"/>
                    <wp:effectExtent l="0" t="0" r="0" b="4445"/>
                    <wp:wrapSquare wrapText="bothSides"/>
                    <wp:docPr id="152" name="Text Box 21"/>
                    <wp:cNvGraphicFramePr/>
                    <a:graphic xmlns:a="http://schemas.openxmlformats.org/drawingml/2006/main">
                      <a:graphicData uri="http://schemas.microsoft.com/office/word/2010/wordprocessingShape">
                        <wps:wsp>
                          <wps:cNvSpPr txBox="1"/>
                          <wps:spPr>
                            <a:xfrm>
                              <a:off x="0" y="0"/>
                              <a:ext cx="7802880" cy="136741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E87C7A3" w14:textId="700F6695" w:rsidR="009A43E7" w:rsidRDefault="009A43E7">
                                    <w:pPr>
                                      <w:pStyle w:val="NoSpacing"/>
                                      <w:jc w:val="right"/>
                                      <w:rPr>
                                        <w:color w:val="595959" w:themeColor="text1" w:themeTint="A6"/>
                                        <w:sz w:val="28"/>
                                        <w:szCs w:val="28"/>
                                      </w:rPr>
                                    </w:pPr>
                                    <w:r>
                                      <w:rPr>
                                        <w:color w:val="595959" w:themeColor="text1" w:themeTint="A6"/>
                                        <w:sz w:val="28"/>
                                        <w:szCs w:val="28"/>
                                      </w:rPr>
                                      <w:t>Dan Phillips 2305529</w:t>
                                    </w:r>
                                  </w:p>
                                </w:sdtContent>
                              </w:sdt>
                              <w:p w14:paraId="7A0282C4" w14:textId="544B2EDD" w:rsidR="009A43E7" w:rsidRDefault="009A43E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2305529@student.uwtsd.ac.uk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273E59B" id="_x0000_t202" coordsize="21600,21600" o:spt="202" path="m,l,21600r21600,l21600,xe">
                    <v:stroke joinstyle="miter"/>
                    <v:path gradientshapeok="t" o:connecttype="rect"/>
                  </v:shapetype>
                  <v:shape id="Text Box 21" o:spid="_x0000_s1026" type="#_x0000_t202" style="position:absolute;margin-left:-20.8pt;margin-top:652pt;width:614.4pt;height:107.6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js6/bAIAADkFAAAOAAAAZHJzL2Uyb0RvYy54bWysVN9v2jAQfp+0/8Hy+0igK0SIUDEqpkmo&#13;&#10;rUqnPhvHhmiOz7MNCfvrd3YSqNheOu3Fudx9d74f33l211SKHIV1JeicDgcpJUJzKEq9y+n3l9Wn&#13;&#10;jBLnmS6YAi1yehKO3s0/fpjVZipGsAdVCEswiHbT2uR0772ZJonje1ExNwAjNBol2Ip5/LW7pLCs&#13;&#10;xuiVSkZpOk5qsIWxwIVzqL1vjXQe40spuH+U0glPVE4xNx9PG89tOJP5jE13lpl9ybs02D9kUbFS&#13;&#10;46XnUPfMM3Kw5R+hqpJbcCD9gEOVgJQlF7EGrGaYXlWz2TMjYi3YHGfObXL/Lyx/OG7MkyW++QIN&#13;&#10;DjA0pDZu6lAZ6mmkrcIXMyVoxxaezm0TjScclZMsHWUZmjjahjfjyefhJMRJLu7GOv9VQEWCkFOL&#13;&#10;c4ntYse18y20h4TbNKxKpeJslCZ1Tsc3t2l0OFswuNIBK+KUuzCX1KPkT0oEjNLPQpKyiBUEReSX&#13;&#10;WCpLjgyZwTgX2sfiY1xEB5TEJN7j2OEvWb3Hua2jvxm0PztXpQYbq79Ku/jRpyxbPPb8Td1B9M22&#13;&#10;6Ua6heKEk7bQLoEzfFXiNNbM+SdmkfU4Qdxk/4iHVIBdh06iZA/219/0AY9kRCslNW5RTt3PA7OC&#13;&#10;EvVNI02H4zTFNcXFi78o2CiMs9ssqLe9Wh+qJeAkhvhcGB7FAPaqF6WF6hV3fREuRBPTHK/N6bYX&#13;&#10;l75da3wruFgsIgh3zDC/1hvDQ+gwmECzl+aVWdNx0SONH6BfNTa9omSLDZ4aFgcPsox8Db1tG9r1&#13;&#10;HPczMr57S8ID8PY/oi4v3vw3AAAA//8DAFBLAwQUAAYACAAAACEAW0BZ6+YAAAATAQAADwAAAGRy&#13;&#10;cy9kb3ducmV2LnhtbExPTU/DMAy9I/EfIiNx29Ku3Rhd0wlBEdI4MUCIW9aYtlrjVE22lX8/7wQX&#13;&#10;y9Z7fh/5erSdOOLgW0cK4mkEAqlypqVawcf782QJwgdNRneOUMEvelgX11e5zow70Rset6EWLEI+&#13;&#10;0wqaEPpMSl81aLWfuh6JsR83WB34HGppBn1icdvJWRQtpNUtsUOje3xssNpvD1ZBuaEXfK2TepNS&#13;&#10;+eXK+V5/fkdK3d6MTyseDysQAcfw9wGXDpwfCg62cwcyXnQKJmm8YCoDSZRytQslXt7NQOx4m8f3&#13;&#10;Ccgil/+7FGcAAAD//wMAUEsBAi0AFAAGAAgAAAAhALaDOJL+AAAA4QEAABMAAAAAAAAAAAAAAAAA&#13;&#10;AAAAAFtDb250ZW50X1R5cGVzXS54bWxQSwECLQAUAAYACAAAACEAOP0h/9YAAACUAQAACwAAAAAA&#13;&#10;AAAAAAAAAAAvAQAAX3JlbHMvLnJlbHNQSwECLQAUAAYACAAAACEALY7Ov2wCAAA5BQAADgAAAAAA&#13;&#10;AAAAAAAAAAAuAgAAZHJzL2Uyb0RvYy54bWxQSwECLQAUAAYACAAAACEAW0BZ6+YAAAATAQAADwAA&#13;&#10;AAAAAAAAAAAAAADGBAAAZHJzL2Rvd25yZXYueG1sUEsFBgAAAAAEAAQA8wAAANk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E87C7A3" w14:textId="700F6695" w:rsidR="009A43E7" w:rsidRDefault="009A43E7">
                              <w:pPr>
                                <w:pStyle w:val="NoSpacing"/>
                                <w:jc w:val="right"/>
                                <w:rPr>
                                  <w:color w:val="595959" w:themeColor="text1" w:themeTint="A6"/>
                                  <w:sz w:val="28"/>
                                  <w:szCs w:val="28"/>
                                </w:rPr>
                              </w:pPr>
                              <w:r>
                                <w:rPr>
                                  <w:color w:val="595959" w:themeColor="text1" w:themeTint="A6"/>
                                  <w:sz w:val="28"/>
                                  <w:szCs w:val="28"/>
                                </w:rPr>
                                <w:t>Dan Phillips 2305529</w:t>
                              </w:r>
                            </w:p>
                          </w:sdtContent>
                        </w:sdt>
                        <w:p w14:paraId="7A0282C4" w14:textId="544B2EDD" w:rsidR="009A43E7" w:rsidRDefault="009A43E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2305529@student.uwtsd.ac.uk</w:t>
                              </w:r>
                            </w:sdtContent>
                          </w:sdt>
                        </w:p>
                      </w:txbxContent>
                    </v:textbox>
                    <w10:wrap type="square" anchorx="page" anchory="page"/>
                  </v:shape>
                </w:pict>
              </mc:Fallback>
            </mc:AlternateContent>
          </w:r>
        </w:p>
        <w:p w14:paraId="33C508CB" w14:textId="40BA6E0D" w:rsidR="009A43E7" w:rsidRDefault="009A43E7">
          <w:r>
            <w:rPr>
              <w:noProof/>
            </w:rPr>
            <mc:AlternateContent>
              <mc:Choice Requires="wps">
                <w:drawing>
                  <wp:anchor distT="0" distB="0" distL="114300" distR="114300" simplePos="0" relativeHeight="251661312" behindDoc="0" locked="0" layoutInCell="1" allowOverlap="1" wp14:anchorId="35618C16" wp14:editId="4F3004E8">
                    <wp:simplePos x="0" y="0"/>
                    <wp:positionH relativeFrom="page">
                      <wp:posOffset>-375920</wp:posOffset>
                    </wp:positionH>
                    <wp:positionV relativeFrom="page">
                      <wp:posOffset>6400800</wp:posOffset>
                    </wp:positionV>
                    <wp:extent cx="7802880" cy="965200"/>
                    <wp:effectExtent l="0" t="0" r="0" b="0"/>
                    <wp:wrapSquare wrapText="bothSides"/>
                    <wp:docPr id="153" name="Text Box 23"/>
                    <wp:cNvGraphicFramePr/>
                    <a:graphic xmlns:a="http://schemas.openxmlformats.org/drawingml/2006/main">
                      <a:graphicData uri="http://schemas.microsoft.com/office/word/2010/wordprocessingShape">
                        <wps:wsp>
                          <wps:cNvSpPr txBox="1"/>
                          <wps:spPr>
                            <a:xfrm>
                              <a:off x="0" y="0"/>
                              <a:ext cx="7802880" cy="96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032E52" w14:textId="77777777" w:rsidR="009A43E7" w:rsidRDefault="009A43E7">
                                <w:pPr>
                                  <w:pStyle w:val="NoSpacing"/>
                                  <w:jc w:val="right"/>
                                  <w:rPr>
                                    <w:color w:val="156082" w:themeColor="accent1"/>
                                    <w:sz w:val="28"/>
                                    <w:szCs w:val="28"/>
                                  </w:rPr>
                                </w:pPr>
                                <w:r>
                                  <w:rPr>
                                    <w:color w:val="156082" w:themeColor="accent1"/>
                                    <w:sz w:val="28"/>
                                    <w:szCs w:val="28"/>
                                  </w:rPr>
                                  <w:t>Abstract</w:t>
                                </w:r>
                              </w:p>
                              <w:sdt>
                                <w:sdtPr>
                                  <w:alias w:val="Abstract"/>
                                  <w:tag w:val=""/>
                                  <w:id w:val="1375273687"/>
                                  <w:dataBinding w:prefixMappings="xmlns:ns0='http://schemas.microsoft.com/office/2006/coverPageProps' " w:xpath="/ns0:CoverPageProperties[1]/ns0:Abstract[1]" w:storeItemID="{55AF091B-3C7A-41E3-B477-F2FDAA23CFDA}"/>
                                  <w:text w:multiLine="1"/>
                                </w:sdtPr>
                                <w:sdtContent>
                                  <w:p w14:paraId="2314DC41" w14:textId="4FD405B9" w:rsidR="009A43E7" w:rsidRDefault="009A43E7">
                                    <w:pPr>
                                      <w:pStyle w:val="NoSpacing"/>
                                      <w:jc w:val="right"/>
                                      <w:rPr>
                                        <w:color w:val="595959" w:themeColor="text1" w:themeTint="A6"/>
                                        <w:sz w:val="20"/>
                                        <w:szCs w:val="20"/>
                                      </w:rPr>
                                    </w:pPr>
                                    <w:r w:rsidRPr="009A43E7">
                                      <w:t xml:space="preserve">This essay examines </w:t>
                                    </w:r>
                                    <w:r>
                                      <w:t xml:space="preserve">challenges associated </w:t>
                                    </w:r>
                                    <w:proofErr w:type="spellStart"/>
                                    <w:r>
                                      <w:t xml:space="preserve">with </w:t>
                                    </w:r>
                                    <w:proofErr w:type="spellEnd"/>
                                    <w:r w:rsidRPr="009A43E7">
                                      <w:t xml:space="preserve">investigating online child sexual exploitation and evaluates responses like specialist units, digital forensics, and training, </w:t>
                                    </w:r>
                                    <w:r>
                                      <w:t xml:space="preserve">whilst </w:t>
                                    </w:r>
                                    <w:r w:rsidRPr="009A43E7">
                                      <w:t xml:space="preserve">highlighting successes and ongoing </w:t>
                                    </w:r>
                                    <w:r>
                                      <w:t xml:space="preserve">problems </w:t>
                                    </w:r>
                                    <w:r w:rsidRPr="009A43E7">
                                      <w:t>in</w:t>
                                    </w:r>
                                    <w:r>
                                      <w:t xml:space="preserve"> </w:t>
                                    </w:r>
                                    <w:r w:rsidRPr="009A43E7">
                                      <w:t>safeguarding vulnerable children.</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5618C16" id="Text Box 23" o:spid="_x0000_s1027" type="#_x0000_t202" style="position:absolute;margin-left:-29.6pt;margin-top:7in;width:614.4pt;height:7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6lWrawIAAD8FAAAOAAAAZHJzL2Uyb0RvYy54bWysVE1v2zAMvQ/YfxB0X+x0aJYFcYosRYcB&#13;&#10;QVs0HXpWZKkxJouaxMTOfv0o2U6KbpcOu8g0+Ujx41Hzq7Y27KB8qMAWfDzKOVNWQlnZ54J/f7z5&#13;&#10;MOUsoLClMGBVwY8q8KvF+3fzxs3UBezAlMozCmLDrHEF3yG6WZYFuVO1CCNwypJRg68F0q9/zkov&#13;&#10;Gopem+wizydZA750HqQKgbTXnZEvUnytlcQ7rYNCZgpOuWE6fTq38cwWczF79sLtKtmnIf4hi1pU&#13;&#10;li49hboWKNjeV3+EqivpIYDGkYQ6A60rqVINVM04f1XNZiecSrVQc4I7tSn8v7Dy9rBx955h+wVa&#13;&#10;GmBsSOPCLJAy1tNqX8cvZcrITi08ntqmWmSSlJ+m+cV0SiZJts+TS5pLDJOdvZ0P+FVBzaJQcE9j&#13;&#10;Sd0Sh3XADjpA4mUWbipj0miMZU3BJx8v8+RwslBwYyNWpSH3Yc6ZJwmPRkWMsQ9Ks6pMBURFopda&#13;&#10;Gc8OgoghpFQWU+0pLqEjSlMSb3Hs8ees3uLc1THcDBZPznVlwafqX6Vd/hhS1h2eev6i7ihiu22p&#13;&#10;8BeD3UJ5pHl76FYhOHlT0VDWIuC98MR9miPtM97RoQ1Q86GXONuB//U3fcQTJcnKWUO7VPDwcy+8&#13;&#10;4sx8s0TW8STPIykYpl8SfBIm08tpVG8Htd3XK6CBjOnRcDKJEYxmELWH+ok2fhkvJJOwkq4tOA7i&#13;&#10;CrvlphdDquUygWjTnMC13TgZQ8f5RLY9tk/Cu56SSGS+hWHhxOwVMzts9LSw3CPoKtE2trhraN96&#13;&#10;2tJE/P5Fic/Ay/+EOr97i98AAAD//wMAUEsDBBQABgAIAAAAIQAAX6Kx5QAAABMBAAAPAAAAZHJz&#13;&#10;L2Rvd25yZXYueG1sTE/LTsMwELwj8Q/WInFBrd2gRm0ap0IgOCBR1NAPcGI3CcTryHba8PdsucBl&#13;&#10;tauZnUe+nWzPTsaHzqGExVwAM1g73WEj4fDxPFsBC1GhVr1DI+HbBNgW11e5yrQ7496cytgwEsGQ&#13;&#10;KQltjEPGeahbY1WYu8EgYUfnrYp0+oZrr84kbnueCJFyqzokh1YN5rE19Vc5WgmDf3lL36vx1SW7&#13;&#10;u2VXchw/9/dS3t5MTxsaDxtg0Uzx7wMuHSg/FBSsciPqwHoJs+U6ISoBQqyo2oWySNcpsOp3EwJ4&#13;&#10;kfP/XYofAAAA//8DAFBLAQItABQABgAIAAAAIQC2gziS/gAAAOEBAAATAAAAAAAAAAAAAAAAAAAA&#13;&#10;AABbQ29udGVudF9UeXBlc10ueG1sUEsBAi0AFAAGAAgAAAAhADj9If/WAAAAlAEAAAsAAAAAAAAA&#13;&#10;AAAAAAAALwEAAF9yZWxzLy5yZWxzUEsBAi0AFAAGAAgAAAAhAA7qVatrAgAAPwUAAA4AAAAAAAAA&#13;&#10;AAAAAAAALgIAAGRycy9lMm9Eb2MueG1sUEsBAi0AFAAGAAgAAAAhAABforHlAAAAEwEAAA8AAAAA&#13;&#10;AAAAAAAAAAAAxQQAAGRycy9kb3ducmV2LnhtbFBLBQYAAAAABAAEAPMAAADXBQAAAAA=&#13;&#10;" filled="f" stroked="f" strokeweight=".5pt">
                    <v:textbox inset="126pt,0,54pt,0">
                      <w:txbxContent>
                        <w:p w14:paraId="66032E52" w14:textId="77777777" w:rsidR="009A43E7" w:rsidRDefault="009A43E7">
                          <w:pPr>
                            <w:pStyle w:val="NoSpacing"/>
                            <w:jc w:val="right"/>
                            <w:rPr>
                              <w:color w:val="156082" w:themeColor="accent1"/>
                              <w:sz w:val="28"/>
                              <w:szCs w:val="28"/>
                            </w:rPr>
                          </w:pPr>
                          <w:r>
                            <w:rPr>
                              <w:color w:val="156082" w:themeColor="accent1"/>
                              <w:sz w:val="28"/>
                              <w:szCs w:val="28"/>
                            </w:rPr>
                            <w:t>Abstract</w:t>
                          </w:r>
                        </w:p>
                        <w:sdt>
                          <w:sdtPr>
                            <w:alias w:val="Abstract"/>
                            <w:tag w:val=""/>
                            <w:id w:val="1375273687"/>
                            <w:dataBinding w:prefixMappings="xmlns:ns0='http://schemas.microsoft.com/office/2006/coverPageProps' " w:xpath="/ns0:CoverPageProperties[1]/ns0:Abstract[1]" w:storeItemID="{55AF091B-3C7A-41E3-B477-F2FDAA23CFDA}"/>
                            <w:text w:multiLine="1"/>
                          </w:sdtPr>
                          <w:sdtContent>
                            <w:p w14:paraId="2314DC41" w14:textId="4FD405B9" w:rsidR="009A43E7" w:rsidRDefault="009A43E7">
                              <w:pPr>
                                <w:pStyle w:val="NoSpacing"/>
                                <w:jc w:val="right"/>
                                <w:rPr>
                                  <w:color w:val="595959" w:themeColor="text1" w:themeTint="A6"/>
                                  <w:sz w:val="20"/>
                                  <w:szCs w:val="20"/>
                                </w:rPr>
                              </w:pPr>
                              <w:r w:rsidRPr="009A43E7">
                                <w:t xml:space="preserve">This essay examines </w:t>
                              </w:r>
                              <w:r>
                                <w:t xml:space="preserve">challenges associated </w:t>
                              </w:r>
                              <w:proofErr w:type="spellStart"/>
                              <w:r>
                                <w:t xml:space="preserve">with </w:t>
                              </w:r>
                              <w:proofErr w:type="spellEnd"/>
                              <w:r w:rsidRPr="009A43E7">
                                <w:t xml:space="preserve">investigating online child sexual exploitation and evaluates responses like specialist units, digital forensics, and training, </w:t>
                              </w:r>
                              <w:r>
                                <w:t xml:space="preserve">whilst </w:t>
                              </w:r>
                              <w:r w:rsidRPr="009A43E7">
                                <w:t xml:space="preserve">highlighting successes and ongoing </w:t>
                              </w:r>
                              <w:r>
                                <w:t xml:space="preserve">problems </w:t>
                              </w:r>
                              <w:r w:rsidRPr="009A43E7">
                                <w:t>in</w:t>
                              </w:r>
                              <w:r>
                                <w:t xml:space="preserve"> </w:t>
                              </w:r>
                              <w:r w:rsidRPr="009A43E7">
                                <w:t>safeguarding vulnerable children.</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883A528" wp14:editId="068805E8">
                    <wp:simplePos x="0" y="0"/>
                    <wp:positionH relativeFrom="page">
                      <wp:posOffset>-772160</wp:posOffset>
                    </wp:positionH>
                    <wp:positionV relativeFrom="page">
                      <wp:posOffset>3271520</wp:posOffset>
                    </wp:positionV>
                    <wp:extent cx="8260080" cy="2855258"/>
                    <wp:effectExtent l="0" t="0" r="0" b="2540"/>
                    <wp:wrapSquare wrapText="bothSides"/>
                    <wp:docPr id="154" name="Text Box 25"/>
                    <wp:cNvGraphicFramePr/>
                    <a:graphic xmlns:a="http://schemas.openxmlformats.org/drawingml/2006/main">
                      <a:graphicData uri="http://schemas.microsoft.com/office/word/2010/wordprocessingShape">
                        <wps:wsp>
                          <wps:cNvSpPr txBox="1"/>
                          <wps:spPr>
                            <a:xfrm>
                              <a:off x="0" y="0"/>
                              <a:ext cx="8260080" cy="285525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9EC375" w14:textId="170C81F1" w:rsidR="009A43E7" w:rsidRDefault="009A43E7">
                                <w:pPr>
                                  <w:jc w:val="right"/>
                                  <w:rPr>
                                    <w:color w:val="156082" w:themeColor="accent1"/>
                                    <w:sz w:val="64"/>
                                    <w:szCs w:val="64"/>
                                  </w:rPr>
                                </w:pPr>
                                <w:sdt>
                                  <w:sdtPr>
                                    <w:rPr>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 xml:space="preserve">     </w:t>
                                    </w:r>
                                  </w:sdtContent>
                                </w:sdt>
                              </w:p>
                              <w:sdt>
                                <w:sdtPr>
                                  <w:rPr>
                                    <w:rStyle w:val="normaltextrun"/>
                                    <w:rFonts w:ascii="Arial" w:hAnsi="Arial" w:cs="Arial"/>
                                    <w:color w:val="000000"/>
                                    <w:sz w:val="40"/>
                                    <w:szCs w:val="40"/>
                                    <w:shd w:val="clear" w:color="auto" w:fill="FFFFFF"/>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EBD3AD8" w14:textId="48451E50" w:rsidR="009A43E7" w:rsidRPr="009A43E7" w:rsidRDefault="009A43E7">
                                    <w:pPr>
                                      <w:jc w:val="right"/>
                                      <w:rPr>
                                        <w:smallCaps/>
                                        <w:color w:val="404040" w:themeColor="text1" w:themeTint="BF"/>
                                        <w:sz w:val="40"/>
                                        <w:szCs w:val="40"/>
                                      </w:rPr>
                                    </w:pPr>
                                    <w:r w:rsidRPr="009A43E7">
                                      <w:rPr>
                                        <w:rStyle w:val="normaltextrun"/>
                                        <w:rFonts w:ascii="Arial" w:hAnsi="Arial" w:cs="Arial"/>
                                        <w:color w:val="000000"/>
                                        <w:sz w:val="40"/>
                                        <w:szCs w:val="40"/>
                                        <w:shd w:val="clear" w:color="auto" w:fill="FFFFFF"/>
                                      </w:rPr>
                                      <w:t>DIGITAL AND OPERATIONAL POLICING ASSIGNMENT 1 – “Critically Examine the challenges associated with investigating the different types of cyber-crime and police responses designed to combat these challenges”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883A528" id="Text Box 25" o:spid="_x0000_s1028" type="#_x0000_t202" style="position:absolute;margin-left:-60.8pt;margin-top:257.6pt;width:650.4pt;height:224.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WpL6bQIAAEAFAAAOAAAAZHJzL2Uyb0RvYy54bWysVE2P2jAQvVfqf7B8LwlUoAgRVpQVVSW0&#13;&#10;uyq72rNxbBLV8bi2IaG/vmMngRXtZatenMnMm/F8vPHirq0VOQnrKtA5HY9SSoTmUFT6kNOX582n&#13;&#10;jBLnmS6YAi1yehaO3i0/flg0Zi4mUIIqhCUYRLt5Y3Jaem/mSeJ4KWrmRmCERqMEWzOPv/aQFJY1&#13;&#10;GL1WySRNZ0kDtjAWuHAOtfedkS5jfCkF949SOuGJyinm5uNp47kPZ7JcsPnBMlNWvE+D/UMWNas0&#13;&#10;XnoJdc88I0db/RGqrrgFB9KPONQJSFlxEWvAasbpTTW7khkRa8HmOHNpk/t/YfnDaWeeLPHtF2hx&#13;&#10;gKEhjXFzh8pQTyttHb6YKUE7tvB8aZtoPeGozCazNM3QxNE2yabTyTQLcZKru7HOfxVQkyDk1OJc&#13;&#10;YrvYaet8Bx0g4TYNm0qpOBulSZPT2edpGh0uFgyudMCKOOU+zDX1KPmzEgGj9HchSVXECoIi8kus&#13;&#10;lSUnhsxgnAvtY/ExLqIDSmIS73Hs8des3uPc1THcDNpfnOtKg43V36Rd/BhSlh0ee/6m7iD6dt9i&#13;&#10;4TiXYbJ7KM44cAvdLjjDNxUOZcucf2IWyY+DxIX2j3hIBdh86CVKSrC//qYPeOQkWilpcJly6n4e&#13;&#10;mRWUqG8a2TpGguC24v7FXxRsFGbZNAvq/aDWx3oNOJAxvhqGRzGAvRpEaaF+xZVfhQvRxDTHa3O6&#13;&#10;H8S177YbnwwuVqsIwlUzzG/1zvAQOswnsO25fWXW9JT0yOYHGDaOzW+Y2WGDp4bV0YOsIm1Di7uG&#13;&#10;9q3HNY3E75+U8A68/Y+o68O3/A0AAP//AwBQSwMEFAAGAAgAAAAhAOCDgIvmAAAAEgEAAA8AAABk&#13;&#10;cnMvZG93bnJldi54bWxMT01PwzAMvSPxHyIjcdvSlLXbuqYTgiKkcWIDIW5Za9JqjVM12Vb+/bIT&#13;&#10;XCxb7/l95OvRdOyEg2stSRDTCBhSZeuWtISP3ctkAcx5RbXqLKGEX3SwLm5vcpXV9kzveNp6zYII&#13;&#10;uUxJaLzvM85d1aBRbmp7pID92MEoH85B83pQ5yBuOh5HUcqNaik4NKrHpwarw/ZoJJQbesU3/aA3&#13;&#10;Myq/bJkc1Od3JOX93fi8CuNxBczj6P8+4Noh5IciBNvbI9WOdRImIhZp4EpIRBIDu1LEfBm2vYRl&#13;&#10;OlsAL3L+v0pxAQAA//8DAFBLAQItABQABgAIAAAAIQC2gziS/gAAAOEBAAATAAAAAAAAAAAAAAAA&#13;&#10;AAAAAABbQ29udGVudF9UeXBlc10ueG1sUEsBAi0AFAAGAAgAAAAhADj9If/WAAAAlAEAAAsAAAAA&#13;&#10;AAAAAAAAAAAALwEAAF9yZWxzLy5yZWxzUEsBAi0AFAAGAAgAAAAhAPFakvptAgAAQAUAAA4AAAAA&#13;&#10;AAAAAAAAAAAALgIAAGRycy9lMm9Eb2MueG1sUEsBAi0AFAAGAAgAAAAhAOCDgIvmAAAAEgEAAA8A&#13;&#10;AAAAAAAAAAAAAAAAxwQAAGRycy9kb3ducmV2LnhtbFBLBQYAAAAABAAEAPMAAADaBQAAAAA=&#13;&#10;" filled="f" stroked="f" strokeweight=".5pt">
                    <v:textbox inset="126pt,0,54pt,0">
                      <w:txbxContent>
                        <w:p w14:paraId="5D9EC375" w14:textId="170C81F1" w:rsidR="009A43E7" w:rsidRDefault="009A43E7">
                          <w:pPr>
                            <w:jc w:val="right"/>
                            <w:rPr>
                              <w:color w:val="156082" w:themeColor="accent1"/>
                              <w:sz w:val="64"/>
                              <w:szCs w:val="64"/>
                            </w:rPr>
                          </w:pPr>
                          <w:sdt>
                            <w:sdtPr>
                              <w:rPr>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 xml:space="preserve">     </w:t>
                              </w:r>
                            </w:sdtContent>
                          </w:sdt>
                        </w:p>
                        <w:sdt>
                          <w:sdtPr>
                            <w:rPr>
                              <w:rStyle w:val="normaltextrun"/>
                              <w:rFonts w:ascii="Arial" w:hAnsi="Arial" w:cs="Arial"/>
                              <w:color w:val="000000"/>
                              <w:sz w:val="40"/>
                              <w:szCs w:val="40"/>
                              <w:shd w:val="clear" w:color="auto" w:fill="FFFFFF"/>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EBD3AD8" w14:textId="48451E50" w:rsidR="009A43E7" w:rsidRPr="009A43E7" w:rsidRDefault="009A43E7">
                              <w:pPr>
                                <w:jc w:val="right"/>
                                <w:rPr>
                                  <w:smallCaps/>
                                  <w:color w:val="404040" w:themeColor="text1" w:themeTint="BF"/>
                                  <w:sz w:val="40"/>
                                  <w:szCs w:val="40"/>
                                </w:rPr>
                              </w:pPr>
                              <w:r w:rsidRPr="009A43E7">
                                <w:rPr>
                                  <w:rStyle w:val="normaltextrun"/>
                                  <w:rFonts w:ascii="Arial" w:hAnsi="Arial" w:cs="Arial"/>
                                  <w:color w:val="000000"/>
                                  <w:sz w:val="40"/>
                                  <w:szCs w:val="40"/>
                                  <w:shd w:val="clear" w:color="auto" w:fill="FFFFFF"/>
                                </w:rPr>
                                <w:t>DIGITAL AND OPERATIONAL POLICING ASSIGNMENT 1 – “Critically Examine the challenges associated with investigating the different types of cyber-crime and police responses designed to combat these challenges”</w:t>
                              </w:r>
                            </w:p>
                          </w:sdtContent>
                        </w:sdt>
                      </w:txbxContent>
                    </v:textbox>
                    <w10:wrap type="square" anchorx="page" anchory="page"/>
                  </v:shape>
                </w:pict>
              </mc:Fallback>
            </mc:AlternateContent>
          </w:r>
          <w:r>
            <w:br w:type="page"/>
          </w:r>
        </w:p>
      </w:sdtContent>
    </w:sdt>
    <w:p w14:paraId="07C86CF5" w14:textId="079A4D13" w:rsidR="00CA1E39" w:rsidRPr="00CA1E39" w:rsidRDefault="00CA1E39" w:rsidP="00CA1E39">
      <w:pPr>
        <w:shd w:val="clear" w:color="auto" w:fill="FFFFFF"/>
        <w:textAlignment w:val="baseline"/>
        <w:rPr>
          <w:rStyle w:val="eop"/>
          <w:rFonts w:ascii="Arial" w:hAnsi="Arial" w:cs="Arial"/>
          <w:b/>
          <w:bCs/>
          <w:u w:val="single"/>
        </w:rPr>
      </w:pPr>
      <w:r w:rsidRPr="00CA1E39">
        <w:rPr>
          <w:rStyle w:val="eop"/>
          <w:rFonts w:ascii="Arial" w:hAnsi="Arial" w:cs="Arial"/>
          <w:b/>
          <w:bCs/>
          <w:u w:val="single"/>
        </w:rPr>
        <w:lastRenderedPageBreak/>
        <w:t>AI Acknowledgement</w:t>
      </w:r>
    </w:p>
    <w:p w14:paraId="6C8302EB" w14:textId="77777777" w:rsidR="00CA1E39" w:rsidRPr="00CA1E39" w:rsidRDefault="00CA1E39" w:rsidP="00CA1E39">
      <w:pPr>
        <w:shd w:val="clear" w:color="auto" w:fill="FFFFFF"/>
        <w:textAlignment w:val="baseline"/>
        <w:rPr>
          <w:rStyle w:val="eop"/>
          <w:rFonts w:ascii="Arial" w:hAnsi="Arial" w:cs="Arial"/>
        </w:rPr>
      </w:pPr>
    </w:p>
    <w:p w14:paraId="293D0B67" w14:textId="1E8FA562" w:rsidR="00CA1E39" w:rsidRPr="00CA1E39" w:rsidRDefault="009A43E7" w:rsidP="00CA1E39">
      <w:pPr>
        <w:shd w:val="clear" w:color="auto" w:fill="FFFFFF"/>
        <w:textAlignment w:val="baseline"/>
        <w:rPr>
          <w:rFonts w:ascii="Arial" w:eastAsia="Times New Roman" w:hAnsi="Arial" w:cs="Arial"/>
          <w:color w:val="000000"/>
          <w:kern w:val="0"/>
          <w14:ligatures w14:val="none"/>
        </w:rPr>
      </w:pPr>
      <w:r w:rsidRPr="00CA1E39">
        <w:rPr>
          <w:rStyle w:val="eop"/>
          <w:rFonts w:ascii="Arial" w:hAnsi="Arial" w:cs="Arial"/>
        </w:rPr>
        <w:t> </w:t>
      </w:r>
      <w:r w:rsidR="00CA1E39" w:rsidRPr="00CA1E39">
        <w:rPr>
          <w:rFonts w:ascii="Arial" w:eastAsia="Times New Roman" w:hAnsi="Arial" w:cs="Arial"/>
          <w:color w:val="000000"/>
          <w:kern w:val="0"/>
          <w:bdr w:val="none" w:sz="0" w:space="0" w:color="auto" w:frame="1"/>
          <w:shd w:val="clear" w:color="auto" w:fill="FFFF00"/>
          <w14:ligatures w14:val="none"/>
        </w:rPr>
        <w:t xml:space="preserve">I acknowledge the use of </w:t>
      </w:r>
      <w:r w:rsidR="00CA1E39" w:rsidRPr="00CA1E39">
        <w:rPr>
          <w:rFonts w:ascii="Arial" w:eastAsia="Times New Roman" w:hAnsi="Arial" w:cs="Arial"/>
          <w:color w:val="000000"/>
          <w:kern w:val="0"/>
          <w:bdr w:val="none" w:sz="0" w:space="0" w:color="auto" w:frame="1"/>
          <w:shd w:val="clear" w:color="auto" w:fill="FFFF00"/>
          <w14:ligatures w14:val="none"/>
        </w:rPr>
        <w:t xml:space="preserve">Chat GPT </w:t>
      </w:r>
      <w:r w:rsidR="00CA1E39" w:rsidRPr="00CA1E39">
        <w:rPr>
          <w:rFonts w:ascii="Arial" w:eastAsia="Times New Roman" w:hAnsi="Arial" w:cs="Arial"/>
          <w:color w:val="000000"/>
          <w:kern w:val="0"/>
          <w:bdr w:val="none" w:sz="0" w:space="0" w:color="auto" w:frame="1"/>
          <w:shd w:val="clear" w:color="auto" w:fill="FFFF00"/>
          <w14:ligatures w14:val="none"/>
        </w:rPr>
        <w:t>(https://www.</w:t>
      </w:r>
      <w:r w:rsidR="00CA1E39" w:rsidRPr="00CA1E39">
        <w:rPr>
          <w:rFonts w:ascii="Arial" w:eastAsia="Times New Roman" w:hAnsi="Arial" w:cs="Arial"/>
          <w:color w:val="000000"/>
          <w:kern w:val="0"/>
          <w:bdr w:val="none" w:sz="0" w:space="0" w:color="auto" w:frame="1"/>
          <w:shd w:val="clear" w:color="auto" w:fill="FFFF00"/>
          <w14:ligatures w14:val="none"/>
        </w:rPr>
        <w:t>Chatpgpt</w:t>
      </w:r>
      <w:r w:rsidR="00CA1E39" w:rsidRPr="00CA1E39">
        <w:rPr>
          <w:rFonts w:ascii="Arial" w:eastAsia="Times New Roman" w:hAnsi="Arial" w:cs="Arial"/>
          <w:color w:val="000000"/>
          <w:kern w:val="0"/>
          <w:bdr w:val="none" w:sz="0" w:space="0" w:color="auto" w:frame="1"/>
          <w:shd w:val="clear" w:color="auto" w:fill="FFFF00"/>
          <w14:ligatures w14:val="none"/>
        </w:rPr>
        <w:t xml:space="preserve">.com/) on </w:t>
      </w:r>
      <w:r w:rsidR="00CA1E39" w:rsidRPr="00CA1E39">
        <w:rPr>
          <w:rFonts w:ascii="Arial" w:eastAsia="Times New Roman" w:hAnsi="Arial" w:cs="Arial"/>
          <w:color w:val="000000"/>
          <w:kern w:val="0"/>
          <w:bdr w:val="none" w:sz="0" w:space="0" w:color="auto" w:frame="1"/>
          <w:shd w:val="clear" w:color="auto" w:fill="FFFF00"/>
          <w14:ligatures w14:val="none"/>
        </w:rPr>
        <w:t xml:space="preserve">5/11/25 </w:t>
      </w:r>
      <w:r w:rsidR="00CA1E39" w:rsidRPr="00CA1E39">
        <w:rPr>
          <w:rFonts w:ascii="Arial" w:eastAsia="Times New Roman" w:hAnsi="Arial" w:cs="Arial"/>
          <w:color w:val="000000"/>
          <w:kern w:val="0"/>
          <w:bdr w:val="none" w:sz="0" w:space="0" w:color="auto" w:frame="1"/>
          <w:shd w:val="clear" w:color="auto" w:fill="FFFF00"/>
          <w14:ligatures w14:val="none"/>
        </w:rPr>
        <w:t>to check my work using the prompt(s): </w:t>
      </w:r>
    </w:p>
    <w:p w14:paraId="25EB348E" w14:textId="1C63EDFA" w:rsidR="00CA1E39" w:rsidRPr="00CA1E39" w:rsidRDefault="00CA1E39" w:rsidP="00CA1E39">
      <w:pPr>
        <w:shd w:val="clear" w:color="auto" w:fill="FFFFFF"/>
        <w:textAlignment w:val="baseline"/>
        <w:rPr>
          <w:rFonts w:ascii="Arial" w:eastAsia="Times New Roman" w:hAnsi="Arial" w:cs="Arial"/>
          <w:color w:val="000000"/>
          <w:kern w:val="0"/>
          <w14:ligatures w14:val="none"/>
        </w:rPr>
      </w:pPr>
      <w:r w:rsidRPr="00CA1E39">
        <w:rPr>
          <w:rFonts w:ascii="Arial" w:eastAsia="Times New Roman" w:hAnsi="Arial" w:cs="Arial"/>
          <w:color w:val="000000"/>
          <w:kern w:val="0"/>
          <w:bdr w:val="none" w:sz="0" w:space="0" w:color="auto" w:frame="1"/>
          <w:shd w:val="clear" w:color="auto" w:fill="FFFF00"/>
          <w14:ligatures w14:val="none"/>
        </w:rPr>
        <w:t xml:space="preserve">1. </w:t>
      </w:r>
      <w:r w:rsidRPr="00CA1E39">
        <w:rPr>
          <w:rFonts w:ascii="Arial" w:eastAsia="Times New Roman" w:hAnsi="Arial" w:cs="Arial"/>
          <w:color w:val="000000"/>
          <w:kern w:val="0"/>
          <w:bdr w:val="none" w:sz="0" w:space="0" w:color="auto" w:frame="1"/>
          <w:shd w:val="clear" w:color="auto" w:fill="FFFF00"/>
          <w14:ligatures w14:val="none"/>
        </w:rPr>
        <w:t>Please can you check over my work for any punctuation or spelling mistakes.</w:t>
      </w:r>
    </w:p>
    <w:p w14:paraId="54F54A02" w14:textId="77777777" w:rsidR="00CA1E39" w:rsidRPr="00CA1E39" w:rsidRDefault="00CA1E39" w:rsidP="00CA1E39">
      <w:pPr>
        <w:shd w:val="clear" w:color="auto" w:fill="FFFFFF"/>
        <w:textAlignment w:val="baseline"/>
        <w:rPr>
          <w:rFonts w:ascii="Arial" w:eastAsia="Times New Roman" w:hAnsi="Arial" w:cs="Arial"/>
          <w:color w:val="000000"/>
          <w:kern w:val="0"/>
          <w:bdr w:val="none" w:sz="0" w:space="0" w:color="auto" w:frame="1"/>
          <w:shd w:val="clear" w:color="auto" w:fill="FFFF00"/>
          <w14:ligatures w14:val="none"/>
        </w:rPr>
      </w:pPr>
    </w:p>
    <w:p w14:paraId="4B4BDFA9" w14:textId="40AD5727" w:rsidR="00CA1E39" w:rsidRPr="00CA1E39" w:rsidRDefault="00CA1E39" w:rsidP="00CA1E39">
      <w:pPr>
        <w:shd w:val="clear" w:color="auto" w:fill="FFFFFF"/>
        <w:textAlignment w:val="baseline"/>
        <w:rPr>
          <w:rFonts w:ascii="Arial" w:eastAsia="Times New Roman" w:hAnsi="Arial" w:cs="Arial"/>
          <w:color w:val="000000"/>
          <w:kern w:val="0"/>
          <w14:ligatures w14:val="none"/>
        </w:rPr>
      </w:pPr>
      <w:r w:rsidRPr="00CA1E39">
        <w:rPr>
          <w:rFonts w:ascii="Arial" w:eastAsia="Times New Roman" w:hAnsi="Arial" w:cs="Arial"/>
          <w:color w:val="000000"/>
          <w:kern w:val="0"/>
          <w:bdr w:val="none" w:sz="0" w:space="0" w:color="auto" w:frame="1"/>
          <w:shd w:val="clear" w:color="auto" w:fill="FFFF00"/>
          <w14:ligatures w14:val="none"/>
        </w:rPr>
        <w:t>I confirm that I have not presented any AI generated text as my own work. I confirm I have copies of my drafts, notes, and other resources I used before, and after the use of AI tools which I may be asked to provide in evidence.</w:t>
      </w:r>
    </w:p>
    <w:p w14:paraId="5BDB59EE" w14:textId="38D03973" w:rsidR="009A43E7" w:rsidRDefault="009A43E7" w:rsidP="009A43E7">
      <w:pPr>
        <w:pStyle w:val="paragraph"/>
        <w:spacing w:before="0" w:beforeAutospacing="0" w:after="0" w:afterAutospacing="0"/>
        <w:textAlignment w:val="baseline"/>
        <w:rPr>
          <w:rFonts w:ascii="Segoe UI" w:hAnsi="Segoe UI" w:cs="Segoe UI"/>
          <w:sz w:val="18"/>
          <w:szCs w:val="18"/>
        </w:rPr>
      </w:pPr>
    </w:p>
    <w:p w14:paraId="0915F8EC" w14:textId="77777777" w:rsidR="009A43E7" w:rsidRDefault="009A43E7" w:rsidP="009A43E7">
      <w:pPr>
        <w:pStyle w:val="paragraph"/>
        <w:spacing w:before="0" w:after="0" w:afterAutospacing="0"/>
        <w:textAlignment w:val="baseline"/>
        <w:rPr>
          <w:rFonts w:ascii="Segoe UI" w:hAnsi="Segoe UI" w:cs="Segoe UI"/>
          <w:sz w:val="18"/>
          <w:szCs w:val="18"/>
        </w:rPr>
      </w:pPr>
      <w:r>
        <w:rPr>
          <w:rStyle w:val="eop"/>
          <w:rFonts w:ascii="Arial" w:eastAsiaTheme="majorEastAsia" w:hAnsi="Arial" w:cs="Arial"/>
        </w:rPr>
        <w:t> </w:t>
      </w:r>
    </w:p>
    <w:p w14:paraId="151A13E7" w14:textId="77777777" w:rsidR="00CA1E39" w:rsidRDefault="00CA1E39">
      <w:pPr>
        <w:rPr>
          <w:rStyle w:val="normaltextrun"/>
          <w:rFonts w:ascii="Arial" w:eastAsiaTheme="majorEastAsia" w:hAnsi="Arial" w:cs="Arial"/>
          <w:b/>
          <w:bCs/>
          <w:kern w:val="0"/>
          <w:u w:val="single"/>
          <w:lang w:eastAsia="en-GB"/>
          <w14:ligatures w14:val="none"/>
        </w:rPr>
      </w:pPr>
      <w:r>
        <w:rPr>
          <w:rStyle w:val="normaltextrun"/>
          <w:rFonts w:ascii="Arial" w:eastAsiaTheme="majorEastAsia" w:hAnsi="Arial" w:cs="Arial"/>
          <w:b/>
          <w:bCs/>
          <w:u w:val="single"/>
        </w:rPr>
        <w:br w:type="page"/>
      </w:r>
    </w:p>
    <w:p w14:paraId="2AFB3A12" w14:textId="7EAEDB25" w:rsidR="009A43E7" w:rsidRDefault="009A43E7" w:rsidP="009A43E7">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b/>
          <w:bCs/>
          <w:u w:val="single"/>
        </w:rPr>
        <w:lastRenderedPageBreak/>
        <w:t>Introduction</w:t>
      </w:r>
      <w:r>
        <w:rPr>
          <w:rStyle w:val="eop"/>
          <w:rFonts w:ascii="Arial" w:eastAsiaTheme="majorEastAsia" w:hAnsi="Arial" w:cs="Arial"/>
        </w:rPr>
        <w:t> </w:t>
      </w:r>
    </w:p>
    <w:p w14:paraId="02EF9132" w14:textId="77777777" w:rsidR="009A43E7" w:rsidRDefault="009A43E7" w:rsidP="009A43E7">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rPr>
        <w:t>Investigations of online child sexual exploitation in England and Wales are commonly filled with challenges that make an investigation increasingly more complex. Although attempts to combat CSE have increased due to growing public and political awareness. (Tufail, 2015), infers that there was heightened national interest in CSE and frustration, from the public, after high-profile arrests of members of grooming gangs in Rotherham and Rochdale. This heightened public interest only adds to the challenges that still make it difficult to conduct a successful investigation and bring charges against those responsible, (</w:t>
      </w:r>
      <w:proofErr w:type="spellStart"/>
      <w:r>
        <w:rPr>
          <w:rStyle w:val="normaltextrun"/>
          <w:rFonts w:ascii="Arial" w:eastAsiaTheme="majorEastAsia" w:hAnsi="Arial" w:cs="Arial"/>
        </w:rPr>
        <w:t>Cockbain</w:t>
      </w:r>
      <w:proofErr w:type="spellEnd"/>
      <w:r>
        <w:rPr>
          <w:rStyle w:val="normaltextrun"/>
          <w:rFonts w:ascii="Arial" w:eastAsiaTheme="majorEastAsia" w:hAnsi="Arial" w:cs="Arial"/>
        </w:rPr>
        <w:t>, 2020). Further challenges include the sheer scale and volume of offending taking place which is evident in (NCA, 2022). Legal or evidentiary barriers and victim identification are also common challenges that investigators face. Furthermore, investigating online child sexual exploitation has also become more difficult due to institutional failures and discrimination of vulnerable populations, such as children in foster care or those from minority ethnic communities, (Jayawardene, Gill and Kelly, 2023). With an emphasis on the difficulties regarding identifying and protecting victims, the legal and evidentiary obstacles, and the sheer volume of offending, this essay examines the primary challenges in investigating online CSE in the UK. The police responses designed to tackle online CSE will also be heavily scrutinised. Through the analysis of case examples, current academic literature, and official inquiry reports, this article will make the point that, despite advances in legislation and the modernisation of investigative approaches, there are still major structural issues that arise at every stage of the investigation into online CSE. </w:t>
      </w:r>
      <w:r>
        <w:rPr>
          <w:rStyle w:val="eop"/>
          <w:rFonts w:ascii="Arial" w:eastAsiaTheme="majorEastAsia" w:hAnsi="Arial" w:cs="Arial"/>
        </w:rPr>
        <w:t> </w:t>
      </w:r>
    </w:p>
    <w:p w14:paraId="3BA1D7AC" w14:textId="77777777" w:rsidR="009A43E7" w:rsidRDefault="009A43E7" w:rsidP="009A43E7">
      <w:pPr>
        <w:pStyle w:val="paragraph"/>
        <w:spacing w:before="0" w:beforeAutospacing="0" w:after="0" w:afterAutospacing="0" w:line="480" w:lineRule="auto"/>
        <w:textAlignment w:val="baseline"/>
        <w:rPr>
          <w:rFonts w:ascii="Segoe UI" w:hAnsi="Segoe UI" w:cs="Segoe UI"/>
          <w:sz w:val="18"/>
          <w:szCs w:val="18"/>
        </w:rPr>
      </w:pPr>
      <w:r>
        <w:rPr>
          <w:rStyle w:val="eop"/>
          <w:rFonts w:ascii="Aptos" w:eastAsiaTheme="majorEastAsia" w:hAnsi="Aptos" w:cs="Segoe UI"/>
        </w:rPr>
        <w:t> </w:t>
      </w:r>
    </w:p>
    <w:p w14:paraId="548393F4" w14:textId="77777777" w:rsidR="00CA1E39" w:rsidRDefault="00CA1E39" w:rsidP="009A43E7">
      <w:pPr>
        <w:pStyle w:val="paragraph"/>
        <w:spacing w:before="0" w:beforeAutospacing="0" w:after="0" w:afterAutospacing="0" w:line="480" w:lineRule="auto"/>
        <w:textAlignment w:val="baseline"/>
        <w:rPr>
          <w:rStyle w:val="normaltextrun"/>
          <w:rFonts w:ascii="Arial" w:eastAsiaTheme="majorEastAsia" w:hAnsi="Arial" w:cs="Arial"/>
          <w:b/>
          <w:bCs/>
          <w:u w:val="single"/>
        </w:rPr>
      </w:pPr>
    </w:p>
    <w:p w14:paraId="4ADBB747" w14:textId="01452405" w:rsidR="009A43E7" w:rsidRDefault="009A43E7" w:rsidP="009A43E7">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b/>
          <w:bCs/>
          <w:u w:val="single"/>
        </w:rPr>
        <w:lastRenderedPageBreak/>
        <w:t>Challenges Associated with Investigating Online CSE</w:t>
      </w:r>
      <w:r>
        <w:rPr>
          <w:rStyle w:val="eop"/>
          <w:rFonts w:ascii="Arial" w:eastAsiaTheme="majorEastAsia" w:hAnsi="Arial" w:cs="Arial"/>
        </w:rPr>
        <w:t> </w:t>
      </w:r>
    </w:p>
    <w:p w14:paraId="6A130ECF" w14:textId="1E78359C" w:rsidR="009A43E7" w:rsidRDefault="009A43E7" w:rsidP="009A43E7">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rPr>
        <w:t xml:space="preserve">The biggest challenge that the police and specialist investigators face when trying to tackle online CSE is the sheer scale and volume of offending that takes place. In recent years the number of images, online communications and videos have created a significant backlog of cases. (NSPCC, 2024). According to this study, police investigators face significant setbacks, regarding investigations, because of the volume of digital evidence that is confiscated and their insufficient online forensic capabilities. The study also detailed the notion that, there are significant backlogs when analysing images and videos related to online CSE, and some forces only give investigations priority, when a child is in imminent danger. While there is clear evidence that the sheer scale of online child sexual exploitation is prevalent. There is an argument that these numbers may be slightly over-exaggerated. (Casey, 2023), displays the notion that there are significant gaps in national data systems and that police documentation and sharing of information of online CSE is frequently inconsistent and lacking. Not only does this show that the sheer number of offences is still significant, although there are inaccuracies, but a further challenge of investigating online CSE is highlighted. Issues in the way the police document, handle, and share information about online CSE can have a significant impact on the speed at which children are safeguarded and the quality of investigations. Poor record keeping and inconsistent data entry among police agencies can cause delays in connecting suspects and victims, particularly when offenders are active in multiple locations, (HMICFRS, 2023). From this it can be inferred that this lack of coordination makes it harder for investigators to work together effectively, therefore impacting active online CSE investigations. Although there are not any credible examples of UK based investigations into online CSE </w:t>
      </w:r>
      <w:r>
        <w:rPr>
          <w:rStyle w:val="normaltextrun"/>
          <w:rFonts w:ascii="Arial" w:eastAsiaTheme="majorEastAsia" w:hAnsi="Arial" w:cs="Arial"/>
        </w:rPr>
        <w:lastRenderedPageBreak/>
        <w:t>failing because of poor record keeping or poor communication between forces. There are a few in which the investigation was severely hampered by these challenges. One case which is detailed in, (HMICFRS, 2015), recounts that there was an instance in which a 12-year-old girl had arranged to meet an older man after receiving graphic photographs from him online. Incredibly, five days after the police got the information, a strategy discussion with a referral to children's social services occurred. It is important to note that according to the report this meeting was scheduled to take place five days earlier. In addition, the police did not confiscate the girl's phone, therefore ignoring evidence, or conduct any investigations to find the culprit, even though an offence had clearly taken place. The investigation ended without identifying the suspect. This case example highlights the importance of communication between the police and other child protection agencies. The main component that facilitates online CSE is technology itself, (Macfarlane, 2024). This can include mobile phones, laptops and PC’s, although these devices aren't usually a problem for investigators </w:t>
      </w:r>
      <w:proofErr w:type="gramStart"/>
      <w:r>
        <w:rPr>
          <w:rStyle w:val="normaltextrun"/>
          <w:rFonts w:ascii="Arial" w:eastAsiaTheme="majorEastAsia" w:hAnsi="Arial" w:cs="Arial"/>
        </w:rPr>
        <w:t>in regard to</w:t>
      </w:r>
      <w:proofErr w:type="gramEnd"/>
      <w:r>
        <w:rPr>
          <w:rStyle w:val="normaltextrun"/>
          <w:rFonts w:ascii="Arial" w:eastAsiaTheme="majorEastAsia" w:hAnsi="Arial" w:cs="Arial"/>
        </w:rPr>
        <w:t> online CSE. One of the biggest problems investigators </w:t>
      </w:r>
      <w:proofErr w:type="gramStart"/>
      <w:r>
        <w:rPr>
          <w:rStyle w:val="normaltextrun"/>
          <w:rFonts w:ascii="Arial" w:eastAsiaTheme="majorEastAsia" w:hAnsi="Arial" w:cs="Arial"/>
        </w:rPr>
        <w:t>face</w:t>
      </w:r>
      <w:proofErr w:type="gramEnd"/>
      <w:r>
        <w:rPr>
          <w:rStyle w:val="normaltextrun"/>
          <w:rFonts w:ascii="Arial" w:eastAsiaTheme="majorEastAsia" w:hAnsi="Arial" w:cs="Arial"/>
        </w:rPr>
        <w:t xml:space="preserve"> is the growing technological sophistication of offenders. Offenders are getting better at exploiting technology to target, modify, and hide their actions, (Kloess et al., 2015). This source also infers that criminals frequently use encrypted messaging websites, social media, and gaming platforms, such as steam or the PlayStation network, to gain children's trust before encouraging or pressuring them to share explicit photos. This change of tactics, from using simple software, highlights the extreme lengths that perpetrators of online CSE will go to commit these horrific offences. Additionally, these modernised tactics highlight that before any offence is committed, online offenders exploit these digital spaces to build trust, gauge vulnerability, and normalise sexual conversation with </w:t>
      </w:r>
      <w:r>
        <w:rPr>
          <w:rStyle w:val="normaltextrun"/>
          <w:rFonts w:ascii="Arial" w:eastAsiaTheme="majorEastAsia" w:hAnsi="Arial" w:cs="Arial"/>
        </w:rPr>
        <w:lastRenderedPageBreak/>
        <w:t>children, (Williams, Elliott and Beech, 2013). A case that shows this change in tactic can be seen in when a Northamptonshire man named Andrew Stratford connected with a teenage girl via an online gaming platform in 2022.</w:t>
      </w:r>
      <w:r w:rsidR="00CA1E39">
        <w:rPr>
          <w:rStyle w:val="normaltextrun"/>
          <w:rFonts w:ascii="Arial" w:eastAsiaTheme="majorEastAsia" w:hAnsi="Arial" w:cs="Arial"/>
        </w:rPr>
        <w:t xml:space="preserve"> </w:t>
      </w:r>
      <w:r>
        <w:rPr>
          <w:rStyle w:val="normaltextrun"/>
          <w:rFonts w:ascii="Arial" w:eastAsiaTheme="majorEastAsia" w:hAnsi="Arial" w:cs="Arial"/>
        </w:rPr>
        <w:t xml:space="preserve">Conversations regarding the game subsequently turned into explicit texts, and Stratford eventually met and forced the girl into having sex. For having explicit images and committing sexual activity with a child, he was later sentenced to seven years and eight months in prison, (Northampton Chronicle, 2022). Children may find gaming harmless and enjoyable, but this example demonstrates how criminals can take advantage of this. The fact that these platforms frequently permit private or encrypted contact, makes it increasingly more difficult for the police to become aware of offences, (Europol, 2023). This source further accepts the notion that the increase in sophisticated technology makes online CSE investigations far more challenging. When organisations like foster or care homes fail to adequately protect the most vulnerable children, it creates another challenge for any investigators looking into online CSE. (IICSA, 2023), argues that issues like ineffective record keeping and poor communication can impact the success of any investigations greatly. This could result in some incidents going unreported. Children in care are sometimes treated more like troublemakers than victims, (Shaw and Greenhow, 2020). This research infers that this concept can make the carers or the police less likely to believe them or provide support when they attempt to report abuse. This mix of ignorance and disregard demonstrates how institutional </w:t>
      </w:r>
      <w:r w:rsidR="00CA1E39">
        <w:rPr>
          <w:rStyle w:val="normaltextrun"/>
          <w:rFonts w:ascii="Arial" w:eastAsiaTheme="majorEastAsia" w:hAnsi="Arial" w:cs="Arial"/>
        </w:rPr>
        <w:t>flaws,</w:t>
      </w:r>
      <w:r>
        <w:rPr>
          <w:rStyle w:val="normaltextrun"/>
          <w:rFonts w:ascii="Arial" w:eastAsiaTheme="majorEastAsia" w:hAnsi="Arial" w:cs="Arial"/>
        </w:rPr>
        <w:t xml:space="preserve"> and inequality can provide a challenge for investigators tasked to investigate online child sexual exploitation. A case example that displays how this challenge affected an online CSE investigation is the serious case review in Oxfordshire from 2005 to 2011, (Oxfordshire Safeguarding Children Board, 2015). This review found that vulnerable </w:t>
      </w:r>
      <w:r>
        <w:rPr>
          <w:rStyle w:val="normaltextrun"/>
          <w:rFonts w:ascii="Arial" w:eastAsiaTheme="majorEastAsia" w:hAnsi="Arial" w:cs="Arial"/>
        </w:rPr>
        <w:lastRenderedPageBreak/>
        <w:t>girls, with ages ranging from 12 to 15 years old, were groomed and exploited. It can also be inferred from the review that the internet and mobile phones played a major role in how the offenders groomed the victims. Sadly, the review also found evidence of multiple missed opportunities by social services and the police through poor record keeping of the children's activities. This, combined with the poor communication between the police and social services resulted in some girls being exploited for years on end before a successful intervention by the police. This case subsequently illustrates how care agencies or social services failing to adequately protect young children can provide challenges for investigators.</w:t>
      </w:r>
      <w:r>
        <w:rPr>
          <w:rStyle w:val="eop"/>
          <w:rFonts w:ascii="Arial" w:eastAsiaTheme="majorEastAsia" w:hAnsi="Arial" w:cs="Arial"/>
        </w:rPr>
        <w:t> </w:t>
      </w:r>
    </w:p>
    <w:p w14:paraId="782C0A3D" w14:textId="77777777" w:rsidR="009A43E7" w:rsidRDefault="009A43E7" w:rsidP="009A43E7">
      <w:pPr>
        <w:pStyle w:val="paragraph"/>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rPr>
        <w:t> </w:t>
      </w:r>
    </w:p>
    <w:p w14:paraId="4C91CDB4" w14:textId="77777777" w:rsidR="009A43E7" w:rsidRDefault="009A43E7" w:rsidP="009A43E7">
      <w:pPr>
        <w:pStyle w:val="paragraph"/>
        <w:spacing w:before="0" w:beforeAutospacing="0" w:after="0" w:afterAutospacing="0" w:line="480" w:lineRule="auto"/>
        <w:textAlignment w:val="baseline"/>
        <w:rPr>
          <w:rFonts w:ascii="Segoe UI" w:hAnsi="Segoe UI" w:cs="Segoe UI"/>
          <w:sz w:val="18"/>
          <w:szCs w:val="18"/>
        </w:rPr>
      </w:pPr>
      <w:r>
        <w:rPr>
          <w:rStyle w:val="eop"/>
          <w:rFonts w:ascii="Aptos" w:eastAsiaTheme="majorEastAsia" w:hAnsi="Aptos" w:cs="Segoe UI"/>
        </w:rPr>
        <w:t> </w:t>
      </w:r>
    </w:p>
    <w:p w14:paraId="6DB2FE72" w14:textId="77777777" w:rsidR="009A43E7" w:rsidRDefault="009A43E7">
      <w:pPr>
        <w:rPr>
          <w:rStyle w:val="normaltextrun"/>
          <w:rFonts w:ascii="Arial" w:eastAsiaTheme="majorEastAsia" w:hAnsi="Arial" w:cs="Arial"/>
          <w:b/>
          <w:bCs/>
          <w:kern w:val="0"/>
          <w:u w:val="single"/>
          <w:lang w:eastAsia="en-GB"/>
          <w14:ligatures w14:val="none"/>
        </w:rPr>
      </w:pPr>
      <w:r>
        <w:rPr>
          <w:rStyle w:val="normaltextrun"/>
          <w:rFonts w:ascii="Arial" w:eastAsiaTheme="majorEastAsia" w:hAnsi="Arial" w:cs="Arial"/>
          <w:b/>
          <w:bCs/>
          <w:u w:val="single"/>
        </w:rPr>
        <w:br w:type="page"/>
      </w:r>
    </w:p>
    <w:p w14:paraId="108D62DC" w14:textId="13EC5CDB" w:rsidR="009A43E7" w:rsidRDefault="009A43E7" w:rsidP="009A43E7">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b/>
          <w:bCs/>
          <w:u w:val="single"/>
        </w:rPr>
        <w:lastRenderedPageBreak/>
        <w:t>Police Responses Designed to Combat These Challenges</w:t>
      </w:r>
      <w:r>
        <w:rPr>
          <w:rStyle w:val="normaltextrun"/>
          <w:rFonts w:ascii="Arial" w:eastAsiaTheme="majorEastAsia" w:hAnsi="Arial" w:cs="Arial"/>
        </w:rPr>
        <w:t> </w:t>
      </w:r>
      <w:r>
        <w:rPr>
          <w:rStyle w:val="scxw163215607"/>
          <w:rFonts w:ascii="Arial" w:hAnsi="Arial" w:cs="Arial"/>
        </w:rPr>
        <w:t> </w:t>
      </w:r>
      <w:r>
        <w:rPr>
          <w:rFonts w:ascii="Arial" w:hAnsi="Arial" w:cs="Arial"/>
        </w:rPr>
        <w:br/>
      </w:r>
      <w:r>
        <w:rPr>
          <w:rStyle w:val="normaltextrun"/>
          <w:rFonts w:ascii="Arial" w:eastAsiaTheme="majorEastAsia" w:hAnsi="Arial" w:cs="Arial"/>
        </w:rPr>
        <w:t>In order to combat these challenges police forces must employ responses that are effective and time efficient. One such response </w:t>
      </w:r>
      <w:proofErr w:type="gramStart"/>
      <w:r>
        <w:rPr>
          <w:rStyle w:val="normaltextrun"/>
          <w:rFonts w:ascii="Arial" w:eastAsiaTheme="majorEastAsia" w:hAnsi="Arial" w:cs="Arial"/>
        </w:rPr>
        <w:t>are</w:t>
      </w:r>
      <w:proofErr w:type="gramEnd"/>
      <w:r>
        <w:rPr>
          <w:rStyle w:val="normaltextrun"/>
          <w:rFonts w:ascii="Arial" w:eastAsiaTheme="majorEastAsia" w:hAnsi="Arial" w:cs="Arial"/>
        </w:rPr>
        <w:t> Dedicated Child Exploitation Units. There is undeniable need to create these units to respond to the sheer number of offenses in relation to online child sexual exploitation, (Wilson-Kovacs, </w:t>
      </w:r>
      <w:proofErr w:type="spellStart"/>
      <w:r>
        <w:rPr>
          <w:rStyle w:val="normaltextrun"/>
          <w:rFonts w:ascii="Arial" w:eastAsiaTheme="majorEastAsia" w:hAnsi="Arial" w:cs="Arial"/>
        </w:rPr>
        <w:t>Rappert</w:t>
      </w:r>
      <w:proofErr w:type="spellEnd"/>
      <w:r>
        <w:rPr>
          <w:rStyle w:val="normaltextrun"/>
          <w:rFonts w:ascii="Arial" w:eastAsiaTheme="majorEastAsia" w:hAnsi="Arial" w:cs="Arial"/>
        </w:rPr>
        <w:t> and Redfern, 2022). These specialised teams have officers who are trained in child protection, cyber forensics, and digital investigations. Their main jobs are to find victims, figure out who the criminals are and safeguard any further victims, (NPCC, 2024). The creation of these units is extremely effective as these specialist officers, through training, </w:t>
      </w:r>
      <w:proofErr w:type="gramStart"/>
      <w:r>
        <w:rPr>
          <w:rStyle w:val="normaltextrun"/>
          <w:rFonts w:ascii="Arial" w:eastAsiaTheme="majorEastAsia" w:hAnsi="Arial" w:cs="Arial"/>
        </w:rPr>
        <w:t>are able to</w:t>
      </w:r>
      <w:proofErr w:type="gramEnd"/>
      <w:r>
        <w:rPr>
          <w:rStyle w:val="normaltextrun"/>
          <w:rFonts w:ascii="Arial" w:eastAsiaTheme="majorEastAsia" w:hAnsi="Arial" w:cs="Arial"/>
        </w:rPr>
        <w:t> conduct investigations more effectively which improves their ability to manage large volumes of evidence, (HMICFRS, 2023). However, </w:t>
      </w:r>
      <w:proofErr w:type="gramStart"/>
      <w:r>
        <w:rPr>
          <w:rStyle w:val="normaltextrun"/>
          <w:rFonts w:ascii="Arial" w:eastAsiaTheme="majorEastAsia" w:hAnsi="Arial" w:cs="Arial"/>
        </w:rPr>
        <w:t>despite the fact that</w:t>
      </w:r>
      <w:proofErr w:type="gramEnd"/>
      <w:r>
        <w:rPr>
          <w:rStyle w:val="normaltextrun"/>
          <w:rFonts w:ascii="Arial" w:eastAsiaTheme="majorEastAsia" w:hAnsi="Arial" w:cs="Arial"/>
        </w:rPr>
        <w:t xml:space="preserve"> these units are specialised and solely focused on dealing with CSE online. These officers frequently deal with heavy workloads, little resources, and inconsistent data systems, all of which can hamper any investigation, (Wager, Robertshaw-Seery and Parkinson, 2021). The research on this topic infers that although the creation of these specialised units is a great success there are still issues that can be dealt with that will improve their effectiveness. A further response designed to combat any instigative delays and to improve inter agency communication is early information sharing. Instead of waiting until an investigation is finished, this strategy concentrates on providing important information about potential offenders and victims to agencies, such as social services, (College of Policing, 2024). Working closely with social services and other partner agencies helps police identify children at risk from online exploitation sooner. (HMICFRS, 2020), asserts that forces that shared information early with social services were often able to intervene more quickly and protect children more </w:t>
      </w:r>
      <w:r>
        <w:rPr>
          <w:rStyle w:val="normaltextrun"/>
          <w:rFonts w:ascii="Arial" w:eastAsiaTheme="majorEastAsia" w:hAnsi="Arial" w:cs="Arial"/>
        </w:rPr>
        <w:lastRenderedPageBreak/>
        <w:t>effectively. Nonetheless, just passing on information isn’t always enough. (Jay, 2014) revealed, in the Rotherham inquiry, that even when important details were shared between agencies, they were sometimes ignored or not acted on, which left children in danger. This shows that although the concept of early information sharing can be effective in some cases, good communication alone isn’t enough. Building on this, giving police better digital tools and proper training has become vastly important in helping them deal more effectively with online child sexual exploitation cases, (Wainright et al, 2025). This is in response to the ever-growing challenge of offenders making use of sophisticated technology to conceal their offending. Research on </w:t>
      </w:r>
      <w:proofErr w:type="gramStart"/>
      <w:r>
        <w:rPr>
          <w:rStyle w:val="normaltextrun"/>
          <w:rFonts w:ascii="Arial" w:eastAsiaTheme="majorEastAsia" w:hAnsi="Arial" w:cs="Arial"/>
        </w:rPr>
        <w:t>this subject details</w:t>
      </w:r>
      <w:proofErr w:type="gramEnd"/>
      <w:r>
        <w:rPr>
          <w:rStyle w:val="normaltextrun"/>
          <w:rFonts w:ascii="Arial" w:eastAsiaTheme="majorEastAsia" w:hAnsi="Arial" w:cs="Arial"/>
        </w:rPr>
        <w:t> that this response by police forces, in the UK, has improved the effectiveness of investigations and safeguarded further victims by reducing the time taken to bring offenders to justice, (McVeigh and Heward-Belle, 2024). This infers that due to this response, officers can evaluate massive volumes of online data more quickly, find connections between suspects and victims, and obtain more solid evidence for convictions thanks to improved forensic tools and training. While this response allows for more data and images to be analysed, this response still has its drawbacks. (</w:t>
      </w:r>
      <w:proofErr w:type="spellStart"/>
      <w:r>
        <w:rPr>
          <w:rStyle w:val="normaltextrun"/>
          <w:rFonts w:ascii="Arial" w:eastAsiaTheme="majorEastAsia" w:hAnsi="Arial" w:cs="Arial"/>
        </w:rPr>
        <w:t>Rappert</w:t>
      </w:r>
      <w:proofErr w:type="spellEnd"/>
      <w:r>
        <w:rPr>
          <w:rStyle w:val="normaltextrun"/>
          <w:rFonts w:ascii="Arial" w:eastAsiaTheme="majorEastAsia" w:hAnsi="Arial" w:cs="Arial"/>
        </w:rPr>
        <w:t> </w:t>
      </w:r>
      <w:r>
        <w:rPr>
          <w:rStyle w:val="normaltextrun"/>
          <w:rFonts w:ascii="Arial" w:eastAsiaTheme="majorEastAsia" w:hAnsi="Arial" w:cs="Arial"/>
          <w:i/>
          <w:iCs/>
        </w:rPr>
        <w:t>et al.</w:t>
      </w:r>
      <w:r>
        <w:rPr>
          <w:rStyle w:val="normaltextrun"/>
          <w:rFonts w:ascii="Arial" w:eastAsiaTheme="majorEastAsia" w:hAnsi="Arial" w:cs="Arial"/>
        </w:rPr>
        <w:t>, 2022), asserts that officers still may find it difficult to handle the volume and complexity of online CSE cases, despite advancements in technology and more sophisticated training. (VKPP, 2023), also infers this by highlighting the sheer scale of offending still taking place. Overall, while this response by the police has improved the quality and success of investigations, this response on its own is certainly not enough to effectively deal with the complexity and vast scale of offending </w:t>
      </w:r>
      <w:proofErr w:type="gramStart"/>
      <w:r>
        <w:rPr>
          <w:rStyle w:val="normaltextrun"/>
          <w:rFonts w:ascii="Arial" w:eastAsiaTheme="majorEastAsia" w:hAnsi="Arial" w:cs="Arial"/>
        </w:rPr>
        <w:t>in regards to</w:t>
      </w:r>
      <w:proofErr w:type="gramEnd"/>
      <w:r>
        <w:rPr>
          <w:rStyle w:val="normaltextrun"/>
          <w:rFonts w:ascii="Arial" w:eastAsiaTheme="majorEastAsia" w:hAnsi="Arial" w:cs="Arial"/>
        </w:rPr>
        <w:t> online CSE.</w:t>
      </w:r>
      <w:r>
        <w:rPr>
          <w:rStyle w:val="eop"/>
          <w:rFonts w:ascii="Arial" w:eastAsiaTheme="majorEastAsia" w:hAnsi="Arial" w:cs="Arial"/>
        </w:rPr>
        <w:t> </w:t>
      </w:r>
    </w:p>
    <w:p w14:paraId="313A7C72" w14:textId="77777777" w:rsidR="009A43E7" w:rsidRDefault="009A43E7" w:rsidP="009A43E7">
      <w:pPr>
        <w:pStyle w:val="paragraph"/>
        <w:spacing w:before="0" w:beforeAutospacing="0" w:after="0" w:afterAutospacing="0" w:line="480" w:lineRule="auto"/>
        <w:textAlignment w:val="baseline"/>
        <w:rPr>
          <w:rStyle w:val="normaltextrun"/>
          <w:rFonts w:ascii="Arial" w:eastAsiaTheme="majorEastAsia" w:hAnsi="Arial" w:cs="Arial"/>
          <w:b/>
          <w:bCs/>
          <w:u w:val="single"/>
        </w:rPr>
      </w:pPr>
    </w:p>
    <w:p w14:paraId="1B165E0D" w14:textId="06D840CC" w:rsidR="009A43E7" w:rsidRDefault="009A43E7" w:rsidP="009A43E7">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b/>
          <w:bCs/>
          <w:u w:val="single"/>
        </w:rPr>
        <w:lastRenderedPageBreak/>
        <w:t>Conclusion</w:t>
      </w:r>
      <w:r>
        <w:rPr>
          <w:rStyle w:val="eop"/>
          <w:rFonts w:ascii="Arial" w:eastAsiaTheme="majorEastAsia" w:hAnsi="Arial" w:cs="Arial"/>
        </w:rPr>
        <w:t> </w:t>
      </w:r>
    </w:p>
    <w:p w14:paraId="4422E12E" w14:textId="2BC4ECF1" w:rsidR="009A43E7" w:rsidRDefault="009A43E7" w:rsidP="009A43E7">
      <w:pPr>
        <w:pStyle w:val="paragraph"/>
        <w:spacing w:before="0" w:beforeAutospacing="0" w:after="0" w:afterAutospacing="0" w:line="480" w:lineRule="auto"/>
        <w:textAlignment w:val="baseline"/>
        <w:rPr>
          <w:rFonts w:ascii="Segoe UI" w:hAnsi="Segoe UI" w:cs="Segoe UI"/>
          <w:sz w:val="18"/>
          <w:szCs w:val="18"/>
        </w:rPr>
      </w:pPr>
      <w:r>
        <w:rPr>
          <w:rStyle w:val="normaltextrun"/>
          <w:rFonts w:ascii="Arial" w:eastAsiaTheme="majorEastAsia" w:hAnsi="Arial" w:cs="Arial"/>
          <w:color w:val="3B3A3B"/>
        </w:rPr>
        <w:t>This essay has critically examined the challenges police forces in the United Kingdom encounter when investigating online child sexual exploitation and the strategies they have implemented to address them. Specialist units that are dedicated to online CSE, improved digital forensic tools, and training have clearly made officers work more efficiently, analyse large volumes of digital evidence, and protect children at risk. Early information sharing between agencies has also improved their ability to identify potential victims before harm occurs. </w:t>
      </w:r>
      <w:r>
        <w:rPr>
          <w:rStyle w:val="eop"/>
          <w:rFonts w:ascii="Arial" w:eastAsiaTheme="majorEastAsia" w:hAnsi="Arial" w:cs="Arial"/>
          <w:color w:val="3B3A3B"/>
        </w:rPr>
        <w:t> </w:t>
      </w:r>
    </w:p>
    <w:p w14:paraId="09256DFE" w14:textId="41F41524" w:rsidR="009A43E7" w:rsidRDefault="009A43E7" w:rsidP="009A43E7">
      <w:pPr>
        <w:pStyle w:val="paragraph"/>
        <w:spacing w:before="0" w:beforeAutospacing="0" w:after="0" w:afterAutospacing="0" w:line="480" w:lineRule="auto"/>
        <w:textAlignment w:val="baseline"/>
        <w:rPr>
          <w:rStyle w:val="eop"/>
          <w:rFonts w:ascii="Arial" w:eastAsiaTheme="majorEastAsia" w:hAnsi="Arial" w:cs="Arial"/>
          <w:color w:val="3B3A3B"/>
        </w:rPr>
      </w:pPr>
      <w:r>
        <w:rPr>
          <w:rStyle w:val="normaltextrun"/>
          <w:rFonts w:ascii="Arial" w:eastAsiaTheme="majorEastAsia" w:hAnsi="Arial" w:cs="Arial"/>
          <w:color w:val="3B3A3B"/>
        </w:rPr>
        <w:t>However, these responses have limitations. Offenders continually change their methods by using encryption software, different platforms, and other technical methods to evade arrest. The vast amount of material and regular communication issues between agencies can still delay investigations, meaning some vulnerable children, including those in care, may </w:t>
      </w:r>
      <w:proofErr w:type="gramStart"/>
      <w:r>
        <w:rPr>
          <w:rStyle w:val="normaltextrun"/>
          <w:rFonts w:ascii="Arial" w:eastAsiaTheme="majorEastAsia" w:hAnsi="Arial" w:cs="Arial"/>
          <w:color w:val="3B3A3B"/>
        </w:rPr>
        <w:t>still remain</w:t>
      </w:r>
      <w:proofErr w:type="gramEnd"/>
      <w:r>
        <w:rPr>
          <w:rStyle w:val="normaltextrun"/>
          <w:rFonts w:ascii="Arial" w:eastAsiaTheme="majorEastAsia" w:hAnsi="Arial" w:cs="Arial"/>
          <w:color w:val="3B3A3B"/>
        </w:rPr>
        <w:t> at risk. To conclude, this essay details that these responses designed to combat the challenges investigators face are not enough on their own. An effective response demands ongoing improvements in digital tools and training, whilst combining this with better inter-agency coordination between the police and partner agencies. Although research infers that progress has been made, the constantly evolving nature of online CSE requires police to keep adapting to ensure this type of offending is effectively and efficiently dealt with.</w:t>
      </w:r>
      <w:r>
        <w:rPr>
          <w:rStyle w:val="eop"/>
          <w:rFonts w:ascii="Arial" w:eastAsiaTheme="majorEastAsia" w:hAnsi="Arial" w:cs="Arial"/>
          <w:color w:val="3B3A3B"/>
        </w:rPr>
        <w:t> </w:t>
      </w:r>
    </w:p>
    <w:p w14:paraId="4BDBE649" w14:textId="77777777" w:rsidR="009A43E7" w:rsidRDefault="009A43E7">
      <w:pPr>
        <w:rPr>
          <w:rStyle w:val="eop"/>
          <w:rFonts w:ascii="Arial" w:eastAsiaTheme="majorEastAsia" w:hAnsi="Arial" w:cs="Arial"/>
          <w:color w:val="3B3A3B"/>
          <w:kern w:val="0"/>
          <w:lang w:eastAsia="en-GB"/>
          <w14:ligatures w14:val="none"/>
        </w:rPr>
      </w:pPr>
      <w:r>
        <w:rPr>
          <w:rStyle w:val="eop"/>
          <w:rFonts w:ascii="Arial" w:eastAsiaTheme="majorEastAsia" w:hAnsi="Arial" w:cs="Arial"/>
          <w:color w:val="3B3A3B"/>
        </w:rPr>
        <w:br w:type="page"/>
      </w:r>
    </w:p>
    <w:p w14:paraId="232DFFCC" w14:textId="00CC99B8" w:rsidR="009A43E7" w:rsidRDefault="009A43E7" w:rsidP="009A43E7">
      <w:pPr>
        <w:pStyle w:val="paragraph"/>
        <w:spacing w:before="0" w:beforeAutospacing="0" w:after="0" w:afterAutospacing="0"/>
        <w:textAlignment w:val="baseline"/>
        <w:rPr>
          <w:rStyle w:val="normaltextrun"/>
          <w:rFonts w:ascii="Arial" w:eastAsiaTheme="majorEastAsia" w:hAnsi="Arial" w:cs="Arial"/>
          <w:b/>
          <w:bCs/>
          <w:u w:val="single"/>
        </w:rPr>
      </w:pPr>
      <w:r w:rsidRPr="009A43E7">
        <w:rPr>
          <w:rStyle w:val="normaltextrun"/>
          <w:rFonts w:ascii="Arial" w:eastAsiaTheme="majorEastAsia" w:hAnsi="Arial" w:cs="Arial"/>
          <w:b/>
          <w:bCs/>
          <w:u w:val="single"/>
        </w:rPr>
        <w:lastRenderedPageBreak/>
        <w:t>Reference List</w:t>
      </w:r>
    </w:p>
    <w:p w14:paraId="142737C6" w14:textId="77777777" w:rsidR="00CA1E39" w:rsidRPr="009A43E7" w:rsidRDefault="00CA1E39" w:rsidP="009A43E7">
      <w:pPr>
        <w:pStyle w:val="paragraph"/>
        <w:spacing w:before="0" w:beforeAutospacing="0" w:after="0" w:afterAutospacing="0"/>
        <w:textAlignment w:val="baseline"/>
        <w:rPr>
          <w:rStyle w:val="normaltextrun"/>
          <w:rFonts w:ascii="Arial" w:eastAsiaTheme="majorEastAsia" w:hAnsi="Arial" w:cs="Arial"/>
          <w:b/>
          <w:bCs/>
          <w:u w:val="single"/>
        </w:rPr>
      </w:pPr>
    </w:p>
    <w:p w14:paraId="4FD997C6" w14:textId="0F49F44E" w:rsidR="009A43E7" w:rsidRDefault="009A43E7" w:rsidP="009A43E7">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rPr>
        <w:t>Casey, L. (2023) </w:t>
      </w:r>
      <w:r>
        <w:rPr>
          <w:rStyle w:val="normaltextrun"/>
          <w:rFonts w:ascii="Arial" w:eastAsiaTheme="majorEastAsia" w:hAnsi="Arial" w:cs="Arial"/>
          <w:i/>
          <w:iCs/>
        </w:rPr>
        <w:t>The case for change: Independent review into the Metropolitan Police Service</w:t>
      </w:r>
      <w:r>
        <w:rPr>
          <w:rStyle w:val="normaltextrun"/>
          <w:rFonts w:ascii="Arial" w:eastAsiaTheme="majorEastAsia" w:hAnsi="Arial" w:cs="Arial"/>
        </w:rPr>
        <w:t>. London: Home Office.</w:t>
      </w:r>
      <w:r>
        <w:rPr>
          <w:rStyle w:val="eop"/>
          <w:rFonts w:ascii="Arial" w:eastAsiaTheme="majorEastAsia" w:hAnsi="Arial" w:cs="Arial"/>
        </w:rPr>
        <w:t> </w:t>
      </w:r>
    </w:p>
    <w:p w14:paraId="485C12CC" w14:textId="77777777" w:rsidR="009A43E7" w:rsidRDefault="009A43E7" w:rsidP="009A43E7">
      <w:pPr>
        <w:pStyle w:val="paragraph"/>
        <w:spacing w:before="0" w:beforeAutospacing="0" w:after="0" w:afterAutospacing="0"/>
        <w:textAlignment w:val="baseline"/>
        <w:rPr>
          <w:rFonts w:ascii="Segoe UI" w:hAnsi="Segoe UI" w:cs="Segoe UI"/>
          <w:sz w:val="18"/>
          <w:szCs w:val="18"/>
        </w:rPr>
      </w:pPr>
    </w:p>
    <w:p w14:paraId="69A0688F" w14:textId="77777777" w:rsidR="009A43E7" w:rsidRDefault="009A43E7" w:rsidP="009A43E7">
      <w:pPr>
        <w:pStyle w:val="paragraph"/>
        <w:spacing w:before="0" w:beforeAutospacing="0" w:after="0" w:afterAutospacing="0"/>
        <w:textAlignment w:val="baseline"/>
        <w:rPr>
          <w:rStyle w:val="eop"/>
          <w:rFonts w:ascii="Arial" w:eastAsiaTheme="majorEastAsia" w:hAnsi="Arial" w:cs="Arial"/>
        </w:rPr>
      </w:pPr>
      <w:proofErr w:type="spellStart"/>
      <w:r>
        <w:rPr>
          <w:rStyle w:val="normaltextrun"/>
          <w:rFonts w:ascii="Arial" w:eastAsiaTheme="majorEastAsia" w:hAnsi="Arial" w:cs="Arial"/>
        </w:rPr>
        <w:t>Cockbain</w:t>
      </w:r>
      <w:proofErr w:type="spellEnd"/>
      <w:r>
        <w:rPr>
          <w:rStyle w:val="normaltextrun"/>
          <w:rFonts w:ascii="Arial" w:eastAsiaTheme="majorEastAsia" w:hAnsi="Arial" w:cs="Arial"/>
        </w:rPr>
        <w:t>, E. (2020) ‘Failing victims, fuelling hate: challenging the harms of the “Muslim grooming gangs” narrative’, </w:t>
      </w:r>
      <w:r>
        <w:rPr>
          <w:rStyle w:val="normaltextrun"/>
          <w:rFonts w:ascii="Arial" w:eastAsiaTheme="majorEastAsia" w:hAnsi="Arial" w:cs="Arial"/>
          <w:i/>
          <w:iCs/>
        </w:rPr>
        <w:t>British Journal of Criminology</w:t>
      </w:r>
      <w:r>
        <w:rPr>
          <w:rStyle w:val="normaltextrun"/>
          <w:rFonts w:ascii="Arial" w:eastAsiaTheme="majorEastAsia" w:hAnsi="Arial" w:cs="Arial"/>
        </w:rPr>
        <w:t>, 60(6), pp. 1595-1614.</w:t>
      </w:r>
      <w:r>
        <w:rPr>
          <w:rStyle w:val="eop"/>
          <w:rFonts w:ascii="Arial" w:eastAsiaTheme="majorEastAsia" w:hAnsi="Arial" w:cs="Arial"/>
        </w:rPr>
        <w:t> </w:t>
      </w:r>
    </w:p>
    <w:p w14:paraId="1698454A" w14:textId="77777777" w:rsidR="009A43E7" w:rsidRDefault="009A43E7" w:rsidP="009A43E7">
      <w:pPr>
        <w:pStyle w:val="paragraph"/>
        <w:spacing w:before="0" w:beforeAutospacing="0" w:after="0" w:afterAutospacing="0"/>
        <w:textAlignment w:val="baseline"/>
        <w:rPr>
          <w:rFonts w:ascii="Segoe UI" w:hAnsi="Segoe UI" w:cs="Segoe UI"/>
          <w:sz w:val="18"/>
          <w:szCs w:val="18"/>
        </w:rPr>
      </w:pPr>
    </w:p>
    <w:p w14:paraId="49D829CA" w14:textId="77777777" w:rsidR="009A43E7" w:rsidRDefault="009A43E7" w:rsidP="009A43E7">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rPr>
        <w:t>College of Policing (2024) </w:t>
      </w:r>
      <w:r>
        <w:rPr>
          <w:rStyle w:val="normaltextrun"/>
          <w:rFonts w:ascii="Arial" w:eastAsiaTheme="majorEastAsia" w:hAnsi="Arial" w:cs="Arial"/>
          <w:i/>
          <w:iCs/>
        </w:rPr>
        <w:t>Early sharing of information in online child sexual exploitation cases.</w:t>
      </w:r>
      <w:r>
        <w:rPr>
          <w:rStyle w:val="normaltextrun"/>
          <w:rFonts w:ascii="Arial" w:eastAsiaTheme="majorEastAsia" w:hAnsi="Arial" w:cs="Arial"/>
        </w:rPr>
        <w:t> Available at: https://www.college.police.uk/support-forces/practices/early-sharing-information-online-child-sexual-exploitation-cases. (Accessed on 4/11/25).</w:t>
      </w:r>
      <w:r>
        <w:rPr>
          <w:rStyle w:val="eop"/>
          <w:rFonts w:ascii="Arial" w:eastAsiaTheme="majorEastAsia" w:hAnsi="Arial" w:cs="Arial"/>
        </w:rPr>
        <w:t> </w:t>
      </w:r>
    </w:p>
    <w:p w14:paraId="328830D3" w14:textId="77777777" w:rsidR="00CA1E39" w:rsidRDefault="00CA1E39" w:rsidP="009A43E7">
      <w:pPr>
        <w:pStyle w:val="paragraph"/>
        <w:spacing w:before="0" w:beforeAutospacing="0" w:after="0" w:afterAutospacing="0"/>
        <w:textAlignment w:val="baseline"/>
        <w:rPr>
          <w:rFonts w:ascii="Segoe UI" w:hAnsi="Segoe UI" w:cs="Segoe UI"/>
          <w:sz w:val="18"/>
          <w:szCs w:val="18"/>
        </w:rPr>
      </w:pPr>
    </w:p>
    <w:p w14:paraId="04C7FD2F" w14:textId="77777777" w:rsidR="009A43E7" w:rsidRDefault="009A43E7" w:rsidP="009A43E7">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rPr>
        <w:t>Europol (2023) </w:t>
      </w:r>
      <w:r>
        <w:rPr>
          <w:rStyle w:val="normaltextrun"/>
          <w:rFonts w:ascii="Arial" w:eastAsiaTheme="majorEastAsia" w:hAnsi="Arial" w:cs="Arial"/>
          <w:i/>
          <w:iCs/>
        </w:rPr>
        <w:t>Internet organised crime threat assessment (IOCTA) 2023</w:t>
      </w:r>
      <w:r>
        <w:rPr>
          <w:rStyle w:val="normaltextrun"/>
          <w:rFonts w:ascii="Arial" w:eastAsiaTheme="majorEastAsia" w:hAnsi="Arial" w:cs="Arial"/>
        </w:rPr>
        <w:t>. Available at: https://www.europol.europa.eu/publication-events/main-reports/internet-organised-crime-threat-assessment-iocta-2023 (Accessed on 16/10/25).</w:t>
      </w:r>
      <w:r>
        <w:rPr>
          <w:rStyle w:val="eop"/>
          <w:rFonts w:ascii="Arial" w:eastAsiaTheme="majorEastAsia" w:hAnsi="Arial" w:cs="Arial"/>
        </w:rPr>
        <w:t> </w:t>
      </w:r>
    </w:p>
    <w:p w14:paraId="1D71F011" w14:textId="77777777" w:rsidR="00CA1E39" w:rsidRDefault="00CA1E39" w:rsidP="009A43E7">
      <w:pPr>
        <w:pStyle w:val="paragraph"/>
        <w:spacing w:before="0" w:beforeAutospacing="0" w:after="0" w:afterAutospacing="0"/>
        <w:textAlignment w:val="baseline"/>
        <w:rPr>
          <w:rFonts w:ascii="Segoe UI" w:hAnsi="Segoe UI" w:cs="Segoe UI"/>
          <w:sz w:val="18"/>
          <w:szCs w:val="18"/>
        </w:rPr>
      </w:pPr>
    </w:p>
    <w:p w14:paraId="07489C8A" w14:textId="77777777" w:rsidR="009A43E7" w:rsidRDefault="009A43E7" w:rsidP="009A43E7">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rPr>
        <w:t>His Majesty’s Inspectorate of Constabulary and Fire &amp; Rescue Services (HMICFRS) (2023) </w:t>
      </w:r>
      <w:r>
        <w:rPr>
          <w:rStyle w:val="normaltextrun"/>
          <w:rFonts w:ascii="Arial" w:eastAsiaTheme="majorEastAsia" w:hAnsi="Arial" w:cs="Arial"/>
          <w:i/>
          <w:iCs/>
        </w:rPr>
        <w:t>An inspection of how well the police and National Crime Agency tackle the online sexual abuse and exploitation of children</w:t>
      </w:r>
      <w:r>
        <w:rPr>
          <w:rStyle w:val="normaltextrun"/>
          <w:rFonts w:ascii="Arial" w:eastAsiaTheme="majorEastAsia" w:hAnsi="Arial" w:cs="Arial"/>
        </w:rPr>
        <w:t>. Available at: https://assets-hmicfrs.justiceinspectorates.gov.uk/uploads/inspection-online-sexual-abuse-and-exploitation-of-children.pdf (Accessed on 15/10/25).</w:t>
      </w:r>
      <w:r>
        <w:rPr>
          <w:rStyle w:val="eop"/>
          <w:rFonts w:ascii="Arial" w:eastAsiaTheme="majorEastAsia" w:hAnsi="Arial" w:cs="Arial"/>
        </w:rPr>
        <w:t> </w:t>
      </w:r>
    </w:p>
    <w:p w14:paraId="02C2C7E9" w14:textId="77777777" w:rsidR="00CA1E39" w:rsidRDefault="00CA1E39" w:rsidP="009A43E7">
      <w:pPr>
        <w:pStyle w:val="paragraph"/>
        <w:spacing w:before="0" w:beforeAutospacing="0" w:after="0" w:afterAutospacing="0"/>
        <w:textAlignment w:val="baseline"/>
        <w:rPr>
          <w:rFonts w:ascii="Segoe UI" w:hAnsi="Segoe UI" w:cs="Segoe UI"/>
          <w:sz w:val="18"/>
          <w:szCs w:val="18"/>
        </w:rPr>
      </w:pPr>
    </w:p>
    <w:p w14:paraId="07AA10E9" w14:textId="77777777" w:rsidR="009A43E7" w:rsidRDefault="009A43E7" w:rsidP="009A43E7">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rPr>
        <w:t>His Majesty’s Inspectorate of Constabulary and Fire &amp; Rescue Services (HMICFRS) (2015) </w:t>
      </w:r>
      <w:r>
        <w:rPr>
          <w:rStyle w:val="normaltextrun"/>
          <w:rFonts w:ascii="Arial" w:eastAsiaTheme="majorEastAsia" w:hAnsi="Arial" w:cs="Arial"/>
          <w:i/>
          <w:iCs/>
        </w:rPr>
        <w:t>West Midlands National Child Protection Inspection Re-inspection</w:t>
      </w:r>
      <w:r>
        <w:rPr>
          <w:rStyle w:val="normaltextrun"/>
          <w:rFonts w:ascii="Arial" w:eastAsiaTheme="majorEastAsia" w:hAnsi="Arial" w:cs="Arial"/>
        </w:rPr>
        <w:t>. Available at: https://assets-hmicfrs.justiceinspectorates.gov.uk/uploads/west-midlands-national-child-protection-inspection-re-inspection.pdf (Accessed on 15/10/25).</w:t>
      </w:r>
      <w:r>
        <w:rPr>
          <w:rStyle w:val="eop"/>
          <w:rFonts w:ascii="Arial" w:eastAsiaTheme="majorEastAsia" w:hAnsi="Arial" w:cs="Arial"/>
        </w:rPr>
        <w:t> </w:t>
      </w:r>
    </w:p>
    <w:p w14:paraId="7B1BB96B" w14:textId="77777777" w:rsidR="00CA1E39" w:rsidRDefault="00CA1E39" w:rsidP="009A43E7">
      <w:pPr>
        <w:pStyle w:val="paragraph"/>
        <w:spacing w:before="0" w:beforeAutospacing="0" w:after="0" w:afterAutospacing="0"/>
        <w:textAlignment w:val="baseline"/>
        <w:rPr>
          <w:rFonts w:ascii="Segoe UI" w:hAnsi="Segoe UI" w:cs="Segoe UI"/>
          <w:sz w:val="18"/>
          <w:szCs w:val="18"/>
        </w:rPr>
      </w:pPr>
    </w:p>
    <w:p w14:paraId="225765A8" w14:textId="77777777" w:rsidR="009A43E7" w:rsidRDefault="009A43E7" w:rsidP="009A43E7">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rPr>
        <w:t>His Majesty’s Inspectorate of Constabulary and Fire &amp; Rescue Services (HMICFRS) (2020) </w:t>
      </w:r>
      <w:r>
        <w:rPr>
          <w:rStyle w:val="normaltextrun"/>
          <w:rFonts w:ascii="Arial" w:eastAsiaTheme="majorEastAsia" w:hAnsi="Arial" w:cs="Arial"/>
          <w:i/>
          <w:iCs/>
        </w:rPr>
        <w:t>National child protection inspections: 2019 thematic report. </w:t>
      </w:r>
      <w:r>
        <w:rPr>
          <w:rStyle w:val="normaltextrun"/>
          <w:rFonts w:ascii="Arial" w:eastAsiaTheme="majorEastAsia" w:hAnsi="Arial" w:cs="Arial"/>
        </w:rPr>
        <w:t>Available at: https://hmicfrs.justiceinspectorates.gov.uk/publication-html/national-child-protection-inspections-2019-thematic-report/. (Accessed on 5/11/23).</w:t>
      </w:r>
      <w:r>
        <w:rPr>
          <w:rStyle w:val="eop"/>
          <w:rFonts w:ascii="Arial" w:eastAsiaTheme="majorEastAsia" w:hAnsi="Arial" w:cs="Arial"/>
        </w:rPr>
        <w:t> </w:t>
      </w:r>
    </w:p>
    <w:p w14:paraId="6BC0AF68" w14:textId="77777777" w:rsidR="00CA1E39" w:rsidRDefault="00CA1E39" w:rsidP="009A43E7">
      <w:pPr>
        <w:pStyle w:val="paragraph"/>
        <w:spacing w:before="0" w:beforeAutospacing="0" w:after="0" w:afterAutospacing="0"/>
        <w:textAlignment w:val="baseline"/>
        <w:rPr>
          <w:rFonts w:ascii="Segoe UI" w:hAnsi="Segoe UI" w:cs="Segoe UI"/>
          <w:sz w:val="18"/>
          <w:szCs w:val="18"/>
        </w:rPr>
      </w:pPr>
    </w:p>
    <w:p w14:paraId="0DE39B8D" w14:textId="77777777" w:rsidR="009A43E7" w:rsidRDefault="009A43E7" w:rsidP="009A43E7">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rPr>
        <w:t>Independent Inquiry into Child Sexual Abuse (IICSA) (2023) </w:t>
      </w:r>
      <w:r>
        <w:rPr>
          <w:rStyle w:val="normaltextrun"/>
          <w:rFonts w:ascii="Arial" w:eastAsiaTheme="majorEastAsia" w:hAnsi="Arial" w:cs="Arial"/>
          <w:i/>
          <w:iCs/>
        </w:rPr>
        <w:t>The sexual abuse of children in care in England and Wales: Part D.4 and D.5 – Looked after children and children from ethnic minority backgrounds</w:t>
      </w:r>
      <w:r>
        <w:rPr>
          <w:rStyle w:val="normaltextrun"/>
          <w:rFonts w:ascii="Arial" w:eastAsiaTheme="majorEastAsia" w:hAnsi="Arial" w:cs="Arial"/>
        </w:rPr>
        <w:t>. Available at: https://www.iicsa.org.uk/reports-recommendations/publications/inquiry/final-report/executive-summary.html (Accessed on 3/11/25).</w:t>
      </w:r>
      <w:r>
        <w:rPr>
          <w:rStyle w:val="eop"/>
          <w:rFonts w:ascii="Arial" w:eastAsiaTheme="majorEastAsia" w:hAnsi="Arial" w:cs="Arial"/>
        </w:rPr>
        <w:t> </w:t>
      </w:r>
    </w:p>
    <w:p w14:paraId="1E93E448" w14:textId="77777777" w:rsidR="00CA1E39" w:rsidRDefault="00CA1E39" w:rsidP="009A43E7">
      <w:pPr>
        <w:pStyle w:val="paragraph"/>
        <w:spacing w:before="0" w:beforeAutospacing="0" w:after="0" w:afterAutospacing="0"/>
        <w:textAlignment w:val="baseline"/>
        <w:rPr>
          <w:rFonts w:ascii="Segoe UI" w:hAnsi="Segoe UI" w:cs="Segoe UI"/>
          <w:sz w:val="18"/>
          <w:szCs w:val="18"/>
        </w:rPr>
      </w:pPr>
    </w:p>
    <w:p w14:paraId="6FD32891" w14:textId="77777777" w:rsidR="009A43E7" w:rsidRDefault="009A43E7" w:rsidP="009A43E7">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Jayawardene, J., Gill, A. K. and Kelly, L. (2023) ‘Institutional responses to child sexual abuse in Black and minoritised communities’, in Gill, A. K., Kelly, L. and Jayawardene, J. (eds.) </w:t>
      </w:r>
      <w:r>
        <w:rPr>
          <w:rStyle w:val="normaltextrun"/>
          <w:rFonts w:ascii="Arial" w:eastAsiaTheme="majorEastAsia" w:hAnsi="Arial" w:cs="Arial"/>
          <w:i/>
          <w:iCs/>
        </w:rPr>
        <w:t>Child sexual abuse in Black and minoritised communities</w:t>
      </w:r>
      <w:r>
        <w:rPr>
          <w:rStyle w:val="normaltextrun"/>
          <w:rFonts w:ascii="Arial" w:eastAsiaTheme="majorEastAsia" w:hAnsi="Arial" w:cs="Arial"/>
        </w:rPr>
        <w:t>. Cham: Springer, pp. 217–248.</w:t>
      </w:r>
      <w:r>
        <w:rPr>
          <w:rStyle w:val="eop"/>
          <w:rFonts w:ascii="Arial" w:eastAsiaTheme="majorEastAsia" w:hAnsi="Arial" w:cs="Arial"/>
        </w:rPr>
        <w:t> </w:t>
      </w:r>
    </w:p>
    <w:p w14:paraId="12C8334C" w14:textId="77777777" w:rsidR="009A43E7" w:rsidRDefault="009A43E7" w:rsidP="009A43E7">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rPr>
        <w:t> </w:t>
      </w:r>
    </w:p>
    <w:p w14:paraId="3C826777" w14:textId="77777777" w:rsidR="00CA1E39" w:rsidRDefault="009A43E7" w:rsidP="009A43E7">
      <w:pPr>
        <w:pStyle w:val="paragraph"/>
        <w:spacing w:before="0" w:beforeAutospacing="0" w:after="0" w:afterAutospacing="0"/>
        <w:textAlignment w:val="baseline"/>
        <w:rPr>
          <w:rStyle w:val="normaltextrun"/>
          <w:rFonts w:ascii="Arial" w:eastAsiaTheme="majorEastAsia" w:hAnsi="Arial" w:cs="Arial"/>
        </w:rPr>
      </w:pPr>
      <w:r>
        <w:rPr>
          <w:rStyle w:val="normaltextrun"/>
          <w:rFonts w:ascii="Arial" w:eastAsiaTheme="majorEastAsia" w:hAnsi="Arial" w:cs="Arial"/>
        </w:rPr>
        <w:t>Jay, A. (2014) </w:t>
      </w:r>
      <w:r>
        <w:rPr>
          <w:rStyle w:val="normaltextrun"/>
          <w:rFonts w:ascii="Arial" w:eastAsiaTheme="majorEastAsia" w:hAnsi="Arial" w:cs="Arial"/>
          <w:i/>
          <w:iCs/>
        </w:rPr>
        <w:t>Independent inquiry into child sexual exploitation in Rotherham (1997–2013)</w:t>
      </w:r>
      <w:r>
        <w:rPr>
          <w:rStyle w:val="normaltextrun"/>
          <w:rFonts w:ascii="Arial" w:eastAsiaTheme="majorEastAsia" w:hAnsi="Arial" w:cs="Arial"/>
        </w:rPr>
        <w:t>. Available at: https://www.rotherham.gov.uk/downloads/file/279/independent-inquiry-into-child-sexual-exploitation-in-rotherham. (Accessed on 5/11/25).</w:t>
      </w:r>
    </w:p>
    <w:p w14:paraId="25649E63" w14:textId="2AA95082" w:rsidR="009A43E7" w:rsidRDefault="009A43E7" w:rsidP="009A43E7">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rPr>
        <w:t> </w:t>
      </w:r>
    </w:p>
    <w:p w14:paraId="224FB0BA" w14:textId="77777777" w:rsidR="00CA1E39" w:rsidRDefault="009A43E7" w:rsidP="009A43E7">
      <w:pPr>
        <w:pStyle w:val="paragraph"/>
        <w:spacing w:before="0" w:beforeAutospacing="0" w:after="0" w:afterAutospacing="0"/>
        <w:textAlignment w:val="baseline"/>
        <w:rPr>
          <w:rStyle w:val="normaltextrun"/>
          <w:rFonts w:ascii="Arial" w:eastAsiaTheme="majorEastAsia" w:hAnsi="Arial" w:cs="Arial"/>
        </w:rPr>
      </w:pPr>
      <w:r>
        <w:rPr>
          <w:rStyle w:val="normaltextrun"/>
          <w:rFonts w:ascii="Arial" w:eastAsiaTheme="majorEastAsia" w:hAnsi="Arial" w:cs="Arial"/>
          <w:color w:val="222222"/>
        </w:rPr>
        <w:lastRenderedPageBreak/>
        <w:t>Kloess, J.A., Seymour-Smith, S., Hamilton-</w:t>
      </w:r>
      <w:proofErr w:type="spellStart"/>
      <w:r>
        <w:rPr>
          <w:rStyle w:val="normaltextrun"/>
          <w:rFonts w:ascii="Arial" w:eastAsiaTheme="majorEastAsia" w:hAnsi="Arial" w:cs="Arial"/>
          <w:color w:val="222222"/>
        </w:rPr>
        <w:t>Giachritsis</w:t>
      </w:r>
      <w:proofErr w:type="spellEnd"/>
      <w:r>
        <w:rPr>
          <w:rStyle w:val="normaltextrun"/>
          <w:rFonts w:ascii="Arial" w:eastAsiaTheme="majorEastAsia" w:hAnsi="Arial" w:cs="Arial"/>
          <w:color w:val="222222"/>
        </w:rPr>
        <w:t>, C.E., Long, M.L., Shipley, D. and Beech, A.R. (2017) A qualitative analysis of offenders’ modus operandi in sexually exploitative interactions with children online. </w:t>
      </w:r>
      <w:r>
        <w:rPr>
          <w:rStyle w:val="normaltextrun"/>
          <w:rFonts w:ascii="Arial" w:eastAsiaTheme="majorEastAsia" w:hAnsi="Arial" w:cs="Arial"/>
          <w:i/>
          <w:iCs/>
          <w:color w:val="222222"/>
        </w:rPr>
        <w:t>Sexual Abuse</w:t>
      </w:r>
      <w:r>
        <w:rPr>
          <w:rStyle w:val="normaltextrun"/>
          <w:rFonts w:ascii="Arial" w:eastAsiaTheme="majorEastAsia" w:hAnsi="Arial" w:cs="Arial"/>
          <w:color w:val="222222"/>
        </w:rPr>
        <w:t>, </w:t>
      </w:r>
      <w:r>
        <w:rPr>
          <w:rStyle w:val="normaltextrun"/>
          <w:rFonts w:ascii="Arial" w:eastAsiaTheme="majorEastAsia" w:hAnsi="Arial" w:cs="Arial"/>
          <w:i/>
          <w:iCs/>
          <w:color w:val="222222"/>
        </w:rPr>
        <w:t>29</w:t>
      </w:r>
      <w:r>
        <w:rPr>
          <w:rStyle w:val="normaltextrun"/>
          <w:rFonts w:ascii="Arial" w:eastAsiaTheme="majorEastAsia" w:hAnsi="Arial" w:cs="Arial"/>
          <w:color w:val="222222"/>
        </w:rPr>
        <w:t>(6), pp.563-591.</w:t>
      </w:r>
      <w:r>
        <w:rPr>
          <w:rStyle w:val="normaltextrun"/>
          <w:rFonts w:ascii="Arial" w:eastAsiaTheme="majorEastAsia" w:hAnsi="Arial" w:cs="Arial"/>
        </w:rPr>
        <w:t> </w:t>
      </w:r>
    </w:p>
    <w:p w14:paraId="201D0326" w14:textId="71C80AB5" w:rsidR="009A43E7" w:rsidRDefault="009A43E7" w:rsidP="009A43E7">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rPr>
        <w:t> </w:t>
      </w:r>
    </w:p>
    <w:p w14:paraId="140E91B7" w14:textId="77777777" w:rsidR="009A43E7" w:rsidRDefault="009A43E7" w:rsidP="009A43E7">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rPr>
        <w:t>Macfarlane, G. (2024) ‘Understanding online child sexual exploitation’, </w:t>
      </w:r>
      <w:r>
        <w:rPr>
          <w:rStyle w:val="normaltextrun"/>
          <w:rFonts w:ascii="Arial" w:eastAsiaTheme="majorEastAsia" w:hAnsi="Arial" w:cs="Arial"/>
          <w:i/>
          <w:iCs/>
        </w:rPr>
        <w:t>Community Care.</w:t>
      </w:r>
      <w:r>
        <w:rPr>
          <w:rStyle w:val="normaltextrun"/>
          <w:rFonts w:ascii="Arial" w:eastAsiaTheme="majorEastAsia" w:hAnsi="Arial" w:cs="Arial"/>
        </w:rPr>
        <w:t> Available at: https://www.communitycare.co.uk/2024/10/21/understanding-online-child-sexual-exploitation/ (Accessed on 16/10/25)</w:t>
      </w:r>
      <w:r>
        <w:rPr>
          <w:rStyle w:val="eop"/>
          <w:rFonts w:ascii="Arial" w:eastAsiaTheme="majorEastAsia" w:hAnsi="Arial" w:cs="Arial"/>
        </w:rPr>
        <w:t> </w:t>
      </w:r>
    </w:p>
    <w:p w14:paraId="14307442" w14:textId="77777777" w:rsidR="00CA1E39" w:rsidRDefault="00CA1E39" w:rsidP="009A43E7">
      <w:pPr>
        <w:pStyle w:val="paragraph"/>
        <w:spacing w:before="0" w:beforeAutospacing="0" w:after="0" w:afterAutospacing="0"/>
        <w:textAlignment w:val="baseline"/>
        <w:rPr>
          <w:rFonts w:ascii="Segoe UI" w:hAnsi="Segoe UI" w:cs="Segoe UI"/>
          <w:sz w:val="18"/>
          <w:szCs w:val="18"/>
        </w:rPr>
      </w:pPr>
    </w:p>
    <w:p w14:paraId="0DF8C2D8" w14:textId="77777777" w:rsidR="009A43E7" w:rsidRDefault="009A43E7" w:rsidP="009A43E7">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rPr>
        <w:t>National Crime Agency (NCA) (2022) </w:t>
      </w:r>
      <w:r>
        <w:rPr>
          <w:rStyle w:val="normaltextrun"/>
          <w:rFonts w:ascii="Arial" w:eastAsiaTheme="majorEastAsia" w:hAnsi="Arial" w:cs="Arial"/>
          <w:i/>
          <w:iCs/>
        </w:rPr>
        <w:t>National strategic assessment of serious and organised crime.</w:t>
      </w:r>
      <w:r>
        <w:rPr>
          <w:rStyle w:val="normaltextrun"/>
          <w:rFonts w:ascii="Arial" w:eastAsiaTheme="majorEastAsia" w:hAnsi="Arial" w:cs="Arial"/>
        </w:rPr>
        <w:t> Available at: https://www.nationalcrimeagency.gov.uk (Accessed on 16/10/25).</w:t>
      </w:r>
      <w:r>
        <w:rPr>
          <w:rStyle w:val="eop"/>
          <w:rFonts w:ascii="Arial" w:eastAsiaTheme="majorEastAsia" w:hAnsi="Arial" w:cs="Arial"/>
        </w:rPr>
        <w:t> </w:t>
      </w:r>
    </w:p>
    <w:p w14:paraId="7A660C0C" w14:textId="77777777" w:rsidR="00CA1E39" w:rsidRDefault="00CA1E39" w:rsidP="009A43E7">
      <w:pPr>
        <w:pStyle w:val="paragraph"/>
        <w:spacing w:before="0" w:beforeAutospacing="0" w:after="0" w:afterAutospacing="0"/>
        <w:textAlignment w:val="baseline"/>
        <w:rPr>
          <w:rFonts w:ascii="Segoe UI" w:hAnsi="Segoe UI" w:cs="Segoe UI"/>
          <w:sz w:val="18"/>
          <w:szCs w:val="18"/>
        </w:rPr>
      </w:pPr>
    </w:p>
    <w:p w14:paraId="1B579623" w14:textId="77777777" w:rsidR="009A43E7" w:rsidRDefault="009A43E7" w:rsidP="009A43E7">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rPr>
        <w:t>McVeigh, M.J. and Heward-Belle, S. (2024) ‘Analysing the scientific literature on policing approaches to disrupt child sexual exploitation’, </w:t>
      </w:r>
      <w:r>
        <w:rPr>
          <w:rStyle w:val="normaltextrun"/>
          <w:rFonts w:ascii="Arial" w:eastAsiaTheme="majorEastAsia" w:hAnsi="Arial" w:cs="Arial"/>
          <w:i/>
          <w:iCs/>
        </w:rPr>
        <w:t>Policing: A Journal of Policy and Practice</w:t>
      </w:r>
      <w:r>
        <w:rPr>
          <w:rStyle w:val="normaltextrun"/>
          <w:rFonts w:ascii="Arial" w:eastAsiaTheme="majorEastAsia" w:hAnsi="Arial" w:cs="Arial"/>
        </w:rPr>
        <w:t>, 18, paae088. doi:10.1093/police/paae088.</w:t>
      </w:r>
      <w:r>
        <w:rPr>
          <w:rStyle w:val="eop"/>
          <w:rFonts w:ascii="Arial" w:eastAsiaTheme="majorEastAsia" w:hAnsi="Arial" w:cs="Arial"/>
        </w:rPr>
        <w:t> </w:t>
      </w:r>
    </w:p>
    <w:p w14:paraId="073EA8A2" w14:textId="77777777" w:rsidR="00CA1E39" w:rsidRDefault="00CA1E39" w:rsidP="009A43E7">
      <w:pPr>
        <w:pStyle w:val="paragraph"/>
        <w:spacing w:before="0" w:beforeAutospacing="0" w:after="0" w:afterAutospacing="0"/>
        <w:textAlignment w:val="baseline"/>
        <w:rPr>
          <w:rFonts w:ascii="Segoe UI" w:hAnsi="Segoe UI" w:cs="Segoe UI"/>
          <w:sz w:val="18"/>
          <w:szCs w:val="18"/>
        </w:rPr>
      </w:pPr>
    </w:p>
    <w:p w14:paraId="0A278300" w14:textId="77777777" w:rsidR="009A43E7" w:rsidRDefault="009A43E7" w:rsidP="009A43E7">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rPr>
        <w:t>Northampton Chronicle (2022) </w:t>
      </w:r>
      <w:r>
        <w:rPr>
          <w:rStyle w:val="normaltextrun"/>
          <w:rFonts w:ascii="Arial" w:eastAsiaTheme="majorEastAsia" w:hAnsi="Arial" w:cs="Arial"/>
          <w:i/>
          <w:iCs/>
        </w:rPr>
        <w:t>Child sex offender jailed after befriending Northamptonshire teenager via online gaming platform</w:t>
      </w:r>
      <w:r>
        <w:rPr>
          <w:rStyle w:val="normaltextrun"/>
          <w:rFonts w:ascii="Arial" w:eastAsiaTheme="majorEastAsia" w:hAnsi="Arial" w:cs="Arial"/>
        </w:rPr>
        <w:t>. Available at: https://www.northamptonchron.co.uk/news/crime/child-sex-offender-jailed-after-befriending-northamptonshire-teenager-via-online-gaming-platform-3877425 (Accessed on 16/10/25).</w:t>
      </w:r>
      <w:r>
        <w:rPr>
          <w:rStyle w:val="eop"/>
          <w:rFonts w:ascii="Arial" w:eastAsiaTheme="majorEastAsia" w:hAnsi="Arial" w:cs="Arial"/>
        </w:rPr>
        <w:t> </w:t>
      </w:r>
    </w:p>
    <w:p w14:paraId="3CE718D2" w14:textId="77777777" w:rsidR="00CA1E39" w:rsidRDefault="00CA1E39" w:rsidP="009A43E7">
      <w:pPr>
        <w:pStyle w:val="paragraph"/>
        <w:spacing w:before="0" w:beforeAutospacing="0" w:after="0" w:afterAutospacing="0"/>
        <w:textAlignment w:val="baseline"/>
        <w:rPr>
          <w:rFonts w:ascii="Segoe UI" w:hAnsi="Segoe UI" w:cs="Segoe UI"/>
          <w:sz w:val="18"/>
          <w:szCs w:val="18"/>
        </w:rPr>
      </w:pPr>
    </w:p>
    <w:p w14:paraId="28D95903" w14:textId="77777777" w:rsidR="009A43E7" w:rsidRDefault="009A43E7" w:rsidP="009A43E7">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rPr>
        <w:t>National Police Chiefs’ Council (NPCC) (2024) ‘Undercover officers targeting child abusers make 1,700 arrests in one year’. Available at: https://news.npcc.police.uk/releases/undercover-officers-targeting-child-abusers-online-make-1-700-arrests-in-one-year (Accessed on 5/11/25).</w:t>
      </w:r>
      <w:r>
        <w:rPr>
          <w:rStyle w:val="eop"/>
          <w:rFonts w:ascii="Arial" w:eastAsiaTheme="majorEastAsia" w:hAnsi="Arial" w:cs="Arial"/>
        </w:rPr>
        <w:t> </w:t>
      </w:r>
    </w:p>
    <w:p w14:paraId="634813C1" w14:textId="77777777" w:rsidR="00CA1E39" w:rsidRDefault="00CA1E39" w:rsidP="009A43E7">
      <w:pPr>
        <w:pStyle w:val="paragraph"/>
        <w:spacing w:before="0" w:beforeAutospacing="0" w:after="0" w:afterAutospacing="0"/>
        <w:textAlignment w:val="baseline"/>
        <w:rPr>
          <w:rFonts w:ascii="Segoe UI" w:hAnsi="Segoe UI" w:cs="Segoe UI"/>
          <w:sz w:val="18"/>
          <w:szCs w:val="18"/>
        </w:rPr>
      </w:pPr>
    </w:p>
    <w:p w14:paraId="1FA914C1" w14:textId="77777777" w:rsidR="00CA1E39" w:rsidRDefault="009A43E7" w:rsidP="009A43E7">
      <w:pPr>
        <w:pStyle w:val="paragraph"/>
        <w:spacing w:before="0" w:beforeAutospacing="0" w:after="0" w:afterAutospacing="0"/>
        <w:textAlignment w:val="baseline"/>
        <w:rPr>
          <w:rStyle w:val="normaltextrun"/>
          <w:rFonts w:ascii="Arial" w:eastAsiaTheme="majorEastAsia" w:hAnsi="Arial" w:cs="Arial"/>
        </w:rPr>
      </w:pPr>
      <w:r>
        <w:rPr>
          <w:rStyle w:val="normaltextrun"/>
          <w:rFonts w:ascii="Arial" w:eastAsiaTheme="majorEastAsia" w:hAnsi="Arial" w:cs="Arial"/>
        </w:rPr>
        <w:t>NSPCC (2024) </w:t>
      </w:r>
      <w:r>
        <w:rPr>
          <w:rStyle w:val="normaltextrun"/>
          <w:rFonts w:ascii="Arial" w:eastAsiaTheme="majorEastAsia" w:hAnsi="Arial" w:cs="Arial"/>
          <w:i/>
          <w:iCs/>
        </w:rPr>
        <w:t>Online harm and abuse: statistics briefing</w:t>
      </w:r>
      <w:r>
        <w:rPr>
          <w:rStyle w:val="normaltextrun"/>
          <w:rFonts w:ascii="Arial" w:eastAsiaTheme="majorEastAsia" w:hAnsi="Arial" w:cs="Arial"/>
        </w:rPr>
        <w:t>. Available at: https://learning.nspcc.org.uk/research-resources/statistics-briefings/online-harm-abuse (Accessed on 15/10/25).</w:t>
      </w:r>
    </w:p>
    <w:p w14:paraId="3538A2E7" w14:textId="2644276C" w:rsidR="009A43E7" w:rsidRDefault="009A43E7" w:rsidP="009A43E7">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rPr>
        <w:t> </w:t>
      </w:r>
    </w:p>
    <w:p w14:paraId="58CE5773" w14:textId="77777777" w:rsidR="009A43E7" w:rsidRDefault="009A43E7" w:rsidP="009A43E7">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rPr>
        <w:t>Oxfordshire Safeguarding Children Board (2015) </w:t>
      </w:r>
      <w:r>
        <w:rPr>
          <w:rStyle w:val="normaltextrun"/>
          <w:rFonts w:ascii="Arial" w:eastAsiaTheme="majorEastAsia" w:hAnsi="Arial" w:cs="Arial"/>
          <w:i/>
          <w:iCs/>
        </w:rPr>
        <w:t>Serious Case Review into child sexual exploitation in Oxfordshire (Operation Bullfinch)</w:t>
      </w:r>
      <w:r>
        <w:rPr>
          <w:rStyle w:val="normaltextrun"/>
          <w:rFonts w:ascii="Arial" w:eastAsiaTheme="majorEastAsia" w:hAnsi="Arial" w:cs="Arial"/>
        </w:rPr>
        <w:t>. Oxfordshire: Oxfordshire Safeguarding Children Board. Available at: https://www.oscb.org.uk/wp-content/uploads/Serious-Case-Review-into-Child-Sexual-Exploitation-in-Oxfordshire-FINAL-Updated-14.3.15.pdf. (Accessed on 3/11/25).</w:t>
      </w:r>
      <w:r>
        <w:rPr>
          <w:rStyle w:val="eop"/>
          <w:rFonts w:ascii="Arial" w:eastAsiaTheme="majorEastAsia" w:hAnsi="Arial" w:cs="Arial"/>
        </w:rPr>
        <w:t> </w:t>
      </w:r>
    </w:p>
    <w:p w14:paraId="4754907F" w14:textId="77777777" w:rsidR="00CA1E39" w:rsidRDefault="00CA1E39" w:rsidP="009A43E7">
      <w:pPr>
        <w:pStyle w:val="paragraph"/>
        <w:spacing w:before="0" w:beforeAutospacing="0" w:after="0" w:afterAutospacing="0"/>
        <w:textAlignment w:val="baseline"/>
        <w:rPr>
          <w:rFonts w:ascii="Segoe UI" w:hAnsi="Segoe UI" w:cs="Segoe UI"/>
          <w:sz w:val="18"/>
          <w:szCs w:val="18"/>
        </w:rPr>
      </w:pPr>
    </w:p>
    <w:p w14:paraId="7EFDC751" w14:textId="77777777" w:rsidR="009A43E7" w:rsidRDefault="009A43E7" w:rsidP="009A43E7">
      <w:pPr>
        <w:pStyle w:val="paragraph"/>
        <w:spacing w:before="0" w:beforeAutospacing="0" w:after="0" w:afterAutospacing="0"/>
        <w:textAlignment w:val="baseline"/>
        <w:rPr>
          <w:rStyle w:val="eop"/>
          <w:rFonts w:ascii="Arial" w:eastAsiaTheme="majorEastAsia" w:hAnsi="Arial" w:cs="Arial"/>
          <w:lang w:val="en-US"/>
        </w:rPr>
      </w:pPr>
      <w:proofErr w:type="spellStart"/>
      <w:r>
        <w:rPr>
          <w:rStyle w:val="normaltextrun"/>
          <w:rFonts w:ascii="Arial" w:eastAsiaTheme="majorEastAsia" w:hAnsi="Arial" w:cs="Arial"/>
        </w:rPr>
        <w:t>Rappert</w:t>
      </w:r>
      <w:proofErr w:type="spellEnd"/>
      <w:r>
        <w:rPr>
          <w:rStyle w:val="normaltextrun"/>
          <w:rFonts w:ascii="Arial" w:eastAsiaTheme="majorEastAsia" w:hAnsi="Arial" w:cs="Arial"/>
        </w:rPr>
        <w:t>, B., Wilson-Kovacs, D., Wheat, H. and Leonelli, S. (2022) ‘Evincing offence: How digital forensics turns big data into evidence for policing sexual abuse’, </w:t>
      </w:r>
      <w:r>
        <w:rPr>
          <w:rStyle w:val="normaltextrun"/>
          <w:rFonts w:ascii="Arial" w:eastAsiaTheme="majorEastAsia" w:hAnsi="Arial" w:cs="Arial"/>
          <w:i/>
          <w:iCs/>
        </w:rPr>
        <w:t>Engaging Science, Technology and Society</w:t>
      </w:r>
      <w:r>
        <w:rPr>
          <w:rStyle w:val="normaltextrun"/>
          <w:rFonts w:ascii="Arial" w:eastAsiaTheme="majorEastAsia" w:hAnsi="Arial" w:cs="Arial"/>
        </w:rPr>
        <w:t>, 8(3), pp. 105–127.</w:t>
      </w:r>
      <w:r>
        <w:rPr>
          <w:rStyle w:val="eop"/>
          <w:rFonts w:ascii="Arial" w:eastAsiaTheme="majorEastAsia" w:hAnsi="Arial" w:cs="Arial"/>
          <w:lang w:val="en-US"/>
        </w:rPr>
        <w:t> </w:t>
      </w:r>
    </w:p>
    <w:p w14:paraId="0EABCEF9" w14:textId="77777777" w:rsidR="00CA1E39" w:rsidRDefault="00CA1E39" w:rsidP="009A43E7">
      <w:pPr>
        <w:pStyle w:val="paragraph"/>
        <w:spacing w:before="0" w:beforeAutospacing="0" w:after="0" w:afterAutospacing="0"/>
        <w:textAlignment w:val="baseline"/>
        <w:rPr>
          <w:rFonts w:ascii="Segoe UI" w:hAnsi="Segoe UI" w:cs="Segoe UI"/>
          <w:sz w:val="18"/>
          <w:szCs w:val="18"/>
          <w:lang w:val="en-US"/>
        </w:rPr>
      </w:pPr>
    </w:p>
    <w:p w14:paraId="68D467E2" w14:textId="77777777" w:rsidR="009A43E7" w:rsidRDefault="009A43E7" w:rsidP="009A43E7">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rPr>
        <w:t>Shaw, J. and Greenhow, S. (2020) ‘Children in care: exploitation, offending and the denial of victimhood in a prosecution-led culture of practice’, </w:t>
      </w:r>
      <w:r>
        <w:rPr>
          <w:rStyle w:val="normaltextrun"/>
          <w:rFonts w:ascii="Arial" w:eastAsiaTheme="majorEastAsia" w:hAnsi="Arial" w:cs="Arial"/>
          <w:i/>
          <w:iCs/>
        </w:rPr>
        <w:t>British Journal of Social Work</w:t>
      </w:r>
      <w:r>
        <w:rPr>
          <w:rStyle w:val="normaltextrun"/>
          <w:rFonts w:ascii="Arial" w:eastAsiaTheme="majorEastAsia" w:hAnsi="Arial" w:cs="Arial"/>
        </w:rPr>
        <w:t>, 50(5), pp. 1551-1569. doi:10.1093/</w:t>
      </w:r>
      <w:proofErr w:type="spellStart"/>
      <w:r>
        <w:rPr>
          <w:rStyle w:val="normaltextrun"/>
          <w:rFonts w:ascii="Arial" w:eastAsiaTheme="majorEastAsia" w:hAnsi="Arial" w:cs="Arial"/>
        </w:rPr>
        <w:t>bjsw</w:t>
      </w:r>
      <w:proofErr w:type="spellEnd"/>
      <w:r>
        <w:rPr>
          <w:rStyle w:val="normaltextrun"/>
          <w:rFonts w:ascii="Arial" w:eastAsiaTheme="majorEastAsia" w:hAnsi="Arial" w:cs="Arial"/>
        </w:rPr>
        <w:t>/bcz137.</w:t>
      </w:r>
      <w:r>
        <w:rPr>
          <w:rStyle w:val="eop"/>
          <w:rFonts w:ascii="Arial" w:eastAsiaTheme="majorEastAsia" w:hAnsi="Arial" w:cs="Arial"/>
        </w:rPr>
        <w:t> </w:t>
      </w:r>
    </w:p>
    <w:p w14:paraId="77A5CD89" w14:textId="77777777" w:rsidR="00CA1E39" w:rsidRDefault="00CA1E39" w:rsidP="009A43E7">
      <w:pPr>
        <w:pStyle w:val="paragraph"/>
        <w:spacing w:before="0" w:beforeAutospacing="0" w:after="0" w:afterAutospacing="0"/>
        <w:textAlignment w:val="baseline"/>
        <w:rPr>
          <w:rFonts w:ascii="Segoe UI" w:hAnsi="Segoe UI" w:cs="Segoe UI"/>
          <w:sz w:val="18"/>
          <w:szCs w:val="18"/>
        </w:rPr>
      </w:pPr>
    </w:p>
    <w:p w14:paraId="37A233E0" w14:textId="77777777" w:rsidR="009A43E7" w:rsidRDefault="009A43E7" w:rsidP="009A43E7">
      <w:pPr>
        <w:pStyle w:val="paragraph"/>
        <w:spacing w:before="0" w:beforeAutospacing="0" w:after="0" w:afterAutospacing="0"/>
        <w:textAlignment w:val="baseline"/>
        <w:rPr>
          <w:rStyle w:val="eop"/>
          <w:rFonts w:ascii="Arial" w:eastAsiaTheme="majorEastAsia" w:hAnsi="Arial" w:cs="Arial"/>
          <w:color w:val="222222"/>
        </w:rPr>
      </w:pPr>
      <w:r>
        <w:rPr>
          <w:rStyle w:val="normaltextrun"/>
          <w:rFonts w:ascii="Arial" w:eastAsiaTheme="majorEastAsia" w:hAnsi="Arial" w:cs="Arial"/>
          <w:color w:val="222222"/>
        </w:rPr>
        <w:t>Tufail, W. (2015) Rotherham, Rochdale, and the racialised threat of the 'Muslim Grooming Gang'. </w:t>
      </w:r>
      <w:r>
        <w:rPr>
          <w:rStyle w:val="normaltextrun"/>
          <w:rFonts w:ascii="Arial" w:eastAsiaTheme="majorEastAsia" w:hAnsi="Arial" w:cs="Arial"/>
          <w:i/>
          <w:iCs/>
          <w:color w:val="222222"/>
        </w:rPr>
        <w:t>International Journal for Crime, Justice and Social Democracy</w:t>
      </w:r>
      <w:r>
        <w:rPr>
          <w:rStyle w:val="normaltextrun"/>
          <w:rFonts w:ascii="Arial" w:eastAsiaTheme="majorEastAsia" w:hAnsi="Arial" w:cs="Arial"/>
          <w:color w:val="222222"/>
        </w:rPr>
        <w:t>, </w:t>
      </w:r>
      <w:r>
        <w:rPr>
          <w:rStyle w:val="normaltextrun"/>
          <w:rFonts w:ascii="Arial" w:eastAsiaTheme="majorEastAsia" w:hAnsi="Arial" w:cs="Arial"/>
          <w:i/>
          <w:iCs/>
          <w:color w:val="222222"/>
        </w:rPr>
        <w:t>4</w:t>
      </w:r>
      <w:r>
        <w:rPr>
          <w:rStyle w:val="normaltextrun"/>
          <w:rFonts w:ascii="Arial" w:eastAsiaTheme="majorEastAsia" w:hAnsi="Arial" w:cs="Arial"/>
          <w:color w:val="222222"/>
        </w:rPr>
        <w:t>(3), pp.30-43.</w:t>
      </w:r>
      <w:r>
        <w:rPr>
          <w:rStyle w:val="eop"/>
          <w:rFonts w:ascii="Arial" w:eastAsiaTheme="majorEastAsia" w:hAnsi="Arial" w:cs="Arial"/>
          <w:color w:val="222222"/>
        </w:rPr>
        <w:t> </w:t>
      </w:r>
    </w:p>
    <w:p w14:paraId="3B5334D4" w14:textId="77777777" w:rsidR="00CA1E39" w:rsidRDefault="00CA1E39" w:rsidP="009A43E7">
      <w:pPr>
        <w:pStyle w:val="paragraph"/>
        <w:spacing w:before="0" w:beforeAutospacing="0" w:after="0" w:afterAutospacing="0"/>
        <w:textAlignment w:val="baseline"/>
        <w:rPr>
          <w:rFonts w:ascii="Segoe UI" w:hAnsi="Segoe UI" w:cs="Segoe UI"/>
          <w:sz w:val="18"/>
          <w:szCs w:val="18"/>
        </w:rPr>
      </w:pPr>
    </w:p>
    <w:p w14:paraId="64ACEBFE" w14:textId="77777777" w:rsidR="009A43E7" w:rsidRDefault="009A43E7" w:rsidP="009A43E7">
      <w:pPr>
        <w:pStyle w:val="paragraph"/>
        <w:spacing w:before="0" w:beforeAutospacing="0" w:after="0" w:afterAutospacing="0"/>
        <w:textAlignment w:val="baseline"/>
        <w:rPr>
          <w:rStyle w:val="eop"/>
          <w:rFonts w:ascii="Arial" w:eastAsiaTheme="majorEastAsia" w:hAnsi="Arial" w:cs="Arial"/>
          <w:lang w:val="en-US"/>
        </w:rPr>
      </w:pPr>
      <w:r>
        <w:rPr>
          <w:rStyle w:val="normaltextrun"/>
          <w:rFonts w:ascii="Arial" w:eastAsiaTheme="majorEastAsia" w:hAnsi="Arial" w:cs="Arial"/>
        </w:rPr>
        <w:lastRenderedPageBreak/>
        <w:t>Vulnerability Knowledge &amp; Practice Programme (VKPP) (2023) </w:t>
      </w:r>
      <w:r>
        <w:rPr>
          <w:rStyle w:val="normaltextrun"/>
          <w:rFonts w:ascii="Arial" w:eastAsiaTheme="majorEastAsia" w:hAnsi="Arial" w:cs="Arial"/>
          <w:i/>
          <w:iCs/>
        </w:rPr>
        <w:t>National analysis of police-recorded child sexual abuse and exploitation crimes report 2023</w:t>
      </w:r>
      <w:r>
        <w:rPr>
          <w:rStyle w:val="normaltextrun"/>
          <w:rFonts w:ascii="Arial" w:eastAsiaTheme="majorEastAsia" w:hAnsi="Arial" w:cs="Arial"/>
        </w:rPr>
        <w:t>. London: VKPP. Available at: https://www.vkpp.org.uk/assets/Totality-year-2-report-National-Analysis-of-Police-Recorded-CSAE-Crimes-Report-2023_compressed.pdf. (Accessed on 5/11/25).</w:t>
      </w:r>
      <w:r>
        <w:rPr>
          <w:rStyle w:val="eop"/>
          <w:rFonts w:ascii="Arial" w:eastAsiaTheme="majorEastAsia" w:hAnsi="Arial" w:cs="Arial"/>
          <w:lang w:val="en-US"/>
        </w:rPr>
        <w:t> </w:t>
      </w:r>
    </w:p>
    <w:p w14:paraId="657B1527" w14:textId="77777777" w:rsidR="00CA1E39" w:rsidRDefault="00CA1E39" w:rsidP="009A43E7">
      <w:pPr>
        <w:pStyle w:val="paragraph"/>
        <w:spacing w:before="0" w:beforeAutospacing="0" w:after="0" w:afterAutospacing="0"/>
        <w:textAlignment w:val="baseline"/>
        <w:rPr>
          <w:rFonts w:ascii="Segoe UI" w:hAnsi="Segoe UI" w:cs="Segoe UI"/>
          <w:sz w:val="18"/>
          <w:szCs w:val="18"/>
          <w:lang w:val="en-US"/>
        </w:rPr>
      </w:pPr>
    </w:p>
    <w:p w14:paraId="58E66463" w14:textId="77777777" w:rsidR="009A43E7" w:rsidRDefault="009A43E7" w:rsidP="009A43E7">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rPr>
        <w:t>Wager, N., Robertshaw-Seery, A. and Parkinson, D. (2021) </w:t>
      </w:r>
      <w:r>
        <w:rPr>
          <w:rStyle w:val="normaltextrun"/>
          <w:rFonts w:ascii="Arial" w:eastAsiaTheme="majorEastAsia" w:hAnsi="Arial" w:cs="Arial"/>
          <w:i/>
          <w:iCs/>
        </w:rPr>
        <w:t>Police disruption of child sexual abuse: Findings from a national survey of frontline personnel and strategic leads for safeguarding.</w:t>
      </w:r>
      <w:r>
        <w:rPr>
          <w:rStyle w:val="normaltextrun"/>
          <w:rFonts w:ascii="Arial" w:eastAsiaTheme="majorEastAsia" w:hAnsi="Arial" w:cs="Arial"/>
        </w:rPr>
        <w:t> Available at: https://pure.hud.ac.uk/en/publications/police-disruption-of-child-sexual-abuse-a-scoping-review/ (Accessed on 4/11/25).</w:t>
      </w:r>
      <w:r>
        <w:rPr>
          <w:rStyle w:val="eop"/>
          <w:rFonts w:ascii="Arial" w:eastAsiaTheme="majorEastAsia" w:hAnsi="Arial" w:cs="Arial"/>
        </w:rPr>
        <w:t> </w:t>
      </w:r>
    </w:p>
    <w:p w14:paraId="735C035E" w14:textId="77777777" w:rsidR="00CA1E39" w:rsidRDefault="00CA1E39" w:rsidP="009A43E7">
      <w:pPr>
        <w:pStyle w:val="paragraph"/>
        <w:spacing w:before="0" w:beforeAutospacing="0" w:after="0" w:afterAutospacing="0"/>
        <w:textAlignment w:val="baseline"/>
        <w:rPr>
          <w:rFonts w:ascii="Segoe UI" w:hAnsi="Segoe UI" w:cs="Segoe UI"/>
          <w:sz w:val="18"/>
          <w:szCs w:val="18"/>
        </w:rPr>
      </w:pPr>
    </w:p>
    <w:p w14:paraId="19A60023" w14:textId="77777777" w:rsidR="009A43E7" w:rsidRDefault="009A43E7" w:rsidP="009A43E7">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color w:val="222222"/>
        </w:rPr>
        <w:t>Wainwright, V., Hill, L., Ibrahim, S., Turner, P., Allen, K.L. and Flynn, S. (2025). A preliminary investigation into online sexual offending in one police force in England: insights for developing police management strategies. </w:t>
      </w:r>
      <w:r>
        <w:rPr>
          <w:rStyle w:val="normaltextrun"/>
          <w:rFonts w:ascii="Arial" w:eastAsiaTheme="majorEastAsia" w:hAnsi="Arial" w:cs="Arial"/>
          <w:i/>
          <w:iCs/>
          <w:color w:val="222222"/>
        </w:rPr>
        <w:t>Policing: A Journal of Policy and Practice</w:t>
      </w:r>
      <w:r>
        <w:rPr>
          <w:rStyle w:val="normaltextrun"/>
          <w:rFonts w:ascii="Arial" w:eastAsiaTheme="majorEastAsia" w:hAnsi="Arial" w:cs="Arial"/>
          <w:color w:val="222222"/>
        </w:rPr>
        <w:t>, </w:t>
      </w:r>
      <w:r>
        <w:rPr>
          <w:rStyle w:val="normaltextrun"/>
          <w:rFonts w:ascii="Arial" w:eastAsiaTheme="majorEastAsia" w:hAnsi="Arial" w:cs="Arial"/>
          <w:i/>
          <w:iCs/>
          <w:color w:val="222222"/>
        </w:rPr>
        <w:t>19</w:t>
      </w:r>
      <w:r>
        <w:rPr>
          <w:rStyle w:val="normaltextrun"/>
          <w:rFonts w:ascii="Arial" w:eastAsiaTheme="majorEastAsia" w:hAnsi="Arial" w:cs="Arial"/>
          <w:color w:val="222222"/>
        </w:rPr>
        <w:t>, </w:t>
      </w:r>
      <w:r>
        <w:rPr>
          <w:rStyle w:val="normaltextrun"/>
          <w:rFonts w:ascii="Arial" w:eastAsiaTheme="majorEastAsia" w:hAnsi="Arial" w:cs="Arial"/>
        </w:rPr>
        <w:t>paaf024. doi:10.1093/police/paaf024.</w:t>
      </w:r>
      <w:r>
        <w:rPr>
          <w:rStyle w:val="eop"/>
          <w:rFonts w:ascii="Arial" w:eastAsiaTheme="majorEastAsia" w:hAnsi="Arial" w:cs="Arial"/>
        </w:rPr>
        <w:t> </w:t>
      </w:r>
    </w:p>
    <w:p w14:paraId="34189092" w14:textId="77777777" w:rsidR="00CA1E39" w:rsidRDefault="00CA1E39" w:rsidP="009A43E7">
      <w:pPr>
        <w:pStyle w:val="paragraph"/>
        <w:spacing w:before="0" w:beforeAutospacing="0" w:after="0" w:afterAutospacing="0"/>
        <w:textAlignment w:val="baseline"/>
        <w:rPr>
          <w:rFonts w:ascii="Segoe UI" w:hAnsi="Segoe UI" w:cs="Segoe UI"/>
          <w:sz w:val="18"/>
          <w:szCs w:val="18"/>
        </w:rPr>
      </w:pPr>
    </w:p>
    <w:p w14:paraId="105FEDD9" w14:textId="77777777" w:rsidR="009A43E7" w:rsidRDefault="009A43E7" w:rsidP="009A43E7">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Williams, R., Elliott, I.A. and Beech, A.R. (2013) ‘Identifying sexual grooming themes used by internet sex offenders’, </w:t>
      </w:r>
      <w:r>
        <w:rPr>
          <w:rStyle w:val="normaltextrun"/>
          <w:rFonts w:ascii="Arial" w:eastAsiaTheme="majorEastAsia" w:hAnsi="Arial" w:cs="Arial"/>
          <w:i/>
          <w:iCs/>
        </w:rPr>
        <w:t>Deviant </w:t>
      </w:r>
      <w:proofErr w:type="spellStart"/>
      <w:r>
        <w:rPr>
          <w:rStyle w:val="normaltextrun"/>
          <w:rFonts w:ascii="Arial" w:eastAsiaTheme="majorEastAsia" w:hAnsi="Arial" w:cs="Arial"/>
          <w:i/>
          <w:iCs/>
        </w:rPr>
        <w:t>Behavior</w:t>
      </w:r>
      <w:proofErr w:type="spellEnd"/>
      <w:r>
        <w:rPr>
          <w:rStyle w:val="normaltextrun"/>
          <w:rFonts w:ascii="Arial" w:eastAsiaTheme="majorEastAsia" w:hAnsi="Arial" w:cs="Arial"/>
        </w:rPr>
        <w:t>, 34(2), pp. 135–152. </w:t>
      </w:r>
      <w:proofErr w:type="spellStart"/>
      <w:r>
        <w:rPr>
          <w:rStyle w:val="normaltextrun"/>
          <w:rFonts w:ascii="Arial" w:eastAsiaTheme="majorEastAsia" w:hAnsi="Arial" w:cs="Arial"/>
        </w:rPr>
        <w:t>doi</w:t>
      </w:r>
      <w:proofErr w:type="spellEnd"/>
      <w:r>
        <w:rPr>
          <w:rStyle w:val="normaltextrun"/>
          <w:rFonts w:ascii="Arial" w:eastAsiaTheme="majorEastAsia" w:hAnsi="Arial" w:cs="Arial"/>
        </w:rPr>
        <w:t>: 10.1080/01639625.2012.707550.</w:t>
      </w:r>
      <w:r>
        <w:rPr>
          <w:rStyle w:val="eop"/>
          <w:rFonts w:ascii="Arial" w:eastAsiaTheme="majorEastAsia" w:hAnsi="Arial" w:cs="Arial"/>
        </w:rPr>
        <w:t> </w:t>
      </w:r>
    </w:p>
    <w:p w14:paraId="4B345AF9" w14:textId="77777777" w:rsidR="009A43E7" w:rsidRDefault="009A43E7" w:rsidP="009A43E7">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color w:val="222222"/>
        </w:rPr>
        <w:t> </w:t>
      </w:r>
    </w:p>
    <w:p w14:paraId="14F2CECC" w14:textId="77777777" w:rsidR="009A43E7" w:rsidRDefault="009A43E7" w:rsidP="009A43E7">
      <w:pPr>
        <w:pStyle w:val="paragraph"/>
        <w:spacing w:before="0" w:beforeAutospacing="0" w:after="0" w:afterAutospacing="0" w:line="480" w:lineRule="auto"/>
        <w:textAlignment w:val="baseline"/>
        <w:rPr>
          <w:rFonts w:ascii="Segoe UI" w:hAnsi="Segoe UI" w:cs="Segoe UI"/>
          <w:sz w:val="18"/>
          <w:szCs w:val="18"/>
        </w:rPr>
      </w:pPr>
    </w:p>
    <w:p w14:paraId="7BF9594D" w14:textId="77777777" w:rsidR="009A43E7" w:rsidRDefault="009A43E7" w:rsidP="009A43E7">
      <w:pPr>
        <w:pStyle w:val="paragraph"/>
        <w:spacing w:before="0" w:beforeAutospacing="0" w:after="0" w:afterAutospacing="0" w:line="480" w:lineRule="auto"/>
        <w:textAlignment w:val="baseline"/>
        <w:rPr>
          <w:rFonts w:ascii="Segoe UI" w:hAnsi="Segoe UI" w:cs="Segoe UI"/>
          <w:sz w:val="18"/>
          <w:szCs w:val="18"/>
        </w:rPr>
      </w:pPr>
      <w:r>
        <w:rPr>
          <w:rStyle w:val="eop"/>
          <w:rFonts w:ascii="Arial" w:eastAsiaTheme="majorEastAsia" w:hAnsi="Arial" w:cs="Arial"/>
        </w:rPr>
        <w:t> </w:t>
      </w:r>
    </w:p>
    <w:p w14:paraId="18A2768A" w14:textId="77777777" w:rsidR="00E44EF1" w:rsidRDefault="00E44EF1" w:rsidP="009A43E7">
      <w:pPr>
        <w:spacing w:line="480" w:lineRule="auto"/>
      </w:pPr>
    </w:p>
    <w:sectPr w:rsidR="00E44EF1" w:rsidSect="009A43E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3E7"/>
    <w:rsid w:val="00044E3B"/>
    <w:rsid w:val="00507F6B"/>
    <w:rsid w:val="009A43E7"/>
    <w:rsid w:val="00CA1E39"/>
    <w:rsid w:val="00E20BD0"/>
    <w:rsid w:val="00E44EF1"/>
    <w:rsid w:val="00E70C2E"/>
    <w:rsid w:val="00FC2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1E648"/>
  <w15:chartTrackingRefBased/>
  <w15:docId w15:val="{0195CBB2-5E78-6146-8944-DEF0E1E1B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43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43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43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43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43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43E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43E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43E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43E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43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43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43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43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43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43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43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43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43E7"/>
    <w:rPr>
      <w:rFonts w:eastAsiaTheme="majorEastAsia" w:cstheme="majorBidi"/>
      <w:color w:val="272727" w:themeColor="text1" w:themeTint="D8"/>
    </w:rPr>
  </w:style>
  <w:style w:type="paragraph" w:styleId="Title">
    <w:name w:val="Title"/>
    <w:basedOn w:val="Normal"/>
    <w:next w:val="Normal"/>
    <w:link w:val="TitleChar"/>
    <w:uiPriority w:val="10"/>
    <w:qFormat/>
    <w:rsid w:val="009A43E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43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43E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43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43E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A43E7"/>
    <w:rPr>
      <w:i/>
      <w:iCs/>
      <w:color w:val="404040" w:themeColor="text1" w:themeTint="BF"/>
    </w:rPr>
  </w:style>
  <w:style w:type="paragraph" w:styleId="ListParagraph">
    <w:name w:val="List Paragraph"/>
    <w:basedOn w:val="Normal"/>
    <w:uiPriority w:val="34"/>
    <w:qFormat/>
    <w:rsid w:val="009A43E7"/>
    <w:pPr>
      <w:ind w:left="720"/>
      <w:contextualSpacing/>
    </w:pPr>
  </w:style>
  <w:style w:type="character" w:styleId="IntenseEmphasis">
    <w:name w:val="Intense Emphasis"/>
    <w:basedOn w:val="DefaultParagraphFont"/>
    <w:uiPriority w:val="21"/>
    <w:qFormat/>
    <w:rsid w:val="009A43E7"/>
    <w:rPr>
      <w:i/>
      <w:iCs/>
      <w:color w:val="0F4761" w:themeColor="accent1" w:themeShade="BF"/>
    </w:rPr>
  </w:style>
  <w:style w:type="paragraph" w:styleId="IntenseQuote">
    <w:name w:val="Intense Quote"/>
    <w:basedOn w:val="Normal"/>
    <w:next w:val="Normal"/>
    <w:link w:val="IntenseQuoteChar"/>
    <w:uiPriority w:val="30"/>
    <w:qFormat/>
    <w:rsid w:val="009A43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43E7"/>
    <w:rPr>
      <w:i/>
      <w:iCs/>
      <w:color w:val="0F4761" w:themeColor="accent1" w:themeShade="BF"/>
    </w:rPr>
  </w:style>
  <w:style w:type="character" w:styleId="IntenseReference">
    <w:name w:val="Intense Reference"/>
    <w:basedOn w:val="DefaultParagraphFont"/>
    <w:uiPriority w:val="32"/>
    <w:qFormat/>
    <w:rsid w:val="009A43E7"/>
    <w:rPr>
      <w:b/>
      <w:bCs/>
      <w:smallCaps/>
      <w:color w:val="0F4761" w:themeColor="accent1" w:themeShade="BF"/>
      <w:spacing w:val="5"/>
    </w:rPr>
  </w:style>
  <w:style w:type="paragraph" w:styleId="NoSpacing">
    <w:name w:val="No Spacing"/>
    <w:link w:val="NoSpacingChar"/>
    <w:uiPriority w:val="1"/>
    <w:qFormat/>
    <w:rsid w:val="009A43E7"/>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9A43E7"/>
    <w:rPr>
      <w:rFonts w:eastAsiaTheme="minorEastAsia"/>
      <w:kern w:val="0"/>
      <w:sz w:val="22"/>
      <w:szCs w:val="22"/>
      <w:lang w:val="en-US" w:eastAsia="zh-CN"/>
      <w14:ligatures w14:val="none"/>
    </w:rPr>
  </w:style>
  <w:style w:type="character" w:customStyle="1" w:styleId="normaltextrun">
    <w:name w:val="normaltextrun"/>
    <w:basedOn w:val="DefaultParagraphFont"/>
    <w:rsid w:val="009A43E7"/>
  </w:style>
  <w:style w:type="paragraph" w:customStyle="1" w:styleId="paragraph">
    <w:name w:val="paragraph"/>
    <w:basedOn w:val="Normal"/>
    <w:rsid w:val="009A43E7"/>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eop">
    <w:name w:val="eop"/>
    <w:basedOn w:val="DefaultParagraphFont"/>
    <w:rsid w:val="009A43E7"/>
  </w:style>
  <w:style w:type="character" w:customStyle="1" w:styleId="scxw163215607">
    <w:name w:val="scxw163215607"/>
    <w:basedOn w:val="DefaultParagraphFont"/>
    <w:rsid w:val="009A43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0947519">
      <w:bodyDiv w:val="1"/>
      <w:marLeft w:val="0"/>
      <w:marRight w:val="0"/>
      <w:marTop w:val="0"/>
      <w:marBottom w:val="0"/>
      <w:divBdr>
        <w:top w:val="none" w:sz="0" w:space="0" w:color="auto"/>
        <w:left w:val="none" w:sz="0" w:space="0" w:color="auto"/>
        <w:bottom w:val="none" w:sz="0" w:space="0" w:color="auto"/>
        <w:right w:val="none" w:sz="0" w:space="0" w:color="auto"/>
      </w:divBdr>
      <w:divsChild>
        <w:div w:id="1131361333">
          <w:marLeft w:val="0"/>
          <w:marRight w:val="0"/>
          <w:marTop w:val="0"/>
          <w:marBottom w:val="0"/>
          <w:divBdr>
            <w:top w:val="none" w:sz="0" w:space="0" w:color="auto"/>
            <w:left w:val="none" w:sz="0" w:space="0" w:color="auto"/>
            <w:bottom w:val="none" w:sz="0" w:space="0" w:color="auto"/>
            <w:right w:val="none" w:sz="0" w:space="0" w:color="auto"/>
          </w:divBdr>
        </w:div>
        <w:div w:id="1997152124">
          <w:marLeft w:val="0"/>
          <w:marRight w:val="0"/>
          <w:marTop w:val="0"/>
          <w:marBottom w:val="0"/>
          <w:divBdr>
            <w:top w:val="none" w:sz="0" w:space="0" w:color="auto"/>
            <w:left w:val="none" w:sz="0" w:space="0" w:color="auto"/>
            <w:bottom w:val="none" w:sz="0" w:space="0" w:color="auto"/>
            <w:right w:val="none" w:sz="0" w:space="0" w:color="auto"/>
          </w:divBdr>
        </w:div>
        <w:div w:id="1964118896">
          <w:marLeft w:val="0"/>
          <w:marRight w:val="0"/>
          <w:marTop w:val="0"/>
          <w:marBottom w:val="0"/>
          <w:divBdr>
            <w:top w:val="none" w:sz="0" w:space="0" w:color="auto"/>
            <w:left w:val="none" w:sz="0" w:space="0" w:color="auto"/>
            <w:bottom w:val="none" w:sz="0" w:space="0" w:color="auto"/>
            <w:right w:val="none" w:sz="0" w:space="0" w:color="auto"/>
          </w:divBdr>
        </w:div>
        <w:div w:id="1181622874">
          <w:marLeft w:val="0"/>
          <w:marRight w:val="0"/>
          <w:marTop w:val="0"/>
          <w:marBottom w:val="0"/>
          <w:divBdr>
            <w:top w:val="none" w:sz="0" w:space="0" w:color="auto"/>
            <w:left w:val="none" w:sz="0" w:space="0" w:color="auto"/>
            <w:bottom w:val="none" w:sz="0" w:space="0" w:color="auto"/>
            <w:right w:val="none" w:sz="0" w:space="0" w:color="auto"/>
          </w:divBdr>
        </w:div>
        <w:div w:id="1628780704">
          <w:marLeft w:val="0"/>
          <w:marRight w:val="0"/>
          <w:marTop w:val="0"/>
          <w:marBottom w:val="0"/>
          <w:divBdr>
            <w:top w:val="none" w:sz="0" w:space="0" w:color="auto"/>
            <w:left w:val="none" w:sz="0" w:space="0" w:color="auto"/>
            <w:bottom w:val="none" w:sz="0" w:space="0" w:color="auto"/>
            <w:right w:val="none" w:sz="0" w:space="0" w:color="auto"/>
          </w:divBdr>
        </w:div>
        <w:div w:id="2029064549">
          <w:marLeft w:val="0"/>
          <w:marRight w:val="0"/>
          <w:marTop w:val="0"/>
          <w:marBottom w:val="0"/>
          <w:divBdr>
            <w:top w:val="none" w:sz="0" w:space="0" w:color="auto"/>
            <w:left w:val="none" w:sz="0" w:space="0" w:color="auto"/>
            <w:bottom w:val="none" w:sz="0" w:space="0" w:color="auto"/>
            <w:right w:val="none" w:sz="0" w:space="0" w:color="auto"/>
          </w:divBdr>
        </w:div>
        <w:div w:id="1790735777">
          <w:marLeft w:val="0"/>
          <w:marRight w:val="0"/>
          <w:marTop w:val="0"/>
          <w:marBottom w:val="0"/>
          <w:divBdr>
            <w:top w:val="none" w:sz="0" w:space="0" w:color="auto"/>
            <w:left w:val="none" w:sz="0" w:space="0" w:color="auto"/>
            <w:bottom w:val="none" w:sz="0" w:space="0" w:color="auto"/>
            <w:right w:val="none" w:sz="0" w:space="0" w:color="auto"/>
          </w:divBdr>
        </w:div>
        <w:div w:id="1384133838">
          <w:marLeft w:val="0"/>
          <w:marRight w:val="0"/>
          <w:marTop w:val="0"/>
          <w:marBottom w:val="0"/>
          <w:divBdr>
            <w:top w:val="none" w:sz="0" w:space="0" w:color="auto"/>
            <w:left w:val="none" w:sz="0" w:space="0" w:color="auto"/>
            <w:bottom w:val="none" w:sz="0" w:space="0" w:color="auto"/>
            <w:right w:val="none" w:sz="0" w:space="0" w:color="auto"/>
          </w:divBdr>
        </w:div>
        <w:div w:id="1460148683">
          <w:marLeft w:val="0"/>
          <w:marRight w:val="0"/>
          <w:marTop w:val="0"/>
          <w:marBottom w:val="0"/>
          <w:divBdr>
            <w:top w:val="none" w:sz="0" w:space="0" w:color="auto"/>
            <w:left w:val="none" w:sz="0" w:space="0" w:color="auto"/>
            <w:bottom w:val="none" w:sz="0" w:space="0" w:color="auto"/>
            <w:right w:val="none" w:sz="0" w:space="0" w:color="auto"/>
          </w:divBdr>
        </w:div>
        <w:div w:id="410008866">
          <w:marLeft w:val="0"/>
          <w:marRight w:val="0"/>
          <w:marTop w:val="0"/>
          <w:marBottom w:val="0"/>
          <w:divBdr>
            <w:top w:val="none" w:sz="0" w:space="0" w:color="auto"/>
            <w:left w:val="none" w:sz="0" w:space="0" w:color="auto"/>
            <w:bottom w:val="none" w:sz="0" w:space="0" w:color="auto"/>
            <w:right w:val="none" w:sz="0" w:space="0" w:color="auto"/>
          </w:divBdr>
        </w:div>
        <w:div w:id="1287274058">
          <w:marLeft w:val="0"/>
          <w:marRight w:val="0"/>
          <w:marTop w:val="0"/>
          <w:marBottom w:val="0"/>
          <w:divBdr>
            <w:top w:val="none" w:sz="0" w:space="0" w:color="auto"/>
            <w:left w:val="none" w:sz="0" w:space="0" w:color="auto"/>
            <w:bottom w:val="none" w:sz="0" w:space="0" w:color="auto"/>
            <w:right w:val="none" w:sz="0" w:space="0" w:color="auto"/>
          </w:divBdr>
        </w:div>
        <w:div w:id="1017119857">
          <w:marLeft w:val="0"/>
          <w:marRight w:val="0"/>
          <w:marTop w:val="0"/>
          <w:marBottom w:val="0"/>
          <w:divBdr>
            <w:top w:val="none" w:sz="0" w:space="0" w:color="auto"/>
            <w:left w:val="none" w:sz="0" w:space="0" w:color="auto"/>
            <w:bottom w:val="none" w:sz="0" w:space="0" w:color="auto"/>
            <w:right w:val="none" w:sz="0" w:space="0" w:color="auto"/>
          </w:divBdr>
        </w:div>
        <w:div w:id="1942374687">
          <w:marLeft w:val="0"/>
          <w:marRight w:val="0"/>
          <w:marTop w:val="0"/>
          <w:marBottom w:val="0"/>
          <w:divBdr>
            <w:top w:val="none" w:sz="0" w:space="0" w:color="auto"/>
            <w:left w:val="none" w:sz="0" w:space="0" w:color="auto"/>
            <w:bottom w:val="none" w:sz="0" w:space="0" w:color="auto"/>
            <w:right w:val="none" w:sz="0" w:space="0" w:color="auto"/>
          </w:divBdr>
        </w:div>
        <w:div w:id="1071925019">
          <w:marLeft w:val="0"/>
          <w:marRight w:val="0"/>
          <w:marTop w:val="0"/>
          <w:marBottom w:val="0"/>
          <w:divBdr>
            <w:top w:val="none" w:sz="0" w:space="0" w:color="auto"/>
            <w:left w:val="none" w:sz="0" w:space="0" w:color="auto"/>
            <w:bottom w:val="none" w:sz="0" w:space="0" w:color="auto"/>
            <w:right w:val="none" w:sz="0" w:space="0" w:color="auto"/>
          </w:divBdr>
        </w:div>
        <w:div w:id="1867986178">
          <w:marLeft w:val="0"/>
          <w:marRight w:val="0"/>
          <w:marTop w:val="0"/>
          <w:marBottom w:val="0"/>
          <w:divBdr>
            <w:top w:val="none" w:sz="0" w:space="0" w:color="auto"/>
            <w:left w:val="none" w:sz="0" w:space="0" w:color="auto"/>
            <w:bottom w:val="none" w:sz="0" w:space="0" w:color="auto"/>
            <w:right w:val="none" w:sz="0" w:space="0" w:color="auto"/>
          </w:divBdr>
        </w:div>
        <w:div w:id="600185345">
          <w:marLeft w:val="0"/>
          <w:marRight w:val="0"/>
          <w:marTop w:val="0"/>
          <w:marBottom w:val="0"/>
          <w:divBdr>
            <w:top w:val="none" w:sz="0" w:space="0" w:color="auto"/>
            <w:left w:val="none" w:sz="0" w:space="0" w:color="auto"/>
            <w:bottom w:val="none" w:sz="0" w:space="0" w:color="auto"/>
            <w:right w:val="none" w:sz="0" w:space="0" w:color="auto"/>
          </w:divBdr>
        </w:div>
        <w:div w:id="767386027">
          <w:marLeft w:val="0"/>
          <w:marRight w:val="0"/>
          <w:marTop w:val="0"/>
          <w:marBottom w:val="0"/>
          <w:divBdr>
            <w:top w:val="none" w:sz="0" w:space="0" w:color="auto"/>
            <w:left w:val="none" w:sz="0" w:space="0" w:color="auto"/>
            <w:bottom w:val="none" w:sz="0" w:space="0" w:color="auto"/>
            <w:right w:val="none" w:sz="0" w:space="0" w:color="auto"/>
          </w:divBdr>
        </w:div>
        <w:div w:id="204100937">
          <w:marLeft w:val="0"/>
          <w:marRight w:val="0"/>
          <w:marTop w:val="0"/>
          <w:marBottom w:val="0"/>
          <w:divBdr>
            <w:top w:val="none" w:sz="0" w:space="0" w:color="auto"/>
            <w:left w:val="none" w:sz="0" w:space="0" w:color="auto"/>
            <w:bottom w:val="none" w:sz="0" w:space="0" w:color="auto"/>
            <w:right w:val="none" w:sz="0" w:space="0" w:color="auto"/>
          </w:divBdr>
        </w:div>
        <w:div w:id="1895502978">
          <w:marLeft w:val="0"/>
          <w:marRight w:val="0"/>
          <w:marTop w:val="0"/>
          <w:marBottom w:val="0"/>
          <w:divBdr>
            <w:top w:val="none" w:sz="0" w:space="0" w:color="auto"/>
            <w:left w:val="none" w:sz="0" w:space="0" w:color="auto"/>
            <w:bottom w:val="none" w:sz="0" w:space="0" w:color="auto"/>
            <w:right w:val="none" w:sz="0" w:space="0" w:color="auto"/>
          </w:divBdr>
        </w:div>
        <w:div w:id="1335839121">
          <w:marLeft w:val="0"/>
          <w:marRight w:val="0"/>
          <w:marTop w:val="0"/>
          <w:marBottom w:val="0"/>
          <w:divBdr>
            <w:top w:val="none" w:sz="0" w:space="0" w:color="auto"/>
            <w:left w:val="none" w:sz="0" w:space="0" w:color="auto"/>
            <w:bottom w:val="none" w:sz="0" w:space="0" w:color="auto"/>
            <w:right w:val="none" w:sz="0" w:space="0" w:color="auto"/>
          </w:divBdr>
        </w:div>
        <w:div w:id="1418794391">
          <w:marLeft w:val="0"/>
          <w:marRight w:val="0"/>
          <w:marTop w:val="0"/>
          <w:marBottom w:val="0"/>
          <w:divBdr>
            <w:top w:val="none" w:sz="0" w:space="0" w:color="auto"/>
            <w:left w:val="none" w:sz="0" w:space="0" w:color="auto"/>
            <w:bottom w:val="none" w:sz="0" w:space="0" w:color="auto"/>
            <w:right w:val="none" w:sz="0" w:space="0" w:color="auto"/>
          </w:divBdr>
        </w:div>
        <w:div w:id="1599948630">
          <w:marLeft w:val="0"/>
          <w:marRight w:val="0"/>
          <w:marTop w:val="0"/>
          <w:marBottom w:val="0"/>
          <w:divBdr>
            <w:top w:val="none" w:sz="0" w:space="0" w:color="auto"/>
            <w:left w:val="none" w:sz="0" w:space="0" w:color="auto"/>
            <w:bottom w:val="none" w:sz="0" w:space="0" w:color="auto"/>
            <w:right w:val="none" w:sz="0" w:space="0" w:color="auto"/>
          </w:divBdr>
        </w:div>
        <w:div w:id="1470855739">
          <w:marLeft w:val="0"/>
          <w:marRight w:val="0"/>
          <w:marTop w:val="0"/>
          <w:marBottom w:val="0"/>
          <w:divBdr>
            <w:top w:val="none" w:sz="0" w:space="0" w:color="auto"/>
            <w:left w:val="none" w:sz="0" w:space="0" w:color="auto"/>
            <w:bottom w:val="none" w:sz="0" w:space="0" w:color="auto"/>
            <w:right w:val="none" w:sz="0" w:space="0" w:color="auto"/>
          </w:divBdr>
        </w:div>
        <w:div w:id="1199007991">
          <w:marLeft w:val="0"/>
          <w:marRight w:val="0"/>
          <w:marTop w:val="0"/>
          <w:marBottom w:val="0"/>
          <w:divBdr>
            <w:top w:val="none" w:sz="0" w:space="0" w:color="auto"/>
            <w:left w:val="none" w:sz="0" w:space="0" w:color="auto"/>
            <w:bottom w:val="none" w:sz="0" w:space="0" w:color="auto"/>
            <w:right w:val="none" w:sz="0" w:space="0" w:color="auto"/>
          </w:divBdr>
        </w:div>
        <w:div w:id="1803763093">
          <w:marLeft w:val="0"/>
          <w:marRight w:val="0"/>
          <w:marTop w:val="0"/>
          <w:marBottom w:val="0"/>
          <w:divBdr>
            <w:top w:val="none" w:sz="0" w:space="0" w:color="auto"/>
            <w:left w:val="none" w:sz="0" w:space="0" w:color="auto"/>
            <w:bottom w:val="none" w:sz="0" w:space="0" w:color="auto"/>
            <w:right w:val="none" w:sz="0" w:space="0" w:color="auto"/>
          </w:divBdr>
        </w:div>
        <w:div w:id="103506185">
          <w:marLeft w:val="0"/>
          <w:marRight w:val="0"/>
          <w:marTop w:val="0"/>
          <w:marBottom w:val="0"/>
          <w:divBdr>
            <w:top w:val="none" w:sz="0" w:space="0" w:color="auto"/>
            <w:left w:val="none" w:sz="0" w:space="0" w:color="auto"/>
            <w:bottom w:val="none" w:sz="0" w:space="0" w:color="auto"/>
            <w:right w:val="none" w:sz="0" w:space="0" w:color="auto"/>
          </w:divBdr>
        </w:div>
        <w:div w:id="1278682636">
          <w:marLeft w:val="0"/>
          <w:marRight w:val="0"/>
          <w:marTop w:val="0"/>
          <w:marBottom w:val="0"/>
          <w:divBdr>
            <w:top w:val="none" w:sz="0" w:space="0" w:color="auto"/>
            <w:left w:val="none" w:sz="0" w:space="0" w:color="auto"/>
            <w:bottom w:val="none" w:sz="0" w:space="0" w:color="auto"/>
            <w:right w:val="none" w:sz="0" w:space="0" w:color="auto"/>
          </w:divBdr>
        </w:div>
      </w:divsChild>
    </w:div>
    <w:div w:id="1670479354">
      <w:bodyDiv w:val="1"/>
      <w:marLeft w:val="0"/>
      <w:marRight w:val="0"/>
      <w:marTop w:val="0"/>
      <w:marBottom w:val="0"/>
      <w:divBdr>
        <w:top w:val="none" w:sz="0" w:space="0" w:color="auto"/>
        <w:left w:val="none" w:sz="0" w:space="0" w:color="auto"/>
        <w:bottom w:val="none" w:sz="0" w:space="0" w:color="auto"/>
        <w:right w:val="none" w:sz="0" w:space="0" w:color="auto"/>
      </w:divBdr>
      <w:divsChild>
        <w:div w:id="1763181389">
          <w:marLeft w:val="0"/>
          <w:marRight w:val="0"/>
          <w:marTop w:val="0"/>
          <w:marBottom w:val="0"/>
          <w:divBdr>
            <w:top w:val="none" w:sz="0" w:space="0" w:color="auto"/>
            <w:left w:val="none" w:sz="0" w:space="0" w:color="auto"/>
            <w:bottom w:val="none" w:sz="0" w:space="0" w:color="auto"/>
            <w:right w:val="none" w:sz="0" w:space="0" w:color="auto"/>
          </w:divBdr>
        </w:div>
        <w:div w:id="1007558841">
          <w:marLeft w:val="0"/>
          <w:marRight w:val="0"/>
          <w:marTop w:val="0"/>
          <w:marBottom w:val="0"/>
          <w:divBdr>
            <w:top w:val="none" w:sz="0" w:space="0" w:color="auto"/>
            <w:left w:val="none" w:sz="0" w:space="0" w:color="auto"/>
            <w:bottom w:val="none" w:sz="0" w:space="0" w:color="auto"/>
            <w:right w:val="none" w:sz="0" w:space="0" w:color="auto"/>
          </w:divBdr>
        </w:div>
        <w:div w:id="1524976866">
          <w:marLeft w:val="0"/>
          <w:marRight w:val="0"/>
          <w:marTop w:val="0"/>
          <w:marBottom w:val="0"/>
          <w:divBdr>
            <w:top w:val="none" w:sz="0" w:space="0" w:color="auto"/>
            <w:left w:val="none" w:sz="0" w:space="0" w:color="auto"/>
            <w:bottom w:val="none" w:sz="0" w:space="0" w:color="auto"/>
            <w:right w:val="none" w:sz="0" w:space="0" w:color="auto"/>
          </w:divBdr>
        </w:div>
        <w:div w:id="211423066">
          <w:marLeft w:val="0"/>
          <w:marRight w:val="0"/>
          <w:marTop w:val="0"/>
          <w:marBottom w:val="0"/>
          <w:divBdr>
            <w:top w:val="none" w:sz="0" w:space="0" w:color="auto"/>
            <w:left w:val="none" w:sz="0" w:space="0" w:color="auto"/>
            <w:bottom w:val="none" w:sz="0" w:space="0" w:color="auto"/>
            <w:right w:val="none" w:sz="0" w:space="0" w:color="auto"/>
          </w:divBdr>
        </w:div>
        <w:div w:id="16589902">
          <w:marLeft w:val="0"/>
          <w:marRight w:val="0"/>
          <w:marTop w:val="0"/>
          <w:marBottom w:val="0"/>
          <w:divBdr>
            <w:top w:val="none" w:sz="0" w:space="0" w:color="auto"/>
            <w:left w:val="none" w:sz="0" w:space="0" w:color="auto"/>
            <w:bottom w:val="none" w:sz="0" w:space="0" w:color="auto"/>
            <w:right w:val="none" w:sz="0" w:space="0" w:color="auto"/>
          </w:divBdr>
        </w:div>
        <w:div w:id="1351908111">
          <w:marLeft w:val="0"/>
          <w:marRight w:val="0"/>
          <w:marTop w:val="0"/>
          <w:marBottom w:val="0"/>
          <w:divBdr>
            <w:top w:val="none" w:sz="0" w:space="0" w:color="auto"/>
            <w:left w:val="none" w:sz="0" w:space="0" w:color="auto"/>
            <w:bottom w:val="none" w:sz="0" w:space="0" w:color="auto"/>
            <w:right w:val="none" w:sz="0" w:space="0" w:color="auto"/>
          </w:divBdr>
        </w:div>
        <w:div w:id="153227283">
          <w:marLeft w:val="0"/>
          <w:marRight w:val="0"/>
          <w:marTop w:val="0"/>
          <w:marBottom w:val="0"/>
          <w:divBdr>
            <w:top w:val="none" w:sz="0" w:space="0" w:color="auto"/>
            <w:left w:val="none" w:sz="0" w:space="0" w:color="auto"/>
            <w:bottom w:val="none" w:sz="0" w:space="0" w:color="auto"/>
            <w:right w:val="none" w:sz="0" w:space="0" w:color="auto"/>
          </w:divBdr>
        </w:div>
        <w:div w:id="925380041">
          <w:marLeft w:val="0"/>
          <w:marRight w:val="0"/>
          <w:marTop w:val="0"/>
          <w:marBottom w:val="0"/>
          <w:divBdr>
            <w:top w:val="none" w:sz="0" w:space="0" w:color="auto"/>
            <w:left w:val="none" w:sz="0" w:space="0" w:color="auto"/>
            <w:bottom w:val="none" w:sz="0" w:space="0" w:color="auto"/>
            <w:right w:val="none" w:sz="0" w:space="0" w:color="auto"/>
          </w:divBdr>
        </w:div>
        <w:div w:id="2122870566">
          <w:marLeft w:val="0"/>
          <w:marRight w:val="0"/>
          <w:marTop w:val="0"/>
          <w:marBottom w:val="0"/>
          <w:divBdr>
            <w:top w:val="none" w:sz="0" w:space="0" w:color="auto"/>
            <w:left w:val="none" w:sz="0" w:space="0" w:color="auto"/>
            <w:bottom w:val="none" w:sz="0" w:space="0" w:color="auto"/>
            <w:right w:val="none" w:sz="0" w:space="0" w:color="auto"/>
          </w:divBdr>
        </w:div>
        <w:div w:id="702093831">
          <w:marLeft w:val="0"/>
          <w:marRight w:val="0"/>
          <w:marTop w:val="0"/>
          <w:marBottom w:val="0"/>
          <w:divBdr>
            <w:top w:val="none" w:sz="0" w:space="0" w:color="auto"/>
            <w:left w:val="none" w:sz="0" w:space="0" w:color="auto"/>
            <w:bottom w:val="none" w:sz="0" w:space="0" w:color="auto"/>
            <w:right w:val="none" w:sz="0" w:space="0" w:color="auto"/>
          </w:divBdr>
        </w:div>
        <w:div w:id="149955200">
          <w:marLeft w:val="0"/>
          <w:marRight w:val="0"/>
          <w:marTop w:val="0"/>
          <w:marBottom w:val="0"/>
          <w:divBdr>
            <w:top w:val="none" w:sz="0" w:space="0" w:color="auto"/>
            <w:left w:val="none" w:sz="0" w:space="0" w:color="auto"/>
            <w:bottom w:val="none" w:sz="0" w:space="0" w:color="auto"/>
            <w:right w:val="none" w:sz="0" w:space="0" w:color="auto"/>
          </w:divBdr>
        </w:div>
        <w:div w:id="320043137">
          <w:marLeft w:val="0"/>
          <w:marRight w:val="0"/>
          <w:marTop w:val="0"/>
          <w:marBottom w:val="0"/>
          <w:divBdr>
            <w:top w:val="none" w:sz="0" w:space="0" w:color="auto"/>
            <w:left w:val="none" w:sz="0" w:space="0" w:color="auto"/>
            <w:bottom w:val="none" w:sz="0" w:space="0" w:color="auto"/>
            <w:right w:val="none" w:sz="0" w:space="0" w:color="auto"/>
          </w:divBdr>
        </w:div>
        <w:div w:id="394399310">
          <w:marLeft w:val="0"/>
          <w:marRight w:val="0"/>
          <w:marTop w:val="0"/>
          <w:marBottom w:val="0"/>
          <w:divBdr>
            <w:top w:val="none" w:sz="0" w:space="0" w:color="auto"/>
            <w:left w:val="none" w:sz="0" w:space="0" w:color="auto"/>
            <w:bottom w:val="none" w:sz="0" w:space="0" w:color="auto"/>
            <w:right w:val="none" w:sz="0" w:space="0" w:color="auto"/>
          </w:divBdr>
        </w:div>
        <w:div w:id="14788439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This essay examines challenges associated with investigating online child sexual exploitation and evaluates responses like specialist units, digital forensics, and training, whilst highlighting successes and ongoing problems in regard to safeguarding vulnerable children.</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13</Pages>
  <Words>3125</Words>
  <Characters>17819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DIGITAL AND OPERATIONAL POLICING ASSIGNMENT 1 – “Critically Examine the challenges associated with investigating the different types of cyber-crime and police responses designed to combat these challenges”</dc:subject>
  <dc:creator>Dan Phillips 2305529</dc:creator>
  <cp:keywords/>
  <dc:description/>
  <cp:lastModifiedBy>D Phillips (Gendros Primary School)</cp:lastModifiedBy>
  <cp:revision>1</cp:revision>
  <dcterms:created xsi:type="dcterms:W3CDTF">2025-11-05T22:16:00Z</dcterms:created>
  <dcterms:modified xsi:type="dcterms:W3CDTF">2025-11-05T22:37:00Z</dcterms:modified>
</cp:coreProperties>
</file>