
<file path=[Content_Types].xml><?xml version="1.0" encoding="utf-8"?>
<Types xmlns="http://schemas.openxmlformats.org/package/2006/content-types">
  <Default Extension="xml" ContentType="application/xml"/>
  <Default Extension="jpeg" ContentType="image/jpeg"/>
  <Default Extension="wmf" ContentType="image/x-wmf"/>
  <Default Extension="png" ContentType="image/png"/>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line="360" w:lineRule="auto"/>
        <w:ind/>
        <w:jc w:val="center"/>
        <w:rPr>
          <w:sz w:val="28"/>
          <w:szCs w:val="28"/>
        </w:rPr>
      </w:pPr>
      <w:r>
        <w:rPr>
          <w:sz w:val="28"/>
          <w:szCs w:val="28"/>
          <w:rtl w:val="0"/>
        </w:rPr>
        <w:t xml:space="preserve">Drawing on secondary scholarship and your own reflections, please answer the following: What is </w:t>
      </w:r>
      <w:r>
        <w:rPr>
          <w:sz w:val="28"/>
          <w:szCs w:val="28"/>
          <w:rtl w:val="0"/>
        </w:rPr>
        <w:t xml:space="preserve">reception history</w:t>
      </w:r>
      <w:r>
        <w:rPr>
          <w:sz w:val="28"/>
          <w:szCs w:val="28"/>
          <w:rtl w:val="0"/>
        </w:rPr>
        <w:t xml:space="preserve">, and does it </w:t>
      </w:r>
      <w:r>
        <w:rPr>
          <w:sz w:val="28"/>
          <w:szCs w:val="28"/>
          <w:rtl w:val="0"/>
        </w:rPr>
        <w:t xml:space="preserve">have value</w:t>
      </w:r>
      <w:r>
        <w:rPr>
          <w:sz w:val="28"/>
          <w:szCs w:val="28"/>
          <w:rtl w:val="0"/>
        </w:rPr>
        <w:t xml:space="preserve"> in </w:t>
      </w:r>
      <w:r>
        <w:rPr>
          <w:sz w:val="28"/>
          <w:szCs w:val="28"/>
          <w:rtl w:val="0"/>
        </w:rPr>
        <w:t xml:space="preserve">biblical studies?</w:t>
      </w:r>
      <w:r>
        <w:rPr>
          <w:sz w:val="28"/>
          <w:szCs w:val="28"/>
        </w:rPr>
      </w:r>
      <w:r>
        <w:rPr>
          <w:sz w:val="28"/>
          <w:szCs w:val="28"/>
        </w:rPr>
      </w:r>
    </w:p>
    <w:p>
      <w:pPr>
        <w:pBdr/>
        <w:spacing w:line="360" w:lineRule="auto"/>
        <w:ind/>
        <w:jc w:val="left"/>
        <w:rPr>
          <w:b/>
          <w:color w:val="cc0000"/>
          <w:sz w:val="28"/>
          <w:szCs w:val="28"/>
        </w:rPr>
      </w:pPr>
      <w:r>
        <w:rPr>
          <w:rtl w:val="0"/>
        </w:rPr>
      </w:r>
      <w:r>
        <w:rPr>
          <w:b/>
          <w:color w:val="cc0000"/>
          <w:sz w:val="28"/>
          <w:szCs w:val="28"/>
        </w:rPr>
      </w:r>
      <w:r>
        <w:rPr>
          <w:b/>
          <w:color w:val="cc0000"/>
          <w:sz w:val="28"/>
          <w:szCs w:val="28"/>
        </w:rPr>
      </w:r>
    </w:p>
    <w:p>
      <w:pPr>
        <w:pBdr/>
        <w:spacing w:line="360" w:lineRule="auto"/>
        <w:ind/>
        <w:jc w:val="both"/>
        <w:rPr>
          <w:rFonts w:ascii="Amatic SC" w:hAnsi="Amatic SC" w:eastAsia="Amatic SC" w:cs="Amatic SC"/>
          <w:sz w:val="34"/>
          <w:szCs w:val="34"/>
        </w:rPr>
      </w:pPr>
      <w:r>
        <w:rPr>
          <w:rtl w:val="0"/>
        </w:rPr>
      </w:r>
      <w:r>
        <w:rPr>
          <w:rFonts w:ascii="Amatic SC" w:hAnsi="Amatic SC" w:eastAsia="Amatic SC" w:cs="Amatic SC"/>
          <w:sz w:val="34"/>
          <w:szCs w:val="34"/>
        </w:rPr>
      </w:r>
      <w:r>
        <w:rPr>
          <w:rFonts w:ascii="Amatic SC" w:hAnsi="Amatic SC" w:eastAsia="Amatic SC" w:cs="Amatic SC"/>
          <w:sz w:val="34"/>
          <w:szCs w:val="34"/>
        </w:rPr>
      </w:r>
    </w:p>
    <w:p>
      <w:pPr>
        <w:pBdr/>
        <w:spacing w:line="480" w:lineRule="auto"/>
        <w:ind/>
        <w:jc w:val="both"/>
        <w:rPr>
          <w:b/>
          <w:i/>
          <w:sz w:val="28"/>
          <w:szCs w:val="28"/>
        </w:rPr>
      </w:pPr>
      <w:r>
        <w:rPr>
          <w:b/>
          <w:i/>
          <w:sz w:val="28"/>
          <w:szCs w:val="28"/>
          <w:rtl w:val="0"/>
        </w:rPr>
        <w:t xml:space="preserve">I</w:t>
      </w:r>
      <w:r>
        <w:rPr>
          <w:b/>
          <w:i/>
          <w:sz w:val="28"/>
          <w:szCs w:val="28"/>
          <w:rtl w:val="0"/>
        </w:rPr>
        <w:t xml:space="preserve">ntroduction</w:t>
      </w:r>
      <w:r>
        <w:rPr>
          <w:b/>
          <w:i/>
          <w:sz w:val="28"/>
          <w:szCs w:val="28"/>
        </w:rPr>
      </w:r>
      <w:r>
        <w:rPr>
          <w:b/>
          <w:i/>
          <w:sz w:val="28"/>
          <w:szCs w:val="28"/>
        </w:rPr>
      </w:r>
    </w:p>
    <w:p>
      <w:pPr>
        <w:pBdr/>
        <w:spacing w:line="480" w:lineRule="auto"/>
        <w:ind/>
        <w:jc w:val="both"/>
        <w:rPr>
          <w:sz w:val="24"/>
          <w:szCs w:val="24"/>
        </w:rPr>
      </w:pPr>
      <w:r>
        <w:rPr>
          <w:sz w:val="24"/>
          <w:szCs w:val="24"/>
          <w:rtl w:val="0"/>
        </w:rPr>
        <w:t xml:space="preserve">Reception history is rooted in the philosophical concept by Gadamer</w:t>
      </w:r>
      <w:r>
        <w:rPr>
          <w:sz w:val="24"/>
          <w:szCs w:val="24"/>
          <w:rtl w:val="0"/>
        </w:rPr>
        <w:t xml:space="preserve"> and is based on the idea that “history does not belong to us; we belong to it” and therefore, Gadamer suggests that a text’s original meaning does not need to be limited to the original author’s intent and that the text’s semantics can progress over time.</w:t>
      </w:r>
      <w:r>
        <w:rPr>
          <w:sz w:val="24"/>
          <w:szCs w:val="24"/>
          <w:vertAlign w:val="superscript"/>
        </w:rPr>
        <w:footnoteReference w:id="2"/>
      </w:r>
      <w:r>
        <w:rPr>
          <w:sz w:val="24"/>
          <w:szCs w:val="24"/>
          <w:rtl w:val="0"/>
        </w:rPr>
        <w:t xml:space="preserve"> In applying this within biblical studies, reception history is the study of how biblical texts have changed over the centuries throughout history and the world, through transmission, translation and retelling.</w:t>
      </w:r>
      <w:r>
        <w:rPr>
          <w:sz w:val="24"/>
          <w:szCs w:val="24"/>
          <w:vertAlign w:val="superscript"/>
        </w:rPr>
        <w:footnoteReference w:id="3"/>
      </w:r>
      <w:r>
        <w:rPr>
          <w:sz w:val="24"/>
          <w:szCs w:val="24"/>
          <w:rtl w:val="0"/>
        </w:rPr>
        <w:t xml:space="preserve"> This contrasts biblical criticism and traditional interpretation and focuses on the texts ‘afterlife.’</w:t>
      </w:r>
      <w:r>
        <w:rPr>
          <w:sz w:val="24"/>
          <w:szCs w:val="24"/>
          <w:vertAlign w:val="superscript"/>
        </w:rPr>
        <w:footnoteReference w:id="4"/>
      </w:r>
      <w:r>
        <w:rPr>
          <w:sz w:val="24"/>
          <w:szCs w:val="24"/>
          <w:rtl w:val="0"/>
        </w:rPr>
        <w:t xml:space="preserve"> Davies adds that contemporary biblical studies views the bible as literature, rather than divine, thereby using a critical, empiricist and rational approach.</w:t>
      </w:r>
      <w:r>
        <w:rPr>
          <w:sz w:val="24"/>
          <w:szCs w:val="24"/>
          <w:vertAlign w:val="superscript"/>
        </w:rPr>
        <w:footnoteReference w:id="5"/>
      </w:r>
      <w:r>
        <w:rPr>
          <w:sz w:val="24"/>
          <w:szCs w:val="24"/>
          <w:rtl w:val="0"/>
        </w:rPr>
        <w:t xml:space="preserve"> </w:t>
      </w:r>
      <w:r>
        <w:rPr>
          <w:sz w:val="24"/>
          <w:szCs w:val="24"/>
        </w:rPr>
      </w:r>
      <w:r>
        <w:rPr>
          <w:sz w:val="24"/>
          <w:szCs w:val="24"/>
        </w:rPr>
      </w:r>
    </w:p>
    <w:p>
      <w:pPr>
        <w:pBdr/>
        <w:spacing w:line="480" w:lineRule="auto"/>
        <w:ind/>
        <w:jc w:val="both"/>
        <w:rPr>
          <w:sz w:val="24"/>
          <w:szCs w:val="24"/>
        </w:rPr>
      </w:pPr>
      <w:r>
        <w:rPr>
          <w:rtl w:val="0"/>
        </w:rPr>
      </w:r>
      <w:r>
        <w:rPr>
          <w:sz w:val="24"/>
          <w:szCs w:val="24"/>
        </w:rPr>
      </w:r>
      <w:r>
        <w:rPr>
          <w:sz w:val="24"/>
          <w:szCs w:val="24"/>
        </w:rPr>
      </w:r>
    </w:p>
    <w:p>
      <w:pPr>
        <w:pBdr/>
        <w:spacing w:line="480" w:lineRule="auto"/>
        <w:ind/>
        <w:jc w:val="both"/>
        <w:rPr>
          <w:sz w:val="24"/>
          <w:szCs w:val="24"/>
        </w:rPr>
      </w:pPr>
      <w:r>
        <w:rPr>
          <w:sz w:val="24"/>
          <w:szCs w:val="24"/>
          <w:rtl w:val="0"/>
        </w:rPr>
        <w:t xml:space="preserve">As a practi</w:t>
      </w:r>
      <w:r>
        <w:rPr>
          <w:sz w:val="24"/>
          <w:szCs w:val="24"/>
          <w:rtl w:val="0"/>
          <w:lang w:val="en"/>
        </w:rPr>
        <w:t xml:space="preserve">s</w:t>
      </w:r>
      <w:r>
        <w:rPr>
          <w:sz w:val="24"/>
          <w:szCs w:val="24"/>
          <w:rtl w:val="0"/>
        </w:rPr>
        <w:t xml:space="preserve">ing Christian, I believe reception history has value in biblical studies because it is informative for how the biblical texts have been interpre</w:t>
      </w:r>
      <w:r>
        <w:rPr>
          <w:sz w:val="24"/>
          <w:szCs w:val="24"/>
          <w:rtl w:val="0"/>
        </w:rPr>
        <w:t xml:space="preserve">ted in various methods and art forms over the centuries and shows the power and impact the Word of God has had on humanity, thus allowing contemporary readers to see how the text may have been intentionally or unintentionally manipulated due to human bias.</w:t>
      </w:r>
      <w:r>
        <w:rPr>
          <w:sz w:val="24"/>
          <w:szCs w:val="24"/>
        </w:rPr>
      </w:r>
      <w:r>
        <w:rPr>
          <w:sz w:val="24"/>
          <w:szCs w:val="24"/>
        </w:rPr>
      </w:r>
    </w:p>
    <w:p>
      <w:pPr>
        <w:pBdr/>
        <w:spacing w:line="480" w:lineRule="auto"/>
        <w:ind/>
        <w:jc w:val="both"/>
        <w:rPr>
          <w:i/>
          <w:color w:val="8e7cc3"/>
          <w:sz w:val="16"/>
          <w:szCs w:val="16"/>
        </w:rPr>
      </w:pPr>
      <w:r>
        <w:rPr>
          <w:rtl w:val="0"/>
        </w:rPr>
      </w:r>
      <w:r>
        <w:rPr>
          <w:i/>
          <w:color w:val="8e7cc3"/>
          <w:sz w:val="16"/>
          <w:szCs w:val="16"/>
        </w:rPr>
      </w:r>
      <w:r>
        <w:rPr>
          <w:i/>
          <w:color w:val="8e7cc3"/>
          <w:sz w:val="16"/>
          <w:szCs w:val="16"/>
        </w:rPr>
      </w:r>
    </w:p>
    <w:p>
      <w:pPr>
        <w:pBdr/>
        <w:spacing w:line="480" w:lineRule="auto"/>
        <w:ind/>
        <w:jc w:val="both"/>
        <w:rPr>
          <w:sz w:val="18"/>
          <w:szCs w:val="18"/>
        </w:rPr>
      </w:pPr>
      <w:r>
        <w:rPr>
          <w:b/>
          <w:i/>
          <w:sz w:val="28"/>
          <w:szCs w:val="28"/>
          <w:rtl w:val="0"/>
        </w:rPr>
        <w:t xml:space="preserve">Reception history and Biblical interpretation </w:t>
      </w:r>
      <w:r>
        <w:rPr>
          <w:sz w:val="18"/>
          <w:szCs w:val="18"/>
        </w:rPr>
      </w:r>
      <w:r>
        <w:rPr>
          <w:sz w:val="18"/>
          <w:szCs w:val="18"/>
        </w:rPr>
      </w:r>
    </w:p>
    <w:p>
      <w:pPr>
        <w:pBdr/>
        <w:spacing w:line="480" w:lineRule="auto"/>
        <w:ind/>
        <w:jc w:val="both"/>
        <w:rPr>
          <w:sz w:val="24"/>
          <w:szCs w:val="24"/>
        </w:rPr>
      </w:pPr>
      <w:r>
        <w:rPr>
          <w:sz w:val="24"/>
          <w:szCs w:val="24"/>
          <w:rtl w:val="0"/>
        </w:rPr>
        <w:t xml:space="preserve">Transla</w:t>
      </w:r>
      <w:r>
        <w:rPr>
          <w:sz w:val="24"/>
          <w:szCs w:val="24"/>
          <w:rtl w:val="0"/>
        </w:rPr>
        <w:t xml:space="preserve">tion is an important aspect and arguably the foundation of biblical interpretation; Pleijel even describes bible translators as “agents of reception” and talks about how they have power when it comes to</w:t>
      </w:r>
      <w:r>
        <w:rPr>
          <w:sz w:val="24"/>
          <w:szCs w:val="24"/>
          <w:rtl w:val="0"/>
          <w:lang w:val="en"/>
        </w:rPr>
        <w:t xml:space="preserve"> altering</w:t>
      </w:r>
      <w:r>
        <w:rPr>
          <w:sz w:val="24"/>
          <w:szCs w:val="24"/>
          <w:rtl w:val="0"/>
        </w:rPr>
        <w:t xml:space="preserve"> or a</w:t>
      </w:r>
      <w:r>
        <w:rPr>
          <w:sz w:val="24"/>
          <w:szCs w:val="24"/>
          <w:rtl w:val="0"/>
          <w:lang w:val="en"/>
        </w:rPr>
        <w:t xml:space="preserve">ffirming</w:t>
      </w:r>
      <w:r>
        <w:rPr>
          <w:sz w:val="24"/>
          <w:szCs w:val="24"/>
          <w:rtl w:val="0"/>
        </w:rPr>
        <w:t xml:space="preserve"> existing patterns of reception.</w:t>
      </w:r>
      <w:r>
        <w:rPr>
          <w:sz w:val="24"/>
          <w:szCs w:val="24"/>
          <w:vertAlign w:val="superscript"/>
        </w:rPr>
        <w:footnoteReference w:id="6"/>
      </w:r>
      <w:r>
        <w:rPr>
          <w:sz w:val="24"/>
          <w:szCs w:val="24"/>
        </w:rPr>
      </w:r>
      <w:r>
        <w:rPr>
          <w:sz w:val="24"/>
          <w:szCs w:val="24"/>
        </w:rPr>
      </w:r>
    </w:p>
    <w:p>
      <w:pPr>
        <w:pBdr/>
        <w:spacing w:line="480" w:lineRule="auto"/>
        <w:ind/>
        <w:jc w:val="both"/>
        <w:rPr>
          <w:sz w:val="24"/>
          <w:szCs w:val="24"/>
        </w:rPr>
      </w:pPr>
      <w:r>
        <w:rPr>
          <w:sz w:val="24"/>
          <w:szCs w:val="24"/>
          <w:rtl w:val="0"/>
        </w:rPr>
        <w:t xml:space="preserve">Originally, the Old Testament was written in Hebrew and Aramaic (sister language)</w:t>
      </w:r>
      <w:r>
        <w:rPr>
          <w:sz w:val="24"/>
          <w:szCs w:val="24"/>
          <w:vertAlign w:val="superscript"/>
        </w:rPr>
        <w:footnoteReference w:id="7"/>
      </w:r>
      <w:r>
        <w:rPr>
          <w:sz w:val="24"/>
          <w:szCs w:val="24"/>
          <w:rtl w:val="0"/>
        </w:rPr>
        <w:t xml:space="preserve"> because it was the main spoken and written language in ancient Israel and Judah before the exile in the sixth century BC.</w:t>
      </w:r>
      <w:r>
        <w:rPr>
          <w:sz w:val="24"/>
          <w:szCs w:val="24"/>
          <w:vertAlign w:val="superscript"/>
        </w:rPr>
        <w:footnoteReference w:id="8"/>
      </w:r>
      <w:r>
        <w:rPr>
          <w:sz w:val="24"/>
          <w:szCs w:val="24"/>
          <w:rtl w:val="0"/>
        </w:rPr>
        <w:t xml:space="preserve"> However, by the fourth century BC, Greek was adopted as the primary spoken language in Palestine, which is why the New Testament was written in Greek.</w:t>
      </w:r>
      <w:r>
        <w:rPr>
          <w:sz w:val="24"/>
          <w:szCs w:val="24"/>
          <w:vertAlign w:val="superscript"/>
        </w:rPr>
        <w:footnoteReference w:id="9"/>
      </w:r>
      <w:r>
        <w:rPr>
          <w:sz w:val="24"/>
          <w:szCs w:val="24"/>
          <w:rtl w:val="0"/>
        </w:rPr>
        <w:t xml:space="preserve"> The Septuagint became the first major translation of the Old Testament into Greek</w:t>
      </w:r>
      <w:r>
        <w:rPr>
          <w:sz w:val="24"/>
          <w:szCs w:val="24"/>
          <w:vertAlign w:val="superscript"/>
        </w:rPr>
        <w:footnoteReference w:id="10"/>
      </w:r>
      <w:r>
        <w:rPr>
          <w:sz w:val="24"/>
          <w:szCs w:val="24"/>
          <w:vertAlign w:val="superscript"/>
        </w:rPr>
        <w:footnoteReference w:id="11"/>
      </w:r>
      <w:r>
        <w:rPr>
          <w:sz w:val="24"/>
          <w:szCs w:val="24"/>
          <w:rtl w:val="0"/>
        </w:rPr>
        <w:t xml:space="preserve"> and this was also the Bible of the early Christians.</w:t>
      </w:r>
      <w:r>
        <w:rPr>
          <w:sz w:val="24"/>
          <w:szCs w:val="24"/>
          <w:vertAlign w:val="superscript"/>
        </w:rPr>
        <w:footnoteReference w:id="12"/>
      </w:r>
      <w:r>
        <w:rPr>
          <w:sz w:val="24"/>
          <w:szCs w:val="24"/>
          <w:rtl w:val="0"/>
        </w:rPr>
        <w:t xml:space="preserve"> Yet, in the modern era, the entire bible was made available in 318 languages by 1991, and at least some portions of the bible have been translated into 1,946 languages, reaching 80% of the world.</w:t>
      </w:r>
      <w:r>
        <w:rPr>
          <w:sz w:val="24"/>
          <w:szCs w:val="24"/>
          <w:vertAlign w:val="superscript"/>
        </w:rPr>
        <w:footnoteReference w:id="13"/>
      </w:r>
      <w:r>
        <w:rPr>
          <w:sz w:val="24"/>
          <w:szCs w:val="24"/>
          <w:rtl w:val="0"/>
        </w:rPr>
        <w:t xml:space="preserve"> In English alone, there are around 900 translations,</w:t>
      </w:r>
      <w:r>
        <w:rPr>
          <w:sz w:val="24"/>
          <w:szCs w:val="24"/>
          <w:vertAlign w:val="superscript"/>
        </w:rPr>
        <w:footnoteReference w:id="14"/>
      </w:r>
      <w:r>
        <w:rPr>
          <w:sz w:val="24"/>
          <w:szCs w:val="24"/>
          <w:rtl w:val="0"/>
        </w:rPr>
        <w:t xml:space="preserve"> which in itself shows a varied reception history of biblical interpretation. </w:t>
      </w:r>
      <w:r>
        <w:rPr>
          <w:sz w:val="24"/>
          <w:szCs w:val="24"/>
        </w:rPr>
      </w:r>
      <w:r>
        <w:rPr>
          <w:sz w:val="24"/>
          <w:szCs w:val="24"/>
        </w:rPr>
      </w:r>
    </w:p>
    <w:p>
      <w:pPr>
        <w:pBdr/>
        <w:spacing w:line="480" w:lineRule="auto"/>
        <w:ind/>
        <w:jc w:val="both"/>
        <w:rPr>
          <w:sz w:val="24"/>
          <w:szCs w:val="24"/>
        </w:rPr>
      </w:pPr>
      <w:r>
        <w:rPr>
          <w:rtl w:val="0"/>
        </w:rPr>
      </w:r>
      <w:r>
        <w:rPr>
          <w:sz w:val="24"/>
          <w:szCs w:val="24"/>
        </w:rPr>
      </w:r>
      <w:r>
        <w:rPr>
          <w:sz w:val="24"/>
          <w:szCs w:val="24"/>
        </w:rPr>
      </w:r>
    </w:p>
    <w:p>
      <w:pPr>
        <w:pBdr/>
        <w:spacing w:line="480" w:lineRule="auto"/>
        <w:ind/>
        <w:jc w:val="both"/>
        <w:rPr>
          <w:sz w:val="24"/>
          <w:szCs w:val="24"/>
        </w:rPr>
      </w:pPr>
      <w:r>
        <w:rPr>
          <w:sz w:val="24"/>
          <w:szCs w:val="24"/>
          <w:rtl w:val="0"/>
        </w:rPr>
        <w:t xml:space="preserve">A concern in biblical translation is that meaning can sometimes be “lost in translation.” Eva Hoffman, a Polish Jew, talks in her memoir about being a bilingual speaker and how words in a new language lack the original depth of the mother tongue.</w:t>
      </w:r>
      <w:r>
        <w:rPr>
          <w:sz w:val="24"/>
          <w:szCs w:val="24"/>
          <w:vertAlign w:val="superscript"/>
        </w:rPr>
        <w:footnoteReference w:id="15"/>
      </w:r>
      <w:r>
        <w:rPr>
          <w:sz w:val="24"/>
          <w:szCs w:val="24"/>
          <w:rtl w:val="0"/>
        </w:rPr>
        <w:t xml:space="preserve"> When applied to bible translations, the use of Hebrew wordplay and idioms may not transfer across languages and therefore, lack the original depth and meaning. </w:t>
      </w:r>
      <w:r>
        <w:rPr>
          <w:sz w:val="24"/>
          <w:szCs w:val="24"/>
          <w:rtl w:val="0"/>
        </w:rPr>
        <w:t xml:space="preserve">For example, in </w:t>
      </w:r>
      <w:r>
        <w:rPr>
          <w:i/>
          <w:sz w:val="24"/>
          <w:szCs w:val="24"/>
          <w:rtl w:val="0"/>
        </w:rPr>
        <w:t xml:space="preserve">Ps</w:t>
      </w:r>
      <w:r>
        <w:rPr>
          <w:sz w:val="24"/>
          <w:szCs w:val="24"/>
          <w:rtl w:val="0"/>
        </w:rPr>
        <w:t xml:space="preserve">. 12:2</w:t>
      </w:r>
      <w:r>
        <w:rPr>
          <w:sz w:val="24"/>
          <w:szCs w:val="24"/>
          <w:rtl w:val="0"/>
        </w:rPr>
        <w:t xml:space="preserve">, the Hebrew says “with a heart and a heart”, which is a Hebrew idiom meaning “deceitfully,”</w:t>
      </w:r>
      <w:r>
        <w:rPr>
          <w:sz w:val="24"/>
          <w:szCs w:val="24"/>
          <w:vertAlign w:val="superscript"/>
        </w:rPr>
        <w:footnoteReference w:id="16"/>
      </w:r>
      <w:r>
        <w:rPr>
          <w:sz w:val="24"/>
          <w:szCs w:val="24"/>
          <w:rtl w:val="0"/>
        </w:rPr>
        <w:t xml:space="preserve"> </w:t>
      </w:r>
      <w:r>
        <w:rPr>
          <w:sz w:val="24"/>
          <w:szCs w:val="24"/>
          <w:rtl w:val="0"/>
        </w:rPr>
        <w:t xml:space="preserve">which</w:t>
      </w:r>
      <w:r>
        <w:rPr>
          <w:sz w:val="24"/>
          <w:szCs w:val="24"/>
          <w:rtl w:val="0"/>
        </w:rPr>
        <w:t xml:space="preserve"> is not an obvious takeaway for a reader.</w:t>
      </w:r>
      <w:r>
        <w:rPr>
          <w:sz w:val="24"/>
          <w:szCs w:val="24"/>
          <w:rtl w:val="0"/>
        </w:rPr>
        <w:t xml:space="preserve"> This shows how </w:t>
      </w:r>
      <w:r>
        <w:rPr>
          <w:sz w:val="24"/>
          <w:szCs w:val="24"/>
          <w:rtl w:val="0"/>
        </w:rPr>
        <w:t xml:space="preserve">translating can be problematic and therefore, an understanding of the original languages and cultural context are invaluable within biblical studies. However, this creates a lack of accessibility for the majority who do not speak and understand these ancie</w:t>
      </w:r>
      <w:r>
        <w:rPr>
          <w:sz w:val="24"/>
          <w:szCs w:val="24"/>
          <w:rtl w:val="0"/>
        </w:rPr>
        <w:t xml:space="preserve">nt languages, thus creating a barrier to the biblical texts. This idea parallels the Islamic concept of the untranslatability of the Quran to other languages, as it is believed that its divine status, secrets and meanings are rooted in the Arabic language.</w:t>
      </w:r>
      <w:r>
        <w:rPr>
          <w:sz w:val="24"/>
          <w:szCs w:val="24"/>
          <w:vertAlign w:val="superscript"/>
        </w:rPr>
        <w:footnoteReference w:id="17"/>
      </w:r>
      <w:r>
        <w:rPr>
          <w:sz w:val="24"/>
          <w:szCs w:val="24"/>
          <w:rtl w:val="0"/>
        </w:rPr>
        <w:t xml:space="preserve"> In the New Testament however, Paul argues that God shows no partiality, thus, equality between both Jews and Gentiles (</w:t>
      </w:r>
      <w:r>
        <w:rPr>
          <w:i/>
          <w:sz w:val="24"/>
          <w:szCs w:val="24"/>
          <w:rtl w:val="0"/>
        </w:rPr>
        <w:t xml:space="preserve">Rom.</w:t>
      </w:r>
      <w:r>
        <w:rPr>
          <w:sz w:val="24"/>
          <w:szCs w:val="24"/>
          <w:rtl w:val="0"/>
        </w:rPr>
        <w:t xml:space="preserve"> 10:12). Applying this to translations, access to the Bible in a language the reader understands could be interpreted as a reversal of the Tower of Babel story, where there was a confusion in languages (</w:t>
      </w:r>
      <w:r>
        <w:rPr>
          <w:i/>
          <w:sz w:val="24"/>
          <w:szCs w:val="24"/>
          <w:rtl w:val="0"/>
        </w:rPr>
        <w:t xml:space="preserve">Gen.</w:t>
      </w:r>
      <w:r>
        <w:rPr>
          <w:sz w:val="24"/>
          <w:szCs w:val="24"/>
          <w:rtl w:val="0"/>
        </w:rPr>
        <w:t xml:space="preserve"> 11:1-9). This supports the value of Bible translations and for me, relates to God’s plan for salvation by breaking down language barriers to His Word, thus making it more accessible to all, showing its value.</w:t>
      </w:r>
      <w:r>
        <w:rPr>
          <w:sz w:val="24"/>
          <w:szCs w:val="24"/>
        </w:rPr>
      </w:r>
      <w:r>
        <w:rPr>
          <w:sz w:val="24"/>
          <w:szCs w:val="24"/>
        </w:rPr>
      </w:r>
    </w:p>
    <w:p>
      <w:pPr>
        <w:pBdr/>
        <w:spacing w:line="480" w:lineRule="auto"/>
        <w:ind/>
        <w:jc w:val="both"/>
        <w:rPr>
          <w:sz w:val="24"/>
          <w:szCs w:val="24"/>
        </w:rPr>
      </w:pPr>
      <w:r>
        <w:rPr>
          <w:rtl w:val="0"/>
        </w:rPr>
      </w:r>
      <w:r>
        <w:rPr>
          <w:sz w:val="24"/>
          <w:szCs w:val="24"/>
        </w:rPr>
      </w:r>
      <w:r>
        <w:rPr>
          <w:sz w:val="24"/>
          <w:szCs w:val="24"/>
        </w:rPr>
      </w:r>
    </w:p>
    <w:p>
      <w:pPr>
        <w:pBdr/>
        <w:spacing w:line="480" w:lineRule="auto"/>
        <w:ind/>
        <w:jc w:val="both"/>
        <w:rPr>
          <w:i/>
          <w:sz w:val="24"/>
          <w:szCs w:val="24"/>
        </w:rPr>
      </w:pPr>
      <w:r>
        <w:rPr>
          <w:sz w:val="24"/>
          <w:szCs w:val="24"/>
          <w:rtl w:val="0"/>
        </w:rPr>
        <w:t xml:space="preserve">Language is ever-changing, developing and intertwined with the progression of culture. One of the early English translations, the </w:t>
      </w:r>
      <w:r>
        <w:rPr>
          <w:i/>
          <w:sz w:val="24"/>
          <w:szCs w:val="24"/>
          <w:rtl w:val="0"/>
        </w:rPr>
        <w:t xml:space="preserve">King James version (KJV) </w:t>
      </w:r>
      <w:r>
        <w:rPr>
          <w:sz w:val="24"/>
          <w:szCs w:val="24"/>
          <w:rtl w:val="0"/>
        </w:rPr>
        <w:t xml:space="preserve">from the 1600s,</w:t>
      </w:r>
      <w:r>
        <w:rPr>
          <w:i/>
          <w:sz w:val="24"/>
          <w:szCs w:val="24"/>
          <w:rtl w:val="0"/>
        </w:rPr>
        <w:t xml:space="preserve"> </w:t>
      </w:r>
      <w:r>
        <w:rPr>
          <w:sz w:val="24"/>
          <w:szCs w:val="24"/>
          <w:rtl w:val="0"/>
        </w:rPr>
        <w:t xml:space="preserve">is now challenging for modern readers.</w:t>
      </w:r>
      <w:r>
        <w:rPr>
          <w:i/>
          <w:sz w:val="24"/>
          <w:szCs w:val="24"/>
          <w:rtl w:val="0"/>
        </w:rPr>
        <w:t xml:space="preserve"> </w:t>
      </w:r>
      <w:r>
        <w:rPr>
          <w:sz w:val="24"/>
          <w:szCs w:val="24"/>
          <w:rtl w:val="0"/>
        </w:rPr>
        <w:t xml:space="preserve">The meaning of the text may be lost due to changes in syntax</w:t>
      </w:r>
      <w:r>
        <w:rPr>
          <w:sz w:val="24"/>
          <w:szCs w:val="24"/>
          <w:vertAlign w:val="superscript"/>
        </w:rPr>
        <w:footnoteReference w:id="18"/>
      </w:r>
      <w:r>
        <w:rPr>
          <w:sz w:val="24"/>
          <w:szCs w:val="24"/>
          <w:rtl w:val="0"/>
        </w:rPr>
        <w:t xml:space="preserve"> and supports the idea that outdated language can lead to misinterpretation.</w:t>
      </w:r>
      <w:r>
        <w:rPr>
          <w:sz w:val="24"/>
          <w:szCs w:val="24"/>
          <w:vertAlign w:val="superscript"/>
        </w:rPr>
        <w:footnoteReference w:id="19"/>
      </w:r>
      <w:r>
        <w:rPr>
          <w:sz w:val="24"/>
          <w:szCs w:val="24"/>
          <w:rtl w:val="0"/>
        </w:rPr>
        <w:t xml:space="preserve"> An example of this is from </w:t>
      </w:r>
      <w:r>
        <w:rPr>
          <w:i/>
          <w:sz w:val="24"/>
          <w:szCs w:val="24"/>
          <w:rtl w:val="0"/>
        </w:rPr>
        <w:t xml:space="preserve">Ps.</w:t>
      </w:r>
      <w:r>
        <w:rPr>
          <w:sz w:val="24"/>
          <w:szCs w:val="24"/>
          <w:rtl w:val="0"/>
        </w:rPr>
        <w:t xml:space="preserve"> 91:13: </w:t>
      </w:r>
      <w:r>
        <w:rPr>
          <w:i/>
          <w:sz w:val="24"/>
          <w:szCs w:val="24"/>
          <w:rtl w:val="0"/>
        </w:rPr>
        <w:t xml:space="preserve">“Thou shalt tread upon the lion and adder: the young lion and the dragon shalt thou trample under feet.”</w:t>
      </w:r>
      <w:r>
        <w:rPr>
          <w:sz w:val="24"/>
          <w:szCs w:val="24"/>
          <w:rtl w:val="0"/>
        </w:rPr>
        <w:t xml:space="preserve"> In contrast, published in 1996, the</w:t>
      </w:r>
      <w:r>
        <w:rPr>
          <w:i/>
          <w:sz w:val="24"/>
          <w:szCs w:val="24"/>
          <w:rtl w:val="0"/>
        </w:rPr>
        <w:t xml:space="preserve"> New Living Translation (NLT)</w:t>
      </w:r>
      <w:r>
        <w:rPr>
          <w:sz w:val="24"/>
          <w:szCs w:val="24"/>
          <w:rtl w:val="0"/>
        </w:rPr>
        <w:t xml:space="preserve">, translates this more or less the same but uses ‘‘you’ rather than ‘thou’, showing a more contemporary feel.</w:t>
      </w:r>
      <w:r>
        <w:rPr>
          <w:i/>
          <w:sz w:val="24"/>
          <w:szCs w:val="24"/>
        </w:rPr>
      </w:r>
      <w:r>
        <w:rPr>
          <w:i/>
          <w:sz w:val="24"/>
          <w:szCs w:val="24"/>
        </w:rPr>
      </w:r>
    </w:p>
    <w:p>
      <w:pPr>
        <w:pBdr/>
        <w:spacing w:line="480" w:lineRule="auto"/>
        <w:ind/>
        <w:jc w:val="both"/>
        <w:rPr>
          <w:i/>
          <w:sz w:val="24"/>
          <w:szCs w:val="24"/>
        </w:rPr>
      </w:pPr>
      <w:r>
        <w:rPr>
          <w:rtl w:val="0"/>
        </w:rPr>
      </w:r>
      <w:r>
        <w:rPr>
          <w:i/>
          <w:sz w:val="24"/>
          <w:szCs w:val="24"/>
        </w:rPr>
      </w:r>
      <w:r>
        <w:rPr>
          <w:i/>
          <w:sz w:val="24"/>
          <w:szCs w:val="24"/>
        </w:rPr>
      </w:r>
    </w:p>
    <w:p>
      <w:pPr>
        <w:pBdr/>
        <w:spacing w:line="480" w:lineRule="auto"/>
        <w:ind/>
        <w:jc w:val="both"/>
        <w:rPr>
          <w:sz w:val="24"/>
          <w:szCs w:val="24"/>
        </w:rPr>
      </w:pPr>
      <w:r>
        <w:rPr>
          <w:i/>
          <w:sz w:val="24"/>
          <w:szCs w:val="24"/>
          <w:rtl w:val="0"/>
        </w:rPr>
        <w:t xml:space="preserve">S</w:t>
      </w:r>
      <w:r>
        <w:rPr>
          <w:sz w:val="24"/>
          <w:szCs w:val="24"/>
          <w:rtl w:val="0"/>
        </w:rPr>
        <w:t xml:space="preserve">ome Bible translations can be problematic for other reasons. The </w:t>
      </w:r>
      <w:r>
        <w:rPr>
          <w:i/>
          <w:sz w:val="24"/>
          <w:szCs w:val="24"/>
          <w:rtl w:val="0"/>
        </w:rPr>
        <w:t xml:space="preserve">Passion Translation </w:t>
      </w:r>
      <w:r>
        <w:rPr>
          <w:sz w:val="24"/>
          <w:szCs w:val="24"/>
          <w:rtl w:val="0"/>
        </w:rPr>
        <w:t xml:space="preserve">(TPT), published in 2017, has attracted some criticism for its translation choices. The scholar Alex Hewitson uses the metaphor of “feeding the sheep mouldy bread” to articulate the inaccuracies and deterioration it contains from the original manuscripts.</w:t>
      </w:r>
      <w:r>
        <w:rPr>
          <w:sz w:val="24"/>
          <w:szCs w:val="24"/>
          <w:vertAlign w:val="superscript"/>
        </w:rPr>
        <w:footnoteReference w:id="20"/>
      </w:r>
      <w:r>
        <w:rPr>
          <w:sz w:val="24"/>
          <w:szCs w:val="24"/>
          <w:rtl w:val="0"/>
        </w:rPr>
        <w:t xml:space="preserve"> Finnegan argues that bible translation choices should prioritise manuscript fidelity and accuracy,</w:t>
      </w:r>
      <w:r>
        <w:rPr>
          <w:sz w:val="24"/>
          <w:szCs w:val="24"/>
          <w:vertAlign w:val="superscript"/>
        </w:rPr>
        <w:footnoteReference w:id="21"/>
      </w:r>
      <w:r>
        <w:rPr>
          <w:sz w:val="24"/>
          <w:szCs w:val="24"/>
          <w:rtl w:val="0"/>
        </w:rPr>
        <w:t xml:space="preserve"> which when applied to TPT, it lacks fidelity and could be argued as an inaccurate depiction of such an ancient text. This can lead to theological bias due to the line between translation and interpretation becoming blurred.</w:t>
      </w:r>
      <w:r>
        <w:rPr>
          <w:sz w:val="24"/>
          <w:szCs w:val="24"/>
        </w:rPr>
      </w:r>
      <w:r>
        <w:rPr>
          <w:sz w:val="24"/>
          <w:szCs w:val="24"/>
        </w:rPr>
      </w:r>
    </w:p>
    <w:p>
      <w:pPr>
        <w:pBdr/>
        <w:spacing w:line="480" w:lineRule="auto"/>
        <w:ind/>
        <w:jc w:val="both"/>
        <w:rPr>
          <w:sz w:val="24"/>
          <w:szCs w:val="24"/>
        </w:rPr>
      </w:pPr>
      <w:r>
        <w:rPr>
          <w:sz w:val="24"/>
          <w:szCs w:val="24"/>
          <w:rtl w:val="0"/>
        </w:rPr>
        <w:t xml:space="preserve">It seems that the more languages the Bible is translated into, the wider impact the scriptures can have as a benefit to different communities and cultures. This is part of the fulfillment of the Great Commission from </w:t>
      </w:r>
      <w:r>
        <w:rPr>
          <w:i/>
          <w:sz w:val="24"/>
          <w:szCs w:val="24"/>
          <w:rtl w:val="0"/>
        </w:rPr>
        <w:t xml:space="preserve">Matt.</w:t>
      </w:r>
      <w:r>
        <w:rPr>
          <w:sz w:val="24"/>
          <w:szCs w:val="24"/>
          <w:rtl w:val="0"/>
        </w:rPr>
        <w:t xml:space="preserve"> 28:16-20. Translation varieties could be seen as valuable to biblical studies because they broaden access and biblical recept</w:t>
      </w:r>
      <w:r>
        <w:rPr>
          <w:sz w:val="24"/>
          <w:szCs w:val="24"/>
          <w:rtl w:val="0"/>
        </w:rPr>
        <w:t xml:space="preserve">ion. Different cultural lenses and languages offer new ways of interpretation and understanding that may be beneficial. However, I think it is important within translation work to maintain fidelity and accuracy in order to preserve the Bible’s meaning. In </w:t>
      </w:r>
      <w:r>
        <w:rPr>
          <w:i/>
          <w:sz w:val="24"/>
          <w:szCs w:val="24"/>
          <w:rtl w:val="0"/>
        </w:rPr>
        <w:t xml:space="preserve">Heb.</w:t>
      </w:r>
      <w:r>
        <w:rPr>
          <w:sz w:val="24"/>
          <w:szCs w:val="24"/>
          <w:rtl w:val="0"/>
        </w:rPr>
        <w:t xml:space="preserve"> 4:12, it describes the word of God as ‘alive and active’, which I think supports why there are so many different interpretations and retellings throughout history and shows the value this has in biblical studies.</w:t>
      </w:r>
      <w:r>
        <w:rPr>
          <w:sz w:val="24"/>
          <w:szCs w:val="24"/>
        </w:rPr>
      </w:r>
      <w:r>
        <w:rPr>
          <w:sz w:val="24"/>
          <w:szCs w:val="24"/>
        </w:rPr>
      </w:r>
    </w:p>
    <w:p>
      <w:pPr>
        <w:pBdr/>
        <w:spacing w:line="480" w:lineRule="auto"/>
        <w:ind/>
        <w:jc w:val="both"/>
        <w:rPr>
          <w:sz w:val="24"/>
          <w:szCs w:val="24"/>
        </w:rPr>
      </w:pPr>
      <w:r>
        <w:rPr>
          <w:rtl w:val="0"/>
        </w:rPr>
      </w:r>
      <w:r>
        <w:rPr>
          <w:sz w:val="24"/>
          <w:szCs w:val="24"/>
        </w:rPr>
      </w:r>
      <w:r>
        <w:rPr>
          <w:sz w:val="24"/>
          <w:szCs w:val="24"/>
        </w:rPr>
      </w:r>
    </w:p>
    <w:p>
      <w:pPr>
        <w:pBdr/>
        <w:spacing w:line="480" w:lineRule="auto"/>
        <w:ind/>
        <w:jc w:val="both"/>
        <w:rPr>
          <w:sz w:val="24"/>
          <w:szCs w:val="24"/>
        </w:rPr>
      </w:pPr>
      <w:r>
        <w:rPr>
          <w:sz w:val="24"/>
          <w:szCs w:val="24"/>
          <w:rtl w:val="0"/>
        </w:rPr>
        <w:t xml:space="preserve">Retelling is also an integral part of biblical reception history and was a major part of Ancient Jewish culture; at this time, only the Rabbis had access to the biblical scrolls, thus retelling was key for remembering the stories.</w:t>
      </w:r>
      <w:r>
        <w:rPr>
          <w:sz w:val="24"/>
          <w:szCs w:val="24"/>
          <w:vertAlign w:val="superscript"/>
        </w:rPr>
        <w:footnoteReference w:id="22"/>
      </w:r>
      <w:r>
        <w:rPr>
          <w:sz w:val="24"/>
          <w:szCs w:val="24"/>
          <w:rtl w:val="0"/>
        </w:rPr>
        <w:t xml:space="preserve"> There was also a high level of illiteracy among the community, at an estimated five per cent, which reinforced the necessity for oral retelling and transmission.</w:t>
      </w:r>
      <w:r>
        <w:rPr>
          <w:sz w:val="24"/>
          <w:szCs w:val="24"/>
          <w:vertAlign w:val="superscript"/>
        </w:rPr>
        <w:footnoteReference w:id="23"/>
      </w:r>
      <w:r>
        <w:rPr>
          <w:sz w:val="24"/>
          <w:szCs w:val="24"/>
          <w:rtl w:val="0"/>
        </w:rPr>
        <w:t xml:space="preserve"> The Oral Torah originated during the Second Temple Period</w:t>
      </w:r>
      <w:r>
        <w:rPr>
          <w:sz w:val="24"/>
          <w:szCs w:val="24"/>
          <w:vertAlign w:val="superscript"/>
        </w:rPr>
        <w:footnoteReference w:id="24"/>
      </w:r>
      <w:r>
        <w:rPr>
          <w:sz w:val="24"/>
          <w:szCs w:val="24"/>
          <w:rtl w:val="0"/>
        </w:rPr>
        <w:t xml:space="preserve"> along with The Targumim as a paraphrase and retelling of the Hebrew Bible, adding clarification for the meaning of the texts.</w:t>
      </w:r>
      <w:r>
        <w:rPr>
          <w:sz w:val="24"/>
          <w:szCs w:val="24"/>
          <w:vertAlign w:val="superscript"/>
        </w:rPr>
        <w:footnoteReference w:id="25"/>
      </w:r>
      <w:r>
        <w:rPr>
          <w:sz w:val="24"/>
          <w:szCs w:val="24"/>
          <w:rtl w:val="0"/>
        </w:rPr>
        <w:t xml:space="preserve"> Furthermore, within Christian churches, sermons often integrate a retelling of the scripture as part of the Sunday Service and are an example of liturgical reception, thus showing its value in biblical studies.</w:t>
      </w:r>
      <w:r>
        <w:rPr>
          <w:sz w:val="24"/>
          <w:szCs w:val="24"/>
          <w:vertAlign w:val="superscript"/>
        </w:rPr>
        <w:footnoteReference w:id="26"/>
      </w:r>
      <w:r>
        <w:rPr>
          <w:sz w:val="24"/>
          <w:szCs w:val="24"/>
          <w:rtl w:val="0"/>
        </w:rPr>
        <w:t xml:space="preserve"> </w:t>
      </w:r>
      <w:r>
        <w:rPr>
          <w:sz w:val="24"/>
          <w:szCs w:val="24"/>
        </w:rPr>
      </w:r>
      <w:r>
        <w:rPr>
          <w:sz w:val="24"/>
          <w:szCs w:val="24"/>
        </w:rPr>
      </w:r>
    </w:p>
    <w:p>
      <w:pPr>
        <w:pBdr/>
        <w:spacing w:line="480" w:lineRule="auto"/>
        <w:ind/>
        <w:jc w:val="both"/>
        <w:rPr>
          <w:sz w:val="24"/>
          <w:szCs w:val="24"/>
        </w:rPr>
      </w:pPr>
      <w:r>
        <w:rPr>
          <w:sz w:val="24"/>
          <w:szCs w:val="24"/>
          <w:rtl w:val="0"/>
        </w:rPr>
        <w:t xml:space="preserve">In terms of artistic retelling, Lee Jefferson studied early Christian art from the third and fourth century, where Jesus is artistically expressed as having a staff when performing miracles, despite the staff not being present in the Gospel writings.</w:t>
      </w:r>
      <w:r>
        <w:rPr>
          <w:sz w:val="24"/>
          <w:szCs w:val="24"/>
          <w:vertAlign w:val="superscript"/>
        </w:rPr>
        <w:footnoteReference w:id="27"/>
      </w:r>
      <w:r>
        <w:rPr>
          <w:sz w:val="24"/>
          <w:szCs w:val="24"/>
          <w:rtl w:val="0"/>
        </w:rPr>
        <w:t xml:space="preserve"> I do not think this retelling adds value in biblical studies, because it could be seen as undermining Jesus’ divinity and goes against </w:t>
      </w:r>
      <w:r>
        <w:rPr>
          <w:i/>
          <w:sz w:val="24"/>
          <w:szCs w:val="24"/>
          <w:rtl w:val="0"/>
        </w:rPr>
        <w:t xml:space="preserve">Deut.</w:t>
      </w:r>
      <w:r>
        <w:rPr>
          <w:sz w:val="24"/>
          <w:szCs w:val="24"/>
          <w:rtl w:val="0"/>
        </w:rPr>
        <w:t xml:space="preserve"> 4:2.</w:t>
      </w:r>
      <w:r>
        <w:rPr>
          <w:sz w:val="24"/>
          <w:szCs w:val="24"/>
        </w:rPr>
      </w:r>
      <w:r>
        <w:rPr>
          <w:sz w:val="24"/>
          <w:szCs w:val="24"/>
        </w:rPr>
      </w:r>
    </w:p>
    <w:p>
      <w:pPr>
        <w:pBdr/>
        <w:spacing w:line="480" w:lineRule="auto"/>
        <w:ind/>
        <w:rPr>
          <w:rFonts w:ascii="Amatic SC" w:hAnsi="Amatic SC" w:eastAsia="Amatic SC" w:cs="Amatic SC"/>
          <w:b/>
          <w:i/>
          <w:sz w:val="16"/>
          <w:szCs w:val="16"/>
          <w:shd w:val="clear" w:color="auto" w:fill="ead1dc"/>
        </w:rPr>
      </w:pPr>
      <w:r>
        <w:rPr>
          <w:rtl w:val="0"/>
        </w:rPr>
      </w:r>
      <w:r>
        <w:rPr>
          <w:rFonts w:ascii="Amatic SC" w:hAnsi="Amatic SC" w:eastAsia="Amatic SC" w:cs="Amatic SC"/>
          <w:b/>
          <w:i/>
          <w:sz w:val="16"/>
          <w:szCs w:val="16"/>
          <w:shd w:val="clear" w:color="auto" w:fill="ead1dc"/>
        </w:rPr>
      </w:r>
      <w:r>
        <w:rPr>
          <w:rFonts w:ascii="Amatic SC" w:hAnsi="Amatic SC" w:eastAsia="Amatic SC" w:cs="Amatic SC"/>
          <w:b/>
          <w:i/>
          <w:sz w:val="16"/>
          <w:szCs w:val="16"/>
          <w:shd w:val="clear" w:color="auto" w:fill="ead1dc"/>
        </w:rPr>
      </w:r>
    </w:p>
    <w:p>
      <w:pPr>
        <w:pBdr/>
        <w:spacing w:line="480" w:lineRule="auto"/>
        <w:ind/>
        <w:rPr>
          <w:sz w:val="24"/>
          <w:szCs w:val="24"/>
        </w:rPr>
      </w:pPr>
      <w:r>
        <w:rPr>
          <w:b/>
          <w:i/>
          <w:sz w:val="28"/>
          <w:szCs w:val="28"/>
          <w:rtl w:val="0"/>
        </w:rPr>
        <w:t xml:space="preserve">Contemporary biblical reception and future directions </w:t>
      </w:r>
      <w:r>
        <w:rPr>
          <w:sz w:val="24"/>
          <w:szCs w:val="24"/>
        </w:rPr>
      </w:r>
      <w:r>
        <w:rPr>
          <w:sz w:val="24"/>
          <w:szCs w:val="24"/>
        </w:rPr>
      </w:r>
    </w:p>
    <w:p>
      <w:pPr>
        <w:pBdr/>
        <w:spacing w:line="480" w:lineRule="auto"/>
        <w:ind/>
        <w:jc w:val="both"/>
        <w:rPr>
          <w:sz w:val="24"/>
          <w:szCs w:val="24"/>
        </w:rPr>
      </w:pPr>
      <w:r>
        <w:rPr>
          <w:sz w:val="24"/>
          <w:szCs w:val="24"/>
          <w:rtl w:val="0"/>
        </w:rPr>
        <w:t xml:space="preserve">Reception history and biblical studies as a whole has a predominantly western lens and lacks focus on the global reception in order to understand the holistic reception of the bible.</w:t>
      </w:r>
      <w:r>
        <w:rPr>
          <w:sz w:val="24"/>
          <w:szCs w:val="24"/>
          <w:vertAlign w:val="superscript"/>
        </w:rPr>
        <w:footnoteReference w:id="28"/>
      </w:r>
      <w:r>
        <w:rPr>
          <w:sz w:val="24"/>
          <w:szCs w:val="24"/>
          <w:rtl w:val="0"/>
        </w:rPr>
        <w:t xml:space="preserve"> </w:t>
      </w:r>
      <w:r>
        <w:rPr>
          <w:sz w:val="24"/>
          <w:szCs w:val="24"/>
          <w:rtl w:val="0"/>
        </w:rPr>
        <w:t xml:space="preserve">The exciting aspect of this field can investigate the p</w:t>
      </w:r>
      <w:r>
        <w:rPr>
          <w:sz w:val="24"/>
          <w:szCs w:val="24"/>
          <w:rtl w:val="0"/>
        </w:rPr>
        <w:t xml:space="preserve">rogression of society and culture and how the biblical texts are received in culture differently, thus resulting in more art, more written retellings and more visual expressions through film. More recently, there has been the successful television series ‘</w:t>
      </w:r>
      <w:r>
        <w:rPr>
          <w:sz w:val="24"/>
          <w:szCs w:val="24"/>
          <w:rtl w:val="0"/>
        </w:rPr>
        <w:t xml:space="preserve">The Chosen’</w:t>
      </w:r>
      <w:r>
        <w:rPr>
          <w:sz w:val="24"/>
          <w:szCs w:val="24"/>
          <w:rtl w:val="0"/>
        </w:rPr>
        <w:t xml:space="preserve"> portraying Jesus’ life and ministry, whic</w:t>
      </w:r>
      <w:r>
        <w:rPr>
          <w:sz w:val="24"/>
          <w:szCs w:val="24"/>
          <w:rtl w:val="0"/>
        </w:rPr>
        <w:t xml:space="preserve">h has rich theological depth, but also had artistic license to add character depth to each of the disciples They portrayed Matthew the disciple as autistic, thus making these ancient characters feel real and relatable, which adds value in biblical studies.</w:t>
      </w:r>
      <w:r>
        <w:rPr>
          <w:sz w:val="24"/>
          <w:szCs w:val="24"/>
          <w:vertAlign w:val="superscript"/>
        </w:rPr>
        <w:footnoteReference w:id="29"/>
      </w:r>
      <w:r>
        <w:rPr>
          <w:sz w:val="24"/>
          <w:szCs w:val="24"/>
          <w:rtl w:val="0"/>
        </w:rPr>
        <w:t xml:space="preserve"> Another example of a recent retelling is</w:t>
      </w:r>
      <w:r>
        <w:rPr>
          <w:sz w:val="24"/>
          <w:szCs w:val="24"/>
          <w:rtl w:val="0"/>
        </w:rPr>
        <w:t xml:space="preserve"> ‘The Greatest Story Ever Told’ by Bear Grylls, which aims to re-contextualise the biblical narrative to have more realness.</w:t>
      </w:r>
      <w:r>
        <w:rPr>
          <w:sz w:val="24"/>
          <w:szCs w:val="24"/>
          <w:vertAlign w:val="superscript"/>
        </w:rPr>
        <w:footnoteReference w:id="30"/>
      </w:r>
      <w:r>
        <w:rPr>
          <w:sz w:val="24"/>
          <w:szCs w:val="24"/>
          <w:rtl w:val="0"/>
        </w:rPr>
        <w:t xml:space="preserve"> This rete</w:t>
      </w:r>
      <w:r>
        <w:rPr>
          <w:sz w:val="24"/>
          <w:szCs w:val="24"/>
          <w:rtl w:val="0"/>
        </w:rPr>
        <w:t xml:space="preserve">lling has the characters with Aramaic names and challenges some of the man-made ideas that have been read into the texts from its afterlife, that are not in the written Gospel accounts. For example, the idea of there being three magi who visit baby Jesus (</w:t>
      </w:r>
      <w:r>
        <w:rPr>
          <w:i/>
          <w:sz w:val="24"/>
          <w:szCs w:val="24"/>
          <w:rtl w:val="0"/>
        </w:rPr>
        <w:t xml:space="preserve">Matt</w:t>
      </w:r>
      <w:r>
        <w:rPr>
          <w:sz w:val="24"/>
          <w:szCs w:val="24"/>
          <w:rtl w:val="0"/>
        </w:rPr>
        <w:t xml:space="preserve">. 2), but Grylls writes that there were five magi. This shows the afterlife of this passage in culture and this book is an example of evangelistic reception history, and therefore is valuable in biblical studies.</w:t>
      </w:r>
      <w:r>
        <w:rPr>
          <w:sz w:val="24"/>
          <w:szCs w:val="24"/>
        </w:rPr>
      </w:r>
      <w:r>
        <w:rPr>
          <w:sz w:val="24"/>
          <w:szCs w:val="24"/>
        </w:rPr>
      </w:r>
    </w:p>
    <w:p>
      <w:pPr>
        <w:pBdr/>
        <w:spacing w:line="480" w:lineRule="auto"/>
        <w:ind/>
        <w:jc w:val="both"/>
        <w:rPr>
          <w:i/>
          <w:sz w:val="24"/>
          <w:szCs w:val="24"/>
        </w:rPr>
      </w:pPr>
      <w:r>
        <w:rPr>
          <w:rtl w:val="0"/>
        </w:rPr>
      </w:r>
      <w:r>
        <w:rPr>
          <w:i/>
          <w:sz w:val="24"/>
          <w:szCs w:val="24"/>
        </w:rPr>
      </w:r>
      <w:r>
        <w:rPr>
          <w:i/>
          <w:sz w:val="24"/>
          <w:szCs w:val="24"/>
        </w:rPr>
      </w:r>
    </w:p>
    <w:p>
      <w:pPr>
        <w:pBdr/>
        <w:spacing w:line="480" w:lineRule="auto"/>
        <w:ind/>
        <w:jc w:val="both"/>
        <w:rPr>
          <w:sz w:val="24"/>
          <w:szCs w:val="24"/>
        </w:rPr>
      </w:pPr>
      <w:r>
        <w:rPr>
          <w:sz w:val="24"/>
          <w:szCs w:val="24"/>
          <w:rtl w:val="0"/>
        </w:rPr>
        <w:t xml:space="preserve">As a Christian, I think mo</w:t>
      </w:r>
      <w:r>
        <w:rPr>
          <w:sz w:val="24"/>
          <w:szCs w:val="24"/>
          <w:rtl w:val="0"/>
        </w:rPr>
        <w:t xml:space="preserve">re artistic retellings of the biblical stories add value to biblical studies, as it is making the bible more accessible in new ways and they can challenge the idea of these not only being characters of a story, but real life people, with real-life characte</w:t>
      </w:r>
      <w:r>
        <w:rPr>
          <w:sz w:val="24"/>
          <w:szCs w:val="24"/>
          <w:rtl w:val="0"/>
        </w:rPr>
        <w:t xml:space="preserve">r depth. Reception history has been valuable in biblical studies as it opens the doors to more ways to engage with biblical stories and changes the view of the bible being an “old and dusty book” to one that transcends from the ancient world to the modern.</w:t>
      </w:r>
      <w:r>
        <w:rPr>
          <w:sz w:val="24"/>
          <w:szCs w:val="24"/>
        </w:rPr>
      </w:r>
      <w:r>
        <w:rPr>
          <w:sz w:val="24"/>
          <w:szCs w:val="24"/>
        </w:rPr>
      </w:r>
    </w:p>
    <w:p>
      <w:pPr>
        <w:pBdr/>
        <w:spacing w:line="480" w:lineRule="auto"/>
        <w:ind/>
        <w:rPr>
          <w:b/>
          <w:i/>
          <w:sz w:val="28"/>
          <w:szCs w:val="28"/>
        </w:rPr>
      </w:pPr>
      <w:r>
        <w:rPr>
          <w:b/>
          <w:i/>
          <w:sz w:val="28"/>
          <w:szCs w:val="28"/>
          <w:rtl w:val="0"/>
        </w:rPr>
        <w:t xml:space="preserve">Conclusion </w:t>
      </w:r>
      <w:r>
        <w:rPr>
          <w:b/>
          <w:i/>
          <w:sz w:val="28"/>
          <w:szCs w:val="28"/>
        </w:rPr>
      </w:r>
      <w:r>
        <w:rPr>
          <w:b/>
          <w:i/>
          <w:sz w:val="28"/>
          <w:szCs w:val="28"/>
        </w:rPr>
      </w:r>
    </w:p>
    <w:p>
      <w:pPr>
        <w:pBdr/>
        <w:spacing w:line="480" w:lineRule="auto"/>
        <w:ind/>
        <w:jc w:val="both"/>
        <w:rPr>
          <w:sz w:val="24"/>
          <w:szCs w:val="24"/>
        </w:rPr>
      </w:pPr>
      <w:r>
        <w:rPr>
          <w:sz w:val="24"/>
          <w:szCs w:val="24"/>
          <w:rtl w:val="0"/>
        </w:rPr>
        <w:t xml:space="preserve">To conclude, Bible translations and retellings are key aspects of reception history and have value in bibli</w:t>
      </w:r>
      <w:r>
        <w:rPr>
          <w:sz w:val="24"/>
          <w:szCs w:val="24"/>
          <w:rtl w:val="0"/>
        </w:rPr>
        <w:t xml:space="preserve">cal studies because it has allowed the stories to be more accessible across the world. This ancient book has had an impact on generations showing that it is alive and active and its importance. Within translation and retelling, I believe it is important to</w:t>
      </w:r>
      <w:r>
        <w:rPr>
          <w:sz w:val="24"/>
          <w:szCs w:val="24"/>
          <w:rtl w:val="0"/>
        </w:rPr>
        <w:t xml:space="preserve"> maintain fidelity and accuracy to the texts. However, having artistic license within film and television depictions, such as adding character backstory, like in the example of Matthew having autism can make the characters have more relatability and could </w:t>
      </w:r>
      <w:r>
        <w:rPr>
          <w:sz w:val="24"/>
          <w:szCs w:val="24"/>
          <w:rtl w:val="0"/>
        </w:rPr>
        <w:t xml:space="preserve">be believable with what is known about Matthew and does change the theological underpinning. Perhaps combining the reception historical method with biblical criticism as one, is a future method to gain a more holistic perception of the impact of the Bible.</w:t>
      </w:r>
      <w:r>
        <w:rPr>
          <w:sz w:val="24"/>
          <w:szCs w:val="24"/>
        </w:rPr>
      </w:r>
      <w:r>
        <w:rPr>
          <w:sz w:val="24"/>
          <w:szCs w:val="24"/>
        </w:rPr>
      </w:r>
    </w:p>
    <w:p>
      <w:pPr>
        <w:pBdr/>
        <w:spacing w:line="480" w:lineRule="auto"/>
        <w:ind/>
        <w:jc w:val="both"/>
        <w:rPr>
          <w:sz w:val="24"/>
          <w:szCs w:val="24"/>
        </w:rPr>
      </w:pPr>
      <w:r>
        <w:rPr>
          <w:rtl w:val="0"/>
        </w:rPr>
      </w:r>
      <w:r>
        <w:rPr>
          <w:sz w:val="24"/>
          <w:szCs w:val="24"/>
        </w:rPr>
      </w:r>
      <w:r>
        <w:rPr>
          <w:sz w:val="24"/>
          <w:szCs w:val="24"/>
        </w:rPr>
      </w:r>
    </w:p>
    <w:p>
      <w:pPr>
        <w:pBdr/>
        <w:spacing w:line="480" w:lineRule="auto"/>
        <w:ind/>
        <w:rPr>
          <w:rFonts w:ascii="Amatic SC" w:hAnsi="Amatic SC" w:eastAsia="Amatic SC" w:cs="Amatic SC"/>
          <w:b/>
          <w:i/>
          <w:sz w:val="34"/>
          <w:szCs w:val="34"/>
        </w:rPr>
      </w:pPr>
      <w:r>
        <w:rPr>
          <w:b/>
          <w:i/>
          <w:sz w:val="28"/>
          <w:szCs w:val="28"/>
          <w:rtl w:val="0"/>
        </w:rPr>
        <w:t xml:space="preserve">Bibliography</w:t>
      </w:r>
      <w:r>
        <w:rPr>
          <w:rFonts w:ascii="Amatic SC" w:hAnsi="Amatic SC" w:eastAsia="Amatic SC" w:cs="Amatic SC"/>
          <w:b/>
          <w:i/>
          <w:sz w:val="34"/>
          <w:szCs w:val="34"/>
        </w:rPr>
      </w:r>
      <w:r>
        <w:rPr>
          <w:rFonts w:ascii="Amatic SC" w:hAnsi="Amatic SC" w:eastAsia="Amatic SC" w:cs="Amatic SC"/>
          <w:b/>
          <w:i/>
          <w:sz w:val="34"/>
          <w:szCs w:val="34"/>
        </w:rPr>
      </w:r>
    </w:p>
    <w:p>
      <w:pPr>
        <w:pBdr/>
        <w:spacing w:after="240" w:line="240" w:lineRule="auto"/>
        <w:ind w:left="720"/>
        <w:rPr>
          <w:sz w:val="24"/>
          <w:szCs w:val="24"/>
        </w:rPr>
      </w:pPr>
      <w:r/>
      <w:hyperlink r:id="rId9" w:tooltip="https://www.zotero.org/google-docs/?cZXf93" w:history="1">
        <w:r>
          <w:rPr>
            <w:sz w:val="24"/>
            <w:szCs w:val="24"/>
            <w:rtl w:val="0"/>
          </w:rPr>
          <w:t xml:space="preserve">Albertz, Rainer, </w:t>
        </w:r>
      </w:hyperlink>
      <w:r/>
      <w:hyperlink r:id="rId10" w:tooltip="https://www.zotero.org/google-docs/?cZXf93" w:history="1">
        <w:r>
          <w:rPr>
            <w:i/>
            <w:sz w:val="24"/>
            <w:szCs w:val="24"/>
            <w:rtl w:val="0"/>
          </w:rPr>
          <w:t xml:space="preserve">Israel in Exile: The History and Literature of the Sixth Century B.C.E.</w:t>
        </w:r>
      </w:hyperlink>
      <w:r/>
      <w:hyperlink r:id="rId11" w:tooltip="https://www.zotero.org/google-docs/?cZXf93" w:history="1">
        <w:r>
          <w:rPr>
            <w:sz w:val="24"/>
            <w:szCs w:val="24"/>
            <w:rtl w:val="0"/>
          </w:rPr>
          <w:t xml:space="preserve"> (Society of Biblical Lit, 2003) </w:t>
        </w:r>
      </w:hyperlink>
      <w:r>
        <w:rPr>
          <w:sz w:val="24"/>
          <w:szCs w:val="24"/>
        </w:rPr>
      </w:r>
      <w:r>
        <w:rPr>
          <w:sz w:val="24"/>
          <w:szCs w:val="24"/>
        </w:rPr>
      </w:r>
    </w:p>
    <w:p>
      <w:pPr>
        <w:pBdr/>
        <w:spacing w:after="240" w:line="240" w:lineRule="auto"/>
        <w:ind w:left="720"/>
        <w:rPr>
          <w:sz w:val="24"/>
          <w:szCs w:val="24"/>
        </w:rPr>
      </w:pPr>
      <w:r/>
      <w:hyperlink r:id="rId12" w:tooltip="https://www.zotero.org/google-docs/?cZXf93" w:history="1">
        <w:r>
          <w:rPr>
            <w:sz w:val="24"/>
            <w:szCs w:val="24"/>
            <w:rtl w:val="0"/>
          </w:rPr>
          <w:t xml:space="preserve">Bowker, John, </w:t>
        </w:r>
      </w:hyperlink>
      <w:r/>
      <w:hyperlink r:id="rId13" w:tooltip="https://www.zotero.org/google-docs/?cZXf93" w:history="1">
        <w:r>
          <w:rPr>
            <w:i/>
            <w:sz w:val="24"/>
            <w:szCs w:val="24"/>
            <w:rtl w:val="0"/>
          </w:rPr>
          <w:t xml:space="preserve">The Targums and Rabbinic Literature: An Introduction to Jewish Interpretations of Scripture</w:t>
        </w:r>
      </w:hyperlink>
      <w:r/>
      <w:hyperlink r:id="rId14" w:tooltip="https://www.zotero.org/google-docs/?cZXf93" w:history="1">
        <w:r>
          <w:rPr>
            <w:sz w:val="24"/>
            <w:szCs w:val="24"/>
            <w:rtl w:val="0"/>
          </w:rPr>
          <w:t xml:space="preserve"> (Cambridge University Press, 1969), doi:10.1017/CBO9780511555381 </w:t>
        </w:r>
      </w:hyperlink>
      <w:r>
        <w:rPr>
          <w:sz w:val="24"/>
          <w:szCs w:val="24"/>
        </w:rPr>
      </w:r>
      <w:r>
        <w:rPr>
          <w:sz w:val="24"/>
          <w:szCs w:val="24"/>
        </w:rPr>
      </w:r>
    </w:p>
    <w:p>
      <w:pPr>
        <w:pBdr/>
        <w:spacing w:after="240" w:line="240" w:lineRule="auto"/>
        <w:ind w:left="720"/>
        <w:rPr>
          <w:sz w:val="24"/>
          <w:szCs w:val="24"/>
        </w:rPr>
      </w:pPr>
      <w:r/>
      <w:hyperlink r:id="rId15" w:tooltip="https://www.zotero.org/google-docs/?cZXf93" w:history="1">
        <w:r>
          <w:rPr>
            <w:sz w:val="24"/>
            <w:szCs w:val="24"/>
            <w:rtl w:val="0"/>
          </w:rPr>
          <w:t xml:space="preserve">Breed, Brennan, ‘What Is Reception History?’, </w:t>
        </w:r>
      </w:hyperlink>
      <w:r/>
      <w:hyperlink r:id="rId16" w:tooltip="https://www.zotero.org/google-docs/?cZXf93" w:history="1">
        <w:r>
          <w:rPr>
            <w:i/>
            <w:sz w:val="24"/>
            <w:szCs w:val="24"/>
            <w:rtl w:val="0"/>
          </w:rPr>
          <w:t xml:space="preserve">Bible Odyssey</w:t>
        </w:r>
      </w:hyperlink>
      <w:r/>
      <w:hyperlink r:id="rId17" w:tooltip="https://www.zotero.org/google-docs/?cZXf93" w:history="1">
        <w:r>
          <w:rPr>
            <w:sz w:val="24"/>
            <w:szCs w:val="24"/>
            <w:rtl w:val="0"/>
          </w:rPr>
          <w:t xml:space="preserve">, 14 December 2022 &lt;https://www.bibleodyssey.org/articles/what-is-reception-history/&gt; [accessed 20 October 2025] </w:t>
        </w:r>
      </w:hyperlink>
      <w:r>
        <w:rPr>
          <w:sz w:val="24"/>
          <w:szCs w:val="24"/>
        </w:rPr>
      </w:r>
      <w:r>
        <w:rPr>
          <w:sz w:val="24"/>
          <w:szCs w:val="24"/>
        </w:rPr>
      </w:r>
    </w:p>
    <w:p>
      <w:pPr>
        <w:pBdr/>
        <w:spacing w:after="240" w:line="240" w:lineRule="auto"/>
        <w:ind w:left="720"/>
        <w:rPr>
          <w:sz w:val="24"/>
          <w:szCs w:val="24"/>
        </w:rPr>
      </w:pPr>
      <w:r/>
      <w:hyperlink r:id="rId18" w:tooltip="https://www.zotero.org/google-docs/?cZXf93" w:history="1">
        <w:r>
          <w:rPr>
            <w:sz w:val="24"/>
            <w:szCs w:val="24"/>
            <w:rtl w:val="0"/>
          </w:rPr>
          <w:t xml:space="preserve">Callaway, Mary Chilton, ‘What’s the Use of Reception History?’, unpubl</w:t>
        </w:r>
        <w:r>
          <w:rPr>
            <w:sz w:val="24"/>
            <w:szCs w:val="24"/>
            <w:rtl w:val="0"/>
          </w:rPr>
          <w:t xml:space="preserve">ished paper delivered at Annual Meeting of The Society of Biblical Literature (San Antonio, Texas, 2004) &lt;https://drive.google.com/file/d/0BwA21tmQBoRQMHMzdGEtdGNPVk0/view?resourcekey=0-RfOR4fm4QDfLKTX5DKTxcg&amp;usp=embed_facebook&gt; [accessed 20 October 2025] </w:t>
        </w:r>
      </w:hyperlink>
      <w:r>
        <w:rPr>
          <w:sz w:val="24"/>
          <w:szCs w:val="24"/>
        </w:rPr>
      </w:r>
      <w:r>
        <w:rPr>
          <w:sz w:val="24"/>
          <w:szCs w:val="24"/>
        </w:rPr>
      </w:r>
    </w:p>
    <w:p>
      <w:pPr>
        <w:pBdr/>
        <w:spacing w:after="240" w:line="240" w:lineRule="auto"/>
        <w:ind w:left="720"/>
        <w:rPr>
          <w:sz w:val="24"/>
          <w:szCs w:val="24"/>
        </w:rPr>
      </w:pPr>
      <w:r/>
      <w:hyperlink r:id="rId19" w:tooltip="https://www.zotero.org/google-docs/?cZXf93" w:history="1">
        <w:r>
          <w:rPr>
            <w:sz w:val="24"/>
            <w:szCs w:val="24"/>
            <w:rtl w:val="0"/>
          </w:rPr>
          <w:t xml:space="preserve">Davies, Philip R, ‘Biblical Studies: Fifty Years of a Multi-Discipline’, </w:t>
        </w:r>
      </w:hyperlink>
      <w:r/>
      <w:hyperlink r:id="rId20" w:tooltip="https://www.zotero.org/google-docs/?cZXf93" w:history="1">
        <w:r>
          <w:rPr>
            <w:i/>
            <w:sz w:val="24"/>
            <w:szCs w:val="24"/>
            <w:rtl w:val="0"/>
          </w:rPr>
          <w:t xml:space="preserve">Sage Journals</w:t>
        </w:r>
      </w:hyperlink>
      <w:r/>
      <w:hyperlink r:id="rId21" w:tooltip="https://www.zotero.org/google-docs/?cZXf93" w:history="1">
        <w:r>
          <w:rPr>
            <w:sz w:val="24"/>
            <w:szCs w:val="24"/>
            <w:rtl w:val="0"/>
          </w:rPr>
          <w:t xml:space="preserve">, 13.1 (2014), pp. 34–66, doi:10.1177/1476993X13508083 </w:t>
        </w:r>
      </w:hyperlink>
      <w:r>
        <w:rPr>
          <w:sz w:val="24"/>
          <w:szCs w:val="24"/>
        </w:rPr>
      </w:r>
      <w:r>
        <w:rPr>
          <w:sz w:val="24"/>
          <w:szCs w:val="24"/>
        </w:rPr>
      </w:r>
    </w:p>
    <w:p>
      <w:pPr>
        <w:pBdr/>
        <w:spacing w:after="240" w:line="240" w:lineRule="auto"/>
        <w:ind w:left="720"/>
        <w:rPr>
          <w:sz w:val="24"/>
          <w:szCs w:val="24"/>
        </w:rPr>
      </w:pPr>
      <w:r/>
      <w:hyperlink r:id="rId22" w:tooltip="https://www.zotero.org/google-docs/?cZXf93" w:history="1">
        <w:r>
          <w:rPr>
            <w:sz w:val="24"/>
            <w:szCs w:val="24"/>
            <w:rtl w:val="0"/>
          </w:rPr>
          <w:t xml:space="preserve">Fee, Gordon D., and Mark L. Strauss, ‘The Meaning and Task of Translation’, in </w:t>
        </w:r>
      </w:hyperlink>
      <w:r/>
      <w:hyperlink r:id="rId23" w:tooltip="https://www.zotero.org/google-docs/?cZXf93" w:history="1">
        <w:r>
          <w:rPr>
            <w:i/>
            <w:sz w:val="24"/>
            <w:szCs w:val="24"/>
            <w:rtl w:val="0"/>
          </w:rPr>
          <w:t xml:space="preserve">How to Choose a Translation for All Its Worth: A Guide to Understanding and Using Bible Versions</w:t>
        </w:r>
      </w:hyperlink>
      <w:r/>
      <w:hyperlink r:id="rId24" w:tooltip="https://www.zotero.org/google-docs/?cZXf93" w:history="1">
        <w:r>
          <w:rPr>
            <w:sz w:val="24"/>
            <w:szCs w:val="24"/>
            <w:rtl w:val="0"/>
          </w:rPr>
          <w:t xml:space="preserve"> (Zondervan Academic, 2009) </w:t>
        </w:r>
      </w:hyperlink>
      <w:r>
        <w:rPr>
          <w:sz w:val="24"/>
          <w:szCs w:val="24"/>
        </w:rPr>
      </w:r>
      <w:r>
        <w:rPr>
          <w:sz w:val="24"/>
          <w:szCs w:val="24"/>
        </w:rPr>
      </w:r>
    </w:p>
    <w:p>
      <w:pPr>
        <w:pBdr/>
        <w:spacing w:after="240" w:line="240" w:lineRule="auto"/>
        <w:ind w:left="720"/>
        <w:rPr>
          <w:sz w:val="24"/>
          <w:szCs w:val="24"/>
        </w:rPr>
      </w:pPr>
      <w:r/>
      <w:hyperlink r:id="rId25" w:tooltip="https://www.zotero.org/google-docs/?cZXf93" w:history="1">
        <w:r>
          <w:rPr>
            <w:sz w:val="24"/>
            <w:szCs w:val="24"/>
            <w:rtl w:val="0"/>
          </w:rPr>
          <w:t xml:space="preserve">Finnegan, Sean, ‘Bible Translation Sources and Theory’, unpublished paper delivered at 29th Theological Conference (2020) </w:t>
        </w:r>
      </w:hyperlink>
      <w:r>
        <w:rPr>
          <w:sz w:val="24"/>
          <w:szCs w:val="24"/>
        </w:rPr>
      </w:r>
      <w:r>
        <w:rPr>
          <w:sz w:val="24"/>
          <w:szCs w:val="24"/>
        </w:rPr>
      </w:r>
    </w:p>
    <w:p>
      <w:pPr>
        <w:pBdr/>
        <w:spacing w:after="240" w:line="240" w:lineRule="auto"/>
        <w:ind w:left="720"/>
        <w:rPr>
          <w:sz w:val="24"/>
          <w:szCs w:val="24"/>
        </w:rPr>
      </w:pPr>
      <w:r/>
      <w:hyperlink r:id="rId26" w:tooltip="https://www.zotero.org/google-docs/?cZXf93" w:history="1">
        <w:r>
          <w:rPr>
            <w:sz w:val="24"/>
            <w:szCs w:val="24"/>
            <w:rtl w:val="0"/>
          </w:rPr>
          <w:t xml:space="preserve">Gadamer, Hans-Georg, </w:t>
        </w:r>
      </w:hyperlink>
      <w:r/>
      <w:hyperlink r:id="rId27" w:tooltip="https://www.zotero.org/google-docs/?cZXf93" w:history="1">
        <w:r>
          <w:rPr>
            <w:i/>
            <w:sz w:val="24"/>
            <w:szCs w:val="24"/>
            <w:rtl w:val="0"/>
          </w:rPr>
          <w:t xml:space="preserve">Truth and Method</w:t>
        </w:r>
      </w:hyperlink>
      <w:r/>
      <w:hyperlink r:id="rId28" w:tooltip="https://www.zotero.org/google-docs/?cZXf93" w:history="1">
        <w:r>
          <w:rPr>
            <w:sz w:val="24"/>
            <w:szCs w:val="24"/>
            <w:rtl w:val="0"/>
          </w:rPr>
          <w:t xml:space="preserve"> (A&amp;C Black, 2013) </w:t>
        </w:r>
      </w:hyperlink>
      <w:r>
        <w:rPr>
          <w:sz w:val="24"/>
          <w:szCs w:val="24"/>
        </w:rPr>
      </w:r>
      <w:r>
        <w:rPr>
          <w:sz w:val="24"/>
          <w:szCs w:val="24"/>
        </w:rPr>
      </w:r>
    </w:p>
    <w:p>
      <w:pPr>
        <w:pBdr/>
        <w:spacing w:after="240" w:line="240" w:lineRule="auto"/>
        <w:ind w:left="720"/>
        <w:rPr>
          <w:sz w:val="24"/>
          <w:szCs w:val="24"/>
        </w:rPr>
      </w:pPr>
      <w:r/>
      <w:hyperlink r:id="rId29" w:tooltip="https://www.zotero.org/google-docs/?cZXf93" w:history="1">
        <w:r>
          <w:rPr>
            <w:sz w:val="24"/>
            <w:szCs w:val="24"/>
            <w:rtl w:val="0"/>
          </w:rPr>
          <w:t xml:space="preserve">Grylls, Bear, </w:t>
        </w:r>
      </w:hyperlink>
      <w:r/>
      <w:hyperlink r:id="rId30" w:tooltip="https://www.zotero.org/google-docs/?cZXf93" w:history="1">
        <w:r>
          <w:rPr>
            <w:i/>
            <w:sz w:val="24"/>
            <w:szCs w:val="24"/>
            <w:rtl w:val="0"/>
          </w:rPr>
          <w:t xml:space="preserve">THE GREATEST STORY EVER TOLD: An Eyewitness Account</w:t>
        </w:r>
      </w:hyperlink>
      <w:r/>
      <w:hyperlink r:id="rId31" w:tooltip="https://www.zotero.org/google-docs/?cZXf93" w:history="1">
        <w:r>
          <w:rPr>
            <w:sz w:val="24"/>
            <w:szCs w:val="24"/>
            <w:rtl w:val="0"/>
          </w:rPr>
          <w:t xml:space="preserve"> (Hodder Faith, 2025) </w:t>
        </w:r>
      </w:hyperlink>
      <w:r>
        <w:rPr>
          <w:sz w:val="24"/>
          <w:szCs w:val="24"/>
        </w:rPr>
      </w:r>
      <w:r>
        <w:rPr>
          <w:sz w:val="24"/>
          <w:szCs w:val="24"/>
        </w:rPr>
      </w:r>
    </w:p>
    <w:p>
      <w:pPr>
        <w:pBdr/>
        <w:spacing w:after="240" w:line="240" w:lineRule="auto"/>
        <w:ind w:left="720"/>
        <w:rPr>
          <w:sz w:val="24"/>
          <w:szCs w:val="24"/>
        </w:rPr>
      </w:pPr>
      <w:r/>
      <w:hyperlink r:id="rId32" w:tooltip="https://www.zotero.org/google-docs/?cZXf93" w:history="1">
        <w:r>
          <w:rPr>
            <w:sz w:val="24"/>
            <w:szCs w:val="24"/>
            <w:rtl w:val="0"/>
          </w:rPr>
          <w:t xml:space="preserve">Gzella, Holger, ‘Ancient Hebrew’, in </w:t>
        </w:r>
      </w:hyperlink>
      <w:r/>
      <w:hyperlink r:id="rId33" w:tooltip="https://www.zotero.org/google-docs/?cZXf93" w:history="1">
        <w:r>
          <w:rPr>
            <w:i/>
            <w:sz w:val="24"/>
            <w:szCs w:val="24"/>
            <w:rtl w:val="0"/>
          </w:rPr>
          <w:t xml:space="preserve">Languages from the World of the Bible</w:t>
        </w:r>
      </w:hyperlink>
      <w:r/>
      <w:hyperlink r:id="rId34" w:tooltip="https://www.zotero.org/google-docs/?cZXf93" w:history="1">
        <w:r>
          <w:rPr>
            <w:sz w:val="24"/>
            <w:szCs w:val="24"/>
            <w:rtl w:val="0"/>
          </w:rPr>
          <w:t xml:space="preserve"> (De Gruyter, 2012) </w:t>
        </w:r>
      </w:hyperlink>
      <w:r>
        <w:rPr>
          <w:sz w:val="24"/>
          <w:szCs w:val="24"/>
        </w:rPr>
      </w:r>
      <w:r>
        <w:rPr>
          <w:sz w:val="24"/>
          <w:szCs w:val="24"/>
        </w:rPr>
      </w:r>
    </w:p>
    <w:p>
      <w:pPr>
        <w:pBdr/>
        <w:spacing w:after="240" w:line="240" w:lineRule="auto"/>
        <w:ind w:left="720"/>
        <w:rPr>
          <w:sz w:val="24"/>
          <w:szCs w:val="24"/>
        </w:rPr>
      </w:pPr>
      <w:r/>
      <w:hyperlink r:id="rId35" w:tooltip="https://www.zotero.org/google-docs/?cZXf93" w:history="1">
        <w:r>
          <w:rPr>
            <w:sz w:val="24"/>
            <w:szCs w:val="24"/>
            <w:rtl w:val="0"/>
          </w:rPr>
          <w:t xml:space="preserve">Hewitson, Alex, </w:t>
        </w:r>
      </w:hyperlink>
      <w:r/>
      <w:hyperlink r:id="rId36" w:tooltip="https://www.zotero.org/google-docs/?cZXf93" w:history="1">
        <w:r>
          <w:rPr>
            <w:i/>
            <w:sz w:val="24"/>
            <w:szCs w:val="24"/>
            <w:rtl w:val="0"/>
          </w:rPr>
          <w:t xml:space="preserve">Feeding The Sheep Moldy Bread: An Evaluation of Brian Simmons’ The Passion Translation Bible</w:t>
        </w:r>
      </w:hyperlink>
      <w:r/>
      <w:hyperlink r:id="rId37" w:tooltip="https://www.zotero.org/google-docs/?cZXf93" w:history="1">
        <w:r>
          <w:rPr>
            <w:sz w:val="24"/>
            <w:szCs w:val="24"/>
            <w:rtl w:val="0"/>
          </w:rPr>
          <w:t xml:space="preserve">, n.d., doi:https://doi.org/10.2307/3260255 </w:t>
        </w:r>
      </w:hyperlink>
      <w:r>
        <w:rPr>
          <w:sz w:val="24"/>
          <w:szCs w:val="24"/>
        </w:rPr>
      </w:r>
      <w:r>
        <w:rPr>
          <w:sz w:val="24"/>
          <w:szCs w:val="24"/>
        </w:rPr>
      </w:r>
    </w:p>
    <w:p>
      <w:pPr>
        <w:pBdr/>
        <w:spacing w:after="240" w:line="240" w:lineRule="auto"/>
        <w:ind w:left="720"/>
        <w:rPr>
          <w:sz w:val="24"/>
          <w:szCs w:val="24"/>
        </w:rPr>
      </w:pPr>
      <w:r/>
      <w:hyperlink r:id="rId38" w:tooltip="https://www.zotero.org/google-docs/?cZXf93" w:history="1">
        <w:r>
          <w:rPr>
            <w:sz w:val="24"/>
            <w:szCs w:val="24"/>
            <w:rtl w:val="0"/>
          </w:rPr>
          <w:t xml:space="preserve">Hoffman, Eva, </w:t>
        </w:r>
      </w:hyperlink>
      <w:r/>
      <w:hyperlink r:id="rId39" w:tooltip="https://www.zotero.org/google-docs/?cZXf93" w:history="1">
        <w:r>
          <w:rPr>
            <w:i/>
            <w:sz w:val="24"/>
            <w:szCs w:val="24"/>
            <w:rtl w:val="0"/>
          </w:rPr>
          <w:t xml:space="preserve">Lost in Translation; A Life in a New Language</w:t>
        </w:r>
      </w:hyperlink>
      <w:r/>
      <w:hyperlink r:id="rId40" w:tooltip="https://www.zotero.org/google-docs/?cZXf93" w:history="1">
        <w:r>
          <w:rPr>
            <w:sz w:val="24"/>
            <w:szCs w:val="24"/>
            <w:rtl w:val="0"/>
          </w:rPr>
          <w:t xml:space="preserve"> (Penguin Books, n.d.) </w:t>
        </w:r>
      </w:hyperlink>
      <w:r>
        <w:rPr>
          <w:sz w:val="24"/>
          <w:szCs w:val="24"/>
        </w:rPr>
      </w:r>
      <w:r>
        <w:rPr>
          <w:sz w:val="24"/>
          <w:szCs w:val="24"/>
        </w:rPr>
      </w:r>
    </w:p>
    <w:p>
      <w:pPr>
        <w:pBdr/>
        <w:spacing w:after="240" w:line="240" w:lineRule="auto"/>
        <w:ind w:left="720"/>
        <w:rPr>
          <w:sz w:val="24"/>
          <w:szCs w:val="24"/>
        </w:rPr>
      </w:pPr>
      <w:r/>
      <w:hyperlink r:id="rId41" w:tooltip="https://www.zotero.org/google-docs/?cZXf93" w:history="1">
        <w:r>
          <w:rPr>
            <w:sz w:val="24"/>
            <w:szCs w:val="24"/>
            <w:rtl w:val="0"/>
          </w:rPr>
          <w:t xml:space="preserve">Horrell, David G, ‘Introduction: Decolonizing New Testament Studies? Beyond Eurocentrism to Reshaping the Discipline’, </w:t>
        </w:r>
      </w:hyperlink>
      <w:r/>
      <w:hyperlink r:id="rId42" w:tooltip="https://www.zotero.org/google-docs/?cZXf93" w:history="1">
        <w:r>
          <w:rPr>
            <w:i/>
            <w:sz w:val="24"/>
            <w:szCs w:val="24"/>
            <w:rtl w:val="0"/>
          </w:rPr>
          <w:t xml:space="preserve">Journal for the Study of the New Testament</w:t>
        </w:r>
      </w:hyperlink>
      <w:r/>
      <w:hyperlink r:id="rId43" w:tooltip="https://www.zotero.org/google-docs/?cZXf93" w:history="1">
        <w:r>
          <w:rPr>
            <w:sz w:val="24"/>
            <w:szCs w:val="24"/>
            <w:rtl w:val="0"/>
          </w:rPr>
          <w:t xml:space="preserve">, 47.1 (2024) &lt;https://journals-sagepub-com.ezproxy.uwtsd.ac.uk/doi/full/10.1177/0142064X241261642&gt; [accessed 5 November 2025] </w:t>
        </w:r>
      </w:hyperlink>
      <w:r>
        <w:rPr>
          <w:sz w:val="24"/>
          <w:szCs w:val="24"/>
        </w:rPr>
      </w:r>
      <w:r>
        <w:rPr>
          <w:sz w:val="24"/>
          <w:szCs w:val="24"/>
        </w:rPr>
      </w:r>
    </w:p>
    <w:p>
      <w:pPr>
        <w:pBdr/>
        <w:spacing w:after="240" w:line="240" w:lineRule="auto"/>
        <w:ind w:left="720"/>
        <w:rPr>
          <w:sz w:val="24"/>
          <w:szCs w:val="24"/>
        </w:rPr>
      </w:pPr>
      <w:r/>
      <w:hyperlink r:id="rId44" w:tooltip="https://www.zotero.org/google-docs/?cZXf93" w:history="1">
        <w:r>
          <w:rPr>
            <w:sz w:val="24"/>
            <w:szCs w:val="24"/>
            <w:rtl w:val="0"/>
          </w:rPr>
          <w:t xml:space="preserve">Ibraheem, Anas Kh, ‘THE UNTRANSLATABILITY OF THE HOLY QUR’AN’, </w:t>
        </w:r>
      </w:hyperlink>
      <w:r/>
      <w:hyperlink r:id="rId45" w:tooltip="https://www.zotero.org/google-docs/?cZXf93" w:history="1">
        <w:r>
          <w:rPr>
            <w:i/>
            <w:sz w:val="24"/>
            <w:szCs w:val="24"/>
            <w:rtl w:val="0"/>
          </w:rPr>
          <w:t xml:space="preserve">Annals of the Faculty of Arts</w:t>
        </w:r>
      </w:hyperlink>
      <w:r/>
      <w:hyperlink r:id="rId46" w:tooltip="https://www.zotero.org/google-docs/?cZXf93" w:history="1">
        <w:r>
          <w:rPr>
            <w:sz w:val="24"/>
            <w:szCs w:val="24"/>
            <w:rtl w:val="0"/>
          </w:rPr>
          <w:t xml:space="preserve">, 46 (2018) </w:t>
        </w:r>
      </w:hyperlink>
      <w:r>
        <w:rPr>
          <w:sz w:val="24"/>
          <w:szCs w:val="24"/>
        </w:rPr>
      </w:r>
      <w:r>
        <w:rPr>
          <w:sz w:val="24"/>
          <w:szCs w:val="24"/>
        </w:rPr>
      </w:r>
    </w:p>
    <w:p>
      <w:pPr>
        <w:pBdr/>
        <w:spacing w:after="240" w:line="240" w:lineRule="auto"/>
        <w:ind w:left="720"/>
        <w:rPr>
          <w:sz w:val="24"/>
          <w:szCs w:val="24"/>
        </w:rPr>
      </w:pPr>
      <w:r/>
      <w:hyperlink r:id="rId47" w:tooltip="https://www.zotero.org/google-docs/?cZXf93" w:history="1">
        <w:r>
          <w:rPr>
            <w:sz w:val="24"/>
            <w:szCs w:val="24"/>
            <w:rtl w:val="0"/>
          </w:rPr>
          <w:t xml:space="preserve">Jamieson-Drake, David W., </w:t>
        </w:r>
      </w:hyperlink>
      <w:r/>
      <w:hyperlink r:id="rId48" w:tooltip="https://www.zotero.org/google-docs/?cZXf93" w:history="1">
        <w:r>
          <w:rPr>
            <w:i/>
            <w:sz w:val="24"/>
            <w:szCs w:val="24"/>
            <w:rtl w:val="0"/>
          </w:rPr>
          <w:t xml:space="preserve">Scribes and Schools in Monarchic Judah</w:t>
        </w:r>
      </w:hyperlink>
      <w:r/>
      <w:hyperlink r:id="rId49" w:tooltip="https://www.zotero.org/google-docs/?cZXf93" w:history="1">
        <w:r>
          <w:rPr>
            <w:sz w:val="24"/>
            <w:szCs w:val="24"/>
            <w:rtl w:val="0"/>
          </w:rPr>
          <w:t xml:space="preserve">, 1991, pp. 1–240 </w:t>
        </w:r>
      </w:hyperlink>
      <w:r>
        <w:rPr>
          <w:sz w:val="24"/>
          <w:szCs w:val="24"/>
        </w:rPr>
      </w:r>
      <w:r>
        <w:rPr>
          <w:sz w:val="24"/>
          <w:szCs w:val="24"/>
        </w:rPr>
      </w:r>
    </w:p>
    <w:p>
      <w:pPr>
        <w:pBdr/>
        <w:spacing w:after="240" w:line="240" w:lineRule="auto"/>
        <w:ind w:left="720"/>
        <w:rPr>
          <w:sz w:val="24"/>
          <w:szCs w:val="24"/>
        </w:rPr>
      </w:pPr>
      <w:r/>
      <w:hyperlink r:id="rId50" w:tooltip="https://www.zotero.org/google-docs/?cZXf93" w:history="1">
        <w:r>
          <w:rPr>
            <w:sz w:val="24"/>
            <w:szCs w:val="24"/>
            <w:rtl w:val="0"/>
          </w:rPr>
          <w:t xml:space="preserve">Jefferson, Lee, M, ‘The Staff of Jesus in Early Christian Art’, </w:t>
        </w:r>
      </w:hyperlink>
      <w:r/>
      <w:hyperlink r:id="rId51" w:tooltip="https://www.zotero.org/google-docs/?cZXf93" w:history="1">
        <w:r>
          <w:rPr>
            <w:i/>
            <w:sz w:val="24"/>
            <w:szCs w:val="24"/>
            <w:rtl w:val="0"/>
          </w:rPr>
          <w:t xml:space="preserve">Religion and the Arts</w:t>
        </w:r>
      </w:hyperlink>
      <w:r/>
      <w:hyperlink r:id="rId52" w:tooltip="https://www.zotero.org/google-docs/?cZXf93" w:history="1">
        <w:r>
          <w:rPr>
            <w:sz w:val="24"/>
            <w:szCs w:val="24"/>
            <w:rtl w:val="0"/>
          </w:rPr>
          <w:t xml:space="preserve">, 14.3 (2010), pp. 221–51, doi:10.1163/156852910X494411 </w:t>
        </w:r>
      </w:hyperlink>
      <w:r>
        <w:rPr>
          <w:sz w:val="24"/>
          <w:szCs w:val="24"/>
        </w:rPr>
      </w:r>
      <w:r>
        <w:rPr>
          <w:sz w:val="24"/>
          <w:szCs w:val="24"/>
        </w:rPr>
      </w:r>
    </w:p>
    <w:p>
      <w:pPr>
        <w:pBdr/>
        <w:spacing w:after="240" w:line="240" w:lineRule="auto"/>
        <w:ind w:left="720"/>
        <w:rPr>
          <w:sz w:val="24"/>
          <w:szCs w:val="24"/>
        </w:rPr>
      </w:pPr>
      <w:r/>
      <w:hyperlink r:id="rId53" w:tooltip="https://www.zotero.org/google-docs/?cZXf93" w:history="1">
        <w:r>
          <w:rPr>
            <w:sz w:val="24"/>
            <w:szCs w:val="24"/>
            <w:rtl w:val="0"/>
          </w:rPr>
          <w:t xml:space="preserve">Jenkins, Dallas (dir.), </w:t>
        </w:r>
      </w:hyperlink>
      <w:r/>
      <w:hyperlink r:id="rId54" w:tooltip="https://www.zotero.org/google-docs/?cZXf93" w:history="1">
        <w:r>
          <w:rPr>
            <w:i/>
            <w:sz w:val="24"/>
            <w:szCs w:val="24"/>
            <w:rtl w:val="0"/>
          </w:rPr>
          <w:t xml:space="preserve">The Chosen</w:t>
        </w:r>
      </w:hyperlink>
      <w:r/>
      <w:hyperlink r:id="rId55" w:tooltip="https://www.zotero.org/google-docs/?cZXf93" w:history="1">
        <w:r>
          <w:rPr>
            <w:sz w:val="24"/>
            <w:szCs w:val="24"/>
            <w:rtl w:val="0"/>
          </w:rPr>
          <w:t xml:space="preserve"> (Amazon Prime, 2017), Series 1-5 &lt;https://www.amazon.co.uk/gp/video/detail/amzn1.dv.gti.eb77e980-588a-4994-bf7b-fabf6caa129a?autoplay=0&amp;ref_=atv_cf_strg_wb&gt; </w:t>
        </w:r>
      </w:hyperlink>
      <w:r>
        <w:rPr>
          <w:sz w:val="24"/>
          <w:szCs w:val="24"/>
        </w:rPr>
      </w:r>
      <w:r>
        <w:rPr>
          <w:sz w:val="24"/>
          <w:szCs w:val="24"/>
        </w:rPr>
      </w:r>
    </w:p>
    <w:p>
      <w:pPr>
        <w:pBdr/>
        <w:spacing w:after="240" w:line="240" w:lineRule="auto"/>
        <w:ind w:left="720"/>
        <w:rPr>
          <w:sz w:val="24"/>
          <w:szCs w:val="24"/>
        </w:rPr>
      </w:pPr>
      <w:r/>
      <w:hyperlink r:id="rId56" w:tooltip="https://www.zotero.org/google-docs/?cZXf93" w:history="1">
        <w:r>
          <w:rPr>
            <w:sz w:val="24"/>
            <w:szCs w:val="24"/>
            <w:rtl w:val="0"/>
          </w:rPr>
          <w:t xml:space="preserve">McClellan, Daniel O., ‘“As Far as It Is Translated Correctly”’, </w:t>
        </w:r>
      </w:hyperlink>
      <w:r/>
      <w:hyperlink r:id="rId57" w:tooltip="https://www.zotero.org/google-docs/?cZXf93" w:history="1">
        <w:r>
          <w:rPr>
            <w:i/>
            <w:sz w:val="24"/>
            <w:szCs w:val="24"/>
            <w:rtl w:val="0"/>
          </w:rPr>
          <w:t xml:space="preserve">Religious Educator: Perspectives on the Restored Gospel</w:t>
        </w:r>
      </w:hyperlink>
      <w:r/>
      <w:hyperlink r:id="rId58" w:tooltip="https://www.zotero.org/google-docs/?cZXf93" w:history="1">
        <w:r>
          <w:rPr>
            <w:sz w:val="24"/>
            <w:szCs w:val="24"/>
            <w:rtl w:val="0"/>
          </w:rPr>
          <w:t xml:space="preserve">, 20.2 (2019) &lt;https://scholarsarchive.byu.edu/re/vol20/iss2/6/&gt; [accessed 20 October 2025] </w:t>
        </w:r>
      </w:hyperlink>
      <w:r>
        <w:rPr>
          <w:sz w:val="24"/>
          <w:szCs w:val="24"/>
        </w:rPr>
      </w:r>
      <w:r>
        <w:rPr>
          <w:sz w:val="24"/>
          <w:szCs w:val="24"/>
        </w:rPr>
      </w:r>
    </w:p>
    <w:p>
      <w:pPr>
        <w:pBdr/>
        <w:spacing w:after="240" w:line="240" w:lineRule="auto"/>
        <w:ind w:left="720"/>
        <w:rPr>
          <w:sz w:val="24"/>
          <w:szCs w:val="24"/>
        </w:rPr>
      </w:pPr>
      <w:r/>
      <w:hyperlink r:id="rId59" w:tooltip="https://www.zotero.org/google-docs/?cZXf93" w:history="1">
        <w:r>
          <w:rPr>
            <w:sz w:val="24"/>
            <w:szCs w:val="24"/>
            <w:rtl w:val="0"/>
          </w:rPr>
          <w:t xml:space="preserve">Metzger, Bruce M, ‘Important Early Translations of the Bible’, </w:t>
        </w:r>
      </w:hyperlink>
      <w:r/>
      <w:hyperlink r:id="rId60" w:tooltip="https://www.zotero.org/google-docs/?cZXf93" w:history="1">
        <w:r>
          <w:rPr>
            <w:i/>
            <w:sz w:val="24"/>
            <w:szCs w:val="24"/>
            <w:rtl w:val="0"/>
          </w:rPr>
          <w:t xml:space="preserve">Bibliotheca Sacra</w:t>
        </w:r>
      </w:hyperlink>
      <w:r/>
      <w:hyperlink r:id="rId61" w:tooltip="https://www.zotero.org/google-docs/?cZXf93" w:history="1">
        <w:r>
          <w:rPr>
            <w:sz w:val="24"/>
            <w:szCs w:val="24"/>
            <w:rtl w:val="0"/>
          </w:rPr>
          <w:t xml:space="preserve">, 1993, pp. 35–49 </w:t>
        </w:r>
      </w:hyperlink>
      <w:r>
        <w:rPr>
          <w:sz w:val="24"/>
          <w:szCs w:val="24"/>
        </w:rPr>
      </w:r>
      <w:r>
        <w:rPr>
          <w:sz w:val="24"/>
          <w:szCs w:val="24"/>
        </w:rPr>
      </w:r>
    </w:p>
    <w:p>
      <w:pPr>
        <w:pBdr/>
        <w:spacing w:after="240" w:line="240" w:lineRule="auto"/>
        <w:ind w:left="720"/>
        <w:rPr>
          <w:sz w:val="24"/>
          <w:szCs w:val="24"/>
        </w:rPr>
      </w:pPr>
      <w:r/>
      <w:hyperlink r:id="rId62" w:tooltip="https://www.zotero.org/google-docs/?cZXf93" w:history="1">
        <w:r>
          <w:rPr>
            <w:sz w:val="24"/>
            <w:szCs w:val="24"/>
            <w:rtl w:val="0"/>
          </w:rPr>
          <w:t xml:space="preserve">Moore, Richard K, ‘The Case for Bible Translation, Viewed in Historical Perspective - Richard K. Moore, 2014’, </w:t>
        </w:r>
      </w:hyperlink>
      <w:r/>
      <w:hyperlink r:id="rId63" w:tooltip="https://www.zotero.org/google-docs/?cZXf93" w:history="1">
        <w:r>
          <w:rPr>
            <w:i/>
            <w:sz w:val="24"/>
            <w:szCs w:val="24"/>
            <w:rtl w:val="0"/>
          </w:rPr>
          <w:t xml:space="preserve">United Bible Societies</w:t>
        </w:r>
      </w:hyperlink>
      <w:r/>
      <w:hyperlink r:id="rId64" w:tooltip="https://www.zotero.org/google-docs/?cZXf93" w:history="1">
        <w:r>
          <w:rPr>
            <w:sz w:val="24"/>
            <w:szCs w:val="24"/>
            <w:rtl w:val="0"/>
          </w:rPr>
          <w:t xml:space="preserve">, 65.1 (n.d.), doi:10.1177/205167701351830 </w:t>
        </w:r>
      </w:hyperlink>
      <w:r>
        <w:rPr>
          <w:sz w:val="24"/>
          <w:szCs w:val="24"/>
        </w:rPr>
      </w:r>
      <w:r>
        <w:rPr>
          <w:sz w:val="24"/>
          <w:szCs w:val="24"/>
        </w:rPr>
      </w:r>
    </w:p>
    <w:p>
      <w:pPr>
        <w:pBdr/>
        <w:spacing w:after="240" w:line="240" w:lineRule="auto"/>
        <w:ind w:left="720"/>
        <w:rPr>
          <w:sz w:val="24"/>
          <w:szCs w:val="24"/>
        </w:rPr>
      </w:pPr>
      <w:r/>
      <w:hyperlink r:id="rId65" w:tooltip="https://www.zotero.org/google-docs/?cZXf93" w:history="1">
        <w:r>
          <w:rPr>
            <w:sz w:val="24"/>
            <w:szCs w:val="24"/>
            <w:rtl w:val="0"/>
          </w:rPr>
          <w:t xml:space="preserve">Naudé, J. A., ‘“I Must Speak to You Plainly”: A History of English Bible Translations, Independent of the King James Version (1611) Tradition’, Articles, </w:t>
        </w:r>
      </w:hyperlink>
      <w:r/>
      <w:hyperlink r:id="rId66" w:tooltip="https://www.zotero.org/google-docs/?cZXf93" w:history="1">
        <w:r>
          <w:rPr>
            <w:i/>
            <w:sz w:val="24"/>
            <w:szCs w:val="24"/>
            <w:rtl w:val="0"/>
          </w:rPr>
          <w:t xml:space="preserve">Acta Theologica</w:t>
        </w:r>
      </w:hyperlink>
      <w:r/>
      <w:hyperlink r:id="rId67" w:tooltip="https://www.zotero.org/google-docs/?cZXf93" w:history="1">
        <w:r>
          <w:rPr>
            <w:sz w:val="24"/>
            <w:szCs w:val="24"/>
            <w:rtl w:val="0"/>
          </w:rPr>
          <w:t xml:space="preserve"> (Bloemfontein, South Africa), 41.2 (2021), pp. 96–117, doi:10.18820/23099089/actat.v41i2.6 </w:t>
        </w:r>
      </w:hyperlink>
      <w:r>
        <w:rPr>
          <w:sz w:val="24"/>
          <w:szCs w:val="24"/>
        </w:rPr>
      </w:r>
      <w:r>
        <w:rPr>
          <w:sz w:val="24"/>
          <w:szCs w:val="24"/>
        </w:rPr>
      </w:r>
    </w:p>
    <w:p>
      <w:pPr>
        <w:pBdr/>
        <w:spacing w:after="240" w:line="240" w:lineRule="auto"/>
        <w:ind w:left="720"/>
        <w:rPr>
          <w:sz w:val="24"/>
          <w:szCs w:val="24"/>
        </w:rPr>
      </w:pPr>
      <w:r/>
      <w:hyperlink r:id="rId68" w:tooltip="https://www.zotero.org/google-docs/?cZXf93" w:history="1">
        <w:r>
          <w:rPr>
            <w:sz w:val="24"/>
            <w:szCs w:val="24"/>
            <w:rtl w:val="0"/>
          </w:rPr>
          <w:t xml:space="preserve">‘Number of English Translations of the Bible -’, </w:t>
        </w:r>
      </w:hyperlink>
      <w:r/>
      <w:hyperlink r:id="rId69" w:tooltip="https://www.zotero.org/google-docs/?cZXf93" w:history="1">
        <w:r>
          <w:rPr>
            <w:i/>
            <w:sz w:val="24"/>
            <w:szCs w:val="24"/>
            <w:rtl w:val="0"/>
          </w:rPr>
          <w:t xml:space="preserve">American Bible Society</w:t>
        </w:r>
      </w:hyperlink>
      <w:r/>
      <w:hyperlink r:id="rId70" w:tooltip="https://www.zotero.org/google-docs/?cZXf93" w:history="1">
        <w:r>
          <w:rPr>
            <w:sz w:val="24"/>
            <w:szCs w:val="24"/>
            <w:rtl w:val="0"/>
          </w:rPr>
          <w:t xml:space="preserve">, 2 December 2009 &lt;https://www.americanbible.org/news/articles/number-of-english-translations-of-the-bible/&gt; [accessed 3 November 2025] </w:t>
        </w:r>
      </w:hyperlink>
      <w:r>
        <w:rPr>
          <w:sz w:val="24"/>
          <w:szCs w:val="24"/>
        </w:rPr>
      </w:r>
      <w:r>
        <w:rPr>
          <w:sz w:val="24"/>
          <w:szCs w:val="24"/>
        </w:rPr>
      </w:r>
    </w:p>
    <w:p>
      <w:pPr>
        <w:pBdr/>
        <w:spacing w:after="240" w:line="240" w:lineRule="auto"/>
        <w:ind w:left="720"/>
        <w:rPr>
          <w:sz w:val="24"/>
          <w:szCs w:val="24"/>
        </w:rPr>
      </w:pPr>
      <w:r/>
      <w:hyperlink r:id="rId71" w:tooltip="https://www.zotero.org/google-docs/?cZXf93" w:history="1">
        <w:r>
          <w:rPr>
            <w:sz w:val="24"/>
            <w:szCs w:val="24"/>
            <w:rtl w:val="0"/>
          </w:rPr>
          <w:t xml:space="preserve">Pleijel, Richard, ‘Resisting Wirkungsgeschichte: Bible Translators as Agents of Reception’, </w:t>
        </w:r>
      </w:hyperlink>
      <w:r/>
      <w:hyperlink r:id="rId72" w:tooltip="https://www.zotero.org/google-docs/?cZXf93" w:history="1">
        <w:r>
          <w:rPr>
            <w:i/>
            <w:sz w:val="24"/>
            <w:szCs w:val="24"/>
            <w:rtl w:val="0"/>
          </w:rPr>
          <w:t xml:space="preserve">Journal of the Bible and Its Reception</w:t>
        </w:r>
      </w:hyperlink>
      <w:r/>
      <w:hyperlink r:id="rId73" w:tooltip="https://www.zotero.org/google-docs/?cZXf93" w:history="1">
        <w:r>
          <w:rPr>
            <w:sz w:val="24"/>
            <w:szCs w:val="24"/>
            <w:rtl w:val="0"/>
          </w:rPr>
          <w:t xml:space="preserve">, 12.1 (2025), pp. 85–107, doi:10.1515/jbr-2023-0021 </w:t>
        </w:r>
      </w:hyperlink>
      <w:r>
        <w:rPr>
          <w:sz w:val="24"/>
          <w:szCs w:val="24"/>
        </w:rPr>
      </w:r>
      <w:r>
        <w:rPr>
          <w:sz w:val="24"/>
          <w:szCs w:val="24"/>
        </w:rPr>
      </w:r>
    </w:p>
    <w:p>
      <w:pPr>
        <w:pBdr/>
        <w:spacing w:after="240" w:line="240" w:lineRule="auto"/>
        <w:ind w:left="720"/>
        <w:rPr>
          <w:sz w:val="24"/>
          <w:szCs w:val="24"/>
        </w:rPr>
      </w:pPr>
      <w:r/>
      <w:hyperlink r:id="rId74" w:tooltip="https://www.zotero.org/google-docs/?cZXf93" w:history="1">
        <w:r>
          <w:rPr>
            <w:sz w:val="24"/>
            <w:szCs w:val="24"/>
            <w:rtl w:val="0"/>
          </w:rPr>
          <w:t xml:space="preserve">Rajak, Tessa, ‘Staying Jewish: Language and Identity in the Greek Bible’, in </w:t>
        </w:r>
      </w:hyperlink>
      <w:r/>
      <w:hyperlink r:id="rId75" w:tooltip="https://www.zotero.org/google-docs/?cZXf93" w:history="1">
        <w:r>
          <w:rPr>
            <w:i/>
            <w:sz w:val="24"/>
            <w:szCs w:val="24"/>
            <w:rtl w:val="0"/>
          </w:rPr>
          <w:t xml:space="preserve">Translation and Survival: The Greek Bible of the Ancient Jewish Diaspora</w:t>
        </w:r>
      </w:hyperlink>
      <w:r/>
      <w:hyperlink r:id="rId76" w:tooltip="https://www.zotero.org/google-docs/?cZXf93" w:history="1">
        <w:r>
          <w:rPr>
            <w:sz w:val="24"/>
            <w:szCs w:val="24"/>
            <w:rtl w:val="0"/>
          </w:rPr>
          <w:t xml:space="preserve">, ed. by Tessa Rajak (Oxford University Press, 2009), p. 0, doi:10.1093/acprof:oso/9780199558674.003.0005 </w:t>
        </w:r>
      </w:hyperlink>
      <w:r>
        <w:rPr>
          <w:sz w:val="24"/>
          <w:szCs w:val="24"/>
        </w:rPr>
      </w:r>
      <w:r>
        <w:rPr>
          <w:sz w:val="24"/>
          <w:szCs w:val="24"/>
        </w:rPr>
      </w:r>
    </w:p>
    <w:p>
      <w:pPr>
        <w:pBdr/>
        <w:spacing w:after="240" w:line="240" w:lineRule="auto"/>
        <w:ind w:left="720"/>
        <w:rPr>
          <w:sz w:val="24"/>
          <w:szCs w:val="24"/>
        </w:rPr>
      </w:pPr>
      <w:r/>
      <w:hyperlink r:id="rId77" w:tooltip="https://www.zotero.org/google-docs/?cZXf93" w:history="1">
        <w:r>
          <w:rPr>
            <w:sz w:val="24"/>
            <w:szCs w:val="24"/>
            <w:rtl w:val="0"/>
          </w:rPr>
          <w:t xml:space="preserve">Roberts, Jonathan, ‘Introduction’, in </w:t>
        </w:r>
      </w:hyperlink>
      <w:r/>
      <w:hyperlink r:id="rId78" w:tooltip="https://www.zotero.org/google-docs/?cZXf93" w:history="1">
        <w:r>
          <w:rPr>
            <w:i/>
            <w:sz w:val="24"/>
            <w:szCs w:val="24"/>
            <w:rtl w:val="0"/>
          </w:rPr>
          <w:t xml:space="preserve">The Oxford Handbook of the Reception History of the Bible</w:t>
        </w:r>
      </w:hyperlink>
      <w:r/>
      <w:hyperlink r:id="rId79" w:tooltip="https://www.zotero.org/google-docs/?cZXf93" w:history="1">
        <w:r>
          <w:rPr>
            <w:sz w:val="24"/>
            <w:szCs w:val="24"/>
            <w:rtl w:val="0"/>
          </w:rPr>
          <w:t xml:space="preserve">, ed. by Michael Lieb and others (Oxford University Press, 2011), p. 0, doi:10.1093/oxfordhb/9780199204540.003.0001 </w:t>
        </w:r>
      </w:hyperlink>
      <w:r>
        <w:rPr>
          <w:sz w:val="24"/>
          <w:szCs w:val="24"/>
        </w:rPr>
      </w:r>
      <w:r>
        <w:rPr>
          <w:sz w:val="24"/>
          <w:szCs w:val="24"/>
        </w:rPr>
      </w:r>
    </w:p>
    <w:p>
      <w:pPr>
        <w:pBdr/>
        <w:spacing w:after="240" w:line="240" w:lineRule="auto"/>
        <w:ind w:left="720"/>
        <w:rPr>
          <w:sz w:val="24"/>
          <w:szCs w:val="24"/>
        </w:rPr>
      </w:pPr>
      <w:r/>
      <w:hyperlink r:id="rId80" w:tooltip="https://www.zotero.org/google-docs/?cZXf93" w:history="1">
        <w:r>
          <w:rPr>
            <w:sz w:val="24"/>
            <w:szCs w:val="24"/>
            <w:rtl w:val="0"/>
          </w:rPr>
          <w:t xml:space="preserve">Schäfer, Peter, </w:t>
        </w:r>
      </w:hyperlink>
      <w:r/>
      <w:hyperlink r:id="rId81" w:tooltip="https://www.zotero.org/google-docs/?cZXf93" w:history="1">
        <w:r>
          <w:rPr>
            <w:i/>
            <w:sz w:val="24"/>
            <w:szCs w:val="24"/>
            <w:rtl w:val="0"/>
          </w:rPr>
          <w:t xml:space="preserve">The History of the Jews in the Greco-Roman World: The Jews of Palestine from Alexander the Great to the Arab Conquest</w:t>
        </w:r>
      </w:hyperlink>
      <w:r/>
      <w:hyperlink r:id="rId82" w:tooltip="https://www.zotero.org/google-docs/?cZXf93" w:history="1">
        <w:r>
          <w:rPr>
            <w:sz w:val="24"/>
            <w:szCs w:val="24"/>
            <w:rtl w:val="0"/>
          </w:rPr>
          <w:t xml:space="preserve">, 2nd edn (Routledge, 2003), doi:10.4324/9780203321980 </w:t>
        </w:r>
      </w:hyperlink>
      <w:r>
        <w:rPr>
          <w:sz w:val="24"/>
          <w:szCs w:val="24"/>
        </w:rPr>
      </w:r>
      <w:r>
        <w:rPr>
          <w:sz w:val="24"/>
          <w:szCs w:val="24"/>
        </w:rPr>
      </w:r>
    </w:p>
    <w:p>
      <w:pPr>
        <w:pBdr/>
        <w:spacing w:after="240" w:line="240" w:lineRule="auto"/>
        <w:ind w:left="720"/>
        <w:rPr>
          <w:sz w:val="24"/>
          <w:szCs w:val="24"/>
        </w:rPr>
      </w:pPr>
      <w:r/>
      <w:hyperlink r:id="rId83" w:tooltip="https://www.zotero.org/google-docs/?cZXf93" w:history="1">
        <w:r>
          <w:rPr>
            <w:sz w:val="24"/>
            <w:szCs w:val="24"/>
            <w:rtl w:val="0"/>
          </w:rPr>
          <w:t xml:space="preserve">Schwartz, Howard, ‘Reimagining the Bible’, in </w:t>
        </w:r>
      </w:hyperlink>
      <w:r/>
      <w:hyperlink r:id="rId84" w:tooltip="https://www.zotero.org/google-docs/?cZXf93" w:history="1">
        <w:r>
          <w:rPr>
            <w:i/>
            <w:sz w:val="24"/>
            <w:szCs w:val="24"/>
            <w:rtl w:val="0"/>
          </w:rPr>
          <w:t xml:space="preserve">Reimagining the Bible: The Storytelling of the Rabbis</w:t>
        </w:r>
      </w:hyperlink>
      <w:r/>
      <w:hyperlink r:id="rId85" w:tooltip="https://www.zotero.org/google-docs/?cZXf93" w:history="1">
        <w:r>
          <w:rPr>
            <w:sz w:val="24"/>
            <w:szCs w:val="24"/>
            <w:rtl w:val="0"/>
          </w:rPr>
          <w:t xml:space="preserve"> (Oxford University Press, 1998) </w:t>
        </w:r>
      </w:hyperlink>
      <w:r>
        <w:rPr>
          <w:sz w:val="24"/>
          <w:szCs w:val="24"/>
        </w:rPr>
      </w:r>
      <w:r>
        <w:rPr>
          <w:sz w:val="24"/>
          <w:szCs w:val="24"/>
        </w:rPr>
      </w:r>
    </w:p>
    <w:p>
      <w:pPr>
        <w:pBdr/>
        <w:spacing w:after="240" w:line="240" w:lineRule="auto"/>
        <w:ind w:left="720"/>
        <w:rPr>
          <w:sz w:val="24"/>
          <w:szCs w:val="24"/>
        </w:rPr>
      </w:pPr>
      <w:r/>
      <w:hyperlink r:id="rId86" w:tooltip="https://www.zotero.org/google-docs/?cZXf93" w:history="1">
        <w:r>
          <w:rPr>
            <w:sz w:val="24"/>
            <w:szCs w:val="24"/>
            <w:rtl w:val="0"/>
          </w:rPr>
          <w:t xml:space="preserve">Tov, Emanuel, </w:t>
        </w:r>
      </w:hyperlink>
      <w:r/>
      <w:hyperlink r:id="rId87" w:tooltip="https://www.zotero.org/google-docs/?cZXf93" w:history="1">
        <w:r>
          <w:rPr>
            <w:i/>
            <w:sz w:val="24"/>
            <w:szCs w:val="24"/>
            <w:rtl w:val="0"/>
          </w:rPr>
          <w:t xml:space="preserve">Scribal Practices and Approaches Reflected in the Texts Found in the Judean Desert</w:t>
        </w:r>
      </w:hyperlink>
      <w:r/>
      <w:hyperlink r:id="rId88" w:tooltip="https://www.zotero.org/google-docs/?cZXf93" w:history="1">
        <w:r>
          <w:rPr>
            <w:sz w:val="24"/>
            <w:szCs w:val="24"/>
            <w:rtl w:val="0"/>
          </w:rPr>
          <w:t xml:space="preserve"> (BRILL, 2018) </w:t>
        </w:r>
      </w:hyperlink>
      <w:r>
        <w:rPr>
          <w:sz w:val="24"/>
          <w:szCs w:val="24"/>
        </w:rPr>
      </w:r>
      <w:r>
        <w:rPr>
          <w:sz w:val="24"/>
          <w:szCs w:val="24"/>
        </w:rPr>
      </w:r>
    </w:p>
    <w:p>
      <w:pPr>
        <w:pBdr/>
        <w:spacing w:line="480" w:lineRule="auto"/>
        <w:ind/>
        <w:rPr>
          <w:sz w:val="18"/>
          <w:szCs w:val="18"/>
        </w:rPr>
      </w:pPr>
      <w:r>
        <w:rPr>
          <w:rtl w:val="0"/>
        </w:rPr>
      </w:r>
      <w:r>
        <w:rPr>
          <w:sz w:val="18"/>
          <w:szCs w:val="18"/>
        </w:rPr>
      </w:r>
      <w:r>
        <w:rPr>
          <w:sz w:val="18"/>
          <w:szCs w:val="18"/>
        </w:rPr>
      </w:r>
    </w:p>
    <w:sectPr>
      <w:footerReference w:type="default" r:id="rId8"/>
      <w:footnotePr/>
      <w:endnotePr/>
      <w:type w:val="nextPage"/>
      <w:pgSz w:h="16834" w:orient="portrait" w:w="11909"/>
      <w:pgMar w:top="1440" w:right="1440" w:bottom="1440" w:left="1440" w:header="720" w:footer="720" w:gutter="0"/>
      <w:pgNumType w:start="1"/>
      <w:cols w:num="1" w:sep="0" w:space="1701"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matic SC">
    <w:panose1 w:val="05040102010807070707"/>
  </w:font>
  <w:font w:name="Arial">
    <w:panose1 w:val="020B0604020202020204"/>
  </w:font>
  <w:font w:name="Calibri">
    <w:panose1 w:val="020F0502020204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ind/>
      <w:jc w:val="right"/>
      <w:rPr/>
    </w:pPr>
    <w:r>
      <w:fldChar w:fldCharType="begin"/>
      <w:instrText xml:space="preserve">PAGE</w:instrText>
      <w:fldChar w:fldCharType="separate"/>
      <w:fldChar w:fldCharType="end"/>
    </w:r>
    <w:r>
      <w:rPr>
        <w:rtl w:val="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 w:id="2">
    <w:p>
      <w:pPr>
        <w:pBdr/>
        <w:spacing w:line="240" w:lineRule="auto"/>
        <w:ind/>
        <w:rPr>
          <w:sz w:val="20"/>
          <w:szCs w:val="20"/>
        </w:rPr>
      </w:pPr>
      <w:r>
        <w:rPr>
          <w:vertAlign w:val="superscript"/>
        </w:rPr>
        <w:footnoteRef/>
      </w:r>
      <w:hyperlink r:id="rId1" w:tooltip="https://www.zotero.org/google-docs/?eXcywn" w:history="1">
        <w:r>
          <w:rPr>
            <w:sz w:val="20"/>
            <w:szCs w:val="20"/>
            <w:rtl w:val="0"/>
          </w:rPr>
          <w:t xml:space="preserve">Hans-Georg Gadamer, </w:t>
        </w:r>
      </w:hyperlink>
      <w:r/>
      <w:hyperlink r:id="rId2" w:tooltip="https://www.zotero.org/google-docs/?eXcywn" w:history="1">
        <w:r>
          <w:rPr>
            <w:i/>
            <w:sz w:val="20"/>
            <w:szCs w:val="20"/>
            <w:rtl w:val="0"/>
          </w:rPr>
          <w:t xml:space="preserve">Truth and Method</w:t>
        </w:r>
      </w:hyperlink>
      <w:r/>
      <w:hyperlink r:id="rId3" w:tooltip="https://www.zotero.org/google-docs/?eXcywn" w:history="1">
        <w:r>
          <w:rPr>
            <w:sz w:val="20"/>
            <w:szCs w:val="20"/>
            <w:rtl w:val="0"/>
          </w:rPr>
          <w:t xml:space="preserve"> (A&amp;C Black, 2013).</w:t>
        </w:r>
      </w:hyperlink>
      <w:r>
        <w:rPr>
          <w:sz w:val="20"/>
          <w:szCs w:val="20"/>
        </w:rPr>
      </w:r>
      <w:r>
        <w:rPr>
          <w:sz w:val="20"/>
          <w:szCs w:val="20"/>
        </w:rPr>
      </w:r>
    </w:p>
  </w:footnote>
  <w:footnote w:id="3">
    <w:p>
      <w:pPr>
        <w:pBdr/>
        <w:spacing w:line="240" w:lineRule="auto"/>
        <w:ind/>
        <w:rPr>
          <w:sz w:val="20"/>
          <w:szCs w:val="20"/>
          <w:shd w:val="clear" w:color="auto" w:fill="ea9999"/>
        </w:rPr>
      </w:pPr>
      <w:r>
        <w:rPr>
          <w:vertAlign w:val="superscript"/>
        </w:rPr>
        <w:footnoteRef/>
      </w:r>
      <w:hyperlink r:id="rId4" w:tooltip="https://www.zotero.org/google-docs/?vtVomE" w:history="1">
        <w:r>
          <w:rPr>
            <w:sz w:val="20"/>
            <w:szCs w:val="20"/>
            <w:rtl w:val="0"/>
          </w:rPr>
          <w:t xml:space="preserve">Brennan Breed, ‘What Is Reception History?’, </w:t>
        </w:r>
      </w:hyperlink>
      <w:r/>
      <w:hyperlink r:id="rId5" w:tooltip="https://www.zotero.org/google-docs/?vtVomE" w:history="1">
        <w:r>
          <w:rPr>
            <w:i/>
            <w:sz w:val="20"/>
            <w:szCs w:val="20"/>
            <w:rtl w:val="0"/>
          </w:rPr>
          <w:t xml:space="preserve">Bible Odyssey</w:t>
        </w:r>
      </w:hyperlink>
      <w:r/>
      <w:hyperlink r:id="rId6" w:tooltip="https://www.zotero.org/google-docs/?vtVomE" w:history="1">
        <w:r>
          <w:rPr>
            <w:sz w:val="20"/>
            <w:szCs w:val="20"/>
            <w:rtl w:val="0"/>
          </w:rPr>
          <w:t xml:space="preserve">, 14 December 2022 &lt;https://www.bibleodyssey.org/articles/what-is-reception-hisTestamenttory/&gt; [accessed 20 October 2025]</w:t>
        </w:r>
      </w:hyperlink>
      <w:r>
        <w:rPr>
          <w:sz w:val="20"/>
          <w:szCs w:val="20"/>
          <w:shd w:val="clear" w:color="auto" w:fill="ea9999"/>
        </w:rPr>
      </w:r>
      <w:r>
        <w:rPr>
          <w:sz w:val="20"/>
          <w:szCs w:val="20"/>
          <w:shd w:val="clear" w:color="auto" w:fill="ea9999"/>
        </w:rPr>
      </w:r>
    </w:p>
  </w:footnote>
  <w:footnote w:id="4">
    <w:p>
      <w:pPr>
        <w:pBdr/>
        <w:spacing w:line="240" w:lineRule="auto"/>
        <w:ind/>
        <w:rPr>
          <w:sz w:val="20"/>
          <w:szCs w:val="20"/>
        </w:rPr>
      </w:pPr>
      <w:r>
        <w:rPr>
          <w:vertAlign w:val="superscript"/>
        </w:rPr>
        <w:footnoteRef/>
      </w:r>
      <w:hyperlink r:id="rId7" w:tooltip="https://www.zotero.org/google-docs/?LdAECj" w:history="1">
        <w:r>
          <w:rPr>
            <w:sz w:val="20"/>
            <w:szCs w:val="20"/>
            <w:rtl w:val="0"/>
          </w:rPr>
          <w:t xml:space="preserve">Mary Chilton Callaway, ‘What’s the Use of Reception History?’, unpubl</w:t>
        </w:r>
        <w:r>
          <w:rPr>
            <w:sz w:val="20"/>
            <w:szCs w:val="20"/>
            <w:rtl w:val="0"/>
          </w:rPr>
          <w:t xml:space="preserve">ished paper delivered at Annual Meeting of The Society of Biblical Literature (San Antonio, Texas, 2004) &lt;https://drive.google.com/file/d/0BwA21tmQBoRQMHMzdGEtdGNPVk0/view?resourcekey=0-RfOR4fm4QDfLKTX5DKTxcg&amp;usp=embed_facebook&gt; [accessed 20 October 2025].</w:t>
        </w:r>
      </w:hyperlink>
      <w:r>
        <w:rPr>
          <w:sz w:val="20"/>
          <w:szCs w:val="20"/>
        </w:rPr>
      </w:r>
      <w:r>
        <w:rPr>
          <w:sz w:val="20"/>
          <w:szCs w:val="20"/>
        </w:rPr>
      </w:r>
    </w:p>
  </w:footnote>
  <w:footnote w:id="5">
    <w:p>
      <w:pPr>
        <w:pBdr/>
        <w:spacing w:line="240" w:lineRule="auto"/>
        <w:ind/>
        <w:rPr>
          <w:sz w:val="20"/>
          <w:szCs w:val="20"/>
        </w:rPr>
      </w:pPr>
      <w:r>
        <w:rPr>
          <w:vertAlign w:val="superscript"/>
        </w:rPr>
        <w:footnoteRef/>
      </w:r>
      <w:hyperlink r:id="rId8" w:tooltip="https://www.zotero.org/google-docs/?pQyug0" w:history="1">
        <w:r>
          <w:rPr>
            <w:sz w:val="20"/>
            <w:szCs w:val="20"/>
            <w:rtl w:val="0"/>
          </w:rPr>
          <w:t xml:space="preserve">Philip R Davies, ‘Biblical Studies: Fifty Years of a Multi-Discipline’, </w:t>
        </w:r>
      </w:hyperlink>
      <w:r/>
      <w:hyperlink r:id="rId9" w:tooltip="https://www.zotero.org/google-docs/?pQyug0" w:history="1">
        <w:r>
          <w:rPr>
            <w:i/>
            <w:sz w:val="20"/>
            <w:szCs w:val="20"/>
            <w:rtl w:val="0"/>
          </w:rPr>
          <w:t xml:space="preserve">Sage Journals</w:t>
        </w:r>
      </w:hyperlink>
      <w:r/>
      <w:hyperlink r:id="rId10" w:tooltip="https://www.zotero.org/google-docs/?pQyug0" w:history="1">
        <w:r>
          <w:rPr>
            <w:sz w:val="20"/>
            <w:szCs w:val="20"/>
            <w:rtl w:val="0"/>
          </w:rPr>
          <w:t xml:space="preserve">, 13.1 (2014), pp. 34–66, doi:10.1177/1476993X13508083.</w:t>
        </w:r>
      </w:hyperlink>
      <w:r>
        <w:rPr>
          <w:sz w:val="20"/>
          <w:szCs w:val="20"/>
        </w:rPr>
      </w:r>
      <w:r>
        <w:rPr>
          <w:sz w:val="20"/>
          <w:szCs w:val="20"/>
        </w:rPr>
      </w:r>
    </w:p>
  </w:footnote>
  <w:footnote w:id="6">
    <w:p>
      <w:pPr>
        <w:pBdr/>
        <w:spacing w:line="240" w:lineRule="auto"/>
        <w:ind/>
        <w:rPr>
          <w:sz w:val="20"/>
          <w:szCs w:val="20"/>
        </w:rPr>
      </w:pPr>
      <w:r>
        <w:rPr>
          <w:vertAlign w:val="superscript"/>
        </w:rPr>
        <w:footnoteRef/>
      </w:r>
      <w:r>
        <w:rPr>
          <w:sz w:val="20"/>
          <w:szCs w:val="20"/>
          <w:rtl w:val="0"/>
        </w:rPr>
        <w:t xml:space="preserve"> </w:t>
      </w:r>
      <w:hyperlink r:id="rId11" w:tooltip="https://www.zotero.org/google-docs/?harJDz" w:history="1">
        <w:r>
          <w:rPr>
            <w:sz w:val="20"/>
            <w:szCs w:val="20"/>
            <w:rtl w:val="0"/>
          </w:rPr>
          <w:t xml:space="preserve">Richard Pleijel, ‘Resisting Wirkungsgeschichte: Bible Translators as Agents of Reception’, </w:t>
        </w:r>
      </w:hyperlink>
      <w:r/>
      <w:hyperlink r:id="rId12" w:tooltip="https://www.zotero.org/google-docs/?harJDz" w:history="1">
        <w:r>
          <w:rPr>
            <w:i/>
            <w:sz w:val="20"/>
            <w:szCs w:val="20"/>
            <w:rtl w:val="0"/>
          </w:rPr>
          <w:t xml:space="preserve">Journal of the Bible and Its Reception</w:t>
        </w:r>
      </w:hyperlink>
      <w:r/>
      <w:hyperlink r:id="rId13" w:tooltip="https://www.zotero.org/google-docs/?harJDz" w:history="1">
        <w:r>
          <w:rPr>
            <w:sz w:val="20"/>
            <w:szCs w:val="20"/>
            <w:rtl w:val="0"/>
          </w:rPr>
          <w:t xml:space="preserve">, 12.1 (2025), pp. 85–107, doi:10.1515/jbr-2023-0021.</w:t>
        </w:r>
      </w:hyperlink>
      <w:r>
        <w:rPr>
          <w:sz w:val="20"/>
          <w:szCs w:val="20"/>
        </w:rPr>
      </w:r>
      <w:r>
        <w:rPr>
          <w:sz w:val="20"/>
          <w:szCs w:val="20"/>
        </w:rPr>
      </w:r>
    </w:p>
  </w:footnote>
  <w:footnote w:id="7">
    <w:p>
      <w:pPr>
        <w:pBdr/>
        <w:spacing w:line="240" w:lineRule="auto"/>
        <w:ind/>
        <w:rPr>
          <w:sz w:val="20"/>
          <w:szCs w:val="20"/>
        </w:rPr>
      </w:pPr>
      <w:r>
        <w:rPr>
          <w:vertAlign w:val="superscript"/>
        </w:rPr>
        <w:footnoteRef/>
      </w:r>
      <w:hyperlink r:id="rId14" w:tooltip="https://www.zotero.org/google-docs/?4FrMlN" w:history="1">
        <w:r>
          <w:rPr>
            <w:sz w:val="20"/>
            <w:szCs w:val="20"/>
            <w:rtl w:val="0"/>
          </w:rPr>
          <w:t xml:space="preserve">Holger Gzella, ‘Ancient Hebrew’, in </w:t>
        </w:r>
      </w:hyperlink>
      <w:r/>
      <w:hyperlink r:id="rId15" w:tooltip="https://www.zotero.org/google-docs/?4FrMlN" w:history="1">
        <w:r>
          <w:rPr>
            <w:i/>
            <w:sz w:val="20"/>
            <w:szCs w:val="20"/>
            <w:rtl w:val="0"/>
          </w:rPr>
          <w:t xml:space="preserve">Languages from the World of the Bible</w:t>
        </w:r>
      </w:hyperlink>
      <w:r/>
      <w:hyperlink r:id="rId16" w:tooltip="https://www.zotero.org/google-docs/?4FrMlN" w:history="1">
        <w:r>
          <w:rPr>
            <w:sz w:val="20"/>
            <w:szCs w:val="20"/>
            <w:rtl w:val="0"/>
          </w:rPr>
          <w:t xml:space="preserve"> (De Gruyter, 2012).</w:t>
        </w:r>
      </w:hyperlink>
      <w:r>
        <w:rPr>
          <w:sz w:val="20"/>
          <w:szCs w:val="20"/>
        </w:rPr>
      </w:r>
      <w:r>
        <w:rPr>
          <w:sz w:val="20"/>
          <w:szCs w:val="20"/>
        </w:rPr>
      </w:r>
    </w:p>
  </w:footnote>
  <w:footnote w:id="8">
    <w:p>
      <w:pPr>
        <w:pBdr/>
        <w:spacing w:line="240" w:lineRule="auto"/>
        <w:ind/>
        <w:rPr>
          <w:sz w:val="20"/>
          <w:szCs w:val="20"/>
        </w:rPr>
      </w:pPr>
      <w:r>
        <w:rPr>
          <w:vertAlign w:val="superscript"/>
        </w:rPr>
        <w:footnoteRef/>
      </w:r>
      <w:hyperlink r:id="rId17" w:tooltip="https://www.zotero.org/google-docs/?Ablmqt" w:history="1">
        <w:r>
          <w:rPr>
            <w:sz w:val="20"/>
            <w:szCs w:val="20"/>
            <w:rtl w:val="0"/>
          </w:rPr>
          <w:t xml:space="preserve">Rainer Albertz, </w:t>
        </w:r>
      </w:hyperlink>
      <w:r/>
      <w:hyperlink r:id="rId18" w:tooltip="https://www.zotero.org/google-docs/?Ablmqt" w:history="1">
        <w:r>
          <w:rPr>
            <w:i/>
            <w:sz w:val="20"/>
            <w:szCs w:val="20"/>
            <w:rtl w:val="0"/>
          </w:rPr>
          <w:t xml:space="preserve">Israel in Exile: The History and Literature of the Sixth Century B.C.E.</w:t>
        </w:r>
      </w:hyperlink>
      <w:r/>
      <w:hyperlink r:id="rId19" w:tooltip="https://www.zotero.org/google-docs/?Ablmqt" w:history="1">
        <w:r>
          <w:rPr>
            <w:sz w:val="20"/>
            <w:szCs w:val="20"/>
            <w:rtl w:val="0"/>
          </w:rPr>
          <w:t xml:space="preserve"> (Society of Biblical Lit, 2003).</w:t>
        </w:r>
      </w:hyperlink>
      <w:r>
        <w:rPr>
          <w:sz w:val="20"/>
          <w:szCs w:val="20"/>
        </w:rPr>
      </w:r>
      <w:r>
        <w:rPr>
          <w:sz w:val="20"/>
          <w:szCs w:val="20"/>
        </w:rPr>
      </w:r>
    </w:p>
  </w:footnote>
  <w:footnote w:id="9">
    <w:p>
      <w:pPr>
        <w:pBdr/>
        <w:spacing w:line="240" w:lineRule="auto"/>
        <w:ind/>
        <w:rPr>
          <w:sz w:val="20"/>
          <w:szCs w:val="20"/>
        </w:rPr>
      </w:pPr>
      <w:r>
        <w:rPr>
          <w:vertAlign w:val="superscript"/>
        </w:rPr>
        <w:footnoteRef/>
      </w:r>
      <w:r>
        <w:rPr>
          <w:sz w:val="20"/>
          <w:szCs w:val="20"/>
          <w:rtl w:val="0"/>
        </w:rPr>
        <w:t xml:space="preserve"> </w:t>
      </w:r>
      <w:hyperlink r:id="rId20" w:tooltip="https://www.zotero.org/google-docs/?1m62ul" w:history="1">
        <w:r>
          <w:rPr>
            <w:sz w:val="20"/>
            <w:szCs w:val="20"/>
            <w:rtl w:val="0"/>
          </w:rPr>
          <w:t xml:space="preserve">Peter Schäfer, </w:t>
        </w:r>
      </w:hyperlink>
      <w:r/>
      <w:hyperlink r:id="rId21" w:tooltip="https://www.zotero.org/google-docs/?1m62ul" w:history="1">
        <w:r>
          <w:rPr>
            <w:i/>
            <w:sz w:val="20"/>
            <w:szCs w:val="20"/>
            <w:rtl w:val="0"/>
          </w:rPr>
          <w:t xml:space="preserve">The History of the Jews in the Greco-Roman World: The Jews of Palestine from Alexander the Great to the Arab Conquest</w:t>
        </w:r>
      </w:hyperlink>
      <w:r/>
      <w:hyperlink r:id="rId22" w:tooltip="https://www.zotero.org/google-docs/?1m62ul" w:history="1">
        <w:r>
          <w:rPr>
            <w:sz w:val="20"/>
            <w:szCs w:val="20"/>
            <w:rtl w:val="0"/>
          </w:rPr>
          <w:t xml:space="preserve">, 2nd edn (Routledge, 2003), doi:10.4324/9780203321980.</w:t>
        </w:r>
      </w:hyperlink>
      <w:r>
        <w:rPr>
          <w:sz w:val="20"/>
          <w:szCs w:val="20"/>
        </w:rPr>
      </w:r>
      <w:r>
        <w:rPr>
          <w:sz w:val="20"/>
          <w:szCs w:val="20"/>
        </w:rPr>
      </w:r>
    </w:p>
  </w:footnote>
  <w:footnote w:id="10">
    <w:p>
      <w:pPr>
        <w:pBdr/>
        <w:spacing w:line="240" w:lineRule="auto"/>
        <w:ind/>
        <w:rPr>
          <w:sz w:val="20"/>
          <w:szCs w:val="20"/>
        </w:rPr>
      </w:pPr>
      <w:r>
        <w:rPr>
          <w:vertAlign w:val="superscript"/>
        </w:rPr>
        <w:footnoteRef/>
      </w:r>
      <w:hyperlink r:id="rId23" w:tooltip="https://www.zotero.org/google-docs/?e9H5MO" w:history="1">
        <w:r>
          <w:rPr>
            <w:sz w:val="20"/>
            <w:szCs w:val="20"/>
            <w:rtl w:val="0"/>
          </w:rPr>
          <w:t xml:space="preserve">Schäfer, </w:t>
        </w:r>
      </w:hyperlink>
      <w:r/>
      <w:hyperlink r:id="rId24" w:tooltip="https://www.zotero.org/google-docs/?e9H5MO" w:history="1">
        <w:r>
          <w:rPr>
            <w:i/>
            <w:sz w:val="20"/>
            <w:szCs w:val="20"/>
            <w:rtl w:val="0"/>
          </w:rPr>
          <w:t xml:space="preserve">The History of the Jews in the Greco-Roman World</w:t>
        </w:r>
      </w:hyperlink>
      <w:r/>
      <w:hyperlink r:id="rId25" w:tooltip="https://www.zotero.org/google-docs/?e9H5MO" w:history="1">
        <w:r>
          <w:rPr>
            <w:sz w:val="20"/>
            <w:szCs w:val="20"/>
            <w:rtl w:val="0"/>
          </w:rPr>
          <w:t xml:space="preserve">.</w:t>
        </w:r>
      </w:hyperlink>
      <w:r>
        <w:rPr>
          <w:sz w:val="20"/>
          <w:szCs w:val="20"/>
        </w:rPr>
      </w:r>
      <w:r>
        <w:rPr>
          <w:sz w:val="20"/>
          <w:szCs w:val="20"/>
        </w:rPr>
      </w:r>
    </w:p>
  </w:footnote>
  <w:footnote w:id="11">
    <w:p>
      <w:pPr>
        <w:pBdr/>
        <w:spacing w:line="240" w:lineRule="auto"/>
        <w:ind/>
        <w:rPr>
          <w:sz w:val="20"/>
          <w:szCs w:val="20"/>
        </w:rPr>
      </w:pPr>
      <w:r>
        <w:rPr>
          <w:vertAlign w:val="superscript"/>
        </w:rPr>
        <w:footnoteRef/>
      </w:r>
      <w:hyperlink r:id="rId26" w:tooltip="https://www.zotero.org/google-docs/?d97VOp" w:history="1">
        <w:r>
          <w:rPr>
            <w:sz w:val="20"/>
            <w:szCs w:val="20"/>
            <w:rtl w:val="0"/>
          </w:rPr>
          <w:t xml:space="preserve">Tessa Rajak, ‘Staying Jewish: Language and Identity in the Greek Bible’, in </w:t>
        </w:r>
      </w:hyperlink>
      <w:r/>
      <w:hyperlink r:id="rId27" w:tooltip="https://www.zotero.org/google-docs/?d97VOp" w:history="1">
        <w:r>
          <w:rPr>
            <w:i/>
            <w:sz w:val="20"/>
            <w:szCs w:val="20"/>
            <w:rtl w:val="0"/>
          </w:rPr>
          <w:t xml:space="preserve">Translation and Survival: The Greek Bible of the Ancient Jewish Diaspora</w:t>
        </w:r>
      </w:hyperlink>
      <w:r/>
      <w:hyperlink r:id="rId28" w:tooltip="https://www.zotero.org/google-docs/?d97VOp" w:history="1">
        <w:r>
          <w:rPr>
            <w:sz w:val="20"/>
            <w:szCs w:val="20"/>
            <w:rtl w:val="0"/>
          </w:rPr>
          <w:t xml:space="preserve">, ed. by Tessa Rajak (Oxford University Press, 2009), p. 0, doi:10.1093/acprof:oso/9780199558674.003.0005.</w:t>
        </w:r>
      </w:hyperlink>
      <w:r>
        <w:rPr>
          <w:sz w:val="20"/>
          <w:szCs w:val="20"/>
        </w:rPr>
      </w:r>
      <w:r>
        <w:rPr>
          <w:sz w:val="20"/>
          <w:szCs w:val="20"/>
        </w:rPr>
      </w:r>
    </w:p>
  </w:footnote>
  <w:footnote w:id="12">
    <w:p>
      <w:pPr>
        <w:pBdr/>
        <w:spacing w:line="240" w:lineRule="auto"/>
        <w:ind/>
        <w:rPr>
          <w:sz w:val="20"/>
          <w:szCs w:val="20"/>
        </w:rPr>
      </w:pPr>
      <w:r>
        <w:rPr>
          <w:vertAlign w:val="superscript"/>
        </w:rPr>
        <w:footnoteRef/>
      </w:r>
      <w:hyperlink r:id="rId29" w:tooltip="https://www.zotero.org/google-docs/?mFezjy" w:history="1">
        <w:r>
          <w:rPr>
            <w:sz w:val="20"/>
            <w:szCs w:val="20"/>
            <w:rtl w:val="0"/>
          </w:rPr>
          <w:t xml:space="preserve">Richard K Moore, ‘The Case for Bible Translation, Viewed in Historical Perspective - Richard K. Moore, 2014’, </w:t>
        </w:r>
      </w:hyperlink>
      <w:r/>
      <w:hyperlink r:id="rId30" w:tooltip="https://www.zotero.org/google-docs/?mFezjy" w:history="1">
        <w:r>
          <w:rPr>
            <w:i/>
            <w:sz w:val="20"/>
            <w:szCs w:val="20"/>
            <w:rtl w:val="0"/>
          </w:rPr>
          <w:t xml:space="preserve">United Bible Societies</w:t>
        </w:r>
      </w:hyperlink>
      <w:r/>
      <w:hyperlink r:id="rId31" w:tooltip="https://www.zotero.org/google-docs/?mFezjy" w:history="1">
        <w:r>
          <w:rPr>
            <w:sz w:val="20"/>
            <w:szCs w:val="20"/>
            <w:rtl w:val="0"/>
          </w:rPr>
          <w:t xml:space="preserve">, 65.1 (n.d.), doi:10.1177/205167701351830.</w:t>
        </w:r>
      </w:hyperlink>
      <w:r>
        <w:rPr>
          <w:sz w:val="20"/>
          <w:szCs w:val="20"/>
        </w:rPr>
      </w:r>
      <w:r>
        <w:rPr>
          <w:sz w:val="20"/>
          <w:szCs w:val="20"/>
        </w:rPr>
      </w:r>
    </w:p>
  </w:footnote>
  <w:footnote w:id="13">
    <w:p>
      <w:pPr>
        <w:pBdr/>
        <w:spacing w:line="240" w:lineRule="auto"/>
        <w:ind/>
        <w:rPr>
          <w:sz w:val="20"/>
          <w:szCs w:val="20"/>
        </w:rPr>
      </w:pPr>
      <w:r>
        <w:rPr>
          <w:vertAlign w:val="superscript"/>
        </w:rPr>
        <w:footnoteRef/>
      </w:r>
      <w:hyperlink r:id="rId32" w:tooltip="https://www.zotero.org/google-docs/?fAqb8p" w:history="1">
        <w:r>
          <w:rPr>
            <w:sz w:val="20"/>
            <w:szCs w:val="20"/>
            <w:rtl w:val="0"/>
          </w:rPr>
          <w:t xml:space="preserve">Bruce M Metzger, ‘Important Early Translations of the Bible’, </w:t>
        </w:r>
      </w:hyperlink>
      <w:r/>
      <w:hyperlink r:id="rId33" w:tooltip="https://www.zotero.org/google-docs/?fAqb8p" w:history="1">
        <w:r>
          <w:rPr>
            <w:i/>
            <w:sz w:val="20"/>
            <w:szCs w:val="20"/>
            <w:rtl w:val="0"/>
          </w:rPr>
          <w:t xml:space="preserve">Bibliotheca Sacra</w:t>
        </w:r>
      </w:hyperlink>
      <w:r/>
      <w:hyperlink r:id="rId34" w:tooltip="https://www.zotero.org/google-docs/?fAqb8p" w:history="1">
        <w:r>
          <w:rPr>
            <w:sz w:val="20"/>
            <w:szCs w:val="20"/>
            <w:rtl w:val="0"/>
          </w:rPr>
          <w:t xml:space="preserve">, 1993, pp. 35–49.</w:t>
        </w:r>
      </w:hyperlink>
      <w:r>
        <w:rPr>
          <w:sz w:val="20"/>
          <w:szCs w:val="20"/>
        </w:rPr>
      </w:r>
      <w:r>
        <w:rPr>
          <w:sz w:val="20"/>
          <w:szCs w:val="20"/>
        </w:rPr>
      </w:r>
    </w:p>
  </w:footnote>
  <w:footnote w:id="14">
    <w:p>
      <w:pPr>
        <w:pBdr/>
        <w:spacing w:line="240" w:lineRule="auto"/>
        <w:ind/>
        <w:rPr>
          <w:sz w:val="20"/>
          <w:szCs w:val="20"/>
        </w:rPr>
      </w:pPr>
      <w:r>
        <w:rPr>
          <w:vertAlign w:val="superscript"/>
        </w:rPr>
        <w:footnoteRef/>
      </w:r>
      <w:r>
        <w:rPr>
          <w:sz w:val="20"/>
          <w:szCs w:val="20"/>
          <w:rtl w:val="0"/>
        </w:rPr>
        <w:t xml:space="preserve"> </w:t>
      </w:r>
      <w:hyperlink r:id="rId35" w:tooltip="https://www.zotero.org/google-docs/?jcnPBW" w:history="1">
        <w:r>
          <w:rPr>
            <w:sz w:val="20"/>
            <w:szCs w:val="20"/>
            <w:rtl w:val="0"/>
          </w:rPr>
          <w:t xml:space="preserve">‘Number of English Translations of the Bible -’, </w:t>
        </w:r>
      </w:hyperlink>
      <w:r/>
      <w:hyperlink r:id="rId36" w:tooltip="https://www.zotero.org/google-docs/?jcnPBW" w:history="1">
        <w:r>
          <w:rPr>
            <w:i/>
            <w:sz w:val="20"/>
            <w:szCs w:val="20"/>
            <w:rtl w:val="0"/>
          </w:rPr>
          <w:t xml:space="preserve">American Bible Society</w:t>
        </w:r>
      </w:hyperlink>
      <w:r/>
      <w:hyperlink r:id="rId37" w:tooltip="https://www.zotero.org/google-docs/?jcnPBW" w:history="1">
        <w:r>
          <w:rPr>
            <w:sz w:val="20"/>
            <w:szCs w:val="20"/>
            <w:rtl w:val="0"/>
          </w:rPr>
          <w:t xml:space="preserve">, 2 December 2009 &lt;https://www.americanbible.org/news/articles/number-of-english-translations-of-the-bible/&gt; [accessed 3 November 2025].</w:t>
        </w:r>
      </w:hyperlink>
      <w:r>
        <w:rPr>
          <w:sz w:val="20"/>
          <w:szCs w:val="20"/>
        </w:rPr>
      </w:r>
      <w:r>
        <w:rPr>
          <w:sz w:val="20"/>
          <w:szCs w:val="20"/>
        </w:rPr>
      </w:r>
    </w:p>
  </w:footnote>
  <w:footnote w:id="15">
    <w:p>
      <w:pPr>
        <w:pBdr/>
        <w:spacing w:line="240" w:lineRule="auto"/>
        <w:ind/>
        <w:rPr>
          <w:sz w:val="20"/>
          <w:szCs w:val="20"/>
        </w:rPr>
      </w:pPr>
      <w:r>
        <w:rPr>
          <w:vertAlign w:val="superscript"/>
        </w:rPr>
        <w:footnoteRef/>
      </w:r>
      <w:hyperlink r:id="rId38" w:tooltip="https://www.zotero.org/google-docs/?SWF6QS" w:history="1">
        <w:r>
          <w:rPr>
            <w:sz w:val="20"/>
            <w:szCs w:val="20"/>
            <w:rtl w:val="0"/>
          </w:rPr>
          <w:t xml:space="preserve">Eva Hoffman, </w:t>
        </w:r>
      </w:hyperlink>
      <w:r/>
      <w:hyperlink r:id="rId39" w:tooltip="https://www.zotero.org/google-docs/?SWF6QS" w:history="1">
        <w:r>
          <w:rPr>
            <w:i/>
            <w:sz w:val="20"/>
            <w:szCs w:val="20"/>
            <w:rtl w:val="0"/>
          </w:rPr>
          <w:t xml:space="preserve">Lost in Translation; A Life in a New Language</w:t>
        </w:r>
      </w:hyperlink>
      <w:r/>
      <w:hyperlink r:id="rId40" w:tooltip="https://www.zotero.org/google-docs/?SWF6QS" w:history="1">
        <w:r>
          <w:rPr>
            <w:sz w:val="20"/>
            <w:szCs w:val="20"/>
            <w:rtl w:val="0"/>
          </w:rPr>
          <w:t xml:space="preserve"> (Penguin Books, n.d.).</w:t>
        </w:r>
      </w:hyperlink>
      <w:r>
        <w:rPr>
          <w:sz w:val="20"/>
          <w:szCs w:val="20"/>
        </w:rPr>
      </w:r>
      <w:r>
        <w:rPr>
          <w:sz w:val="20"/>
          <w:szCs w:val="20"/>
        </w:rPr>
      </w:r>
    </w:p>
  </w:footnote>
  <w:footnote w:id="16">
    <w:p>
      <w:pPr>
        <w:pBdr/>
        <w:spacing w:line="240" w:lineRule="auto"/>
        <w:ind/>
        <w:rPr>
          <w:sz w:val="20"/>
          <w:szCs w:val="20"/>
        </w:rPr>
      </w:pPr>
      <w:r>
        <w:rPr>
          <w:vertAlign w:val="superscript"/>
        </w:rPr>
        <w:footnoteRef/>
      </w:r>
      <w:hyperlink r:id="rId41" w:tooltip="https://www.zotero.org/google-docs/?TTVLHL" w:history="1">
        <w:r>
          <w:rPr>
            <w:sz w:val="20"/>
            <w:szCs w:val="20"/>
            <w:rtl w:val="0"/>
          </w:rPr>
          <w:t xml:space="preserve">Gordon D. Fee and Mark L. Strauss, ‘The Meaning and Task of Translation’, in </w:t>
        </w:r>
      </w:hyperlink>
      <w:r/>
      <w:hyperlink r:id="rId42" w:tooltip="https://www.zotero.org/google-docs/?TTVLHL" w:history="1">
        <w:r>
          <w:rPr>
            <w:i/>
            <w:sz w:val="20"/>
            <w:szCs w:val="20"/>
            <w:rtl w:val="0"/>
          </w:rPr>
          <w:t xml:space="preserve">How to Choose a Translation for All Its Worth: A Guide to Understanding and Using Bible Versions</w:t>
        </w:r>
      </w:hyperlink>
      <w:r/>
      <w:hyperlink r:id="rId43" w:tooltip="https://www.zotero.org/google-docs/?TTVLHL" w:history="1">
        <w:r>
          <w:rPr>
            <w:sz w:val="20"/>
            <w:szCs w:val="20"/>
            <w:rtl w:val="0"/>
          </w:rPr>
          <w:t xml:space="preserve"> (Zondervan Academic, 2009).</w:t>
        </w:r>
      </w:hyperlink>
      <w:r>
        <w:rPr>
          <w:sz w:val="20"/>
          <w:szCs w:val="20"/>
        </w:rPr>
      </w:r>
      <w:r>
        <w:rPr>
          <w:sz w:val="20"/>
          <w:szCs w:val="20"/>
        </w:rPr>
      </w:r>
    </w:p>
  </w:footnote>
  <w:footnote w:id="17">
    <w:p>
      <w:pPr>
        <w:pBdr/>
        <w:spacing w:line="240" w:lineRule="auto"/>
        <w:ind/>
        <w:rPr>
          <w:sz w:val="20"/>
          <w:szCs w:val="20"/>
        </w:rPr>
      </w:pPr>
      <w:r>
        <w:rPr>
          <w:vertAlign w:val="superscript"/>
        </w:rPr>
        <w:footnoteRef/>
      </w:r>
      <w:r>
        <w:rPr>
          <w:sz w:val="20"/>
          <w:szCs w:val="20"/>
          <w:rtl w:val="0"/>
        </w:rPr>
        <w:t xml:space="preserve"> </w:t>
      </w:r>
      <w:hyperlink r:id="rId44" w:tooltip="https://www.zotero.org/google-docs/?Qz537d" w:history="1">
        <w:r>
          <w:rPr>
            <w:sz w:val="20"/>
            <w:szCs w:val="20"/>
            <w:rtl w:val="0"/>
          </w:rPr>
          <w:t xml:space="preserve">Anas Kh Ibraheem, ‘THE UNTRANSLATABILITY OF THE HOLY QUR’AN’, </w:t>
        </w:r>
      </w:hyperlink>
      <w:r/>
      <w:hyperlink r:id="rId45" w:tooltip="https://www.zotero.org/google-docs/?Qz537d" w:history="1">
        <w:r>
          <w:rPr>
            <w:i/>
            <w:sz w:val="20"/>
            <w:szCs w:val="20"/>
            <w:rtl w:val="0"/>
          </w:rPr>
          <w:t xml:space="preserve">Annals of the Faculty of Arts</w:t>
        </w:r>
      </w:hyperlink>
      <w:r/>
      <w:hyperlink r:id="rId46" w:tooltip="https://www.zotero.org/google-docs/?Qz537d" w:history="1">
        <w:r>
          <w:rPr>
            <w:sz w:val="20"/>
            <w:szCs w:val="20"/>
            <w:rtl w:val="0"/>
          </w:rPr>
          <w:t xml:space="preserve">, 46 (2018).</w:t>
        </w:r>
      </w:hyperlink>
      <w:r>
        <w:rPr>
          <w:sz w:val="20"/>
          <w:szCs w:val="20"/>
        </w:rPr>
      </w:r>
      <w:r>
        <w:rPr>
          <w:sz w:val="20"/>
          <w:szCs w:val="20"/>
        </w:rPr>
      </w:r>
    </w:p>
    <w:p>
      <w:pPr>
        <w:pBdr/>
        <w:spacing w:line="240" w:lineRule="auto"/>
        <w:ind/>
        <w:rPr>
          <w:sz w:val="20"/>
          <w:szCs w:val="20"/>
        </w:rPr>
      </w:pPr>
      <w:r>
        <w:rPr>
          <w:sz w:val="20"/>
          <w:szCs w:val="20"/>
          <w:vertAlign w:val="superscript"/>
          <w:rtl w:val="0"/>
        </w:rPr>
        <w:t xml:space="preserve"> </w:t>
      </w:r>
      <w:r>
        <w:rPr>
          <w:sz w:val="20"/>
          <w:szCs w:val="20"/>
          <w:rtl w:val="0"/>
        </w:rPr>
        <w:t xml:space="preserve">New Revised Standard Version, Anglicised, Romans 10:12: “F</w:t>
      </w:r>
      <w:r>
        <w:rPr>
          <w:sz w:val="20"/>
          <w:szCs w:val="20"/>
          <w:rtl w:val="0"/>
        </w:rPr>
        <w:t xml:space="preserve">or there is no distinction between Jew and Greek; the same Lord is Lord of all and is generous to all who call on him.” </w:t>
      </w:r>
      <w:r>
        <w:rPr>
          <w:sz w:val="20"/>
          <w:szCs w:val="20"/>
        </w:rPr>
      </w:r>
      <w:r>
        <w:rPr>
          <w:sz w:val="20"/>
          <w:szCs w:val="20"/>
        </w:rPr>
      </w:r>
    </w:p>
  </w:footnote>
  <w:footnote w:id="18">
    <w:p>
      <w:pPr>
        <w:pBdr/>
        <w:spacing w:line="240" w:lineRule="auto"/>
        <w:ind/>
        <w:rPr>
          <w:sz w:val="20"/>
          <w:szCs w:val="20"/>
        </w:rPr>
      </w:pPr>
      <w:r>
        <w:rPr>
          <w:vertAlign w:val="superscript"/>
        </w:rPr>
        <w:footnoteRef/>
      </w:r>
      <w:hyperlink r:id="rId47" w:tooltip="https://www.zotero.org/google-docs/?7jIj0F" w:history="1">
        <w:r>
          <w:rPr>
            <w:sz w:val="20"/>
            <w:szCs w:val="20"/>
            <w:rtl w:val="0"/>
          </w:rPr>
          <w:t xml:space="preserve">J. A. Naudé, ‘“I Must Speak to You Plainly”: A History of English Bible Translations, Independent of the King James Version (1611) Tradition’, Articles, </w:t>
        </w:r>
      </w:hyperlink>
      <w:r/>
      <w:hyperlink r:id="rId48" w:tooltip="https://www.zotero.org/google-docs/?7jIj0F" w:history="1">
        <w:r>
          <w:rPr>
            <w:i/>
            <w:sz w:val="20"/>
            <w:szCs w:val="20"/>
            <w:rtl w:val="0"/>
          </w:rPr>
          <w:t xml:space="preserve">Acta Theologica</w:t>
        </w:r>
      </w:hyperlink>
      <w:r/>
      <w:hyperlink r:id="rId49" w:tooltip="https://www.zotero.org/google-docs/?7jIj0F" w:history="1">
        <w:r>
          <w:rPr>
            <w:sz w:val="20"/>
            <w:szCs w:val="20"/>
            <w:rtl w:val="0"/>
          </w:rPr>
          <w:t xml:space="preserve"> (Bloemfontein, South Africa), 41.2 (2021), pp. 96–117, doi:10.18820/23099089/actat.v41i2.6.</w:t>
        </w:r>
      </w:hyperlink>
      <w:r>
        <w:rPr>
          <w:sz w:val="20"/>
          <w:szCs w:val="20"/>
        </w:rPr>
      </w:r>
      <w:r>
        <w:rPr>
          <w:sz w:val="20"/>
          <w:szCs w:val="20"/>
        </w:rPr>
      </w:r>
    </w:p>
    <w:p>
      <w:pPr>
        <w:pBdr/>
        <w:spacing w:line="240" w:lineRule="auto"/>
        <w:ind/>
        <w:rPr>
          <w:sz w:val="20"/>
          <w:szCs w:val="20"/>
        </w:rPr>
      </w:pPr>
      <w:r>
        <w:rPr>
          <w:sz w:val="20"/>
          <w:szCs w:val="20"/>
          <w:rtl w:val="0"/>
        </w:rPr>
        <w:t xml:space="preserve">New Revised Standard Version Anglicised. </w:t>
      </w:r>
      <w:r>
        <w:rPr>
          <w:i/>
          <w:sz w:val="20"/>
          <w:szCs w:val="20"/>
          <w:rtl w:val="0"/>
        </w:rPr>
        <w:t xml:space="preserve">Genesis 11:1-9</w:t>
      </w:r>
      <w:r>
        <w:rPr>
          <w:sz w:val="20"/>
          <w:szCs w:val="20"/>
          <w:rtl w:val="0"/>
        </w:rPr>
        <w:t xml:space="preserve">: </w:t>
      </w:r>
      <w:hyperlink r:id="rId50" w:tooltip="https://www.biblegateway.com/passage/?search=genesis%2011%3A1-9&amp;version=NRSVA" w:history="1">
        <w:r>
          <w:rPr>
            <w:color w:val="1155cc"/>
            <w:sz w:val="20"/>
            <w:szCs w:val="20"/>
            <w:u w:val="single"/>
            <w:rtl w:val="0"/>
          </w:rPr>
          <w:t xml:space="preserve">https://www.biblegateway.com/passage/?search=genesis%2011%3A1-9&amp;version=NRSVA</w:t>
        </w:r>
      </w:hyperlink>
      <w:r>
        <w:rPr>
          <w:sz w:val="20"/>
          <w:szCs w:val="20"/>
        </w:rPr>
      </w:r>
      <w:r>
        <w:rPr>
          <w:sz w:val="20"/>
          <w:szCs w:val="20"/>
        </w:rPr>
      </w:r>
    </w:p>
  </w:footnote>
  <w:footnote w:id="19">
    <w:p>
      <w:pPr>
        <w:pBdr/>
        <w:spacing w:line="240" w:lineRule="auto"/>
        <w:ind/>
        <w:rPr>
          <w:sz w:val="20"/>
          <w:szCs w:val="20"/>
        </w:rPr>
      </w:pPr>
      <w:r>
        <w:rPr>
          <w:vertAlign w:val="superscript"/>
        </w:rPr>
        <w:footnoteRef/>
      </w:r>
      <w:hyperlink r:id="rId51" w:tooltip="https://www.zotero.org/google-docs/?ampeyh" w:history="1">
        <w:r>
          <w:rPr>
            <w:sz w:val="20"/>
            <w:szCs w:val="20"/>
            <w:rtl w:val="0"/>
          </w:rPr>
          <w:t xml:space="preserve">Daniel O. McClellan, ‘“As Far as It Is Translated Correctly”’, </w:t>
        </w:r>
      </w:hyperlink>
      <w:r/>
      <w:hyperlink r:id="rId52" w:tooltip="https://www.zotero.org/google-docs/?ampeyh" w:history="1">
        <w:r>
          <w:rPr>
            <w:i/>
            <w:sz w:val="20"/>
            <w:szCs w:val="20"/>
            <w:rtl w:val="0"/>
          </w:rPr>
          <w:t xml:space="preserve">Religious Educator: Perspectives on the Restored Gospel</w:t>
        </w:r>
      </w:hyperlink>
      <w:r/>
      <w:hyperlink r:id="rId53" w:tooltip="https://www.zotero.org/google-docs/?ampeyh" w:history="1">
        <w:r>
          <w:rPr>
            <w:sz w:val="20"/>
            <w:szCs w:val="20"/>
            <w:rtl w:val="0"/>
          </w:rPr>
          <w:t xml:space="preserve">, 20.2 (2019) &lt;https://scholarsarchive.byu.edu/re/vol20/iss2/6/&gt; [accessed 20 October 2025].</w:t>
        </w:r>
      </w:hyperlink>
      <w:r>
        <w:rPr>
          <w:sz w:val="20"/>
          <w:szCs w:val="20"/>
        </w:rPr>
      </w:r>
      <w:r>
        <w:rPr>
          <w:sz w:val="20"/>
          <w:szCs w:val="20"/>
        </w:rPr>
      </w:r>
    </w:p>
    <w:p>
      <w:pPr>
        <w:pBdr/>
        <w:spacing w:line="240" w:lineRule="auto"/>
        <w:ind/>
        <w:rPr>
          <w:sz w:val="20"/>
          <w:szCs w:val="20"/>
        </w:rPr>
      </w:pPr>
      <w:r>
        <w:rPr>
          <w:sz w:val="20"/>
          <w:szCs w:val="20"/>
          <w:rtl w:val="0"/>
        </w:rPr>
        <w:t xml:space="preserve">New Living Translation (NLT), </w:t>
      </w:r>
      <w:r>
        <w:rPr>
          <w:i/>
          <w:sz w:val="20"/>
          <w:szCs w:val="20"/>
          <w:rtl w:val="0"/>
        </w:rPr>
        <w:t xml:space="preserve">Psalm 91:13</w:t>
      </w:r>
      <w:r>
        <w:rPr>
          <w:sz w:val="20"/>
          <w:szCs w:val="20"/>
          <w:rtl w:val="0"/>
        </w:rPr>
        <w:t xml:space="preserve">: “You will trample upon lions and cobras;</w:t>
      </w:r>
      <w:r>
        <w:rPr>
          <w:sz w:val="20"/>
          <w:szCs w:val="20"/>
        </w:rPr>
      </w:r>
      <w:r>
        <w:rPr>
          <w:sz w:val="20"/>
          <w:szCs w:val="20"/>
        </w:rPr>
      </w:r>
    </w:p>
    <w:p>
      <w:pPr>
        <w:pBdr/>
        <w:spacing w:line="240" w:lineRule="auto"/>
        <w:ind/>
        <w:rPr>
          <w:sz w:val="20"/>
          <w:szCs w:val="20"/>
        </w:rPr>
      </w:pPr>
      <w:r>
        <w:rPr>
          <w:sz w:val="20"/>
          <w:szCs w:val="20"/>
          <w:rtl w:val="0"/>
        </w:rPr>
        <w:t xml:space="preserve">    you will crush fierce lions and serpents under your feet!”</w:t>
      </w:r>
      <w:r>
        <w:rPr>
          <w:sz w:val="20"/>
          <w:szCs w:val="20"/>
        </w:rPr>
      </w:r>
      <w:r>
        <w:rPr>
          <w:sz w:val="20"/>
          <w:szCs w:val="20"/>
        </w:rPr>
      </w:r>
    </w:p>
  </w:footnote>
  <w:footnote w:id="20">
    <w:p>
      <w:pPr>
        <w:pBdr/>
        <w:spacing w:line="240" w:lineRule="auto"/>
        <w:ind/>
        <w:rPr>
          <w:sz w:val="20"/>
          <w:szCs w:val="20"/>
        </w:rPr>
      </w:pPr>
      <w:r>
        <w:rPr>
          <w:vertAlign w:val="superscript"/>
        </w:rPr>
        <w:footnoteRef/>
      </w:r>
      <w:hyperlink r:id="rId54" w:tooltip="https://www.zotero.org/google-docs/?pi5kBs" w:history="1">
        <w:r>
          <w:rPr>
            <w:sz w:val="20"/>
            <w:szCs w:val="20"/>
            <w:rtl w:val="0"/>
          </w:rPr>
          <w:t xml:space="preserve">Alex Hewitson, </w:t>
        </w:r>
      </w:hyperlink>
      <w:r/>
      <w:hyperlink r:id="rId55" w:tooltip="https://www.zotero.org/google-docs/?pi5kBs" w:history="1">
        <w:r>
          <w:rPr>
            <w:i/>
            <w:sz w:val="20"/>
            <w:szCs w:val="20"/>
            <w:rtl w:val="0"/>
          </w:rPr>
          <w:t xml:space="preserve">Feeding The Sheep Moldy Bread: An Evaluation of Brian Simmons’ The Passion Translation Bible</w:t>
        </w:r>
      </w:hyperlink>
      <w:r/>
      <w:hyperlink r:id="rId56" w:tooltip="https://www.zotero.org/google-docs/?pi5kBs" w:history="1">
        <w:r>
          <w:rPr>
            <w:sz w:val="20"/>
            <w:szCs w:val="20"/>
            <w:rtl w:val="0"/>
          </w:rPr>
          <w:t xml:space="preserve">, n.d., doi:https://doi.org/10.2307/3260255.</w:t>
        </w:r>
      </w:hyperlink>
      <w:r>
        <w:rPr>
          <w:sz w:val="20"/>
          <w:szCs w:val="20"/>
        </w:rPr>
      </w:r>
      <w:r>
        <w:rPr>
          <w:sz w:val="20"/>
          <w:szCs w:val="20"/>
        </w:rPr>
      </w:r>
    </w:p>
  </w:footnote>
  <w:footnote w:id="21">
    <w:p>
      <w:pPr>
        <w:pBdr/>
        <w:spacing w:line="240" w:lineRule="auto"/>
        <w:ind/>
        <w:rPr>
          <w:sz w:val="20"/>
          <w:szCs w:val="20"/>
        </w:rPr>
      </w:pPr>
      <w:r>
        <w:rPr>
          <w:vertAlign w:val="superscript"/>
        </w:rPr>
        <w:footnoteRef/>
      </w:r>
      <w:hyperlink r:id="rId57" w:tooltip="https://www.zotero.org/google-docs/?H39Uu0" w:history="1">
        <w:r>
          <w:rPr>
            <w:sz w:val="20"/>
            <w:szCs w:val="20"/>
            <w:rtl w:val="0"/>
          </w:rPr>
          <w:t xml:space="preserve">Sean Finnegan, ‘Bible Translation Sources and Theory’, unpublished paper delivered at 29th Theological Conference (2020).</w:t>
        </w:r>
      </w:hyperlink>
      <w:r>
        <w:rPr>
          <w:sz w:val="20"/>
          <w:szCs w:val="20"/>
        </w:rPr>
      </w:r>
      <w:r>
        <w:rPr>
          <w:sz w:val="20"/>
          <w:szCs w:val="20"/>
        </w:rPr>
      </w:r>
    </w:p>
    <w:p>
      <w:pPr>
        <w:pBdr/>
        <w:spacing w:line="240" w:lineRule="auto"/>
        <w:ind/>
        <w:rPr>
          <w:sz w:val="20"/>
          <w:szCs w:val="20"/>
        </w:rPr>
      </w:pPr>
      <w:r>
        <w:rPr>
          <w:sz w:val="20"/>
          <w:szCs w:val="20"/>
          <w:rtl w:val="0"/>
        </w:rPr>
        <w:t xml:space="preserve">New Revised Standard Version, Anglicised. </w:t>
      </w:r>
      <w:r>
        <w:rPr>
          <w:i/>
          <w:sz w:val="20"/>
          <w:szCs w:val="20"/>
          <w:rtl w:val="0"/>
        </w:rPr>
        <w:t xml:space="preserve">Hebrews 4:12</w:t>
      </w:r>
      <w:r>
        <w:rPr>
          <w:sz w:val="20"/>
          <w:szCs w:val="20"/>
          <w:rtl w:val="0"/>
        </w:rPr>
        <w:t xml:space="preserve">: “Indeed, the word of God is living and </w:t>
      </w:r>
      <w:r>
        <w:rPr>
          <w:sz w:val="20"/>
          <w:szCs w:val="20"/>
        </w:rPr>
      </w:r>
      <w:r>
        <w:rPr>
          <w:sz w:val="20"/>
          <w:szCs w:val="20"/>
        </w:rPr>
      </w:r>
    </w:p>
    <w:p>
      <w:pPr>
        <w:pBdr/>
        <w:spacing w:line="240" w:lineRule="auto"/>
        <w:ind/>
        <w:rPr>
          <w:sz w:val="20"/>
          <w:szCs w:val="20"/>
        </w:rPr>
      </w:pPr>
      <w:r>
        <w:rPr>
          <w:sz w:val="20"/>
          <w:szCs w:val="20"/>
          <w:rtl w:val="0"/>
        </w:rPr>
        <w:t xml:space="preserve">       active, sharper than any two-edged sword, piercing until it divides soul from spirit, joints from </w:t>
      </w:r>
      <w:r>
        <w:rPr>
          <w:sz w:val="20"/>
          <w:szCs w:val="20"/>
        </w:rPr>
      </w:r>
      <w:r>
        <w:rPr>
          <w:sz w:val="20"/>
          <w:szCs w:val="20"/>
        </w:rPr>
      </w:r>
    </w:p>
    <w:p>
      <w:pPr>
        <w:pBdr/>
        <w:spacing w:line="240" w:lineRule="auto"/>
        <w:ind/>
        <w:rPr>
          <w:sz w:val="20"/>
          <w:szCs w:val="20"/>
        </w:rPr>
      </w:pPr>
      <w:r>
        <w:rPr>
          <w:sz w:val="20"/>
          <w:szCs w:val="20"/>
          <w:rtl w:val="0"/>
        </w:rPr>
        <w:t xml:space="preserve">       marrow; it is able to judge the thoughts and intentions of the heart. “</w:t>
      </w:r>
      <w:r>
        <w:rPr>
          <w:sz w:val="20"/>
          <w:szCs w:val="20"/>
        </w:rPr>
      </w:r>
      <w:r>
        <w:rPr>
          <w:sz w:val="20"/>
          <w:szCs w:val="20"/>
        </w:rPr>
      </w:r>
    </w:p>
  </w:footnote>
  <w:footnote w:id="22">
    <w:p>
      <w:pPr>
        <w:pBdr/>
        <w:spacing w:line="240" w:lineRule="auto"/>
        <w:ind/>
        <w:rPr>
          <w:sz w:val="20"/>
          <w:szCs w:val="20"/>
        </w:rPr>
      </w:pPr>
      <w:r>
        <w:rPr>
          <w:vertAlign w:val="superscript"/>
        </w:rPr>
        <w:footnoteRef/>
      </w:r>
      <w:hyperlink r:id="rId58" w:tooltip="https://www.zotero.org/google-docs/?f6OpVt" w:history="1">
        <w:r>
          <w:rPr>
            <w:sz w:val="20"/>
            <w:szCs w:val="20"/>
            <w:rtl w:val="0"/>
          </w:rPr>
          <w:t xml:space="preserve">Emanuel Tov, </w:t>
        </w:r>
      </w:hyperlink>
      <w:r/>
      <w:hyperlink r:id="rId59" w:tooltip="https://www.zotero.org/google-docs/?f6OpVt" w:history="1">
        <w:r>
          <w:rPr>
            <w:i/>
            <w:sz w:val="20"/>
            <w:szCs w:val="20"/>
            <w:rtl w:val="0"/>
          </w:rPr>
          <w:t xml:space="preserve">Scribal Practices and Approaches Reflected in the Texts Found in the Judean Desert</w:t>
        </w:r>
      </w:hyperlink>
      <w:r/>
      <w:hyperlink r:id="rId60" w:tooltip="https://www.zotero.org/google-docs/?f6OpVt" w:history="1">
        <w:r>
          <w:rPr>
            <w:sz w:val="20"/>
            <w:szCs w:val="20"/>
            <w:rtl w:val="0"/>
          </w:rPr>
          <w:t xml:space="preserve"> (BRILL, 2018).</w:t>
        </w:r>
      </w:hyperlink>
      <w:r>
        <w:rPr>
          <w:sz w:val="20"/>
          <w:szCs w:val="20"/>
        </w:rPr>
      </w:r>
      <w:r>
        <w:rPr>
          <w:sz w:val="20"/>
          <w:szCs w:val="20"/>
        </w:rPr>
      </w:r>
    </w:p>
  </w:footnote>
  <w:footnote w:id="23">
    <w:p>
      <w:pPr>
        <w:pBdr/>
        <w:spacing w:line="240" w:lineRule="auto"/>
        <w:ind/>
        <w:rPr>
          <w:sz w:val="20"/>
          <w:szCs w:val="20"/>
        </w:rPr>
      </w:pPr>
      <w:r>
        <w:rPr>
          <w:vertAlign w:val="superscript"/>
        </w:rPr>
        <w:footnoteRef/>
      </w:r>
      <w:hyperlink r:id="rId61" w:tooltip="https://www.zotero.org/google-docs/?hlbqRz" w:history="1">
        <w:r>
          <w:rPr>
            <w:sz w:val="20"/>
            <w:szCs w:val="20"/>
            <w:rtl w:val="0"/>
          </w:rPr>
          <w:t xml:space="preserve">David W. Jamieson-Drake, </w:t>
        </w:r>
      </w:hyperlink>
      <w:r/>
      <w:hyperlink r:id="rId62" w:tooltip="https://www.zotero.org/google-docs/?hlbqRz" w:history="1">
        <w:r>
          <w:rPr>
            <w:i/>
            <w:sz w:val="20"/>
            <w:szCs w:val="20"/>
            <w:rtl w:val="0"/>
          </w:rPr>
          <w:t xml:space="preserve">Scribes and Schools in Monarchic Judah</w:t>
        </w:r>
      </w:hyperlink>
      <w:r/>
      <w:hyperlink r:id="rId63" w:tooltip="https://www.zotero.org/google-docs/?hlbqRz" w:history="1">
        <w:r>
          <w:rPr>
            <w:sz w:val="20"/>
            <w:szCs w:val="20"/>
            <w:rtl w:val="0"/>
          </w:rPr>
          <w:t xml:space="preserve">, 1991, pp. 1–240.</w:t>
        </w:r>
      </w:hyperlink>
      <w:r>
        <w:rPr>
          <w:sz w:val="20"/>
          <w:szCs w:val="20"/>
        </w:rPr>
      </w:r>
      <w:r>
        <w:rPr>
          <w:sz w:val="20"/>
          <w:szCs w:val="20"/>
        </w:rPr>
      </w:r>
    </w:p>
  </w:footnote>
  <w:footnote w:id="24">
    <w:p>
      <w:pPr>
        <w:pBdr/>
        <w:spacing w:line="240" w:lineRule="auto"/>
        <w:ind/>
        <w:rPr>
          <w:sz w:val="20"/>
          <w:szCs w:val="20"/>
        </w:rPr>
      </w:pPr>
      <w:r>
        <w:rPr>
          <w:vertAlign w:val="superscript"/>
        </w:rPr>
        <w:footnoteRef/>
      </w:r>
      <w:hyperlink r:id="rId64" w:tooltip="https://www.zotero.org/google-docs/?GcTIA7" w:history="1">
        <w:r>
          <w:rPr>
            <w:sz w:val="20"/>
            <w:szCs w:val="20"/>
            <w:rtl w:val="0"/>
          </w:rPr>
          <w:t xml:space="preserve">Howard Schwartz, ‘Reimagining the Bible’, in </w:t>
        </w:r>
      </w:hyperlink>
      <w:r/>
      <w:hyperlink r:id="rId65" w:tooltip="https://www.zotero.org/google-docs/?GcTIA7" w:history="1">
        <w:r>
          <w:rPr>
            <w:i/>
            <w:sz w:val="20"/>
            <w:szCs w:val="20"/>
            <w:rtl w:val="0"/>
          </w:rPr>
          <w:t xml:space="preserve">Reimagining the Bible: The Storytelling of the Rabbis</w:t>
        </w:r>
      </w:hyperlink>
      <w:r/>
      <w:hyperlink r:id="rId66" w:tooltip="https://www.zotero.org/google-docs/?GcTIA7" w:history="1">
        <w:r>
          <w:rPr>
            <w:sz w:val="20"/>
            <w:szCs w:val="20"/>
            <w:rtl w:val="0"/>
          </w:rPr>
          <w:t xml:space="preserve"> (Oxford University Press, 1998).</w:t>
        </w:r>
      </w:hyperlink>
      <w:r>
        <w:rPr>
          <w:sz w:val="20"/>
          <w:szCs w:val="20"/>
        </w:rPr>
      </w:r>
      <w:r>
        <w:rPr>
          <w:sz w:val="20"/>
          <w:szCs w:val="20"/>
        </w:rPr>
      </w:r>
    </w:p>
  </w:footnote>
  <w:footnote w:id="25">
    <w:p>
      <w:pPr>
        <w:pBdr/>
        <w:spacing w:line="240" w:lineRule="auto"/>
        <w:ind/>
        <w:rPr>
          <w:sz w:val="20"/>
          <w:szCs w:val="20"/>
        </w:rPr>
      </w:pPr>
      <w:r>
        <w:rPr>
          <w:vertAlign w:val="superscript"/>
        </w:rPr>
        <w:footnoteRef/>
      </w:r>
      <w:hyperlink r:id="rId67" w:tooltip="https://www.zotero.org/google-docs/?cK2TuM" w:history="1">
        <w:r>
          <w:rPr>
            <w:sz w:val="20"/>
            <w:szCs w:val="20"/>
            <w:rtl w:val="0"/>
          </w:rPr>
          <w:t xml:space="preserve">John Bowker, </w:t>
        </w:r>
      </w:hyperlink>
      <w:r/>
      <w:hyperlink r:id="rId68" w:tooltip="https://www.zotero.org/google-docs/?cK2TuM" w:history="1">
        <w:r>
          <w:rPr>
            <w:i/>
            <w:sz w:val="20"/>
            <w:szCs w:val="20"/>
            <w:rtl w:val="0"/>
          </w:rPr>
          <w:t xml:space="preserve">The Targums and Rabbinic Literature: An Introduction to Jewish Interpretations of Scripture</w:t>
        </w:r>
      </w:hyperlink>
      <w:r/>
      <w:hyperlink r:id="rId69" w:tooltip="https://www.zotero.org/google-docs/?cK2TuM" w:history="1">
        <w:r>
          <w:rPr>
            <w:sz w:val="20"/>
            <w:szCs w:val="20"/>
            <w:rtl w:val="0"/>
          </w:rPr>
          <w:t xml:space="preserve"> (Cambridge University Press, 1969), doi:10.1017/CBO9780511555381.</w:t>
        </w:r>
      </w:hyperlink>
      <w:r>
        <w:rPr>
          <w:sz w:val="20"/>
          <w:szCs w:val="20"/>
        </w:rPr>
      </w:r>
      <w:r>
        <w:rPr>
          <w:sz w:val="20"/>
          <w:szCs w:val="20"/>
        </w:rPr>
      </w:r>
    </w:p>
  </w:footnote>
  <w:footnote w:id="26">
    <w:p>
      <w:pPr>
        <w:pBdr/>
        <w:spacing w:line="240" w:lineRule="auto"/>
        <w:ind/>
        <w:rPr>
          <w:sz w:val="20"/>
          <w:szCs w:val="20"/>
        </w:rPr>
      </w:pPr>
      <w:r>
        <w:rPr>
          <w:vertAlign w:val="superscript"/>
        </w:rPr>
        <w:footnoteRef/>
      </w:r>
      <w:hyperlink r:id="rId70" w:tooltip="https://www.zotero.org/google-docs/?V7U12U" w:history="1">
        <w:r>
          <w:rPr>
            <w:sz w:val="20"/>
            <w:szCs w:val="20"/>
            <w:rtl w:val="0"/>
          </w:rPr>
          <w:t xml:space="preserve">Jonathan Roberts, ‘Introduction’, in </w:t>
        </w:r>
      </w:hyperlink>
      <w:r/>
      <w:hyperlink r:id="rId71" w:tooltip="https://www.zotero.org/google-docs/?V7U12U" w:history="1">
        <w:r>
          <w:rPr>
            <w:i/>
            <w:sz w:val="20"/>
            <w:szCs w:val="20"/>
            <w:rtl w:val="0"/>
          </w:rPr>
          <w:t xml:space="preserve">The Oxford Handbook of the Reception History of the Bible</w:t>
        </w:r>
      </w:hyperlink>
      <w:r/>
      <w:hyperlink r:id="rId72" w:tooltip="https://www.zotero.org/google-docs/?V7U12U" w:history="1">
        <w:r>
          <w:rPr>
            <w:sz w:val="20"/>
            <w:szCs w:val="20"/>
            <w:rtl w:val="0"/>
          </w:rPr>
          <w:t xml:space="preserve">, ed. by Michael Lieb and others (Oxford University Press, 2011), p. 0, doi:10.1093/oxfordhb/9780199204540.003.0001.</w:t>
        </w:r>
      </w:hyperlink>
      <w:r>
        <w:rPr>
          <w:sz w:val="20"/>
          <w:szCs w:val="20"/>
        </w:rPr>
      </w:r>
      <w:r>
        <w:rPr>
          <w:sz w:val="20"/>
          <w:szCs w:val="20"/>
        </w:rPr>
      </w:r>
    </w:p>
  </w:footnote>
  <w:footnote w:id="27">
    <w:p>
      <w:pPr>
        <w:pBdr/>
        <w:spacing w:line="240" w:lineRule="auto"/>
        <w:ind/>
        <w:rPr>
          <w:sz w:val="20"/>
          <w:szCs w:val="20"/>
        </w:rPr>
      </w:pPr>
      <w:r>
        <w:rPr>
          <w:vertAlign w:val="superscript"/>
        </w:rPr>
        <w:footnoteRef/>
      </w:r>
      <w:hyperlink r:id="rId73" w:tooltip="https://www.zotero.org/google-docs/?LtZ3x8" w:history="1">
        <w:r>
          <w:rPr>
            <w:sz w:val="20"/>
            <w:szCs w:val="20"/>
            <w:rtl w:val="0"/>
          </w:rPr>
          <w:t xml:space="preserve">Lee Jefferson M, ‘The Staff of Jesus in Early Christian Art’, </w:t>
        </w:r>
      </w:hyperlink>
      <w:r/>
      <w:hyperlink r:id="rId74" w:tooltip="https://www.zotero.org/google-docs/?LtZ3x8" w:history="1">
        <w:r>
          <w:rPr>
            <w:i/>
            <w:sz w:val="20"/>
            <w:szCs w:val="20"/>
            <w:rtl w:val="0"/>
          </w:rPr>
          <w:t xml:space="preserve">Religion and the Arts</w:t>
        </w:r>
      </w:hyperlink>
      <w:r/>
      <w:hyperlink r:id="rId75" w:tooltip="https://www.zotero.org/google-docs/?LtZ3x8" w:history="1">
        <w:r>
          <w:rPr>
            <w:sz w:val="20"/>
            <w:szCs w:val="20"/>
            <w:rtl w:val="0"/>
          </w:rPr>
          <w:t xml:space="preserve">, 14.3 (2010), pp. 221–51, doi:10.1163/156852910X494411.</w:t>
        </w:r>
      </w:hyperlink>
      <w:r>
        <w:rPr>
          <w:sz w:val="20"/>
          <w:szCs w:val="20"/>
        </w:rPr>
      </w:r>
      <w:r>
        <w:rPr>
          <w:sz w:val="20"/>
          <w:szCs w:val="20"/>
        </w:rPr>
      </w:r>
    </w:p>
    <w:p>
      <w:pPr>
        <w:pBdr/>
        <w:spacing w:line="240" w:lineRule="auto"/>
        <w:ind/>
        <w:rPr>
          <w:sz w:val="20"/>
          <w:szCs w:val="20"/>
        </w:rPr>
      </w:pPr>
      <w:r>
        <w:rPr>
          <w:sz w:val="20"/>
          <w:szCs w:val="20"/>
          <w:rtl w:val="0"/>
        </w:rPr>
        <w:t xml:space="preserve">New Revised Standard Version. </w:t>
      </w:r>
      <w:r>
        <w:rPr>
          <w:i/>
          <w:sz w:val="20"/>
          <w:szCs w:val="20"/>
          <w:rtl w:val="0"/>
        </w:rPr>
        <w:t xml:space="preserve">Deuteronomy 4:2</w:t>
      </w:r>
      <w:r>
        <w:rPr>
          <w:sz w:val="20"/>
          <w:szCs w:val="20"/>
          <w:rtl w:val="0"/>
        </w:rPr>
        <w:t xml:space="preserve">: “You must neither add anything to what I command you nor take away anything from it, but keep the commandments of the </w:t>
      </w:r>
      <w:r>
        <w:rPr>
          <w:smallCaps/>
          <w:sz w:val="20"/>
          <w:szCs w:val="20"/>
          <w:rtl w:val="0"/>
        </w:rPr>
        <w:t xml:space="preserve">Lord</w:t>
      </w:r>
      <w:r>
        <w:rPr>
          <w:sz w:val="20"/>
          <w:szCs w:val="20"/>
          <w:rtl w:val="0"/>
        </w:rPr>
        <w:t xml:space="preserve"> your God with which I am charging you.” </w:t>
      </w:r>
      <w:r>
        <w:rPr>
          <w:sz w:val="20"/>
          <w:szCs w:val="20"/>
        </w:rPr>
      </w:r>
      <w:r>
        <w:rPr>
          <w:sz w:val="20"/>
          <w:szCs w:val="20"/>
        </w:rPr>
      </w:r>
    </w:p>
  </w:footnote>
  <w:footnote w:id="28">
    <w:p>
      <w:pPr>
        <w:pBdr/>
        <w:spacing w:line="240" w:lineRule="auto"/>
        <w:ind/>
        <w:rPr>
          <w:sz w:val="20"/>
          <w:szCs w:val="20"/>
        </w:rPr>
      </w:pPr>
      <w:r>
        <w:rPr>
          <w:vertAlign w:val="superscript"/>
        </w:rPr>
        <w:footnoteRef/>
      </w:r>
      <w:hyperlink r:id="rId76" w:tooltip="https://www.zotero.org/google-docs/?MPlGFR" w:history="1">
        <w:r>
          <w:rPr>
            <w:sz w:val="20"/>
            <w:szCs w:val="20"/>
            <w:rtl w:val="0"/>
          </w:rPr>
          <w:t xml:space="preserve">David G Horrell, ‘Introduction: Decolonizing New Testament Studies? Beyond Eurocentrism to Reshaping the Discipline’, </w:t>
        </w:r>
      </w:hyperlink>
      <w:r/>
      <w:hyperlink r:id="rId77" w:tooltip="https://www.zotero.org/google-docs/?MPlGFR" w:history="1">
        <w:r>
          <w:rPr>
            <w:i/>
            <w:sz w:val="20"/>
            <w:szCs w:val="20"/>
            <w:rtl w:val="0"/>
          </w:rPr>
          <w:t xml:space="preserve">Journal for the Study of the New Testament</w:t>
        </w:r>
      </w:hyperlink>
      <w:r/>
      <w:hyperlink r:id="rId78" w:tooltip="https://www.zotero.org/google-docs/?MPlGFR" w:history="1">
        <w:r>
          <w:rPr>
            <w:sz w:val="20"/>
            <w:szCs w:val="20"/>
            <w:rtl w:val="0"/>
          </w:rPr>
          <w:t xml:space="preserve">, 47.1 (2024) &lt;https://journals-sagepub-com.ezproxy.uwtsd.ac.uk/doi/full/10.1177/0142064X241261642&gt; [accessed 5 November 2025].</w:t>
        </w:r>
      </w:hyperlink>
      <w:r>
        <w:rPr>
          <w:sz w:val="20"/>
          <w:szCs w:val="20"/>
        </w:rPr>
      </w:r>
      <w:r>
        <w:rPr>
          <w:sz w:val="20"/>
          <w:szCs w:val="20"/>
        </w:rPr>
      </w:r>
    </w:p>
  </w:footnote>
  <w:footnote w:id="29">
    <w:p>
      <w:pPr>
        <w:pBdr/>
        <w:spacing w:line="240" w:lineRule="auto"/>
        <w:ind/>
        <w:rPr>
          <w:sz w:val="20"/>
          <w:szCs w:val="20"/>
        </w:rPr>
      </w:pPr>
      <w:r>
        <w:rPr>
          <w:vertAlign w:val="superscript"/>
        </w:rPr>
        <w:footnoteRef/>
      </w:r>
      <w:hyperlink r:id="rId79" w:tooltip="https://www.zotero.org/google-docs/?peSdkc" w:history="1">
        <w:r>
          <w:rPr>
            <w:i/>
            <w:sz w:val="20"/>
            <w:szCs w:val="20"/>
            <w:rtl w:val="0"/>
          </w:rPr>
          <w:t xml:space="preserve">The Chosen</w:t>
        </w:r>
      </w:hyperlink>
      <w:r/>
      <w:hyperlink r:id="rId80" w:tooltip="https://www.zotero.org/google-docs/?peSdkc" w:history="1">
        <w:r>
          <w:rPr>
            <w:sz w:val="20"/>
            <w:szCs w:val="20"/>
            <w:rtl w:val="0"/>
          </w:rPr>
          <w:t xml:space="preserve">, dir. by Dallas Jenkins (Amazon Prime, 2017), Series 1-5 &lt;https://www.amazon.co.uk/gp/video/detail/amzn1.dv.gti.eb77e980-588a-4994-bf7b-fabf6caa129a?autoplay=0&amp;ref_=atv_cf_strg_wb&gt;.</w:t>
        </w:r>
      </w:hyperlink>
      <w:r>
        <w:rPr>
          <w:sz w:val="20"/>
          <w:szCs w:val="20"/>
        </w:rPr>
      </w:r>
      <w:r>
        <w:rPr>
          <w:sz w:val="20"/>
          <w:szCs w:val="20"/>
        </w:rPr>
      </w:r>
    </w:p>
  </w:footnote>
  <w:footnote w:id="30">
    <w:p>
      <w:pPr>
        <w:pBdr/>
        <w:spacing w:line="240" w:lineRule="auto"/>
        <w:ind/>
        <w:rPr>
          <w:sz w:val="20"/>
          <w:szCs w:val="20"/>
        </w:rPr>
      </w:pPr>
      <w:r>
        <w:rPr>
          <w:vertAlign w:val="superscript"/>
        </w:rPr>
        <w:footnoteRef/>
      </w:r>
      <w:hyperlink r:id="rId81" w:tooltip="https://www.zotero.org/google-docs/?NlbiNe" w:history="1">
        <w:r>
          <w:rPr>
            <w:sz w:val="20"/>
            <w:szCs w:val="20"/>
            <w:rtl w:val="0"/>
          </w:rPr>
          <w:t xml:space="preserve">Bear Grylls, </w:t>
        </w:r>
      </w:hyperlink>
      <w:r/>
      <w:hyperlink r:id="rId82" w:tooltip="https://www.zotero.org/google-docs/?NlbiNe" w:history="1">
        <w:r>
          <w:rPr>
            <w:i/>
            <w:sz w:val="20"/>
            <w:szCs w:val="20"/>
            <w:rtl w:val="0"/>
          </w:rPr>
          <w:t xml:space="preserve">THE GREATEST STORY EVER TOLD: An Eyewitness Account</w:t>
        </w:r>
      </w:hyperlink>
      <w:r/>
      <w:hyperlink r:id="rId83" w:tooltip="https://www.zotero.org/google-docs/?NlbiNe" w:history="1">
        <w:r>
          <w:rPr>
            <w:sz w:val="20"/>
            <w:szCs w:val="20"/>
            <w:rtl w:val="0"/>
          </w:rPr>
          <w:t xml:space="preserve"> (Hodder Faith, 2025).</w:t>
        </w:r>
      </w:hyperlink>
      <w:r>
        <w:rPr>
          <w:sz w:val="20"/>
          <w:szCs w:val="20"/>
        </w:rPr>
      </w:r>
      <w:r>
        <w:rPr>
          <w:sz w:val="20"/>
          <w:szCs w:val="20"/>
        </w:rP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sz w:val="22"/>
        <w:szCs w:val="22"/>
      </w:rPr>
    </w:rPrDefault>
    <w:pPrDefault>
      <w:pPr>
        <w:pBdr/>
        <w:spacing w:after="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18"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9">
    <w:name w:val="Table Grid"/>
    <w:basedOn w:val="1318"/>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0">
    <w:name w:val="Table Grid Light"/>
    <w:basedOn w:val="1318"/>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1">
    <w:name w:val="Plain Table 1"/>
    <w:basedOn w:val="1318"/>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2">
    <w:name w:val="Plain Table 2"/>
    <w:basedOn w:val="1318"/>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3">
    <w:name w:val="Plain Table 3"/>
    <w:basedOn w:val="131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4">
    <w:name w:val="Plain Table 4"/>
    <w:basedOn w:val="131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5">
    <w:name w:val="Plain Table 5"/>
    <w:basedOn w:val="131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6">
    <w:name w:val="Grid Table 1 Light"/>
    <w:basedOn w:val="131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7">
    <w:name w:val="Grid Table 1 Light - Accent 1"/>
    <w:basedOn w:val="131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8">
    <w:name w:val="Grid Table 1 Light - Accent 2"/>
    <w:basedOn w:val="131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9">
    <w:name w:val="Grid Table 1 Light - Accent 3"/>
    <w:basedOn w:val="131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0">
    <w:name w:val="Grid Table 1 Light - Accent 4"/>
    <w:basedOn w:val="131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1">
    <w:name w:val="Grid Table 1 Light - Accent 5"/>
    <w:basedOn w:val="131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2">
    <w:name w:val="Grid Table 1 Light - Accent 6"/>
    <w:basedOn w:val="131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3">
    <w:name w:val="Grid Table 2"/>
    <w:basedOn w:val="131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4">
    <w:name w:val="Grid Table 2 - Accent 1"/>
    <w:basedOn w:val="131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5">
    <w:name w:val="Grid Table 2 - Accent 2"/>
    <w:basedOn w:val="131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6">
    <w:name w:val="Grid Table 2 - Accent 3"/>
    <w:basedOn w:val="131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7">
    <w:name w:val="Grid Table 2 - Accent 4"/>
    <w:basedOn w:val="131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8">
    <w:name w:val="Grid Table 2 - Accent 5"/>
    <w:basedOn w:val="131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9">
    <w:name w:val="Grid Table 2 - Accent 6"/>
    <w:basedOn w:val="131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0">
    <w:name w:val="Grid Table 3"/>
    <w:basedOn w:val="131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1">
    <w:name w:val="Grid Table 3 - Accent 1"/>
    <w:basedOn w:val="131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2">
    <w:name w:val="Grid Table 3 - Accent 2"/>
    <w:basedOn w:val="131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3">
    <w:name w:val="Grid Table 3 - Accent 3"/>
    <w:basedOn w:val="131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4">
    <w:name w:val="Grid Table 3 - Accent 4"/>
    <w:basedOn w:val="131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5">
    <w:name w:val="Grid Table 3 - Accent 5"/>
    <w:basedOn w:val="131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6">
    <w:name w:val="Grid Table 3 - Accent 6"/>
    <w:basedOn w:val="131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7">
    <w:name w:val="Grid Table 4"/>
    <w:basedOn w:val="131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8">
    <w:name w:val="Grid Table 4 - Accent 1"/>
    <w:basedOn w:val="131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9">
    <w:name w:val="Grid Table 4 - Accent 2"/>
    <w:basedOn w:val="131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0">
    <w:name w:val="Grid Table 4 - Accent 3"/>
    <w:basedOn w:val="131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1">
    <w:name w:val="Grid Table 4 - Accent 4"/>
    <w:basedOn w:val="131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2">
    <w:name w:val="Grid Table 4 - Accent 5"/>
    <w:basedOn w:val="131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3">
    <w:name w:val="Grid Table 4 - Accent 6"/>
    <w:basedOn w:val="131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4">
    <w:name w:val="Grid Table 5 Dark"/>
    <w:basedOn w:val="13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5">
    <w:name w:val="Grid Table 5 Dark- Accent 1"/>
    <w:basedOn w:val="13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6">
    <w:name w:val="Grid Table 5 Dark - Accent 2"/>
    <w:basedOn w:val="13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7">
    <w:name w:val="Grid Table 5 Dark - Accent 3"/>
    <w:basedOn w:val="13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8">
    <w:name w:val="Grid Table 5 Dark- Accent 4"/>
    <w:basedOn w:val="13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9">
    <w:name w:val="Grid Table 5 Dark - Accent 5"/>
    <w:basedOn w:val="13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0">
    <w:name w:val="Grid Table 5 Dark - Accent 6"/>
    <w:basedOn w:val="131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1">
    <w:name w:val="Grid Table 6 Colorful"/>
    <w:basedOn w:val="131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1362">
    <w:name w:val="Grid Table 6 Colorful - Accent 1"/>
    <w:basedOn w:val="131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1363">
    <w:name w:val="Grid Table 6 Colorful - Accent 2"/>
    <w:basedOn w:val="131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1364">
    <w:name w:val="Grid Table 6 Colorful - Accent 3"/>
    <w:basedOn w:val="131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1365">
    <w:name w:val="Grid Table 6 Colorful - Accent 4"/>
    <w:basedOn w:val="131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1366">
    <w:name w:val="Grid Table 6 Colorful - Accent 5"/>
    <w:basedOn w:val="131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367">
    <w:name w:val="Grid Table 6 Colorful - Accent 6"/>
    <w:basedOn w:val="131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368">
    <w:name w:val="Grid Table 7 Colorful"/>
    <w:basedOn w:val="131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9">
    <w:name w:val="Grid Table 7 Colorful - Accent 1"/>
    <w:basedOn w:val="131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0">
    <w:name w:val="Grid Table 7 Colorful - Accent 2"/>
    <w:basedOn w:val="131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1">
    <w:name w:val="Grid Table 7 Colorful - Accent 3"/>
    <w:basedOn w:val="131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d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2">
    <w:name w:val="Grid Table 7 Colorful - Accent 4"/>
    <w:basedOn w:val="131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3">
    <w:name w:val="Grid Table 7 Colorful - Accent 5"/>
    <w:basedOn w:val="131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4">
    <w:name w:val="Grid Table 7 Colorful - Accent 6"/>
    <w:basedOn w:val="131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5">
    <w:name w:val="List Table 1 Light"/>
    <w:basedOn w:val="13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6">
    <w:name w:val="List Table 1 Light - Accent 1"/>
    <w:basedOn w:val="13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7">
    <w:name w:val="List Table 1 Light - Accent 2"/>
    <w:basedOn w:val="13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8">
    <w:name w:val="List Table 1 Light - Accent 3"/>
    <w:basedOn w:val="13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9">
    <w:name w:val="List Table 1 Light - Accent 4"/>
    <w:basedOn w:val="13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0">
    <w:name w:val="List Table 1 Light - Accent 5"/>
    <w:basedOn w:val="13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1">
    <w:name w:val="List Table 1 Light - Accent 6"/>
    <w:basedOn w:val="131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2">
    <w:name w:val="List Table 2"/>
    <w:basedOn w:val="131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3">
    <w:name w:val="List Table 2 - Accent 1"/>
    <w:basedOn w:val="131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4">
    <w:name w:val="List Table 2 - Accent 2"/>
    <w:basedOn w:val="131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5">
    <w:name w:val="List Table 2 - Accent 3"/>
    <w:basedOn w:val="131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6">
    <w:name w:val="List Table 2 - Accent 4"/>
    <w:basedOn w:val="131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7">
    <w:name w:val="List Table 2 - Accent 5"/>
    <w:basedOn w:val="131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8">
    <w:name w:val="List Table 2 - Accent 6"/>
    <w:basedOn w:val="131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9">
    <w:name w:val="List Table 3"/>
    <w:basedOn w:val="131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0">
    <w:name w:val="List Table 3 - Accent 1"/>
    <w:basedOn w:val="131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1">
    <w:name w:val="List Table 3 - Accent 2"/>
    <w:basedOn w:val="131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2">
    <w:name w:val="List Table 3 - Accent 3"/>
    <w:basedOn w:val="131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3">
    <w:name w:val="List Table 3 - Accent 4"/>
    <w:basedOn w:val="131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4">
    <w:name w:val="List Table 3 - Accent 5"/>
    <w:basedOn w:val="131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5">
    <w:name w:val="List Table 3 - Accent 6"/>
    <w:basedOn w:val="131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6">
    <w:name w:val="List Table 4"/>
    <w:basedOn w:val="131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7">
    <w:name w:val="List Table 4 - Accent 1"/>
    <w:basedOn w:val="131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8">
    <w:name w:val="List Table 4 - Accent 2"/>
    <w:basedOn w:val="131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9">
    <w:name w:val="List Table 4 - Accent 3"/>
    <w:basedOn w:val="131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0">
    <w:name w:val="List Table 4 - Accent 4"/>
    <w:basedOn w:val="131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1">
    <w:name w:val="List Table 4 - Accent 5"/>
    <w:basedOn w:val="131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2">
    <w:name w:val="List Table 4 - Accent 6"/>
    <w:basedOn w:val="131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3">
    <w:name w:val="List Table 5 Dark"/>
    <w:basedOn w:val="131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404">
    <w:name w:val="List Table 5 Dark - Accent 1"/>
    <w:basedOn w:val="131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405">
    <w:name w:val="List Table 5 Dark - Accent 2"/>
    <w:basedOn w:val="131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406">
    <w:name w:val="List Table 5 Dark - Accent 3"/>
    <w:basedOn w:val="131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407">
    <w:name w:val="List Table 5 Dark - Accent 4"/>
    <w:basedOn w:val="131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408">
    <w:name w:val="List Table 5 Dark - Accent 5"/>
    <w:basedOn w:val="131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409">
    <w:name w:val="List Table 5 Dark - Accent 6"/>
    <w:basedOn w:val="131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410">
    <w:name w:val="List Table 6 Colorful"/>
    <w:basedOn w:val="131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1">
    <w:name w:val="List Table 6 Colorful - Accent 1"/>
    <w:basedOn w:val="131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2">
    <w:name w:val="List Table 6 Colorful - Accent 2"/>
    <w:basedOn w:val="131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3">
    <w:name w:val="List Table 6 Colorful - Accent 3"/>
    <w:basedOn w:val="131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4">
    <w:name w:val="List Table 6 Colorful - Accent 4"/>
    <w:basedOn w:val="131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5">
    <w:name w:val="List Table 6 Colorful - Accent 5"/>
    <w:basedOn w:val="131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6">
    <w:name w:val="List Table 6 Colorful - Accent 6"/>
    <w:basedOn w:val="131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7">
    <w:name w:val="List Table 7 Colorful"/>
    <w:basedOn w:val="131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418">
    <w:name w:val="List Table 7 Colorful - Accent 1"/>
    <w:basedOn w:val="131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419">
    <w:name w:val="List Table 7 Colorful - Accent 2"/>
    <w:basedOn w:val="131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1420">
    <w:name w:val="List Table 7 Colorful - Accent 3"/>
    <w:basedOn w:val="131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a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1421">
    <w:name w:val="List Table 7 Colorful - Accent 4"/>
    <w:basedOn w:val="131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1422">
    <w:name w:val="List Table 7 Colorful - Accent 5"/>
    <w:basedOn w:val="131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4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1423">
    <w:name w:val="List Table 7 Colorful - Accent 6"/>
    <w:basedOn w:val="131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9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1424">
    <w:name w:val="Lined - Accent"/>
    <w:basedOn w:val="13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5">
    <w:name w:val="Lined - Accent 1"/>
    <w:basedOn w:val="13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6">
    <w:name w:val="Lined - Accent 2"/>
    <w:basedOn w:val="13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7">
    <w:name w:val="Lined - Accent 3"/>
    <w:basedOn w:val="13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8">
    <w:name w:val="Lined - Accent 4"/>
    <w:basedOn w:val="13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9">
    <w:name w:val="Lined - Accent 5"/>
    <w:basedOn w:val="13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0">
    <w:name w:val="Lined - Accent 6"/>
    <w:basedOn w:val="131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1">
    <w:name w:val="Bordered &amp; Lined - Accent"/>
    <w:basedOn w:val="131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2">
    <w:name w:val="Bordered &amp; Lined - Accent 1"/>
    <w:basedOn w:val="131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3">
    <w:name w:val="Bordered &amp; Lined - Accent 2"/>
    <w:basedOn w:val="131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4">
    <w:name w:val="Bordered &amp; Lined - Accent 3"/>
    <w:basedOn w:val="131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5">
    <w:name w:val="Bordered &amp; Lined - Accent 4"/>
    <w:basedOn w:val="131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6">
    <w:name w:val="Bordered &amp; Lined - Accent 5"/>
    <w:basedOn w:val="131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7">
    <w:name w:val="Bordered &amp; Lined - Accent 6"/>
    <w:basedOn w:val="131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8">
    <w:name w:val="Bordered"/>
    <w:basedOn w:val="131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9">
    <w:name w:val="Bordered - Accent 1"/>
    <w:basedOn w:val="131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0">
    <w:name w:val="Bordered - Accent 2"/>
    <w:basedOn w:val="131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1">
    <w:name w:val="Bordered - Accent 3"/>
    <w:basedOn w:val="131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2">
    <w:name w:val="Bordered - Accent 4"/>
    <w:basedOn w:val="131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3">
    <w:name w:val="Bordered - Accent 5"/>
    <w:basedOn w:val="131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4">
    <w:name w:val="Bordered - Accent 6"/>
    <w:basedOn w:val="131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45">
    <w:name w:val="Heading 7"/>
    <w:basedOn w:val="1500"/>
    <w:next w:val="1500"/>
    <w:link w:val="14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46">
    <w:name w:val="Heading 8"/>
    <w:basedOn w:val="1500"/>
    <w:next w:val="1500"/>
    <w:link w:val="14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47">
    <w:name w:val="Heading 9"/>
    <w:basedOn w:val="1500"/>
    <w:next w:val="1500"/>
    <w:link w:val="14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48" w:default="1">
    <w:name w:val="Default Paragraph Font"/>
    <w:uiPriority w:val="1"/>
    <w:semiHidden/>
    <w:unhideWhenUsed/>
    <w:pPr>
      <w:pBdr/>
      <w:spacing/>
      <w:ind/>
    </w:pPr>
  </w:style>
  <w:style w:type="numbering" w:styleId="1449" w:default="1">
    <w:name w:val="No List"/>
    <w:uiPriority w:val="99"/>
    <w:semiHidden/>
    <w:unhideWhenUsed/>
    <w:pPr>
      <w:pBdr/>
      <w:spacing/>
      <w:ind/>
    </w:pPr>
  </w:style>
  <w:style w:type="character" w:styleId="1450">
    <w:name w:val="Heading 1 Char"/>
    <w:basedOn w:val="1448"/>
    <w:link w:val="1501"/>
    <w:uiPriority w:val="9"/>
    <w:pPr>
      <w:pBdr/>
      <w:spacing/>
      <w:ind/>
    </w:pPr>
    <w:rPr>
      <w:rFonts w:ascii="Arial" w:hAnsi="Arial" w:eastAsia="Arial" w:cs="Arial"/>
      <w:color w:val="0f4761" w:themeColor="accent1" w:themeShade="BF"/>
      <w:sz w:val="40"/>
      <w:szCs w:val="40"/>
    </w:rPr>
  </w:style>
  <w:style w:type="character" w:styleId="1451">
    <w:name w:val="Heading 2 Char"/>
    <w:basedOn w:val="1448"/>
    <w:link w:val="1502"/>
    <w:uiPriority w:val="9"/>
    <w:pPr>
      <w:pBdr/>
      <w:spacing/>
      <w:ind/>
    </w:pPr>
    <w:rPr>
      <w:rFonts w:ascii="Arial" w:hAnsi="Arial" w:eastAsia="Arial" w:cs="Arial"/>
      <w:color w:val="0f4761" w:themeColor="accent1" w:themeShade="BF"/>
      <w:sz w:val="32"/>
      <w:szCs w:val="32"/>
    </w:rPr>
  </w:style>
  <w:style w:type="character" w:styleId="1452">
    <w:name w:val="Heading 3 Char"/>
    <w:basedOn w:val="1448"/>
    <w:link w:val="1503"/>
    <w:uiPriority w:val="9"/>
    <w:pPr>
      <w:pBdr/>
      <w:spacing/>
      <w:ind/>
    </w:pPr>
    <w:rPr>
      <w:rFonts w:ascii="Arial" w:hAnsi="Arial" w:eastAsia="Arial" w:cs="Arial"/>
      <w:color w:val="0f4761" w:themeColor="accent1" w:themeShade="BF"/>
      <w:sz w:val="28"/>
      <w:szCs w:val="28"/>
    </w:rPr>
  </w:style>
  <w:style w:type="character" w:styleId="1453">
    <w:name w:val="Heading 4 Char"/>
    <w:basedOn w:val="1448"/>
    <w:link w:val="1504"/>
    <w:uiPriority w:val="9"/>
    <w:pPr>
      <w:pBdr/>
      <w:spacing/>
      <w:ind/>
    </w:pPr>
    <w:rPr>
      <w:rFonts w:ascii="Arial" w:hAnsi="Arial" w:eastAsia="Arial" w:cs="Arial"/>
      <w:i/>
      <w:iCs/>
      <w:color w:val="0f4761" w:themeColor="accent1" w:themeShade="BF"/>
    </w:rPr>
  </w:style>
  <w:style w:type="character" w:styleId="1454">
    <w:name w:val="Heading 5 Char"/>
    <w:basedOn w:val="1448"/>
    <w:link w:val="1505"/>
    <w:uiPriority w:val="9"/>
    <w:pPr>
      <w:pBdr/>
      <w:spacing/>
      <w:ind/>
    </w:pPr>
    <w:rPr>
      <w:rFonts w:ascii="Arial" w:hAnsi="Arial" w:eastAsia="Arial" w:cs="Arial"/>
      <w:color w:val="0f4761" w:themeColor="accent1" w:themeShade="BF"/>
    </w:rPr>
  </w:style>
  <w:style w:type="character" w:styleId="1455">
    <w:name w:val="Heading 6 Char"/>
    <w:basedOn w:val="1448"/>
    <w:link w:val="1506"/>
    <w:uiPriority w:val="9"/>
    <w:pPr>
      <w:pBdr/>
      <w:spacing/>
      <w:ind/>
    </w:pPr>
    <w:rPr>
      <w:rFonts w:ascii="Arial" w:hAnsi="Arial" w:eastAsia="Arial" w:cs="Arial"/>
      <w:i/>
      <w:iCs/>
      <w:color w:val="595959" w:themeColor="text1" w:themeTint="A6"/>
    </w:rPr>
  </w:style>
  <w:style w:type="character" w:styleId="1456">
    <w:name w:val="Heading 7 Char"/>
    <w:basedOn w:val="1448"/>
    <w:link w:val="1445"/>
    <w:uiPriority w:val="9"/>
    <w:pPr>
      <w:pBdr/>
      <w:spacing/>
      <w:ind/>
    </w:pPr>
    <w:rPr>
      <w:rFonts w:ascii="Arial" w:hAnsi="Arial" w:eastAsia="Arial" w:cs="Arial"/>
      <w:color w:val="595959" w:themeColor="text1" w:themeTint="A6"/>
    </w:rPr>
  </w:style>
  <w:style w:type="character" w:styleId="1457">
    <w:name w:val="Heading 8 Char"/>
    <w:basedOn w:val="1448"/>
    <w:link w:val="1446"/>
    <w:uiPriority w:val="9"/>
    <w:pPr>
      <w:pBdr/>
      <w:spacing/>
      <w:ind/>
    </w:pPr>
    <w:rPr>
      <w:rFonts w:ascii="Arial" w:hAnsi="Arial" w:eastAsia="Arial" w:cs="Arial"/>
      <w:i/>
      <w:iCs/>
      <w:color w:val="272727" w:themeColor="text1" w:themeTint="D8"/>
    </w:rPr>
  </w:style>
  <w:style w:type="character" w:styleId="1458">
    <w:name w:val="Heading 9 Char"/>
    <w:basedOn w:val="1448"/>
    <w:link w:val="1447"/>
    <w:uiPriority w:val="9"/>
    <w:pPr>
      <w:pBdr/>
      <w:spacing/>
      <w:ind/>
    </w:pPr>
    <w:rPr>
      <w:rFonts w:ascii="Arial" w:hAnsi="Arial" w:eastAsia="Arial" w:cs="Arial"/>
      <w:i/>
      <w:iCs/>
      <w:color w:val="272727" w:themeColor="text1" w:themeTint="D8"/>
    </w:rPr>
  </w:style>
  <w:style w:type="character" w:styleId="1459">
    <w:name w:val="Title Char"/>
    <w:basedOn w:val="1448"/>
    <w:link w:val="1507"/>
    <w:uiPriority w:val="10"/>
    <w:pPr>
      <w:pBdr/>
      <w:spacing/>
      <w:ind/>
    </w:pPr>
    <w:rPr>
      <w:rFonts w:ascii="Arial" w:hAnsi="Arial" w:eastAsia="Arial" w:cs="Arial"/>
      <w:spacing w:val="-10"/>
      <w:sz w:val="56"/>
      <w:szCs w:val="56"/>
    </w:rPr>
  </w:style>
  <w:style w:type="character" w:styleId="1460">
    <w:name w:val="Subtitle Char"/>
    <w:basedOn w:val="1448"/>
    <w:link w:val="1508"/>
    <w:uiPriority w:val="11"/>
    <w:pPr>
      <w:pBdr/>
      <w:spacing/>
      <w:ind/>
    </w:pPr>
    <w:rPr>
      <w:color w:val="595959" w:themeColor="text1" w:themeTint="A6"/>
      <w:spacing w:val="15"/>
      <w:sz w:val="28"/>
      <w:szCs w:val="28"/>
    </w:rPr>
  </w:style>
  <w:style w:type="paragraph" w:styleId="1461">
    <w:name w:val="Quote"/>
    <w:basedOn w:val="1500"/>
    <w:next w:val="1500"/>
    <w:link w:val="1462"/>
    <w:uiPriority w:val="29"/>
    <w:qFormat/>
    <w:pPr>
      <w:pBdr/>
      <w:spacing w:before="160"/>
      <w:ind/>
      <w:jc w:val="center"/>
    </w:pPr>
    <w:rPr>
      <w:i/>
      <w:iCs/>
      <w:color w:val="404040" w:themeColor="text1" w:themeTint="BF"/>
    </w:rPr>
  </w:style>
  <w:style w:type="character" w:styleId="1462">
    <w:name w:val="Quote Char"/>
    <w:basedOn w:val="1448"/>
    <w:link w:val="1461"/>
    <w:uiPriority w:val="29"/>
    <w:pPr>
      <w:pBdr/>
      <w:spacing/>
      <w:ind/>
    </w:pPr>
    <w:rPr>
      <w:i/>
      <w:iCs/>
      <w:color w:val="404040" w:themeColor="text1" w:themeTint="BF"/>
    </w:rPr>
  </w:style>
  <w:style w:type="paragraph" w:styleId="1463">
    <w:name w:val="List Paragraph"/>
    <w:basedOn w:val="1500"/>
    <w:uiPriority w:val="34"/>
    <w:qFormat/>
    <w:pPr>
      <w:pBdr/>
      <w:spacing/>
      <w:ind w:left="720"/>
      <w:contextualSpacing w:val="true"/>
    </w:pPr>
  </w:style>
  <w:style w:type="character" w:styleId="1464">
    <w:name w:val="Intense Emphasis"/>
    <w:basedOn w:val="1448"/>
    <w:uiPriority w:val="21"/>
    <w:qFormat/>
    <w:pPr>
      <w:pBdr/>
      <w:spacing/>
      <w:ind/>
    </w:pPr>
    <w:rPr>
      <w:i/>
      <w:iCs/>
      <w:color w:val="0f4761" w:themeColor="accent1" w:themeShade="BF"/>
    </w:rPr>
  </w:style>
  <w:style w:type="paragraph" w:styleId="1465">
    <w:name w:val="Intense Quote"/>
    <w:basedOn w:val="1500"/>
    <w:next w:val="1500"/>
    <w:link w:val="1466"/>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466">
    <w:name w:val="Intense Quote Char"/>
    <w:basedOn w:val="1448"/>
    <w:link w:val="1465"/>
    <w:uiPriority w:val="30"/>
    <w:pPr>
      <w:pBdr/>
      <w:spacing/>
      <w:ind/>
    </w:pPr>
    <w:rPr>
      <w:i/>
      <w:iCs/>
      <w:color w:val="0f4761" w:themeColor="accent1" w:themeShade="BF"/>
    </w:rPr>
  </w:style>
  <w:style w:type="character" w:styleId="1467">
    <w:name w:val="Intense Reference"/>
    <w:basedOn w:val="1448"/>
    <w:uiPriority w:val="32"/>
    <w:qFormat/>
    <w:pPr>
      <w:pBdr/>
      <w:spacing/>
      <w:ind/>
    </w:pPr>
    <w:rPr>
      <w:b/>
      <w:bCs/>
      <w:smallCaps/>
      <w:color w:val="0f4761" w:themeColor="accent1" w:themeShade="BF"/>
      <w:spacing w:val="5"/>
    </w:rPr>
  </w:style>
  <w:style w:type="paragraph" w:styleId="1468">
    <w:name w:val="No Spacing"/>
    <w:basedOn w:val="1500"/>
    <w:uiPriority w:val="1"/>
    <w:qFormat/>
    <w:pPr>
      <w:pBdr/>
      <w:spacing w:after="0" w:line="240" w:lineRule="auto"/>
      <w:ind/>
    </w:pPr>
  </w:style>
  <w:style w:type="character" w:styleId="1469">
    <w:name w:val="Subtle Emphasis"/>
    <w:basedOn w:val="1448"/>
    <w:uiPriority w:val="19"/>
    <w:qFormat/>
    <w:pPr>
      <w:pBdr/>
      <w:spacing/>
      <w:ind/>
    </w:pPr>
    <w:rPr>
      <w:i/>
      <w:iCs/>
      <w:color w:val="404040" w:themeColor="text1" w:themeTint="BF"/>
    </w:rPr>
  </w:style>
  <w:style w:type="character" w:styleId="1470">
    <w:name w:val="Emphasis"/>
    <w:basedOn w:val="1448"/>
    <w:uiPriority w:val="20"/>
    <w:qFormat/>
    <w:pPr>
      <w:pBdr/>
      <w:spacing/>
      <w:ind/>
    </w:pPr>
    <w:rPr>
      <w:i/>
      <w:iCs/>
    </w:rPr>
  </w:style>
  <w:style w:type="character" w:styleId="1471">
    <w:name w:val="Strong"/>
    <w:basedOn w:val="1448"/>
    <w:uiPriority w:val="22"/>
    <w:qFormat/>
    <w:pPr>
      <w:pBdr/>
      <w:spacing/>
      <w:ind/>
    </w:pPr>
    <w:rPr>
      <w:b/>
      <w:bCs/>
    </w:rPr>
  </w:style>
  <w:style w:type="character" w:styleId="1472">
    <w:name w:val="Subtle Reference"/>
    <w:basedOn w:val="1448"/>
    <w:uiPriority w:val="31"/>
    <w:qFormat/>
    <w:pPr>
      <w:pBdr/>
      <w:spacing/>
      <w:ind/>
    </w:pPr>
    <w:rPr>
      <w:smallCaps/>
      <w:color w:val="5a5a5a" w:themeColor="text1" w:themeTint="A5"/>
    </w:rPr>
  </w:style>
  <w:style w:type="character" w:styleId="1473">
    <w:name w:val="Book Title"/>
    <w:basedOn w:val="1448"/>
    <w:uiPriority w:val="33"/>
    <w:qFormat/>
    <w:pPr>
      <w:pBdr/>
      <w:spacing/>
      <w:ind/>
    </w:pPr>
    <w:rPr>
      <w:b/>
      <w:bCs/>
      <w:i/>
      <w:iCs/>
      <w:spacing w:val="5"/>
    </w:rPr>
  </w:style>
  <w:style w:type="paragraph" w:styleId="1474">
    <w:name w:val="Header"/>
    <w:basedOn w:val="1500"/>
    <w:link w:val="1475"/>
    <w:uiPriority w:val="99"/>
    <w:unhideWhenUsed/>
    <w:pPr>
      <w:pBdr/>
      <w:tabs>
        <w:tab w:val="center" w:leader="none" w:pos="4844"/>
        <w:tab w:val="right" w:leader="none" w:pos="9689"/>
      </w:tabs>
      <w:spacing w:after="0" w:line="240" w:lineRule="auto"/>
      <w:ind/>
    </w:pPr>
  </w:style>
  <w:style w:type="character" w:styleId="1475">
    <w:name w:val="Header Char"/>
    <w:basedOn w:val="1448"/>
    <w:link w:val="1474"/>
    <w:uiPriority w:val="99"/>
    <w:pPr>
      <w:pBdr/>
      <w:spacing/>
      <w:ind/>
    </w:pPr>
  </w:style>
  <w:style w:type="paragraph" w:styleId="1476">
    <w:name w:val="Footer"/>
    <w:basedOn w:val="1500"/>
    <w:link w:val="1477"/>
    <w:uiPriority w:val="99"/>
    <w:unhideWhenUsed/>
    <w:pPr>
      <w:pBdr/>
      <w:tabs>
        <w:tab w:val="center" w:leader="none" w:pos="4844"/>
        <w:tab w:val="right" w:leader="none" w:pos="9689"/>
      </w:tabs>
      <w:spacing w:after="0" w:line="240" w:lineRule="auto"/>
      <w:ind/>
    </w:pPr>
  </w:style>
  <w:style w:type="character" w:styleId="1477">
    <w:name w:val="Footer Char"/>
    <w:basedOn w:val="1448"/>
    <w:link w:val="1476"/>
    <w:uiPriority w:val="99"/>
    <w:pPr>
      <w:pBdr/>
      <w:spacing/>
      <w:ind/>
    </w:pPr>
  </w:style>
  <w:style w:type="paragraph" w:styleId="1478">
    <w:name w:val="Caption"/>
    <w:basedOn w:val="1500"/>
    <w:next w:val="1500"/>
    <w:uiPriority w:val="35"/>
    <w:unhideWhenUsed/>
    <w:qFormat/>
    <w:pPr>
      <w:pBdr/>
      <w:spacing w:after="200" w:line="240" w:lineRule="auto"/>
      <w:ind/>
    </w:pPr>
    <w:rPr>
      <w:i/>
      <w:iCs/>
      <w:color w:val="0e2841" w:themeColor="text2"/>
      <w:sz w:val="18"/>
      <w:szCs w:val="18"/>
    </w:rPr>
  </w:style>
  <w:style w:type="paragraph" w:styleId="1479">
    <w:name w:val="footnote text"/>
    <w:basedOn w:val="1500"/>
    <w:link w:val="1480"/>
    <w:uiPriority w:val="99"/>
    <w:semiHidden/>
    <w:unhideWhenUsed/>
    <w:pPr>
      <w:pBdr/>
      <w:spacing w:after="0" w:line="240" w:lineRule="auto"/>
      <w:ind/>
    </w:pPr>
    <w:rPr>
      <w:sz w:val="20"/>
      <w:szCs w:val="20"/>
    </w:rPr>
  </w:style>
  <w:style w:type="character" w:styleId="1480">
    <w:name w:val="Footnote Text Char"/>
    <w:basedOn w:val="1448"/>
    <w:link w:val="1479"/>
    <w:uiPriority w:val="99"/>
    <w:semiHidden/>
    <w:pPr>
      <w:pBdr/>
      <w:spacing/>
      <w:ind/>
    </w:pPr>
    <w:rPr>
      <w:sz w:val="20"/>
      <w:szCs w:val="20"/>
    </w:rPr>
  </w:style>
  <w:style w:type="character" w:styleId="1481">
    <w:name w:val="footnote reference"/>
    <w:basedOn w:val="1448"/>
    <w:uiPriority w:val="99"/>
    <w:semiHidden/>
    <w:unhideWhenUsed/>
    <w:pPr>
      <w:pBdr/>
      <w:spacing/>
      <w:ind/>
    </w:pPr>
    <w:rPr>
      <w:vertAlign w:val="superscript"/>
    </w:rPr>
  </w:style>
  <w:style w:type="paragraph" w:styleId="1482">
    <w:name w:val="endnote text"/>
    <w:basedOn w:val="1500"/>
    <w:link w:val="1483"/>
    <w:uiPriority w:val="99"/>
    <w:semiHidden/>
    <w:unhideWhenUsed/>
    <w:pPr>
      <w:pBdr/>
      <w:spacing w:after="0" w:line="240" w:lineRule="auto"/>
      <w:ind/>
    </w:pPr>
    <w:rPr>
      <w:sz w:val="20"/>
      <w:szCs w:val="20"/>
    </w:rPr>
  </w:style>
  <w:style w:type="character" w:styleId="1483">
    <w:name w:val="Endnote Text Char"/>
    <w:basedOn w:val="1448"/>
    <w:link w:val="1482"/>
    <w:uiPriority w:val="99"/>
    <w:semiHidden/>
    <w:pPr>
      <w:pBdr/>
      <w:spacing/>
      <w:ind/>
    </w:pPr>
    <w:rPr>
      <w:sz w:val="20"/>
      <w:szCs w:val="20"/>
    </w:rPr>
  </w:style>
  <w:style w:type="character" w:styleId="1484">
    <w:name w:val="endnote reference"/>
    <w:basedOn w:val="1448"/>
    <w:uiPriority w:val="99"/>
    <w:semiHidden/>
    <w:unhideWhenUsed/>
    <w:pPr>
      <w:pBdr/>
      <w:spacing/>
      <w:ind/>
    </w:pPr>
    <w:rPr>
      <w:vertAlign w:val="superscript"/>
    </w:rPr>
  </w:style>
  <w:style w:type="character" w:styleId="1485">
    <w:name w:val="Hyperlink"/>
    <w:basedOn w:val="1448"/>
    <w:uiPriority w:val="99"/>
    <w:unhideWhenUsed/>
    <w:pPr>
      <w:pBdr/>
      <w:spacing/>
      <w:ind/>
    </w:pPr>
    <w:rPr>
      <w:color w:val="0563c1" w:themeColor="hyperlink"/>
      <w:u w:val="single"/>
    </w:rPr>
  </w:style>
  <w:style w:type="character" w:styleId="1486">
    <w:name w:val="FollowedHyperlink"/>
    <w:basedOn w:val="1448"/>
    <w:uiPriority w:val="99"/>
    <w:semiHidden/>
    <w:unhideWhenUsed/>
    <w:pPr>
      <w:pBdr/>
      <w:spacing/>
      <w:ind/>
    </w:pPr>
    <w:rPr>
      <w:color w:val="954f72" w:themeColor="followedHyperlink"/>
      <w:u w:val="single"/>
    </w:rPr>
  </w:style>
  <w:style w:type="paragraph" w:styleId="1487">
    <w:name w:val="toc 1"/>
    <w:basedOn w:val="1500"/>
    <w:next w:val="1500"/>
    <w:uiPriority w:val="39"/>
    <w:unhideWhenUsed/>
    <w:pPr>
      <w:pBdr/>
      <w:spacing w:after="100"/>
      <w:ind/>
    </w:pPr>
  </w:style>
  <w:style w:type="paragraph" w:styleId="1488">
    <w:name w:val="toc 2"/>
    <w:basedOn w:val="1500"/>
    <w:next w:val="1500"/>
    <w:uiPriority w:val="39"/>
    <w:unhideWhenUsed/>
    <w:pPr>
      <w:pBdr/>
      <w:spacing w:after="100"/>
      <w:ind w:left="220"/>
    </w:pPr>
  </w:style>
  <w:style w:type="paragraph" w:styleId="1489">
    <w:name w:val="toc 3"/>
    <w:basedOn w:val="1500"/>
    <w:next w:val="1500"/>
    <w:uiPriority w:val="39"/>
    <w:unhideWhenUsed/>
    <w:pPr>
      <w:pBdr/>
      <w:spacing w:after="100"/>
      <w:ind w:left="440"/>
    </w:pPr>
  </w:style>
  <w:style w:type="paragraph" w:styleId="1490">
    <w:name w:val="toc 4"/>
    <w:basedOn w:val="1500"/>
    <w:next w:val="1500"/>
    <w:uiPriority w:val="39"/>
    <w:unhideWhenUsed/>
    <w:pPr>
      <w:pBdr/>
      <w:spacing w:after="100"/>
      <w:ind w:left="660"/>
    </w:pPr>
  </w:style>
  <w:style w:type="paragraph" w:styleId="1491">
    <w:name w:val="toc 5"/>
    <w:basedOn w:val="1500"/>
    <w:next w:val="1500"/>
    <w:uiPriority w:val="39"/>
    <w:unhideWhenUsed/>
    <w:pPr>
      <w:pBdr/>
      <w:spacing w:after="100"/>
      <w:ind w:left="880"/>
    </w:pPr>
  </w:style>
  <w:style w:type="paragraph" w:styleId="1492">
    <w:name w:val="toc 6"/>
    <w:basedOn w:val="1500"/>
    <w:next w:val="1500"/>
    <w:uiPriority w:val="39"/>
    <w:unhideWhenUsed/>
    <w:pPr>
      <w:pBdr/>
      <w:spacing w:after="100"/>
      <w:ind w:left="1100"/>
    </w:pPr>
  </w:style>
  <w:style w:type="paragraph" w:styleId="1493">
    <w:name w:val="toc 7"/>
    <w:basedOn w:val="1500"/>
    <w:next w:val="1500"/>
    <w:uiPriority w:val="39"/>
    <w:unhideWhenUsed/>
    <w:pPr>
      <w:pBdr/>
      <w:spacing w:after="100"/>
      <w:ind w:left="1320"/>
    </w:pPr>
  </w:style>
  <w:style w:type="paragraph" w:styleId="1494">
    <w:name w:val="toc 8"/>
    <w:basedOn w:val="1500"/>
    <w:next w:val="1500"/>
    <w:uiPriority w:val="39"/>
    <w:unhideWhenUsed/>
    <w:pPr>
      <w:pBdr/>
      <w:spacing w:after="100"/>
      <w:ind w:left="1540"/>
    </w:pPr>
  </w:style>
  <w:style w:type="paragraph" w:styleId="1495">
    <w:name w:val="toc 9"/>
    <w:basedOn w:val="1500"/>
    <w:next w:val="1500"/>
    <w:uiPriority w:val="39"/>
    <w:unhideWhenUsed/>
    <w:pPr>
      <w:pBdr/>
      <w:spacing w:after="100"/>
      <w:ind w:left="1760"/>
    </w:pPr>
  </w:style>
  <w:style w:type="character" w:styleId="1496">
    <w:name w:val="Placeholder Text"/>
    <w:basedOn w:val="1448"/>
    <w:uiPriority w:val="99"/>
    <w:semiHidden/>
    <w:pPr>
      <w:pBdr/>
      <w:spacing/>
      <w:ind/>
    </w:pPr>
    <w:rPr>
      <w:color w:val="666666"/>
    </w:rPr>
  </w:style>
  <w:style w:type="paragraph" w:styleId="1497">
    <w:name w:val="TOC Heading"/>
    <w:uiPriority w:val="39"/>
    <w:unhideWhenUsed/>
    <w:pPr>
      <w:pBdr/>
      <w:spacing/>
      <w:ind/>
    </w:pPr>
  </w:style>
  <w:style w:type="paragraph" w:styleId="1498">
    <w:name w:val="table of figures"/>
    <w:basedOn w:val="1500"/>
    <w:next w:val="1500"/>
    <w:uiPriority w:val="99"/>
    <w:unhideWhenUsed/>
    <w:pPr>
      <w:pBdr/>
      <w:spacing w:after="0" w:afterAutospacing="0"/>
      <w:ind/>
    </w:pPr>
  </w:style>
  <w:style w:type="table" w:styleId="1499">
    <w:name w:val="TableNormal"/>
    <w:pPr>
      <w:pBdr/>
      <w:spacing/>
      <w:ind/>
    </w:pPr>
    <w:tblPr>
      <w:tblCellMar>
        <w:left w:w="100" w:type="dxa"/>
        <w:top w:w="100" w:type="dxa"/>
        <w:right w:w="100" w:type="dxa"/>
        <w:bottom w:w="10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500" w:default="1">
    <w:name w:val="Normal"/>
    <w:pPr>
      <w:pBdr/>
      <w:spacing/>
      <w:ind/>
    </w:pPr>
  </w:style>
  <w:style w:type="paragraph" w:styleId="1501">
    <w:name w:val="Heading 1"/>
    <w:basedOn w:val="1500"/>
    <w:next w:val="1500"/>
    <w:pPr>
      <w:keepNext w:val="true"/>
      <w:keepLines w:val="true"/>
      <w:pageBreakBefore w:val="false"/>
      <w:pBdr/>
      <w:spacing w:after="120" w:before="400"/>
      <w:ind/>
    </w:pPr>
    <w:rPr>
      <w:sz w:val="40"/>
      <w:szCs w:val="40"/>
    </w:rPr>
  </w:style>
  <w:style w:type="paragraph" w:styleId="1502">
    <w:name w:val="Heading 2"/>
    <w:basedOn w:val="1500"/>
    <w:next w:val="1500"/>
    <w:pPr>
      <w:keepNext w:val="true"/>
      <w:keepLines w:val="true"/>
      <w:pageBreakBefore w:val="false"/>
      <w:pBdr/>
      <w:spacing w:after="120" w:before="360"/>
      <w:ind/>
    </w:pPr>
    <w:rPr>
      <w:b w:val="0"/>
      <w:sz w:val="32"/>
      <w:szCs w:val="32"/>
    </w:rPr>
  </w:style>
  <w:style w:type="paragraph" w:styleId="1503">
    <w:name w:val="Heading 3"/>
    <w:basedOn w:val="1500"/>
    <w:next w:val="1500"/>
    <w:pPr>
      <w:keepNext w:val="true"/>
      <w:keepLines w:val="true"/>
      <w:pageBreakBefore w:val="false"/>
      <w:pBdr/>
      <w:spacing w:after="80" w:before="320"/>
      <w:ind/>
    </w:pPr>
    <w:rPr>
      <w:b w:val="0"/>
      <w:color w:val="434343"/>
      <w:sz w:val="28"/>
      <w:szCs w:val="28"/>
    </w:rPr>
  </w:style>
  <w:style w:type="paragraph" w:styleId="1504">
    <w:name w:val="Heading 4"/>
    <w:basedOn w:val="1500"/>
    <w:next w:val="1500"/>
    <w:pPr>
      <w:keepNext w:val="true"/>
      <w:keepLines w:val="true"/>
      <w:pageBreakBefore w:val="false"/>
      <w:pBdr/>
      <w:spacing w:after="80" w:before="280"/>
      <w:ind/>
    </w:pPr>
    <w:rPr>
      <w:color w:val="666666"/>
      <w:sz w:val="24"/>
      <w:szCs w:val="24"/>
    </w:rPr>
  </w:style>
  <w:style w:type="paragraph" w:styleId="1505">
    <w:name w:val="Heading 5"/>
    <w:basedOn w:val="1500"/>
    <w:next w:val="1500"/>
    <w:pPr>
      <w:keepNext w:val="true"/>
      <w:keepLines w:val="true"/>
      <w:pageBreakBefore w:val="false"/>
      <w:pBdr/>
      <w:spacing w:after="80" w:before="240"/>
      <w:ind/>
    </w:pPr>
    <w:rPr>
      <w:color w:val="666666"/>
      <w:sz w:val="22"/>
      <w:szCs w:val="22"/>
    </w:rPr>
  </w:style>
  <w:style w:type="paragraph" w:styleId="1506">
    <w:name w:val="Heading 6"/>
    <w:basedOn w:val="1500"/>
    <w:next w:val="1500"/>
    <w:pPr>
      <w:keepNext w:val="true"/>
      <w:keepLines w:val="true"/>
      <w:pageBreakBefore w:val="false"/>
      <w:pBdr/>
      <w:spacing w:after="80" w:before="240"/>
      <w:ind/>
    </w:pPr>
    <w:rPr>
      <w:i/>
      <w:color w:val="666666"/>
      <w:sz w:val="22"/>
      <w:szCs w:val="22"/>
    </w:rPr>
  </w:style>
  <w:style w:type="paragraph" w:styleId="1507">
    <w:name w:val="Title"/>
    <w:basedOn w:val="1500"/>
    <w:next w:val="1500"/>
    <w:pPr>
      <w:keepNext w:val="true"/>
      <w:keepLines w:val="true"/>
      <w:pageBreakBefore w:val="false"/>
      <w:pBdr/>
      <w:spacing w:after="60" w:before="0"/>
      <w:ind/>
    </w:pPr>
    <w:rPr>
      <w:sz w:val="52"/>
      <w:szCs w:val="52"/>
    </w:rPr>
  </w:style>
  <w:style w:type="paragraph" w:styleId="1508">
    <w:name w:val="Subtitle"/>
    <w:basedOn w:val="1500"/>
    <w:next w:val="1500"/>
    <w:pPr>
      <w:keepNext w:val="true"/>
      <w:keepLines w:val="true"/>
      <w:pageBreakBefore w:val="false"/>
      <w:pBdr/>
      <w:spacing w:after="320" w:before="0"/>
      <w:ind/>
    </w:pPr>
    <w:rPr>
      <w:rFonts w:ascii="Arial" w:hAnsi="Arial" w:eastAsia="Arial" w:cs="Arial"/>
      <w:i w:val="0"/>
      <w:color w:val="666666"/>
      <w:sz w:val="30"/>
      <w:szCs w:val="3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hyperlink" Target="https://www.zotero.org/google-docs/?cZXf93" TargetMode="External"/><Relationship Id="rId10" Type="http://schemas.openxmlformats.org/officeDocument/2006/relationships/hyperlink" Target="https://www.zotero.org/google-docs/?cZXf93" TargetMode="External"/><Relationship Id="rId11" Type="http://schemas.openxmlformats.org/officeDocument/2006/relationships/hyperlink" Target="https://www.zotero.org/google-docs/?cZXf93" TargetMode="External"/><Relationship Id="rId12" Type="http://schemas.openxmlformats.org/officeDocument/2006/relationships/hyperlink" Target="https://www.zotero.org/google-docs/?cZXf93" TargetMode="External"/><Relationship Id="rId13" Type="http://schemas.openxmlformats.org/officeDocument/2006/relationships/hyperlink" Target="https://www.zotero.org/google-docs/?cZXf93" TargetMode="External"/><Relationship Id="rId14" Type="http://schemas.openxmlformats.org/officeDocument/2006/relationships/hyperlink" Target="https://www.zotero.org/google-docs/?cZXf93" TargetMode="External"/><Relationship Id="rId15" Type="http://schemas.openxmlformats.org/officeDocument/2006/relationships/hyperlink" Target="https://www.zotero.org/google-docs/?cZXf93" TargetMode="External"/><Relationship Id="rId16" Type="http://schemas.openxmlformats.org/officeDocument/2006/relationships/hyperlink" Target="https://www.zotero.org/google-docs/?cZXf93" TargetMode="External"/><Relationship Id="rId17" Type="http://schemas.openxmlformats.org/officeDocument/2006/relationships/hyperlink" Target="https://www.zotero.org/google-docs/?cZXf93" TargetMode="External"/><Relationship Id="rId18" Type="http://schemas.openxmlformats.org/officeDocument/2006/relationships/hyperlink" Target="https://www.zotero.org/google-docs/?cZXf93" TargetMode="External"/><Relationship Id="rId19" Type="http://schemas.openxmlformats.org/officeDocument/2006/relationships/hyperlink" Target="https://www.zotero.org/google-docs/?cZXf93" TargetMode="External"/><Relationship Id="rId20" Type="http://schemas.openxmlformats.org/officeDocument/2006/relationships/hyperlink" Target="https://www.zotero.org/google-docs/?cZXf93" TargetMode="External"/><Relationship Id="rId21" Type="http://schemas.openxmlformats.org/officeDocument/2006/relationships/hyperlink" Target="https://www.zotero.org/google-docs/?cZXf93" TargetMode="External"/><Relationship Id="rId22" Type="http://schemas.openxmlformats.org/officeDocument/2006/relationships/hyperlink" Target="https://www.zotero.org/google-docs/?cZXf93" TargetMode="External"/><Relationship Id="rId23" Type="http://schemas.openxmlformats.org/officeDocument/2006/relationships/hyperlink" Target="https://www.zotero.org/google-docs/?cZXf93" TargetMode="External"/><Relationship Id="rId24" Type="http://schemas.openxmlformats.org/officeDocument/2006/relationships/hyperlink" Target="https://www.zotero.org/google-docs/?cZXf93" TargetMode="External"/><Relationship Id="rId25" Type="http://schemas.openxmlformats.org/officeDocument/2006/relationships/hyperlink" Target="https://www.zotero.org/google-docs/?cZXf93" TargetMode="External"/><Relationship Id="rId26" Type="http://schemas.openxmlformats.org/officeDocument/2006/relationships/hyperlink" Target="https://www.zotero.org/google-docs/?cZXf93" TargetMode="External"/><Relationship Id="rId27" Type="http://schemas.openxmlformats.org/officeDocument/2006/relationships/hyperlink" Target="https://www.zotero.org/google-docs/?cZXf93" TargetMode="External"/><Relationship Id="rId28" Type="http://schemas.openxmlformats.org/officeDocument/2006/relationships/hyperlink" Target="https://www.zotero.org/google-docs/?cZXf93" TargetMode="External"/><Relationship Id="rId29" Type="http://schemas.openxmlformats.org/officeDocument/2006/relationships/hyperlink" Target="https://www.zotero.org/google-docs/?cZXf93" TargetMode="External"/><Relationship Id="rId30" Type="http://schemas.openxmlformats.org/officeDocument/2006/relationships/hyperlink" Target="https://www.zotero.org/google-docs/?cZXf93" TargetMode="External"/><Relationship Id="rId31" Type="http://schemas.openxmlformats.org/officeDocument/2006/relationships/hyperlink" Target="https://www.zotero.org/google-docs/?cZXf93" TargetMode="External"/><Relationship Id="rId32" Type="http://schemas.openxmlformats.org/officeDocument/2006/relationships/hyperlink" Target="https://www.zotero.org/google-docs/?cZXf93" TargetMode="External"/><Relationship Id="rId33" Type="http://schemas.openxmlformats.org/officeDocument/2006/relationships/hyperlink" Target="https://www.zotero.org/google-docs/?cZXf93" TargetMode="External"/><Relationship Id="rId34" Type="http://schemas.openxmlformats.org/officeDocument/2006/relationships/hyperlink" Target="https://www.zotero.org/google-docs/?cZXf93" TargetMode="External"/><Relationship Id="rId35" Type="http://schemas.openxmlformats.org/officeDocument/2006/relationships/hyperlink" Target="https://www.zotero.org/google-docs/?cZXf93" TargetMode="External"/><Relationship Id="rId36" Type="http://schemas.openxmlformats.org/officeDocument/2006/relationships/hyperlink" Target="https://www.zotero.org/google-docs/?cZXf93" TargetMode="External"/><Relationship Id="rId37" Type="http://schemas.openxmlformats.org/officeDocument/2006/relationships/hyperlink" Target="https://www.zotero.org/google-docs/?cZXf93" TargetMode="External"/><Relationship Id="rId38" Type="http://schemas.openxmlformats.org/officeDocument/2006/relationships/hyperlink" Target="https://www.zotero.org/google-docs/?cZXf93" TargetMode="External"/><Relationship Id="rId39" Type="http://schemas.openxmlformats.org/officeDocument/2006/relationships/hyperlink" Target="https://www.zotero.org/google-docs/?cZXf93" TargetMode="External"/><Relationship Id="rId40" Type="http://schemas.openxmlformats.org/officeDocument/2006/relationships/hyperlink" Target="https://www.zotero.org/google-docs/?cZXf93" TargetMode="External"/><Relationship Id="rId41" Type="http://schemas.openxmlformats.org/officeDocument/2006/relationships/hyperlink" Target="https://www.zotero.org/google-docs/?cZXf93" TargetMode="External"/><Relationship Id="rId42" Type="http://schemas.openxmlformats.org/officeDocument/2006/relationships/hyperlink" Target="https://www.zotero.org/google-docs/?cZXf93" TargetMode="External"/><Relationship Id="rId43" Type="http://schemas.openxmlformats.org/officeDocument/2006/relationships/hyperlink" Target="https://www.zotero.org/google-docs/?cZXf93" TargetMode="External"/><Relationship Id="rId44" Type="http://schemas.openxmlformats.org/officeDocument/2006/relationships/hyperlink" Target="https://www.zotero.org/google-docs/?cZXf93" TargetMode="External"/><Relationship Id="rId45" Type="http://schemas.openxmlformats.org/officeDocument/2006/relationships/hyperlink" Target="https://www.zotero.org/google-docs/?cZXf93" TargetMode="External"/><Relationship Id="rId46" Type="http://schemas.openxmlformats.org/officeDocument/2006/relationships/hyperlink" Target="https://www.zotero.org/google-docs/?cZXf93" TargetMode="External"/><Relationship Id="rId47" Type="http://schemas.openxmlformats.org/officeDocument/2006/relationships/hyperlink" Target="https://www.zotero.org/google-docs/?cZXf93" TargetMode="External"/><Relationship Id="rId48" Type="http://schemas.openxmlformats.org/officeDocument/2006/relationships/hyperlink" Target="https://www.zotero.org/google-docs/?cZXf93" TargetMode="External"/><Relationship Id="rId49" Type="http://schemas.openxmlformats.org/officeDocument/2006/relationships/hyperlink" Target="https://www.zotero.org/google-docs/?cZXf93" TargetMode="External"/><Relationship Id="rId50" Type="http://schemas.openxmlformats.org/officeDocument/2006/relationships/hyperlink" Target="https://www.zotero.org/google-docs/?cZXf93" TargetMode="External"/><Relationship Id="rId51" Type="http://schemas.openxmlformats.org/officeDocument/2006/relationships/hyperlink" Target="https://www.zotero.org/google-docs/?cZXf93" TargetMode="External"/><Relationship Id="rId52" Type="http://schemas.openxmlformats.org/officeDocument/2006/relationships/hyperlink" Target="https://www.zotero.org/google-docs/?cZXf93" TargetMode="External"/><Relationship Id="rId53" Type="http://schemas.openxmlformats.org/officeDocument/2006/relationships/hyperlink" Target="https://www.zotero.org/google-docs/?cZXf93" TargetMode="External"/><Relationship Id="rId54" Type="http://schemas.openxmlformats.org/officeDocument/2006/relationships/hyperlink" Target="https://www.zotero.org/google-docs/?cZXf93" TargetMode="External"/><Relationship Id="rId55" Type="http://schemas.openxmlformats.org/officeDocument/2006/relationships/hyperlink" Target="https://www.zotero.org/google-docs/?cZXf93" TargetMode="External"/><Relationship Id="rId56" Type="http://schemas.openxmlformats.org/officeDocument/2006/relationships/hyperlink" Target="https://www.zotero.org/google-docs/?cZXf93" TargetMode="External"/><Relationship Id="rId57" Type="http://schemas.openxmlformats.org/officeDocument/2006/relationships/hyperlink" Target="https://www.zotero.org/google-docs/?cZXf93" TargetMode="External"/><Relationship Id="rId58" Type="http://schemas.openxmlformats.org/officeDocument/2006/relationships/hyperlink" Target="https://www.zotero.org/google-docs/?cZXf93" TargetMode="External"/><Relationship Id="rId59" Type="http://schemas.openxmlformats.org/officeDocument/2006/relationships/hyperlink" Target="https://www.zotero.org/google-docs/?cZXf93" TargetMode="External"/><Relationship Id="rId60" Type="http://schemas.openxmlformats.org/officeDocument/2006/relationships/hyperlink" Target="https://www.zotero.org/google-docs/?cZXf93" TargetMode="External"/><Relationship Id="rId61" Type="http://schemas.openxmlformats.org/officeDocument/2006/relationships/hyperlink" Target="https://www.zotero.org/google-docs/?cZXf93" TargetMode="External"/><Relationship Id="rId62" Type="http://schemas.openxmlformats.org/officeDocument/2006/relationships/hyperlink" Target="https://www.zotero.org/google-docs/?cZXf93" TargetMode="External"/><Relationship Id="rId63" Type="http://schemas.openxmlformats.org/officeDocument/2006/relationships/hyperlink" Target="https://www.zotero.org/google-docs/?cZXf93" TargetMode="External"/><Relationship Id="rId64" Type="http://schemas.openxmlformats.org/officeDocument/2006/relationships/hyperlink" Target="https://www.zotero.org/google-docs/?cZXf93" TargetMode="External"/><Relationship Id="rId65" Type="http://schemas.openxmlformats.org/officeDocument/2006/relationships/hyperlink" Target="https://www.zotero.org/google-docs/?cZXf93" TargetMode="External"/><Relationship Id="rId66" Type="http://schemas.openxmlformats.org/officeDocument/2006/relationships/hyperlink" Target="https://www.zotero.org/google-docs/?cZXf93" TargetMode="External"/><Relationship Id="rId67" Type="http://schemas.openxmlformats.org/officeDocument/2006/relationships/hyperlink" Target="https://www.zotero.org/google-docs/?cZXf93" TargetMode="External"/><Relationship Id="rId68" Type="http://schemas.openxmlformats.org/officeDocument/2006/relationships/hyperlink" Target="https://www.zotero.org/google-docs/?cZXf93" TargetMode="External"/><Relationship Id="rId69" Type="http://schemas.openxmlformats.org/officeDocument/2006/relationships/hyperlink" Target="https://www.zotero.org/google-docs/?cZXf93" TargetMode="External"/><Relationship Id="rId70" Type="http://schemas.openxmlformats.org/officeDocument/2006/relationships/hyperlink" Target="https://www.zotero.org/google-docs/?cZXf93" TargetMode="External"/><Relationship Id="rId71" Type="http://schemas.openxmlformats.org/officeDocument/2006/relationships/hyperlink" Target="https://www.zotero.org/google-docs/?cZXf93" TargetMode="External"/><Relationship Id="rId72" Type="http://schemas.openxmlformats.org/officeDocument/2006/relationships/hyperlink" Target="https://www.zotero.org/google-docs/?cZXf93" TargetMode="External"/><Relationship Id="rId73" Type="http://schemas.openxmlformats.org/officeDocument/2006/relationships/hyperlink" Target="https://www.zotero.org/google-docs/?cZXf93" TargetMode="External"/><Relationship Id="rId74" Type="http://schemas.openxmlformats.org/officeDocument/2006/relationships/hyperlink" Target="https://www.zotero.org/google-docs/?cZXf93" TargetMode="External"/><Relationship Id="rId75" Type="http://schemas.openxmlformats.org/officeDocument/2006/relationships/hyperlink" Target="https://www.zotero.org/google-docs/?cZXf93" TargetMode="External"/><Relationship Id="rId76" Type="http://schemas.openxmlformats.org/officeDocument/2006/relationships/hyperlink" Target="https://www.zotero.org/google-docs/?cZXf93" TargetMode="External"/><Relationship Id="rId77" Type="http://schemas.openxmlformats.org/officeDocument/2006/relationships/hyperlink" Target="https://www.zotero.org/google-docs/?cZXf93" TargetMode="External"/><Relationship Id="rId78" Type="http://schemas.openxmlformats.org/officeDocument/2006/relationships/hyperlink" Target="https://www.zotero.org/google-docs/?cZXf93" TargetMode="External"/><Relationship Id="rId79" Type="http://schemas.openxmlformats.org/officeDocument/2006/relationships/hyperlink" Target="https://www.zotero.org/google-docs/?cZXf93" TargetMode="External"/><Relationship Id="rId80" Type="http://schemas.openxmlformats.org/officeDocument/2006/relationships/hyperlink" Target="https://www.zotero.org/google-docs/?cZXf93" TargetMode="External"/><Relationship Id="rId81" Type="http://schemas.openxmlformats.org/officeDocument/2006/relationships/hyperlink" Target="https://www.zotero.org/google-docs/?cZXf93" TargetMode="External"/><Relationship Id="rId82" Type="http://schemas.openxmlformats.org/officeDocument/2006/relationships/hyperlink" Target="https://www.zotero.org/google-docs/?cZXf93" TargetMode="External"/><Relationship Id="rId83" Type="http://schemas.openxmlformats.org/officeDocument/2006/relationships/hyperlink" Target="https://www.zotero.org/google-docs/?cZXf93" TargetMode="External"/><Relationship Id="rId84" Type="http://schemas.openxmlformats.org/officeDocument/2006/relationships/hyperlink" Target="https://www.zotero.org/google-docs/?cZXf93" TargetMode="External"/><Relationship Id="rId85" Type="http://schemas.openxmlformats.org/officeDocument/2006/relationships/hyperlink" Target="https://www.zotero.org/google-docs/?cZXf93" TargetMode="External"/><Relationship Id="rId86" Type="http://schemas.openxmlformats.org/officeDocument/2006/relationships/hyperlink" Target="https://www.zotero.org/google-docs/?cZXf93" TargetMode="External"/><Relationship Id="rId87" Type="http://schemas.openxmlformats.org/officeDocument/2006/relationships/hyperlink" Target="https://www.zotero.org/google-docs/?cZXf93" TargetMode="External"/><Relationship Id="rId88" Type="http://schemas.openxmlformats.org/officeDocument/2006/relationships/hyperlink" Target="https://www.zotero.org/google-docs/?cZXf93"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 Id="rId1" Type="http://schemas.openxmlformats.org/officeDocument/2006/relationships/hyperlink" Target="https://www.zotero.org/google-docs/?eXcywn" TargetMode="External"/><Relationship Id="rId2" Type="http://schemas.openxmlformats.org/officeDocument/2006/relationships/hyperlink" Target="https://www.zotero.org/google-docs/?eXcywn" TargetMode="External"/><Relationship Id="rId3" Type="http://schemas.openxmlformats.org/officeDocument/2006/relationships/hyperlink" Target="https://www.zotero.org/google-docs/?eXcywn" TargetMode="External"/><Relationship Id="rId4" Type="http://schemas.openxmlformats.org/officeDocument/2006/relationships/hyperlink" Target="https://www.zotero.org/google-docs/?vtVomE" TargetMode="External"/><Relationship Id="rId5" Type="http://schemas.openxmlformats.org/officeDocument/2006/relationships/hyperlink" Target="https://www.zotero.org/google-docs/?vtVomE" TargetMode="External"/><Relationship Id="rId6" Type="http://schemas.openxmlformats.org/officeDocument/2006/relationships/hyperlink" Target="https://www.zotero.org/google-docs/?vtVomE" TargetMode="External"/><Relationship Id="rId7" Type="http://schemas.openxmlformats.org/officeDocument/2006/relationships/hyperlink" Target="https://www.zotero.org/google-docs/?LdAECj" TargetMode="External"/><Relationship Id="rId8" Type="http://schemas.openxmlformats.org/officeDocument/2006/relationships/hyperlink" Target="https://www.zotero.org/google-docs/?pQyug0" TargetMode="External"/><Relationship Id="rId9" Type="http://schemas.openxmlformats.org/officeDocument/2006/relationships/hyperlink" Target="https://www.zotero.org/google-docs/?pQyug0" TargetMode="External"/><Relationship Id="rId10" Type="http://schemas.openxmlformats.org/officeDocument/2006/relationships/hyperlink" Target="https://www.zotero.org/google-docs/?pQyug0" TargetMode="External"/><Relationship Id="rId11" Type="http://schemas.openxmlformats.org/officeDocument/2006/relationships/hyperlink" Target="https://www.zotero.org/google-docs/?harJDz" TargetMode="External"/><Relationship Id="rId12" Type="http://schemas.openxmlformats.org/officeDocument/2006/relationships/hyperlink" Target="https://www.zotero.org/google-docs/?harJDz" TargetMode="External"/><Relationship Id="rId13" Type="http://schemas.openxmlformats.org/officeDocument/2006/relationships/hyperlink" Target="https://www.zotero.org/google-docs/?harJDz" TargetMode="External"/><Relationship Id="rId14" Type="http://schemas.openxmlformats.org/officeDocument/2006/relationships/hyperlink" Target="https://www.zotero.org/google-docs/?4FrMlN" TargetMode="External"/><Relationship Id="rId15" Type="http://schemas.openxmlformats.org/officeDocument/2006/relationships/hyperlink" Target="https://www.zotero.org/google-docs/?4FrMlN" TargetMode="External"/><Relationship Id="rId16" Type="http://schemas.openxmlformats.org/officeDocument/2006/relationships/hyperlink" Target="https://www.zotero.org/google-docs/?4FrMlN" TargetMode="External"/><Relationship Id="rId17" Type="http://schemas.openxmlformats.org/officeDocument/2006/relationships/hyperlink" Target="https://www.zotero.org/google-docs/?Ablmqt" TargetMode="External"/><Relationship Id="rId18" Type="http://schemas.openxmlformats.org/officeDocument/2006/relationships/hyperlink" Target="https://www.zotero.org/google-docs/?Ablmqt" TargetMode="External"/><Relationship Id="rId19" Type="http://schemas.openxmlformats.org/officeDocument/2006/relationships/hyperlink" Target="https://www.zotero.org/google-docs/?Ablmqt" TargetMode="External"/><Relationship Id="rId20" Type="http://schemas.openxmlformats.org/officeDocument/2006/relationships/hyperlink" Target="https://www.zotero.org/google-docs/?1m62ul" TargetMode="External"/><Relationship Id="rId21" Type="http://schemas.openxmlformats.org/officeDocument/2006/relationships/hyperlink" Target="https://www.zotero.org/google-docs/?1m62ul" TargetMode="External"/><Relationship Id="rId22" Type="http://schemas.openxmlformats.org/officeDocument/2006/relationships/hyperlink" Target="https://www.zotero.org/google-docs/?1m62ul" TargetMode="External"/><Relationship Id="rId23" Type="http://schemas.openxmlformats.org/officeDocument/2006/relationships/hyperlink" Target="https://www.zotero.org/google-docs/?e9H5MO" TargetMode="External"/><Relationship Id="rId24" Type="http://schemas.openxmlformats.org/officeDocument/2006/relationships/hyperlink" Target="https://www.zotero.org/google-docs/?e9H5MO" TargetMode="External"/><Relationship Id="rId25" Type="http://schemas.openxmlformats.org/officeDocument/2006/relationships/hyperlink" Target="https://www.zotero.org/google-docs/?e9H5MO" TargetMode="External"/><Relationship Id="rId26" Type="http://schemas.openxmlformats.org/officeDocument/2006/relationships/hyperlink" Target="https://www.zotero.org/google-docs/?d97VOp" TargetMode="External"/><Relationship Id="rId27" Type="http://schemas.openxmlformats.org/officeDocument/2006/relationships/hyperlink" Target="https://www.zotero.org/google-docs/?d97VOp" TargetMode="External"/><Relationship Id="rId28" Type="http://schemas.openxmlformats.org/officeDocument/2006/relationships/hyperlink" Target="https://www.zotero.org/google-docs/?d97VOp" TargetMode="External"/><Relationship Id="rId29" Type="http://schemas.openxmlformats.org/officeDocument/2006/relationships/hyperlink" Target="https://www.zotero.org/google-docs/?mFezjy" TargetMode="External"/><Relationship Id="rId30" Type="http://schemas.openxmlformats.org/officeDocument/2006/relationships/hyperlink" Target="https://www.zotero.org/google-docs/?mFezjy" TargetMode="External"/><Relationship Id="rId31" Type="http://schemas.openxmlformats.org/officeDocument/2006/relationships/hyperlink" Target="https://www.zotero.org/google-docs/?mFezjy" TargetMode="External"/><Relationship Id="rId32" Type="http://schemas.openxmlformats.org/officeDocument/2006/relationships/hyperlink" Target="https://www.zotero.org/google-docs/?fAqb8p" TargetMode="External"/><Relationship Id="rId33" Type="http://schemas.openxmlformats.org/officeDocument/2006/relationships/hyperlink" Target="https://www.zotero.org/google-docs/?fAqb8p" TargetMode="External"/><Relationship Id="rId34" Type="http://schemas.openxmlformats.org/officeDocument/2006/relationships/hyperlink" Target="https://www.zotero.org/google-docs/?fAqb8p" TargetMode="External"/><Relationship Id="rId35" Type="http://schemas.openxmlformats.org/officeDocument/2006/relationships/hyperlink" Target="https://www.zotero.org/google-docs/?jcnPBW" TargetMode="External"/><Relationship Id="rId36" Type="http://schemas.openxmlformats.org/officeDocument/2006/relationships/hyperlink" Target="https://www.zotero.org/google-docs/?jcnPBW" TargetMode="External"/><Relationship Id="rId37" Type="http://schemas.openxmlformats.org/officeDocument/2006/relationships/hyperlink" Target="https://www.zotero.org/google-docs/?jcnPBW" TargetMode="External"/><Relationship Id="rId38" Type="http://schemas.openxmlformats.org/officeDocument/2006/relationships/hyperlink" Target="https://www.zotero.org/google-docs/?SWF6QS" TargetMode="External"/><Relationship Id="rId39" Type="http://schemas.openxmlformats.org/officeDocument/2006/relationships/hyperlink" Target="https://www.zotero.org/google-docs/?SWF6QS" TargetMode="External"/><Relationship Id="rId40" Type="http://schemas.openxmlformats.org/officeDocument/2006/relationships/hyperlink" Target="https://www.zotero.org/google-docs/?SWF6QS" TargetMode="External"/><Relationship Id="rId41" Type="http://schemas.openxmlformats.org/officeDocument/2006/relationships/hyperlink" Target="https://www.zotero.org/google-docs/?TTVLHL" TargetMode="External"/><Relationship Id="rId42" Type="http://schemas.openxmlformats.org/officeDocument/2006/relationships/hyperlink" Target="https://www.zotero.org/google-docs/?TTVLHL" TargetMode="External"/><Relationship Id="rId43" Type="http://schemas.openxmlformats.org/officeDocument/2006/relationships/hyperlink" Target="https://www.zotero.org/google-docs/?TTVLHL" TargetMode="External"/><Relationship Id="rId44" Type="http://schemas.openxmlformats.org/officeDocument/2006/relationships/hyperlink" Target="https://www.zotero.org/google-docs/?Qz537d" TargetMode="External"/><Relationship Id="rId45" Type="http://schemas.openxmlformats.org/officeDocument/2006/relationships/hyperlink" Target="https://www.zotero.org/google-docs/?Qz537d" TargetMode="External"/><Relationship Id="rId46" Type="http://schemas.openxmlformats.org/officeDocument/2006/relationships/hyperlink" Target="https://www.zotero.org/google-docs/?Qz537d" TargetMode="External"/><Relationship Id="rId47" Type="http://schemas.openxmlformats.org/officeDocument/2006/relationships/hyperlink" Target="https://www.zotero.org/google-docs/?7jIj0F" TargetMode="External"/><Relationship Id="rId48" Type="http://schemas.openxmlformats.org/officeDocument/2006/relationships/hyperlink" Target="https://www.zotero.org/google-docs/?7jIj0F" TargetMode="External"/><Relationship Id="rId49" Type="http://schemas.openxmlformats.org/officeDocument/2006/relationships/hyperlink" Target="https://www.zotero.org/google-docs/?7jIj0F" TargetMode="External"/><Relationship Id="rId50" Type="http://schemas.openxmlformats.org/officeDocument/2006/relationships/hyperlink" Target="https://www.biblegateway.com/passage/?search=genesis%2011%3A1-9&amp;version=NRSVA" TargetMode="External"/><Relationship Id="rId51" Type="http://schemas.openxmlformats.org/officeDocument/2006/relationships/hyperlink" Target="https://www.zotero.org/google-docs/?ampeyh" TargetMode="External"/><Relationship Id="rId52" Type="http://schemas.openxmlformats.org/officeDocument/2006/relationships/hyperlink" Target="https://www.zotero.org/google-docs/?ampeyh" TargetMode="External"/><Relationship Id="rId53" Type="http://schemas.openxmlformats.org/officeDocument/2006/relationships/hyperlink" Target="https://www.zotero.org/google-docs/?ampeyh" TargetMode="External"/><Relationship Id="rId54" Type="http://schemas.openxmlformats.org/officeDocument/2006/relationships/hyperlink" Target="https://www.zotero.org/google-docs/?pi5kBs" TargetMode="External"/><Relationship Id="rId55" Type="http://schemas.openxmlformats.org/officeDocument/2006/relationships/hyperlink" Target="https://www.zotero.org/google-docs/?pi5kBs" TargetMode="External"/><Relationship Id="rId56" Type="http://schemas.openxmlformats.org/officeDocument/2006/relationships/hyperlink" Target="https://www.zotero.org/google-docs/?pi5kBs" TargetMode="External"/><Relationship Id="rId57" Type="http://schemas.openxmlformats.org/officeDocument/2006/relationships/hyperlink" Target="https://www.zotero.org/google-docs/?H39Uu0" TargetMode="External"/><Relationship Id="rId58" Type="http://schemas.openxmlformats.org/officeDocument/2006/relationships/hyperlink" Target="https://www.zotero.org/google-docs/?f6OpVt" TargetMode="External"/><Relationship Id="rId59" Type="http://schemas.openxmlformats.org/officeDocument/2006/relationships/hyperlink" Target="https://www.zotero.org/google-docs/?f6OpVt" TargetMode="External"/><Relationship Id="rId60" Type="http://schemas.openxmlformats.org/officeDocument/2006/relationships/hyperlink" Target="https://www.zotero.org/google-docs/?f6OpVt" TargetMode="External"/><Relationship Id="rId61" Type="http://schemas.openxmlformats.org/officeDocument/2006/relationships/hyperlink" Target="https://www.zotero.org/google-docs/?hlbqRz" TargetMode="External"/><Relationship Id="rId62" Type="http://schemas.openxmlformats.org/officeDocument/2006/relationships/hyperlink" Target="https://www.zotero.org/google-docs/?hlbqRz" TargetMode="External"/><Relationship Id="rId63" Type="http://schemas.openxmlformats.org/officeDocument/2006/relationships/hyperlink" Target="https://www.zotero.org/google-docs/?hlbqRz" TargetMode="External"/><Relationship Id="rId64" Type="http://schemas.openxmlformats.org/officeDocument/2006/relationships/hyperlink" Target="https://www.zotero.org/google-docs/?GcTIA7" TargetMode="External"/><Relationship Id="rId65" Type="http://schemas.openxmlformats.org/officeDocument/2006/relationships/hyperlink" Target="https://www.zotero.org/google-docs/?GcTIA7" TargetMode="External"/><Relationship Id="rId66" Type="http://schemas.openxmlformats.org/officeDocument/2006/relationships/hyperlink" Target="https://www.zotero.org/google-docs/?GcTIA7" TargetMode="External"/><Relationship Id="rId67" Type="http://schemas.openxmlformats.org/officeDocument/2006/relationships/hyperlink" Target="https://www.zotero.org/google-docs/?cK2TuM" TargetMode="External"/><Relationship Id="rId68" Type="http://schemas.openxmlformats.org/officeDocument/2006/relationships/hyperlink" Target="https://www.zotero.org/google-docs/?cK2TuM" TargetMode="External"/><Relationship Id="rId69" Type="http://schemas.openxmlformats.org/officeDocument/2006/relationships/hyperlink" Target="https://www.zotero.org/google-docs/?cK2TuM" TargetMode="External"/><Relationship Id="rId70" Type="http://schemas.openxmlformats.org/officeDocument/2006/relationships/hyperlink" Target="https://www.zotero.org/google-docs/?V7U12U" TargetMode="External"/><Relationship Id="rId71" Type="http://schemas.openxmlformats.org/officeDocument/2006/relationships/hyperlink" Target="https://www.zotero.org/google-docs/?V7U12U" TargetMode="External"/><Relationship Id="rId72" Type="http://schemas.openxmlformats.org/officeDocument/2006/relationships/hyperlink" Target="https://www.zotero.org/google-docs/?V7U12U" TargetMode="External"/><Relationship Id="rId73" Type="http://schemas.openxmlformats.org/officeDocument/2006/relationships/hyperlink" Target="https://www.zotero.org/google-docs/?LtZ3x8" TargetMode="External"/><Relationship Id="rId74" Type="http://schemas.openxmlformats.org/officeDocument/2006/relationships/hyperlink" Target="https://www.zotero.org/google-docs/?LtZ3x8" TargetMode="External"/><Relationship Id="rId75" Type="http://schemas.openxmlformats.org/officeDocument/2006/relationships/hyperlink" Target="https://www.zotero.org/google-docs/?LtZ3x8" TargetMode="External"/><Relationship Id="rId76" Type="http://schemas.openxmlformats.org/officeDocument/2006/relationships/hyperlink" Target="https://www.zotero.org/google-docs/?MPlGFR" TargetMode="External"/><Relationship Id="rId77" Type="http://schemas.openxmlformats.org/officeDocument/2006/relationships/hyperlink" Target="https://www.zotero.org/google-docs/?MPlGFR" TargetMode="External"/><Relationship Id="rId78" Type="http://schemas.openxmlformats.org/officeDocument/2006/relationships/hyperlink" Target="https://www.zotero.org/google-docs/?MPlGFR" TargetMode="External"/><Relationship Id="rId79" Type="http://schemas.openxmlformats.org/officeDocument/2006/relationships/hyperlink" Target="https://www.zotero.org/google-docs/?peSdkc" TargetMode="External"/><Relationship Id="rId80" Type="http://schemas.openxmlformats.org/officeDocument/2006/relationships/hyperlink" Target="https://www.zotero.org/google-docs/?peSdkc" TargetMode="External"/><Relationship Id="rId81" Type="http://schemas.openxmlformats.org/officeDocument/2006/relationships/hyperlink" Target="https://www.zotero.org/google-docs/?NlbiNe" TargetMode="External"/><Relationship Id="rId82" Type="http://schemas.openxmlformats.org/officeDocument/2006/relationships/hyperlink" Target="https://www.zotero.org/google-docs/?NlbiNe" TargetMode="External"/><Relationship Id="rId83" Type="http://schemas.openxmlformats.org/officeDocument/2006/relationships/hyperlink" Target="https://www.zotero.org/google-docs/?NlbiNe" TargetMode="External"/></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Application>ONLYOFFICE/9.1.0.172</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modified xsi:type="dcterms:W3CDTF">2025-11-05T11:01:45Z</dcterms:modified>
</cp:coreProperties>
</file>