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3582B" w14:textId="77777777" w:rsidR="003E49DB" w:rsidRPr="003E49DB" w:rsidRDefault="003E49DB">
      <w:pPr>
        <w:rPr>
          <w:i/>
          <w:iCs/>
          <w:sz w:val="20"/>
          <w:szCs w:val="20"/>
        </w:rPr>
      </w:pPr>
      <w:r w:rsidRPr="003E49DB">
        <w:rPr>
          <w:i/>
          <w:iCs/>
          <w:sz w:val="20"/>
          <w:szCs w:val="20"/>
        </w:rPr>
        <w:t xml:space="preserve">The man of God, Alberic, however, after he had practised fruitfully regular discipline in the school of Christ for nine and a half years, went home to the Lord, full of glory in his faith and virtues, and therefore deserved to be rewarded by God with eternal life. His successor was a certain brother by the name of Stephen, an English man by nationality, who had also come to that place from </w:t>
      </w:r>
      <w:proofErr w:type="spellStart"/>
      <w:r w:rsidRPr="003E49DB">
        <w:rPr>
          <w:i/>
          <w:iCs/>
          <w:sz w:val="20"/>
          <w:szCs w:val="20"/>
        </w:rPr>
        <w:t>Molesme</w:t>
      </w:r>
      <w:proofErr w:type="spellEnd"/>
      <w:r w:rsidRPr="003E49DB">
        <w:rPr>
          <w:i/>
          <w:iCs/>
          <w:sz w:val="20"/>
          <w:szCs w:val="20"/>
        </w:rPr>
        <w:t xml:space="preserve">, a lover of the Rule and of the place. During his time, the brethren and this abbot prohibited the duke of that land or any other lord from keeping his court at any time in that monastery, as they used in times past to do </w:t>
      </w:r>
      <w:proofErr w:type="gramStart"/>
      <w:r w:rsidRPr="003E49DB">
        <w:rPr>
          <w:i/>
          <w:iCs/>
          <w:sz w:val="20"/>
          <w:szCs w:val="20"/>
        </w:rPr>
        <w:t>on the occasion of</w:t>
      </w:r>
      <w:proofErr w:type="gramEnd"/>
      <w:r w:rsidRPr="003E49DB">
        <w:rPr>
          <w:i/>
          <w:iCs/>
          <w:sz w:val="20"/>
          <w:szCs w:val="20"/>
        </w:rPr>
        <w:t xml:space="preserve"> great feasts. Furthermore, lest anything remain in the house of God – where it was their wish to serve God devoutly day and night – that savoured of pride and superfluity or that would ever corrupt poverty, the safeguard of poverty, that they had chosen of their own free will, they resolved to keep no crosses of gold or silver … </w:t>
      </w:r>
    </w:p>
    <w:p w14:paraId="694EDE8A" w14:textId="22DB3CAC" w:rsidR="00E33468" w:rsidRPr="003E49DB" w:rsidRDefault="003E49DB" w:rsidP="003E49DB">
      <w:pPr>
        <w:jc w:val="right"/>
        <w:rPr>
          <w:sz w:val="20"/>
          <w:szCs w:val="20"/>
        </w:rPr>
      </w:pPr>
      <w:r w:rsidRPr="003E49DB">
        <w:rPr>
          <w:sz w:val="20"/>
          <w:szCs w:val="20"/>
        </w:rPr>
        <w:t>(Exordium Parvum)</w:t>
      </w:r>
    </w:p>
    <w:p w14:paraId="719D9C73" w14:textId="77777777" w:rsidR="003E49DB" w:rsidRDefault="003E49DB" w:rsidP="003E49DB">
      <w:pPr>
        <w:jc w:val="right"/>
      </w:pPr>
    </w:p>
    <w:p w14:paraId="6742D546" w14:textId="08F953AC" w:rsidR="003E49DB" w:rsidRDefault="00A14A85" w:rsidP="003E49DB">
      <w:r>
        <w:t xml:space="preserve">The Exordium Parvum, the foundation narrative of the Cistercian order, was written likely between the years 1119 and 1124 under the direction of Abbot of Citeaux, Stephen Harding. Written in mind for later generations of the Order, it aimed to record the canonical founding of Citeaux and preserve the spiritual motives of its early community. The passage accounting the death of Abbot Alberic and the succession of Stephen displays how the movement defined itself through its language of discipline, humility, and poverty. Its rhetoric transforms administrative reform into a theological </w:t>
      </w:r>
      <w:r w:rsidR="00003613">
        <w:t>statement;</w:t>
      </w:r>
      <w:r>
        <w:t xml:space="preserve"> the vocabulary itself proclaims Cistercian values.</w:t>
      </w:r>
    </w:p>
    <w:p w14:paraId="23FA07EE" w14:textId="77777777" w:rsidR="00A14A85" w:rsidRDefault="00A14A85" w:rsidP="003E49DB"/>
    <w:p w14:paraId="3A4182E5" w14:textId="11D51D8D" w:rsidR="00A14A85" w:rsidRDefault="00A14A85" w:rsidP="003E49DB">
      <w:r>
        <w:t xml:space="preserve">Alberic </w:t>
      </w:r>
      <w:r w:rsidR="00003613">
        <w:t>is said to have been ‘well exercised by the discipline of the Rule in the school of Christ’ and that he went to God ‘full of glory in faith and virtues.’ The phrase ‘school of Christ’ is a deliberate echo of St Benedicts Rule, which deems the monastery a ‘school for the Lord’s service’.</w:t>
      </w:r>
      <w:r w:rsidR="00003613">
        <w:rPr>
          <w:rStyle w:val="FootnoteReference"/>
        </w:rPr>
        <w:footnoteReference w:id="1"/>
      </w:r>
      <w:r w:rsidR="00003613">
        <w:t xml:space="preserve"> By echoing this image, the Exordium Parvum casts Citeaux as the heir of Benedictine discipline, where learning means spiritual growth rather than purely academic study, with obedience and ascetic struggle as its curriculum. Alberic’s nine years in governance are portrayed as a completed course in that school, and his graduation was marked by death ‘full of glory.’ The juxtaposition of discipline and glory</w:t>
      </w:r>
      <w:r w:rsidR="007B0384">
        <w:t xml:space="preserve"> connects humility to exaltation, Cistercian grandeur is internal, the light of accomplished virtue rather than worldly reputation. With this compact rhetoric, it both honours a founder and reiterates the purpose of a monastic life. </w:t>
      </w:r>
    </w:p>
    <w:p w14:paraId="79101D44" w14:textId="77777777" w:rsidR="007B0384" w:rsidRDefault="007B0384" w:rsidP="003E49DB"/>
    <w:p w14:paraId="765952A7" w14:textId="07DBE4B3" w:rsidR="007B0384" w:rsidRDefault="007B0384" w:rsidP="003E49DB">
      <w:r>
        <w:t>Stephen’s succession continues with this logic of purity through reform. The brothers, who ‘loved the rule and the place,’ quickly forbid the duke or any other lord from holding court in the monastery, despite the seemingly administrative action, in Cistercian idiom it carries theological weight. The abbey’s physical place represented the soul, and allowing secular business within its walls would risk spiritual contamination, excluding aristocratic courts therefore fulfilled the Rule’s requirement for seclusion from the word.</w:t>
      </w:r>
      <w:r>
        <w:rPr>
          <w:rStyle w:val="FootnoteReference"/>
        </w:rPr>
        <w:footnoteReference w:id="2"/>
      </w:r>
      <w:r w:rsidR="00CB3182">
        <w:t xml:space="preserve"> This also reflected the reforming ideal of independence from lay patronage that was then spreading through Western monasticism. The monks’ ban on feudal ceremonies turned architectural boundaries into moral ones, </w:t>
      </w:r>
      <w:r w:rsidR="00A044AC">
        <w:t>the cloister is only to be ruled by God, rather than worldly lords. Even in this short sentence, the Exordium communicates a worldview in which external purity safeguards inwards freedom.</w:t>
      </w:r>
    </w:p>
    <w:p w14:paraId="5AC68715" w14:textId="77777777" w:rsidR="00A044AC" w:rsidRDefault="00A044AC" w:rsidP="003E49DB"/>
    <w:p w14:paraId="5FE9140D" w14:textId="339B9000" w:rsidR="00A044AC" w:rsidRDefault="00EA4E3C" w:rsidP="003E49DB">
      <w:r>
        <w:t>The most vivid language of the passage appears in the description of Stephens further ordinances. The community, he says, determined that nothing should remain in the house of God ‘that savoured of pride of superfluity or that would corrupt poverty – the safeguard of the virtues.’ The phrase personifies poverty as a kind of sentry guarding the moral life This unique image shows how the Cistercians theologised simplicity. Poverty was not only an economic state but also a spiritual defence mechanism, to undermine it with ornamentation or luxury was to invite vice. In practical terms, the monks gave up gold and silver liturgical items and kept only painted wooden crosses and iron candlesticks. Such literalism embodied their conviction that external splendour tempted the heart toward vanity</w:t>
      </w:r>
      <w:r w:rsidR="00E60473">
        <w:t>, and as an evasion of distraction from relation to society</w:t>
      </w:r>
      <w:r>
        <w:t>.</w:t>
      </w:r>
      <w:r w:rsidR="00E60473">
        <w:rPr>
          <w:rStyle w:val="FootnoteReference"/>
        </w:rPr>
        <w:footnoteReference w:id="3"/>
      </w:r>
      <w:r>
        <w:t xml:space="preserve"> The syntax of the passage, its rhythm of negation, ‘no crosses of gold or silver…’ reinforces the ascetic tone, transforming deprivation itself into a kind of praise.</w:t>
      </w:r>
    </w:p>
    <w:p w14:paraId="351B2EC5" w14:textId="77777777" w:rsidR="00EA4E3C" w:rsidRDefault="00EA4E3C" w:rsidP="003E49DB"/>
    <w:p w14:paraId="76213192" w14:textId="4C635CAE" w:rsidR="00087D13" w:rsidRDefault="00087D13" w:rsidP="003E49DB">
      <w:r>
        <w:t>The refusal of precious metals or ornate decoration paired with exclusion of lords articulates a single principle: the monastery is a purified place of divine instruction. Stephen and his group put into practice what they believed was the true meaning of Benedict’s rule by combining bodily austerity with social isolation. Louis Lekai observe</w:t>
      </w:r>
      <w:r w:rsidR="00CE00D2">
        <w:t>d that the Rule served an important role to early Citeaux, but more of an instrument towards the true goal of an austere life in poverty, simplicity and undisturbed solitude.</w:t>
      </w:r>
      <w:r w:rsidR="00CE00D2">
        <w:rPr>
          <w:rStyle w:val="FootnoteReference"/>
        </w:rPr>
        <w:footnoteReference w:id="4"/>
      </w:r>
      <w:r w:rsidR="00057944">
        <w:t xml:space="preserve"> This insight clarifies Stephens reforms into simplicity were not rejections of Benedict’s rule but its radical internalisation, ensuring that the monastery remained wholly ordered toward the true goal. This simplicity was both moral and rhetorical, the plain style of the Exordium mirrors the plain wood of their cross, even its vocabulary avoids embellishment, the only glory allowed is that of faith. </w:t>
      </w:r>
    </w:p>
    <w:p w14:paraId="3B8074AB" w14:textId="77777777" w:rsidR="00057944" w:rsidRDefault="00057944" w:rsidP="003E49DB"/>
    <w:p w14:paraId="44A41A71" w14:textId="3C993C18" w:rsidR="00057944" w:rsidRDefault="00BD7DA6" w:rsidP="003E49DB">
      <w:r>
        <w:t xml:space="preserve">In his Apologia and </w:t>
      </w:r>
      <w:proofErr w:type="spellStart"/>
      <w:r>
        <w:t>Guillelmum</w:t>
      </w:r>
      <w:proofErr w:type="spellEnd"/>
      <w:r>
        <w:t>, Bernard of Clairvaux would condemn ornate churches whose ‘</w:t>
      </w:r>
      <w:r w:rsidR="00150A89" w:rsidRPr="00150A89">
        <w:t>costly polishings and curious paintings which catch the worshipper's eye and dry up his devotion</w:t>
      </w:r>
      <w:r>
        <w:t>.’</w:t>
      </w:r>
      <w:r w:rsidR="00150A89">
        <w:rPr>
          <w:rStyle w:val="FootnoteReference"/>
        </w:rPr>
        <w:footnoteReference w:id="5"/>
      </w:r>
      <w:r w:rsidR="00150A89">
        <w:t xml:space="preserve"> The Exordium Parvum anticipates Bernard’s critique by grounding Cistercian identity not in polemic but in narrative. Through the portrayal of Alberic’s holy death</w:t>
      </w:r>
      <w:r w:rsidR="002C64E0">
        <w:t xml:space="preserve"> and Stephens early acts, it establishes a model of leadership defined by restraint: the abbot guards the Rule as poverty guards the virtues. The monastery’s reforms are therefore read as signs of divine favour rather than administrative change.</w:t>
      </w:r>
    </w:p>
    <w:p w14:paraId="59EBCDE6" w14:textId="77777777" w:rsidR="002C64E0" w:rsidRDefault="002C64E0" w:rsidP="003E49DB"/>
    <w:p w14:paraId="5237030C" w14:textId="77777777" w:rsidR="002C64E0" w:rsidRDefault="002C64E0" w:rsidP="003E49DB">
      <w:r>
        <w:t xml:space="preserve">This passage sums up the essence of early Cistercian spirituality into a few measured sentences. </w:t>
      </w:r>
      <w:proofErr w:type="gramStart"/>
      <w:r>
        <w:t>It’s</w:t>
      </w:r>
      <w:proofErr w:type="gramEnd"/>
      <w:r>
        <w:t xml:space="preserve"> language moves from the discipline of the school of Christ to the glory of faith, from the cleansing of space to the guarding of poverty. Every reform, from banning noble courts to rejecting gold and silver crosses is expressed as a theological necessity rather than aesthetic choice. It is a spiritual literature that enacts the very virtues its praises, revealing that monks can learn from Christ by unlearning the world.</w:t>
      </w:r>
    </w:p>
    <w:p w14:paraId="03A3FD01" w14:textId="77777777" w:rsidR="002C64E0" w:rsidRPr="002C64E0" w:rsidRDefault="002C64E0" w:rsidP="003E49DB">
      <w:pPr>
        <w:rPr>
          <w:i/>
          <w:iCs/>
          <w:sz w:val="28"/>
          <w:szCs w:val="28"/>
        </w:rPr>
      </w:pPr>
    </w:p>
    <w:p w14:paraId="16A7D064" w14:textId="237CBE79" w:rsidR="00003613" w:rsidRPr="002C64E0" w:rsidRDefault="00003613" w:rsidP="003E49DB">
      <w:pPr>
        <w:rPr>
          <w:i/>
          <w:iCs/>
          <w:sz w:val="28"/>
          <w:szCs w:val="28"/>
        </w:rPr>
      </w:pPr>
      <w:r w:rsidRPr="002C64E0">
        <w:rPr>
          <w:i/>
          <w:iCs/>
          <w:sz w:val="28"/>
          <w:szCs w:val="28"/>
        </w:rPr>
        <w:lastRenderedPageBreak/>
        <w:t>Bibliography</w:t>
      </w:r>
    </w:p>
    <w:p w14:paraId="3DDA5968" w14:textId="77777777" w:rsidR="00003613" w:rsidRDefault="00003613" w:rsidP="003E49DB"/>
    <w:p w14:paraId="59E9847B" w14:textId="08A11CE4" w:rsidR="00003613" w:rsidRDefault="00003613" w:rsidP="003E49DB">
      <w:r>
        <w:t>Primary</w:t>
      </w:r>
    </w:p>
    <w:p w14:paraId="0EEAB082" w14:textId="77777777" w:rsidR="00003613" w:rsidRDefault="00003613" w:rsidP="003E49DB"/>
    <w:p w14:paraId="2FF9684F" w14:textId="19C6A401" w:rsidR="00150A89" w:rsidRDefault="00150A89" w:rsidP="00150A89">
      <w:pPr>
        <w:pStyle w:val="ListParagraph"/>
        <w:numPr>
          <w:ilvl w:val="0"/>
          <w:numId w:val="1"/>
        </w:numPr>
      </w:pPr>
      <w:r>
        <w:t xml:space="preserve">Barnard of </w:t>
      </w:r>
      <w:proofErr w:type="spellStart"/>
      <w:r>
        <w:t>Clairvsux</w:t>
      </w:r>
      <w:proofErr w:type="spellEnd"/>
      <w:r>
        <w:t>: Apology, translated by David Burr (Paul Hasall, 1996)</w:t>
      </w:r>
    </w:p>
    <w:p w14:paraId="2770C0E3" w14:textId="03A551CE" w:rsidR="00003613" w:rsidRPr="00003613" w:rsidRDefault="00003613" w:rsidP="00003613">
      <w:pPr>
        <w:pStyle w:val="ListParagraph"/>
        <w:numPr>
          <w:ilvl w:val="0"/>
          <w:numId w:val="1"/>
        </w:numPr>
        <w:rPr>
          <w:sz w:val="23"/>
          <w:szCs w:val="23"/>
        </w:rPr>
      </w:pPr>
      <w:r w:rsidRPr="00003613">
        <w:rPr>
          <w:sz w:val="23"/>
          <w:szCs w:val="23"/>
        </w:rPr>
        <w:t>The Rule of St Benedict, translated by J. McCann, (London: Sheed and Ward, 1970).</w:t>
      </w:r>
    </w:p>
    <w:p w14:paraId="0D9154C0" w14:textId="51A35FEB" w:rsidR="00003613" w:rsidRDefault="00003613" w:rsidP="00057944"/>
    <w:p w14:paraId="7CDED477" w14:textId="73F2672E" w:rsidR="00057944" w:rsidRDefault="00057944" w:rsidP="00057944">
      <w:r>
        <w:t xml:space="preserve">Secondary </w:t>
      </w:r>
    </w:p>
    <w:p w14:paraId="3E0CD0D7" w14:textId="77777777" w:rsidR="00057944" w:rsidRDefault="00057944" w:rsidP="00057944"/>
    <w:p w14:paraId="6990AB0B" w14:textId="0520F467" w:rsidR="00E60473" w:rsidRPr="00E60473" w:rsidRDefault="00E60473" w:rsidP="00E60473">
      <w:pPr>
        <w:pStyle w:val="ListParagraph"/>
        <w:numPr>
          <w:ilvl w:val="0"/>
          <w:numId w:val="1"/>
        </w:numPr>
        <w:rPr>
          <w:sz w:val="23"/>
          <w:szCs w:val="23"/>
        </w:rPr>
      </w:pPr>
      <w:r w:rsidRPr="00E60473">
        <w:rPr>
          <w:sz w:val="23"/>
          <w:szCs w:val="23"/>
        </w:rPr>
        <w:t xml:space="preserve">Conrad Rudolph, “The ‘Principal Founders’ and the Early Artistic Legislation of </w:t>
      </w:r>
      <w:proofErr w:type="spellStart"/>
      <w:r w:rsidRPr="00E60473">
        <w:rPr>
          <w:sz w:val="23"/>
          <w:szCs w:val="23"/>
        </w:rPr>
        <w:t>Cîteaux</w:t>
      </w:r>
      <w:proofErr w:type="spellEnd"/>
      <w:r w:rsidRPr="00E60473">
        <w:rPr>
          <w:sz w:val="23"/>
          <w:szCs w:val="23"/>
        </w:rPr>
        <w:t xml:space="preserve">,” in </w:t>
      </w:r>
      <w:r w:rsidRPr="00E60473">
        <w:rPr>
          <w:i/>
          <w:iCs/>
          <w:sz w:val="23"/>
          <w:szCs w:val="23"/>
        </w:rPr>
        <w:t>Studies in Cistercian Art and Architecture</w:t>
      </w:r>
      <w:r w:rsidRPr="00E60473">
        <w:rPr>
          <w:sz w:val="23"/>
          <w:szCs w:val="23"/>
        </w:rPr>
        <w:t>, vol. 3, ed. Meredith P. Lillich (Kalamazoo: Cistercian Publications, 1987)</w:t>
      </w:r>
    </w:p>
    <w:p w14:paraId="0936ECC5" w14:textId="69D82C74" w:rsidR="00057944" w:rsidRPr="00E60473" w:rsidRDefault="00057944" w:rsidP="00057944">
      <w:pPr>
        <w:pStyle w:val="ListParagraph"/>
        <w:numPr>
          <w:ilvl w:val="0"/>
          <w:numId w:val="1"/>
        </w:numPr>
        <w:rPr>
          <w:sz w:val="23"/>
          <w:szCs w:val="23"/>
        </w:rPr>
      </w:pPr>
      <w:r w:rsidRPr="00E60473">
        <w:rPr>
          <w:sz w:val="23"/>
          <w:szCs w:val="23"/>
        </w:rPr>
        <w:t xml:space="preserve">Louis J. Lekai, The </w:t>
      </w:r>
      <w:proofErr w:type="spellStart"/>
      <w:r w:rsidRPr="00E60473">
        <w:rPr>
          <w:sz w:val="23"/>
          <w:szCs w:val="23"/>
        </w:rPr>
        <w:t>Cisterscians</w:t>
      </w:r>
      <w:proofErr w:type="spellEnd"/>
      <w:r w:rsidRPr="00E60473">
        <w:rPr>
          <w:sz w:val="23"/>
          <w:szCs w:val="23"/>
        </w:rPr>
        <w:t>: Ideals and Reality (Kent, OH: Kent State University Press, 1977)</w:t>
      </w:r>
    </w:p>
    <w:sectPr w:rsidR="00057944" w:rsidRPr="00E604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6AB4B" w14:textId="77777777" w:rsidR="00A14A85" w:rsidRDefault="00A14A85" w:rsidP="00A14A85">
      <w:pPr>
        <w:spacing w:after="0" w:line="240" w:lineRule="auto"/>
      </w:pPr>
      <w:r>
        <w:separator/>
      </w:r>
    </w:p>
  </w:endnote>
  <w:endnote w:type="continuationSeparator" w:id="0">
    <w:p w14:paraId="1CB4263C" w14:textId="77777777" w:rsidR="00A14A85" w:rsidRDefault="00A14A85" w:rsidP="00A14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0C721" w14:textId="77777777" w:rsidR="00A14A85" w:rsidRDefault="00A14A85" w:rsidP="00A14A85">
      <w:pPr>
        <w:spacing w:after="0" w:line="240" w:lineRule="auto"/>
      </w:pPr>
      <w:r>
        <w:separator/>
      </w:r>
    </w:p>
  </w:footnote>
  <w:footnote w:type="continuationSeparator" w:id="0">
    <w:p w14:paraId="32514B23" w14:textId="77777777" w:rsidR="00A14A85" w:rsidRDefault="00A14A85" w:rsidP="00A14A85">
      <w:pPr>
        <w:spacing w:after="0" w:line="240" w:lineRule="auto"/>
      </w:pPr>
      <w:r>
        <w:continuationSeparator/>
      </w:r>
    </w:p>
  </w:footnote>
  <w:footnote w:id="1">
    <w:p w14:paraId="28556554" w14:textId="6AF6228C" w:rsidR="00003613" w:rsidRPr="00CB3182" w:rsidRDefault="00003613">
      <w:pPr>
        <w:pStyle w:val="FootnoteText"/>
        <w:rPr>
          <w:sz w:val="18"/>
          <w:szCs w:val="18"/>
        </w:rPr>
      </w:pPr>
      <w:r w:rsidRPr="00CB3182">
        <w:rPr>
          <w:rStyle w:val="FootnoteReference"/>
          <w:sz w:val="18"/>
          <w:szCs w:val="18"/>
        </w:rPr>
        <w:footnoteRef/>
      </w:r>
      <w:r w:rsidRPr="00CB3182">
        <w:rPr>
          <w:sz w:val="18"/>
          <w:szCs w:val="18"/>
        </w:rPr>
        <w:t xml:space="preserve"> The Rule of St Benedict, Prologue</w:t>
      </w:r>
    </w:p>
  </w:footnote>
  <w:footnote w:id="2">
    <w:p w14:paraId="6CCE1E8E" w14:textId="170E2F3A" w:rsidR="007B0384" w:rsidRDefault="007B0384">
      <w:pPr>
        <w:pStyle w:val="FootnoteText"/>
      </w:pPr>
      <w:r w:rsidRPr="00CB3182">
        <w:rPr>
          <w:rStyle w:val="FootnoteReference"/>
          <w:sz w:val="18"/>
          <w:szCs w:val="18"/>
        </w:rPr>
        <w:footnoteRef/>
      </w:r>
      <w:r w:rsidRPr="00CB3182">
        <w:rPr>
          <w:sz w:val="18"/>
          <w:szCs w:val="18"/>
        </w:rPr>
        <w:t xml:space="preserve"> </w:t>
      </w:r>
      <w:r w:rsidR="00CB3182" w:rsidRPr="00CB3182">
        <w:rPr>
          <w:sz w:val="18"/>
          <w:szCs w:val="18"/>
        </w:rPr>
        <w:t>The Rule of St Benedict, chapter</w:t>
      </w:r>
      <w:r w:rsidR="00CB3182">
        <w:rPr>
          <w:sz w:val="18"/>
          <w:szCs w:val="18"/>
        </w:rPr>
        <w:t>s</w:t>
      </w:r>
      <w:r w:rsidR="00CB3182" w:rsidRPr="00CB3182">
        <w:rPr>
          <w:sz w:val="18"/>
          <w:szCs w:val="18"/>
        </w:rPr>
        <w:t xml:space="preserve"> IV</w:t>
      </w:r>
      <w:r w:rsidR="00CB3182">
        <w:rPr>
          <w:sz w:val="18"/>
          <w:szCs w:val="18"/>
        </w:rPr>
        <w:t>, LXVIII</w:t>
      </w:r>
    </w:p>
  </w:footnote>
  <w:footnote w:id="3">
    <w:p w14:paraId="1E72D1BD" w14:textId="1A544260" w:rsidR="00E60473" w:rsidRDefault="00E60473">
      <w:pPr>
        <w:pStyle w:val="FootnoteText"/>
      </w:pPr>
      <w:r>
        <w:rPr>
          <w:rStyle w:val="FootnoteReference"/>
        </w:rPr>
        <w:footnoteRef/>
      </w:r>
      <w:r>
        <w:t xml:space="preserve"> </w:t>
      </w:r>
      <w:r w:rsidRPr="00E60473">
        <w:rPr>
          <w:sz w:val="18"/>
          <w:szCs w:val="18"/>
        </w:rPr>
        <w:t xml:space="preserve">The ‘Principal Founders’ and the Early Artistic Legislation of </w:t>
      </w:r>
      <w:proofErr w:type="spellStart"/>
      <w:r w:rsidRPr="00E60473">
        <w:rPr>
          <w:sz w:val="18"/>
          <w:szCs w:val="18"/>
        </w:rPr>
        <w:t>Cîteaux</w:t>
      </w:r>
      <w:proofErr w:type="spellEnd"/>
      <w:r w:rsidRPr="00E60473">
        <w:rPr>
          <w:sz w:val="18"/>
          <w:szCs w:val="18"/>
        </w:rPr>
        <w:t>, pp. 29</w:t>
      </w:r>
    </w:p>
  </w:footnote>
  <w:footnote w:id="4">
    <w:p w14:paraId="6938DD2E" w14:textId="662311A5" w:rsidR="00CE00D2" w:rsidRPr="002C64E0" w:rsidRDefault="00CE00D2">
      <w:pPr>
        <w:pStyle w:val="FootnoteText"/>
        <w:rPr>
          <w:sz w:val="18"/>
          <w:szCs w:val="18"/>
        </w:rPr>
      </w:pPr>
      <w:r w:rsidRPr="002C64E0">
        <w:rPr>
          <w:rStyle w:val="FootnoteReference"/>
          <w:sz w:val="18"/>
          <w:szCs w:val="18"/>
        </w:rPr>
        <w:footnoteRef/>
      </w:r>
      <w:r w:rsidRPr="002C64E0">
        <w:rPr>
          <w:sz w:val="18"/>
          <w:szCs w:val="18"/>
        </w:rPr>
        <w:t xml:space="preserve"> </w:t>
      </w:r>
      <w:r w:rsidR="00057944" w:rsidRPr="002C64E0">
        <w:rPr>
          <w:sz w:val="18"/>
          <w:szCs w:val="18"/>
        </w:rPr>
        <w:t>The Cistercians: Ideals and Reality, pp. 32</w:t>
      </w:r>
    </w:p>
  </w:footnote>
  <w:footnote w:id="5">
    <w:p w14:paraId="5D14690D" w14:textId="4CD147B4" w:rsidR="00150A89" w:rsidRDefault="00150A89">
      <w:pPr>
        <w:pStyle w:val="FootnoteText"/>
      </w:pPr>
      <w:r w:rsidRPr="002C64E0">
        <w:rPr>
          <w:rStyle w:val="FootnoteReference"/>
          <w:sz w:val="18"/>
          <w:szCs w:val="18"/>
        </w:rPr>
        <w:footnoteRef/>
      </w:r>
      <w:r w:rsidRPr="002C64E0">
        <w:rPr>
          <w:sz w:val="18"/>
          <w:szCs w:val="18"/>
        </w:rPr>
        <w:t xml:space="preserve"> Bernard of Clairvaux: Apology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336F7"/>
    <w:multiLevelType w:val="hybridMultilevel"/>
    <w:tmpl w:val="EC0C3F1A"/>
    <w:lvl w:ilvl="0" w:tplc="D21AC27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051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9DB"/>
    <w:rsid w:val="00003613"/>
    <w:rsid w:val="00057944"/>
    <w:rsid w:val="00087D13"/>
    <w:rsid w:val="00150A89"/>
    <w:rsid w:val="002A3EA5"/>
    <w:rsid w:val="002C64E0"/>
    <w:rsid w:val="003E49DB"/>
    <w:rsid w:val="007B0384"/>
    <w:rsid w:val="009857F0"/>
    <w:rsid w:val="00A044AC"/>
    <w:rsid w:val="00A14A85"/>
    <w:rsid w:val="00B12D64"/>
    <w:rsid w:val="00BD7DA6"/>
    <w:rsid w:val="00CB3182"/>
    <w:rsid w:val="00CE00D2"/>
    <w:rsid w:val="00E33468"/>
    <w:rsid w:val="00E60473"/>
    <w:rsid w:val="00EA4E3C"/>
    <w:rsid w:val="00EE4B9C"/>
    <w:rsid w:val="00F64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3D7B7"/>
  <w15:chartTrackingRefBased/>
  <w15:docId w15:val="{CBA0EF4B-6C4D-4515-ABE7-222D495DA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9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49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49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49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9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9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9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9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9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9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49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49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49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9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9DB"/>
    <w:rPr>
      <w:rFonts w:eastAsiaTheme="majorEastAsia" w:cstheme="majorBidi"/>
      <w:color w:val="272727" w:themeColor="text1" w:themeTint="D8"/>
    </w:rPr>
  </w:style>
  <w:style w:type="paragraph" w:styleId="Title">
    <w:name w:val="Title"/>
    <w:basedOn w:val="Normal"/>
    <w:next w:val="Normal"/>
    <w:link w:val="TitleChar"/>
    <w:uiPriority w:val="10"/>
    <w:qFormat/>
    <w:rsid w:val="003E49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9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9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9DB"/>
    <w:pPr>
      <w:spacing w:before="160"/>
      <w:jc w:val="center"/>
    </w:pPr>
    <w:rPr>
      <w:i/>
      <w:iCs/>
      <w:color w:val="404040" w:themeColor="text1" w:themeTint="BF"/>
    </w:rPr>
  </w:style>
  <w:style w:type="character" w:customStyle="1" w:styleId="QuoteChar">
    <w:name w:val="Quote Char"/>
    <w:basedOn w:val="DefaultParagraphFont"/>
    <w:link w:val="Quote"/>
    <w:uiPriority w:val="29"/>
    <w:rsid w:val="003E49DB"/>
    <w:rPr>
      <w:i/>
      <w:iCs/>
      <w:color w:val="404040" w:themeColor="text1" w:themeTint="BF"/>
    </w:rPr>
  </w:style>
  <w:style w:type="paragraph" w:styleId="ListParagraph">
    <w:name w:val="List Paragraph"/>
    <w:basedOn w:val="Normal"/>
    <w:uiPriority w:val="34"/>
    <w:qFormat/>
    <w:rsid w:val="003E49DB"/>
    <w:pPr>
      <w:ind w:left="720"/>
      <w:contextualSpacing/>
    </w:pPr>
  </w:style>
  <w:style w:type="character" w:styleId="IntenseEmphasis">
    <w:name w:val="Intense Emphasis"/>
    <w:basedOn w:val="DefaultParagraphFont"/>
    <w:uiPriority w:val="21"/>
    <w:qFormat/>
    <w:rsid w:val="003E49DB"/>
    <w:rPr>
      <w:i/>
      <w:iCs/>
      <w:color w:val="0F4761" w:themeColor="accent1" w:themeShade="BF"/>
    </w:rPr>
  </w:style>
  <w:style w:type="paragraph" w:styleId="IntenseQuote">
    <w:name w:val="Intense Quote"/>
    <w:basedOn w:val="Normal"/>
    <w:next w:val="Normal"/>
    <w:link w:val="IntenseQuoteChar"/>
    <w:uiPriority w:val="30"/>
    <w:qFormat/>
    <w:rsid w:val="003E49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9DB"/>
    <w:rPr>
      <w:i/>
      <w:iCs/>
      <w:color w:val="0F4761" w:themeColor="accent1" w:themeShade="BF"/>
    </w:rPr>
  </w:style>
  <w:style w:type="character" w:styleId="IntenseReference">
    <w:name w:val="Intense Reference"/>
    <w:basedOn w:val="DefaultParagraphFont"/>
    <w:uiPriority w:val="32"/>
    <w:qFormat/>
    <w:rsid w:val="003E49DB"/>
    <w:rPr>
      <w:b/>
      <w:bCs/>
      <w:smallCaps/>
      <w:color w:val="0F4761" w:themeColor="accent1" w:themeShade="BF"/>
      <w:spacing w:val="5"/>
    </w:rPr>
  </w:style>
  <w:style w:type="paragraph" w:styleId="FootnoteText">
    <w:name w:val="footnote text"/>
    <w:basedOn w:val="Normal"/>
    <w:link w:val="FootnoteTextChar"/>
    <w:uiPriority w:val="99"/>
    <w:semiHidden/>
    <w:unhideWhenUsed/>
    <w:rsid w:val="00A14A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4A85"/>
    <w:rPr>
      <w:sz w:val="20"/>
      <w:szCs w:val="20"/>
    </w:rPr>
  </w:style>
  <w:style w:type="character" w:styleId="FootnoteReference">
    <w:name w:val="footnote reference"/>
    <w:basedOn w:val="DefaultParagraphFont"/>
    <w:uiPriority w:val="99"/>
    <w:semiHidden/>
    <w:unhideWhenUsed/>
    <w:rsid w:val="00A14A8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6" ma:contentTypeDescription="Create a new document." ma:contentTypeScope="" ma:versionID="fc512362cceee39b338c721bba6c5d6a">
  <xsd:schema xmlns:xsd="http://www.w3.org/2001/XMLSchema" xmlns:xs="http://www.w3.org/2001/XMLSchema" xmlns:p="http://schemas.microsoft.com/office/2006/metadata/properties" xmlns:ns3="ad7316b1-23f1-480c-8fa6-cbf037f4db9c" targetNamespace="http://schemas.microsoft.com/office/2006/metadata/properties" ma:root="true" ma:fieldsID="b6f5cf73e1786717ce9b480d9f09b589"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D2EB6B82-64E1-43AC-8301-1FD585D4B36A}">
  <ds:schemaRefs>
    <ds:schemaRef ds:uri="http://schemas.openxmlformats.org/officeDocument/2006/bibliography"/>
  </ds:schemaRefs>
</ds:datastoreItem>
</file>

<file path=customXml/itemProps2.xml><?xml version="1.0" encoding="utf-8"?>
<ds:datastoreItem xmlns:ds="http://schemas.openxmlformats.org/officeDocument/2006/customXml" ds:itemID="{A6A4FBAE-3946-4FDA-B507-9F4C7D7735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949B83-3C9D-4778-9AF2-3442273C2CB4}">
  <ds:schemaRefs>
    <ds:schemaRef ds:uri="http://schemas.microsoft.com/sharepoint/v3/contenttype/forms"/>
  </ds:schemaRefs>
</ds:datastoreItem>
</file>

<file path=customXml/itemProps4.xml><?xml version="1.0" encoding="utf-8"?>
<ds:datastoreItem xmlns:ds="http://schemas.openxmlformats.org/officeDocument/2006/customXml" ds:itemID="{2E6627F9-9ACB-4164-BBDB-F4EC6F8B945A}">
  <ds:schemaRefs>
    <ds:schemaRef ds:uri="http://schemas.microsoft.com/office/2006/documentManagement/types"/>
    <ds:schemaRef ds:uri="http://www.w3.org/XML/1998/namespace"/>
    <ds:schemaRef ds:uri="http://purl.org/dc/elements/1.1/"/>
    <ds:schemaRef ds:uri="http://schemas.openxmlformats.org/package/2006/metadata/core-properties"/>
    <ds:schemaRef ds:uri="http://purl.org/dc/dcmitype/"/>
    <ds:schemaRef ds:uri="ad7316b1-23f1-480c-8fa6-cbf037f4db9c"/>
    <ds:schemaRef ds:uri="http://schemas.microsoft.com/office/infopath/2007/PartnerControl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3</Pages>
  <Words>1060</Words>
  <Characters>6042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Barker-Morgan (2305490)</dc:creator>
  <cp:keywords/>
  <dc:description/>
  <cp:lastModifiedBy>Broc Barker-Morgan (2305490)</cp:lastModifiedBy>
  <cp:revision>1</cp:revision>
  <dcterms:created xsi:type="dcterms:W3CDTF">2025-10-14T12:13:00Z</dcterms:created>
  <dcterms:modified xsi:type="dcterms:W3CDTF">2025-10-14T20:07:00Z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