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1609007492"/>
        <w:docPartObj>
          <w:docPartGallery w:val="autotext"/>
        </w:docPartObj>
      </w:sdtPr>
      <w:sdtContent>
        <w:p>
          <w:bookmarkStart w:id="9" w:name="_GoBack"/>
          <w:bookmarkEnd w:id="9"/>
          <w:r>
            <w:rPr>
              <w:sz w:val="24"/>
            </w:rPr>
            <mc:AlternateContent>
              <mc:Choice Requires="wps">
                <w:drawing>
                  <wp:anchor distT="0" distB="0" distL="114300" distR="114300" simplePos="0" relativeHeight="251660288" behindDoc="0" locked="0" layoutInCell="1" allowOverlap="1">
                    <wp:simplePos x="0" y="0"/>
                    <wp:positionH relativeFrom="column">
                      <wp:posOffset>31115</wp:posOffset>
                    </wp:positionH>
                    <wp:positionV relativeFrom="paragraph">
                      <wp:posOffset>-27305</wp:posOffset>
                    </wp:positionV>
                    <wp:extent cx="5715000" cy="2139950"/>
                    <wp:effectExtent l="6350" t="6350" r="8890" b="17780"/>
                    <wp:wrapNone/>
                    <wp:docPr id="3" name="矩形 3"/>
                    <wp:cNvGraphicFramePr/>
                    <a:graphic xmlns:a="http://schemas.openxmlformats.org/drawingml/2006/main">
                      <a:graphicData uri="http://schemas.microsoft.com/office/word/2010/wordprocessingShape">
                        <wps:wsp>
                          <wps:cNvSpPr/>
                          <wps:spPr>
                            <a:xfrm>
                              <a:off x="945515" y="887095"/>
                              <a:ext cx="5715000" cy="2139950"/>
                            </a:xfrm>
                            <a:prstGeom prst="rect">
                              <a:avLst/>
                            </a:prstGeom>
                            <a:solidFill>
                              <a:schemeClr val="bg1"/>
                            </a:solidFill>
                            <a:ln>
                              <a:solidFill>
                                <a:schemeClr val="bg1"/>
                              </a:solidFill>
                            </a:ln>
                          </wps:spPr>
                          <wps:style>
                            <a:lnRef idx="2">
                              <a:schemeClr val="accent1">
                                <a:lumMod val="75000"/>
                              </a:schemeClr>
                            </a:lnRef>
                            <a:fillRef idx="1">
                              <a:schemeClr val="accent1"/>
                            </a:fillRef>
                            <a:effectRef idx="0">
                              <a:srgbClr val="FFFFFF"/>
                            </a:effectRef>
                            <a:fontRef idx="minor">
                              <a:schemeClr val="lt1"/>
                            </a:fontRef>
                          </wps:style>
                          <wps:txbx>
                            <w:txbxContent>
                              <w:p>
                                <w:pPr>
                                  <w:jc w:val="both"/>
                                  <w:rPr>
                                    <w:rFonts w:hint="default"/>
                                    <w:sz w:val="72"/>
                                    <w:szCs w:val="72"/>
                                    <w:lang w:val="en-US"/>
                                  </w:rPr>
                                </w:pPr>
                                <w:r>
                                  <w:rPr>
                                    <w:rFonts w:hint="eastAsia" w:ascii="Arial" w:hAnsi="Arial" w:eastAsia="汉仪雅酷黑 75W" w:cs="Arial"/>
                                    <w:b/>
                                    <w:bCs/>
                                    <w:color w:val="7B9DCA"/>
                                    <w:sz w:val="72"/>
                                    <w:szCs w:val="72"/>
                                    <w:lang w:val="en-US" w:eastAsia="zh-CN"/>
                                  </w:rPr>
                                  <w:t>Strategic Management and Sustainability</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2.45pt;margin-top:-2.15pt;height:168.5pt;width:450pt;z-index:251660288;v-text-anchor:middle;mso-width-relative:page;mso-height-relative:page;" fillcolor="#FFFFFF [3212]" filled="t" stroked="t" coordsize="21600,21600" o:gfxdata="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">
                    <v:fill on="t" focussize="0,0"/>
                    <v:stroke weight="1pt" color="#FFFFFF [3212]" miterlimit="8" joinstyle="miter"/>
                    <v:imagedata o:title=""/>
                    <o:lock v:ext="edit" aspectratio="f"/>
                    <v:textbox>
                      <w:txbxContent>
                        <w:p>
                          <w:pPr>
                            <w:jc w:val="both"/>
                            <w:rPr>
                              <w:rFonts w:hint="default"/>
                              <w:sz w:val="72"/>
                              <w:szCs w:val="72"/>
                              <w:lang w:val="en-US"/>
                            </w:rPr>
                          </w:pPr>
                          <w:r>
                            <w:rPr>
                              <w:rFonts w:hint="eastAsia" w:ascii="Arial" w:hAnsi="Arial" w:eastAsia="汉仪雅酷黑 75W" w:cs="Arial"/>
                              <w:b/>
                              <w:bCs/>
                              <w:color w:val="7B9DCA"/>
                              <w:sz w:val="72"/>
                              <w:szCs w:val="72"/>
                              <w:lang w:val="en-US" w:eastAsia="zh-CN"/>
                            </w:rPr>
                            <w:t>Strategic Management and Sustainability</w:t>
                          </w:r>
                        </w:p>
                      </w:txbxContent>
                    </v:textbox>
                  </v:rect>
                </w:pict>
              </mc:Fallback>
            </mc:AlternateContent>
          </w:r>
          <w:r>
            <w:drawing>
              <wp:anchor distT="0" distB="0" distL="114300" distR="114300" simplePos="0" relativeHeight="251659264" behindDoc="1" locked="0" layoutInCell="1" allowOverlap="1">
                <wp:simplePos x="0" y="0"/>
                <wp:positionH relativeFrom="column">
                  <wp:posOffset>-929005</wp:posOffset>
                </wp:positionH>
                <wp:positionV relativeFrom="paragraph">
                  <wp:posOffset>-884555</wp:posOffset>
                </wp:positionV>
                <wp:extent cx="7682865" cy="10819130"/>
                <wp:effectExtent l="0" t="0" r="13335" b="1270"/>
                <wp:wrapNone/>
                <wp:docPr id="1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
                        <pic:cNvPicPr>
                          <a:picLocks noChangeAspect="1"/>
                        </pic:cNvPicPr>
                      </pic:nvPicPr>
                      <pic:blipFill>
                        <a:blip r:embed="rId6"/>
                        <a:stretch>
                          <a:fillRect/>
                        </a:stretch>
                      </pic:blipFill>
                      <pic:spPr>
                        <a:xfrm>
                          <a:off x="0" y="0"/>
                          <a:ext cx="7682865" cy="10819130"/>
                        </a:xfrm>
                        <a:prstGeom prst="rect">
                          <a:avLst/>
                        </a:prstGeom>
                        <a:noFill/>
                        <a:ln>
                          <a:noFill/>
                        </a:ln>
                      </pic:spPr>
                    </pic:pic>
                  </a:graphicData>
                </a:graphic>
              </wp:anchor>
            </w:drawing>
          </w:r>
        </w:p>
        <w:p>
          <w:pPr>
            <w:jc w:val="center"/>
          </w:pPr>
          <w:r>
            <w:rPr>
              <w:sz w:val="24"/>
            </w:rPr>
            <mc:AlternateContent>
              <mc:Choice Requires="wps">
                <w:drawing>
                  <wp:anchor distT="0" distB="0" distL="114300" distR="114300" simplePos="0" relativeHeight="251661312" behindDoc="0" locked="0" layoutInCell="1" allowOverlap="1">
                    <wp:simplePos x="0" y="0"/>
                    <wp:positionH relativeFrom="column">
                      <wp:posOffset>709295</wp:posOffset>
                    </wp:positionH>
                    <wp:positionV relativeFrom="paragraph">
                      <wp:posOffset>1697990</wp:posOffset>
                    </wp:positionV>
                    <wp:extent cx="4061460" cy="4965700"/>
                    <wp:effectExtent l="6350" t="6350" r="16510" b="11430"/>
                    <wp:wrapNone/>
                    <wp:docPr id="4" name="矩形 4"/>
                    <wp:cNvGraphicFramePr/>
                    <a:graphic xmlns:a="http://schemas.openxmlformats.org/drawingml/2006/main">
                      <a:graphicData uri="http://schemas.microsoft.com/office/word/2010/wordprocessingShape">
                        <wps:wsp>
                          <wps:cNvSpPr/>
                          <wps:spPr>
                            <a:xfrm>
                              <a:off x="1623695" y="2902585"/>
                              <a:ext cx="4061460" cy="4965700"/>
                            </a:xfrm>
                            <a:prstGeom prst="rect">
                              <a:avLst/>
                            </a:prstGeom>
                            <a:solidFill>
                              <a:schemeClr val="bg1"/>
                            </a:solidFill>
                            <a:ln>
                              <a:solidFill>
                                <a:schemeClr val="tx1"/>
                              </a:solidFill>
                            </a:ln>
                          </wps:spPr>
                          <wps:style>
                            <a:lnRef idx="2">
                              <a:schemeClr val="accent1">
                                <a:lumMod val="75000"/>
                              </a:schemeClr>
                            </a:lnRef>
                            <a:fillRef idx="1">
                              <a:schemeClr val="accent1"/>
                            </a:fillRef>
                            <a:effectRef idx="0">
                              <a:srgbClr val="FFFFFF"/>
                            </a:effectRef>
                            <a:fontRef idx="minor">
                              <a:schemeClr val="lt1"/>
                            </a:fontRef>
                          </wps:style>
                          <wps:txbx>
                            <w:txbxContent>
                              <w:p>
                                <w:pPr>
                                  <w:jc w:val="both"/>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Unit name:</w:t>
                                </w:r>
                                <w:r>
                                  <w:rPr>
                                    <w:rFonts w:hint="eastAsia" w:ascii="Arial" w:hAnsi="Arial" w:eastAsia="汉仪雅酷黑 75W" w:cs="Arial"/>
                                    <w:b/>
                                    <w:bCs/>
                                    <w:color w:val="187B84"/>
                                    <w:sz w:val="30"/>
                                    <w:szCs w:val="30"/>
                                    <w:lang w:val="en-US" w:eastAsia="zh-CN"/>
                                  </w:rPr>
                                  <w:t>Strategic Management and Sustainability</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Module code:BMBM</w:t>
                                </w:r>
                                <w:r>
                                  <w:rPr>
                                    <w:rFonts w:hint="eastAsia" w:ascii="Arial" w:hAnsi="Arial" w:eastAsia="汉仪雅酷黑 75W" w:cs="Arial"/>
                                    <w:b/>
                                    <w:bCs/>
                                    <w:color w:val="187B84"/>
                                    <w:sz w:val="30"/>
                                    <w:szCs w:val="30"/>
                                    <w:lang w:val="en-US" w:eastAsia="zh-CN"/>
                                  </w:rPr>
                                  <w:t>6015</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Lecturer:Mike Durke</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Student name:Yi Chen Wang</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Student ID number:2300489</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Date submitted: March 15, 2024</w:t>
                                </w:r>
                              </w:p>
                              <w:p>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5.85pt;margin-top:133.7pt;height:391pt;width:319.8pt;z-index:251661312;v-text-anchor:middle;mso-width-relative:page;mso-height-relative:page;" fillcolor="#FFFFFF [3212]" filled="t" stroked="t" coordsize="21600,21600" o:gfxdata="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">
                    <v:fill on="t" focussize="0,0"/>
                    <v:stroke weight="1pt" color="#000000 [3213]" miterlimit="8" joinstyle="miter"/>
                    <v:imagedata o:title=""/>
                    <o:lock v:ext="edit" aspectratio="f"/>
                    <v:textbox>
                      <w:txbxContent>
                        <w:p>
                          <w:pPr>
                            <w:jc w:val="both"/>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Unit name:</w:t>
                          </w:r>
                          <w:r>
                            <w:rPr>
                              <w:rFonts w:hint="eastAsia" w:ascii="Arial" w:hAnsi="Arial" w:eastAsia="汉仪雅酷黑 75W" w:cs="Arial"/>
                              <w:b/>
                              <w:bCs/>
                              <w:color w:val="187B84"/>
                              <w:sz w:val="30"/>
                              <w:szCs w:val="30"/>
                              <w:lang w:val="en-US" w:eastAsia="zh-CN"/>
                            </w:rPr>
                            <w:t>Strategic Management and Sustainability</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Module code:BMBM</w:t>
                          </w:r>
                          <w:r>
                            <w:rPr>
                              <w:rFonts w:hint="eastAsia" w:ascii="Arial" w:hAnsi="Arial" w:eastAsia="汉仪雅酷黑 75W" w:cs="Arial"/>
                              <w:b/>
                              <w:bCs/>
                              <w:color w:val="187B84"/>
                              <w:sz w:val="30"/>
                              <w:szCs w:val="30"/>
                              <w:lang w:val="en-US" w:eastAsia="zh-CN"/>
                            </w:rPr>
                            <w:t>6015</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Lecturer:Mike Durke</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Student name:Yi Chen Wang</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Student ID number:2300489</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Date submitted: March 15, 2024</w:t>
                          </w:r>
                        </w:p>
                        <w:p>
                          <w:pPr>
                            <w:jc w:val="center"/>
                          </w:pPr>
                        </w:p>
                      </w:txbxContent>
                    </v:textbox>
                  </v:rect>
                </w:pict>
              </mc:Fallback>
            </mc:AlternateContent>
          </w:r>
          <w:r>
            <w:br w:type="page"/>
          </w:r>
        </w:p>
      </w:sdtContent>
    </w:sdt>
    <w:p>
      <w:pPr>
        <w:pStyle w:val="2"/>
      </w:pPr>
      <w:bookmarkStart w:id="0" w:name="_Toc160719251"/>
      <w:r>
        <w:t>Abstract</w:t>
      </w:r>
      <w:bookmarkEnd w:id="0"/>
    </w:p>
    <w:p>
      <w:pPr>
        <w:spacing w:line="480" w:lineRule="auto"/>
        <w:jc w:val="both"/>
      </w:pPr>
      <w:r>
        <w:t xml:space="preserve">The report represents an analysis and evaluation of Tesla's competitive strategy. Analysis shows that Tesla utilises a </w:t>
      </w:r>
      <w:r>
        <w:rPr>
          <w:rFonts w:cs="Arial"/>
          <w:szCs w:val="24"/>
        </w:rPr>
        <w:t>differentiation strategy that features innovation leadership, cost leadership featuring vertical integration and economies of scale, technology leadership and market expansion</w:t>
      </w:r>
      <w:r>
        <w:t xml:space="preserve"> to stay competitive. The report finds out that Tesla is in a good position because it utilises excellent competitive strategies. Evidence suggests that competitive skills have allowed Tesla to stay consistent in terms of revenue increase since 2014. However, the major issues are the allocation of more resources to cope with innovation, cost leadership, and the relevance of the organisation in the future. Recommendations suggest that the company needs to concentrate on product differentiation more to capture a wider consumer base with a variety of products that have different quality and price. </w:t>
      </w:r>
    </w:p>
    <w:p>
      <w:pPr>
        <w:spacing w:after="0" w:line="240" w:lineRule="auto"/>
      </w:pPr>
      <w:r>
        <w:br w:type="page"/>
      </w:r>
    </w:p>
    <w:sdt>
      <w:sdtPr>
        <w:rPr>
          <w:rFonts w:eastAsiaTheme="minorHAnsi" w:cstheme="minorBidi"/>
          <w:color w:val="auto"/>
          <w:szCs w:val="22"/>
          <w:lang w:val="en-GB"/>
        </w:rPr>
        <w:id w:val="2140689287"/>
        <w:docPartObj>
          <w:docPartGallery w:val="Table of Contents"/>
          <w:docPartUnique/>
        </w:docPartObj>
      </w:sdtPr>
      <w:sdtEndPr>
        <w:rPr>
          <w:rFonts w:eastAsiaTheme="minorHAnsi" w:cstheme="minorBidi"/>
          <w:b/>
          <w:bCs/>
          <w:color w:val="auto"/>
          <w:szCs w:val="22"/>
          <w:lang w:val="en-GB"/>
        </w:rPr>
      </w:sdtEndPr>
      <w:sdtContent>
        <w:p>
          <w:pPr>
            <w:pStyle w:val="18"/>
          </w:pPr>
          <w:r>
            <w:t>Contents</w:t>
          </w:r>
        </w:p>
        <w:p>
          <w:pPr>
            <w:pStyle w:val="6"/>
            <w:rPr>
              <w:rFonts w:asciiTheme="minorHAnsi" w:hAnsiTheme="minorHAnsi" w:eastAsiaTheme="minorEastAsia"/>
              <w:sz w:val="22"/>
              <w:lang w:val="en-US"/>
            </w:rPr>
          </w:pPr>
          <w:r>
            <w:fldChar w:fldCharType="begin"/>
          </w:r>
          <w:r>
            <w:instrText xml:space="preserve"> TOC \o "1-3" \h \z \u </w:instrText>
          </w:r>
          <w:r>
            <w:fldChar w:fldCharType="separate"/>
          </w:r>
          <w:r>
            <w:fldChar w:fldCharType="begin"/>
          </w:r>
          <w:r>
            <w:instrText xml:space="preserve"> HYPERLINK \l "_Toc160719251" </w:instrText>
          </w:r>
          <w:r>
            <w:fldChar w:fldCharType="separate"/>
          </w:r>
          <w:r>
            <w:rPr>
              <w:rStyle w:val="11"/>
            </w:rPr>
            <w:t>Abstract</w:t>
          </w:r>
          <w:r>
            <w:tab/>
          </w:r>
          <w:r>
            <w:fldChar w:fldCharType="begin"/>
          </w:r>
          <w:r>
            <w:instrText xml:space="preserve"> PAGEREF _Toc160719251 \h </w:instrText>
          </w:r>
          <w:r>
            <w:fldChar w:fldCharType="separate"/>
          </w:r>
          <w:r>
            <w:t>1</w:t>
          </w:r>
          <w:r>
            <w:fldChar w:fldCharType="end"/>
          </w:r>
          <w:r>
            <w:fldChar w:fldCharType="end"/>
          </w:r>
        </w:p>
        <w:p>
          <w:pPr>
            <w:pStyle w:val="6"/>
            <w:rPr>
              <w:rFonts w:asciiTheme="minorHAnsi" w:hAnsiTheme="minorHAnsi" w:eastAsiaTheme="minorEastAsia"/>
              <w:sz w:val="22"/>
              <w:lang w:val="en-US"/>
            </w:rPr>
          </w:pPr>
          <w:r>
            <w:fldChar w:fldCharType="begin"/>
          </w:r>
          <w:r>
            <w:instrText xml:space="preserve"> HYPERLINK \l "_Toc160719252" </w:instrText>
          </w:r>
          <w:r>
            <w:fldChar w:fldCharType="separate"/>
          </w:r>
          <w:r>
            <w:rPr>
              <w:rStyle w:val="11"/>
            </w:rPr>
            <w:t>Introduction</w:t>
          </w:r>
          <w:r>
            <w:tab/>
          </w:r>
          <w:r>
            <w:fldChar w:fldCharType="begin"/>
          </w:r>
          <w:r>
            <w:instrText xml:space="preserve"> PAGEREF _Toc160719252 \h </w:instrText>
          </w:r>
          <w:r>
            <w:fldChar w:fldCharType="separate"/>
          </w:r>
          <w:r>
            <w:t>3</w:t>
          </w:r>
          <w:r>
            <w:fldChar w:fldCharType="end"/>
          </w:r>
          <w:r>
            <w:fldChar w:fldCharType="end"/>
          </w:r>
        </w:p>
        <w:p>
          <w:pPr>
            <w:pStyle w:val="7"/>
            <w:tabs>
              <w:tab w:val="right" w:leader="dot" w:pos="9016"/>
            </w:tabs>
            <w:rPr>
              <w:rFonts w:asciiTheme="minorHAnsi" w:hAnsiTheme="minorHAnsi" w:eastAsiaTheme="minorEastAsia"/>
              <w:sz w:val="22"/>
              <w:lang w:val="en-US"/>
            </w:rPr>
          </w:pPr>
          <w:r>
            <w:fldChar w:fldCharType="begin"/>
          </w:r>
          <w:r>
            <w:instrText xml:space="preserve"> HYPERLINK \l "_Toc160719253" </w:instrText>
          </w:r>
          <w:r>
            <w:fldChar w:fldCharType="separate"/>
          </w:r>
          <w:r>
            <w:rPr>
              <w:rStyle w:val="11"/>
              <w:rFonts w:cs="Arial"/>
            </w:rPr>
            <w:t>Objectives</w:t>
          </w:r>
          <w:r>
            <w:tab/>
          </w:r>
          <w:r>
            <w:fldChar w:fldCharType="begin"/>
          </w:r>
          <w:r>
            <w:instrText xml:space="preserve"> PAGEREF _Toc160719253 \h </w:instrText>
          </w:r>
          <w:r>
            <w:fldChar w:fldCharType="separate"/>
          </w:r>
          <w:r>
            <w:t>3</w:t>
          </w:r>
          <w:r>
            <w:fldChar w:fldCharType="end"/>
          </w:r>
          <w:r>
            <w:fldChar w:fldCharType="end"/>
          </w:r>
        </w:p>
        <w:p>
          <w:pPr>
            <w:pStyle w:val="7"/>
            <w:tabs>
              <w:tab w:val="right" w:leader="dot" w:pos="9016"/>
            </w:tabs>
            <w:rPr>
              <w:rFonts w:asciiTheme="minorHAnsi" w:hAnsiTheme="minorHAnsi" w:eastAsiaTheme="minorEastAsia"/>
              <w:sz w:val="22"/>
              <w:lang w:val="en-US"/>
            </w:rPr>
          </w:pPr>
          <w:r>
            <w:fldChar w:fldCharType="begin"/>
          </w:r>
          <w:r>
            <w:instrText xml:space="preserve"> HYPERLINK \l "_Toc160719254" </w:instrText>
          </w:r>
          <w:r>
            <w:fldChar w:fldCharType="separate"/>
          </w:r>
          <w:r>
            <w:rPr>
              <w:rStyle w:val="11"/>
              <w:rFonts w:cs="Arial"/>
            </w:rPr>
            <w:t>Scope</w:t>
          </w:r>
          <w:r>
            <w:tab/>
          </w:r>
          <w:r>
            <w:fldChar w:fldCharType="begin"/>
          </w:r>
          <w:r>
            <w:instrText xml:space="preserve"> PAGEREF _Toc160719254 \h </w:instrText>
          </w:r>
          <w:r>
            <w:fldChar w:fldCharType="separate"/>
          </w:r>
          <w:r>
            <w:t>4</w:t>
          </w:r>
          <w:r>
            <w:fldChar w:fldCharType="end"/>
          </w:r>
          <w:r>
            <w:fldChar w:fldCharType="end"/>
          </w:r>
        </w:p>
        <w:p>
          <w:pPr>
            <w:pStyle w:val="6"/>
            <w:rPr>
              <w:rFonts w:asciiTheme="minorHAnsi" w:hAnsiTheme="minorHAnsi" w:eastAsiaTheme="minorEastAsia"/>
              <w:sz w:val="22"/>
              <w:lang w:val="en-US"/>
            </w:rPr>
          </w:pPr>
          <w:r>
            <w:fldChar w:fldCharType="begin"/>
          </w:r>
          <w:r>
            <w:instrText xml:space="preserve"> HYPERLINK \l "_Toc160719255" </w:instrText>
          </w:r>
          <w:r>
            <w:fldChar w:fldCharType="separate"/>
          </w:r>
          <w:r>
            <w:rPr>
              <w:rStyle w:val="11"/>
              <w:rFonts w:cs="Arial"/>
            </w:rPr>
            <w:t>Objective 1: Identification of Tesla’s Competitive Strategy.</w:t>
          </w:r>
          <w:r>
            <w:tab/>
          </w:r>
          <w:r>
            <w:fldChar w:fldCharType="begin"/>
          </w:r>
          <w:r>
            <w:instrText xml:space="preserve"> PAGEREF _Toc160719255 \h </w:instrText>
          </w:r>
          <w:r>
            <w:fldChar w:fldCharType="separate"/>
          </w:r>
          <w:r>
            <w:t>4</w:t>
          </w:r>
          <w:r>
            <w:fldChar w:fldCharType="end"/>
          </w:r>
          <w:r>
            <w:fldChar w:fldCharType="end"/>
          </w:r>
        </w:p>
        <w:p>
          <w:pPr>
            <w:pStyle w:val="6"/>
            <w:rPr>
              <w:rFonts w:asciiTheme="minorHAnsi" w:hAnsiTheme="minorHAnsi" w:eastAsiaTheme="minorEastAsia"/>
              <w:sz w:val="22"/>
              <w:lang w:val="en-US"/>
            </w:rPr>
          </w:pPr>
          <w:r>
            <w:fldChar w:fldCharType="begin"/>
          </w:r>
          <w:r>
            <w:instrText xml:space="preserve"> HYPERLINK \l "_Toc160719256" </w:instrText>
          </w:r>
          <w:r>
            <w:fldChar w:fldCharType="separate"/>
          </w:r>
          <w:r>
            <w:rPr>
              <w:rStyle w:val="11"/>
              <w:rFonts w:cs="Arial"/>
            </w:rPr>
            <w:t>Objective 2: Evaluation of the Effectiveness of the Company’s Competitive Strategy</w:t>
          </w:r>
          <w:r>
            <w:tab/>
          </w:r>
          <w:r>
            <w:fldChar w:fldCharType="begin"/>
          </w:r>
          <w:r>
            <w:instrText xml:space="preserve"> PAGEREF _Toc160719256 \h </w:instrText>
          </w:r>
          <w:r>
            <w:fldChar w:fldCharType="separate"/>
          </w:r>
          <w:r>
            <w:t>6</w:t>
          </w:r>
          <w:r>
            <w:fldChar w:fldCharType="end"/>
          </w:r>
          <w:r>
            <w:fldChar w:fldCharType="end"/>
          </w:r>
        </w:p>
        <w:p>
          <w:pPr>
            <w:pStyle w:val="6"/>
            <w:rPr>
              <w:rFonts w:asciiTheme="minorHAnsi" w:hAnsiTheme="minorHAnsi" w:eastAsiaTheme="minorEastAsia"/>
              <w:sz w:val="22"/>
              <w:lang w:val="en-US"/>
            </w:rPr>
          </w:pPr>
          <w:r>
            <w:fldChar w:fldCharType="begin"/>
          </w:r>
          <w:r>
            <w:instrText xml:space="preserve"> HYPERLINK \l "_Toc160719257" </w:instrText>
          </w:r>
          <w:r>
            <w:fldChar w:fldCharType="separate"/>
          </w:r>
          <w:r>
            <w:rPr>
              <w:rStyle w:val="11"/>
              <w:rFonts w:cs="Arial"/>
            </w:rPr>
            <w:t>Objective 3: Recommendation for Tesla’s future.</w:t>
          </w:r>
          <w:r>
            <w:tab/>
          </w:r>
          <w:r>
            <w:fldChar w:fldCharType="begin"/>
          </w:r>
          <w:r>
            <w:instrText xml:space="preserve"> PAGEREF _Toc160719257 \h </w:instrText>
          </w:r>
          <w:r>
            <w:fldChar w:fldCharType="separate"/>
          </w:r>
          <w:r>
            <w:t>9</w:t>
          </w:r>
          <w:r>
            <w:fldChar w:fldCharType="end"/>
          </w:r>
          <w:r>
            <w:fldChar w:fldCharType="end"/>
          </w:r>
        </w:p>
        <w:p>
          <w:pPr>
            <w:pStyle w:val="6"/>
            <w:rPr>
              <w:rFonts w:asciiTheme="minorHAnsi" w:hAnsiTheme="minorHAnsi" w:eastAsiaTheme="minorEastAsia"/>
              <w:sz w:val="22"/>
              <w:lang w:val="en-US"/>
            </w:rPr>
          </w:pPr>
          <w:r>
            <w:fldChar w:fldCharType="begin"/>
          </w:r>
          <w:r>
            <w:instrText xml:space="preserve"> HYPERLINK \l "_Toc160719258" </w:instrText>
          </w:r>
          <w:r>
            <w:fldChar w:fldCharType="separate"/>
          </w:r>
          <w:r>
            <w:rPr>
              <w:rStyle w:val="11"/>
              <w:rFonts w:cs="Arial"/>
            </w:rPr>
            <w:t>Conclusion</w:t>
          </w:r>
          <w:r>
            <w:tab/>
          </w:r>
          <w:r>
            <w:fldChar w:fldCharType="begin"/>
          </w:r>
          <w:r>
            <w:instrText xml:space="preserve"> PAGEREF _Toc160719258 \h </w:instrText>
          </w:r>
          <w:r>
            <w:fldChar w:fldCharType="separate"/>
          </w:r>
          <w:r>
            <w:t>11</w:t>
          </w:r>
          <w:r>
            <w:fldChar w:fldCharType="end"/>
          </w:r>
          <w:r>
            <w:fldChar w:fldCharType="end"/>
          </w:r>
        </w:p>
        <w:p>
          <w:pPr>
            <w:pStyle w:val="6"/>
            <w:rPr>
              <w:rFonts w:asciiTheme="minorHAnsi" w:hAnsiTheme="minorHAnsi" w:eastAsiaTheme="minorEastAsia"/>
              <w:sz w:val="22"/>
              <w:lang w:val="en-US"/>
            </w:rPr>
          </w:pPr>
          <w:r>
            <w:fldChar w:fldCharType="begin"/>
          </w:r>
          <w:r>
            <w:instrText xml:space="preserve"> HYPERLINK \l "_Toc160719259" </w:instrText>
          </w:r>
          <w:r>
            <w:fldChar w:fldCharType="separate"/>
          </w:r>
          <w:r>
            <w:rPr>
              <w:rStyle w:val="11"/>
              <w:rFonts w:cs="Arial"/>
            </w:rPr>
            <w:t>References</w:t>
          </w:r>
          <w:r>
            <w:tab/>
          </w:r>
          <w:r>
            <w:fldChar w:fldCharType="begin"/>
          </w:r>
          <w:r>
            <w:instrText xml:space="preserve"> PAGEREF _Toc160719259 \h </w:instrText>
          </w:r>
          <w:r>
            <w:fldChar w:fldCharType="separate"/>
          </w:r>
          <w:r>
            <w:t>13</w:t>
          </w:r>
          <w:r>
            <w:fldChar w:fldCharType="end"/>
          </w:r>
          <w:r>
            <w:fldChar w:fldCharType="end"/>
          </w:r>
        </w:p>
        <w:p>
          <w:r>
            <w:rPr>
              <w:b/>
              <w:bCs/>
            </w:rPr>
            <w:fldChar w:fldCharType="end"/>
          </w:r>
        </w:p>
      </w:sdtContent>
    </w:sdt>
    <w:p/>
    <w:p>
      <w:r>
        <w:br w:type="page"/>
      </w:r>
    </w:p>
    <w:p>
      <w:pPr>
        <w:pStyle w:val="2"/>
      </w:pPr>
      <w:bookmarkStart w:id="1" w:name="_Toc160719252"/>
      <w:r>
        <w:t>Introduction</w:t>
      </w:r>
      <w:bookmarkEnd w:id="1"/>
    </w:p>
    <w:p>
      <w:pPr>
        <w:spacing w:line="480" w:lineRule="auto"/>
        <w:jc w:val="both"/>
        <w:rPr>
          <w:rFonts w:cs="Arial"/>
          <w:szCs w:val="24"/>
        </w:rPr>
      </w:pPr>
      <w:r>
        <w:rPr>
          <w:rFonts w:cs="Arial"/>
          <w:szCs w:val="24"/>
        </w:rPr>
        <w:t>Companies have demonstrated their capabilities in having the best competitive strategies, making them relevant in different industries. Industries such as the automotive require good competitive strategies because of the level of competition, given the improvement in the level of technology witnessed. Tesla is among the companies that have utilised its competitive strategy to become relevant in the automotive industry (</w:t>
      </w:r>
      <w:r>
        <w:rPr>
          <w:rFonts w:cs="Arial"/>
          <w:color w:val="222222"/>
          <w:szCs w:val="24"/>
          <w:shd w:val="clear" w:color="auto" w:fill="FFFFFF"/>
        </w:rPr>
        <w:t>Zaidat, et al., 2023)</w:t>
      </w:r>
      <w:r>
        <w:rPr>
          <w:rFonts w:cs="Arial"/>
          <w:szCs w:val="24"/>
        </w:rPr>
        <w:t>. Tesla is an American company established in 2003 by Martin Eberhard (</w:t>
      </w:r>
      <w:r>
        <w:rPr>
          <w:rFonts w:cs="Arial"/>
          <w:color w:val="222222"/>
          <w:szCs w:val="24"/>
          <w:shd w:val="clear" w:color="auto" w:fill="FFFFFF"/>
        </w:rPr>
        <w:t>Saxena and Vibhandik, 2021)</w:t>
      </w:r>
      <w:r>
        <w:rPr>
          <w:rFonts w:cs="Arial"/>
          <w:szCs w:val="24"/>
        </w:rPr>
        <w:t>. The company's product range includes manufacturing domestic energy storage technology, sport utility vehicles, and electric cars (Wang, 2023). Tesla is considered one of the core competitors in the energy and automotive industry because it has channelled its production on new technology. The production and selling of the different Tesla models, including the Tesla Semi, cyber truck, Model X, Mosel S, and Model 3, has proven the company's consistency in the automotive industry (</w:t>
      </w:r>
      <w:r>
        <w:rPr>
          <w:rFonts w:cs="Arial"/>
          <w:color w:val="222222"/>
          <w:szCs w:val="24"/>
          <w:shd w:val="clear" w:color="auto" w:fill="FFFFFF"/>
        </w:rPr>
        <w:t>Saxena and Vibhandik, 2021; Shen and Zeng, 2022)</w:t>
      </w:r>
      <w:r>
        <w:rPr>
          <w:rFonts w:cs="Arial"/>
          <w:szCs w:val="24"/>
        </w:rPr>
        <w:t xml:space="preserve">. Tesla has been identified as one of the most innovative companies in the world. The level of innovativeness from the company works effectively through the various strategies considered fundamental for companies. Therefore, this report aims to analyse Tesla's journey, with the main focus on understanding the competitive and developmental strategies of the company while focusing on the effectiveness of the strategy the company is utilising. </w:t>
      </w:r>
    </w:p>
    <w:p>
      <w:pPr>
        <w:pStyle w:val="3"/>
        <w:rPr>
          <w:rFonts w:cs="Arial"/>
          <w:szCs w:val="24"/>
        </w:rPr>
      </w:pPr>
      <w:bookmarkStart w:id="2" w:name="_Toc160719253"/>
      <w:r>
        <w:rPr>
          <w:rFonts w:cs="Arial"/>
          <w:szCs w:val="24"/>
        </w:rPr>
        <w:t>Objectives</w:t>
      </w:r>
      <w:bookmarkEnd w:id="2"/>
    </w:p>
    <w:p>
      <w:pPr>
        <w:spacing w:line="480" w:lineRule="auto"/>
        <w:jc w:val="both"/>
        <w:rPr>
          <w:rFonts w:cs="Arial"/>
          <w:szCs w:val="24"/>
        </w:rPr>
      </w:pPr>
      <w:r>
        <w:rPr>
          <w:rFonts w:cs="Arial"/>
          <w:szCs w:val="24"/>
        </w:rPr>
        <w:t>In achieving the strategic management evaluation of Tesla, this report will revolve around three objectives.</w:t>
      </w:r>
    </w:p>
    <w:p>
      <w:pPr>
        <w:pStyle w:val="19"/>
        <w:numPr>
          <w:ilvl w:val="0"/>
          <w:numId w:val="1"/>
        </w:numPr>
        <w:spacing w:line="480" w:lineRule="auto"/>
        <w:jc w:val="both"/>
        <w:rPr>
          <w:rFonts w:ascii="Arial" w:hAnsi="Arial" w:cs="Arial"/>
          <w:sz w:val="24"/>
          <w:szCs w:val="24"/>
        </w:rPr>
      </w:pPr>
      <w:r>
        <w:rPr>
          <w:rFonts w:ascii="Arial" w:hAnsi="Arial" w:cs="Arial"/>
          <w:sz w:val="24"/>
          <w:szCs w:val="24"/>
        </w:rPr>
        <w:t>Identification of Tesla’s Competitive Strategy.</w:t>
      </w:r>
    </w:p>
    <w:p>
      <w:pPr>
        <w:pStyle w:val="19"/>
        <w:numPr>
          <w:ilvl w:val="0"/>
          <w:numId w:val="1"/>
        </w:numPr>
        <w:spacing w:line="480" w:lineRule="auto"/>
        <w:jc w:val="both"/>
        <w:rPr>
          <w:rFonts w:ascii="Arial" w:hAnsi="Arial" w:cs="Arial"/>
          <w:sz w:val="24"/>
          <w:szCs w:val="24"/>
        </w:rPr>
      </w:pPr>
      <w:r>
        <w:rPr>
          <w:rFonts w:ascii="Arial" w:hAnsi="Arial" w:cs="Arial"/>
          <w:sz w:val="24"/>
          <w:szCs w:val="24"/>
        </w:rPr>
        <w:t>Evaluation of the Effectiveness of the Company’s Competitive Strategy</w:t>
      </w:r>
    </w:p>
    <w:p>
      <w:pPr>
        <w:pStyle w:val="19"/>
        <w:numPr>
          <w:ilvl w:val="0"/>
          <w:numId w:val="1"/>
        </w:numPr>
        <w:spacing w:line="480" w:lineRule="auto"/>
        <w:jc w:val="both"/>
        <w:rPr>
          <w:rFonts w:ascii="Arial" w:hAnsi="Arial" w:cs="Arial"/>
          <w:sz w:val="24"/>
          <w:szCs w:val="24"/>
        </w:rPr>
      </w:pPr>
      <w:r>
        <w:rPr>
          <w:rFonts w:ascii="Arial" w:hAnsi="Arial" w:cs="Arial"/>
          <w:sz w:val="24"/>
          <w:szCs w:val="24"/>
        </w:rPr>
        <w:t>Recommendation for Tesla’s future.</w:t>
      </w:r>
    </w:p>
    <w:p>
      <w:pPr>
        <w:pStyle w:val="3"/>
        <w:rPr>
          <w:rFonts w:cs="Arial"/>
          <w:szCs w:val="24"/>
        </w:rPr>
      </w:pPr>
      <w:bookmarkStart w:id="3" w:name="_Toc160719254"/>
      <w:r>
        <w:rPr>
          <w:rFonts w:cs="Arial"/>
          <w:szCs w:val="24"/>
        </w:rPr>
        <w:t>Scope</w:t>
      </w:r>
      <w:bookmarkEnd w:id="3"/>
    </w:p>
    <w:p>
      <w:pPr>
        <w:spacing w:line="480" w:lineRule="auto"/>
        <w:jc w:val="both"/>
        <w:rPr>
          <w:rFonts w:cs="Arial"/>
          <w:szCs w:val="24"/>
        </w:rPr>
      </w:pPr>
      <w:r>
        <w:rPr>
          <w:rFonts w:cs="Arial"/>
          <w:szCs w:val="24"/>
        </w:rPr>
        <w:t>This report focuses on the identification of Tesla’s competitive strategy, evaluation of the effectiveness of the strategy, and making recommendations for the company’s future strategic development.</w:t>
      </w:r>
    </w:p>
    <w:p>
      <w:pPr>
        <w:pStyle w:val="2"/>
        <w:rPr>
          <w:rFonts w:cs="Arial"/>
        </w:rPr>
      </w:pPr>
      <w:bookmarkStart w:id="4" w:name="_Toc160719255"/>
      <w:r>
        <w:rPr>
          <w:rFonts w:cs="Arial"/>
        </w:rPr>
        <w:t>Objective 1: Identification of Tesla’s Competitive Strategy.</w:t>
      </w:r>
      <w:bookmarkEnd w:id="4"/>
    </w:p>
    <w:p>
      <w:pPr>
        <w:spacing w:line="480" w:lineRule="auto"/>
        <w:jc w:val="both"/>
        <w:rPr>
          <w:rFonts w:cs="Arial"/>
          <w:color w:val="222222"/>
          <w:szCs w:val="24"/>
          <w:shd w:val="clear" w:color="auto" w:fill="FFFFFF"/>
        </w:rPr>
      </w:pPr>
      <w:r>
        <w:rPr>
          <w:rFonts w:cs="Arial"/>
          <w:szCs w:val="24"/>
        </w:rPr>
        <w:t>Tesla utilises different competitive strategies which have proven their significance in building the competitive nature of the company. The first competitive strategy is the differentiation strategy, which features performance, design and innovation leadership (</w:t>
      </w:r>
      <w:r>
        <w:rPr>
          <w:rFonts w:cs="Arial"/>
          <w:color w:val="222222"/>
          <w:szCs w:val="24"/>
          <w:shd w:val="clear" w:color="auto" w:fill="FFFFFF"/>
        </w:rPr>
        <w:t>Islami et al., 2020)</w:t>
      </w:r>
      <w:r>
        <w:rPr>
          <w:rFonts w:cs="Arial"/>
          <w:szCs w:val="24"/>
        </w:rPr>
        <w:t xml:space="preserve">. According to </w:t>
      </w:r>
      <w:r>
        <w:rPr>
          <w:rFonts w:cs="Arial"/>
          <w:color w:val="222222"/>
          <w:szCs w:val="24"/>
          <w:shd w:val="clear" w:color="auto" w:fill="FFFFFF"/>
        </w:rPr>
        <w:t xml:space="preserve">Saxena and Vibhandik (2021), Tesla concentrates on the use of innovation leadership, featuring cutting-edge technology that is connected to new things almost every year. Over the past few years, Tesla has been introducing different updates, improvements, and features on its vehicles. This is among the strategies to ensure that they are relevant in the automotive industry through staying competitive. Besides, design and performance are also featured in the differentiation strategy because the company keeps on introducing new and sleek designs such as the Cybertruck and the latest model of the Tesla electric car. </w:t>
      </w:r>
    </w:p>
    <w:p>
      <w:pPr>
        <w:spacing w:line="480" w:lineRule="auto"/>
        <w:jc w:val="both"/>
        <w:rPr>
          <w:rFonts w:cs="Arial"/>
          <w:color w:val="222222"/>
          <w:szCs w:val="24"/>
          <w:shd w:val="clear" w:color="auto" w:fill="FFFFFF"/>
        </w:rPr>
      </w:pPr>
      <w:r>
        <w:rPr>
          <w:rFonts w:cs="Arial"/>
          <w:color w:val="222222"/>
          <w:szCs w:val="24"/>
          <w:shd w:val="clear" w:color="auto" w:fill="FFFFFF"/>
        </w:rPr>
        <w:t>The second competitive strategy the company is utilising is the adoption of cost leadership through economies of scale and vertical integration. Cost leadership strategy is witnessed through the company leveraging economies of scale to ensure that the company has enhanced its level of competitiveness (</w:t>
      </w:r>
      <w:r>
        <w:rPr>
          <w:rFonts w:cs="Arial"/>
          <w:color w:val="000000"/>
          <w:szCs w:val="24"/>
        </w:rPr>
        <w:t>Hensmans, 2023)</w:t>
      </w:r>
      <w:r>
        <w:rPr>
          <w:rFonts w:cs="Arial"/>
          <w:color w:val="222222"/>
          <w:szCs w:val="24"/>
          <w:shd w:val="clear" w:color="auto" w:fill="FFFFFF"/>
        </w:rPr>
        <w:t xml:space="preserve"> Leveraging economies of scale connects to the reduction of per-unit production costs. The company utilises economies of scale to ensure that it acquires better deals from its suppliers. The deals revolve around the optimisation of logistics and acquiring discounts from big sales. This strategy has allowed competitive prices to exist compared to other companies offering the same product (Ding and He 2022). Besides, economies of scale have improved production efficiencies, especially in opening different Gigafactories in Berlin, Shanghai and Nevada (Giménez, 2022 and Zhou, 2022). Vertical integration is also identified under the cost leadership strategy, and this includes setting in place different production stages from raw materials to finished products. In the manufacturing of electric cars, the company concentrates on vertical integration of electric drivetrain production and battery manufacturing. Vertical integration is witnessed through the use of Gigafactories in manufacturing the battery for the cars (Liu and Zhou 2022). In-house manufacturing of the batteries ensures that cost is managed, quality is maintained, and reduce potential risks that can be found within the supply chain (Qiao, 2023). </w:t>
      </w:r>
    </w:p>
    <w:p>
      <w:pPr>
        <w:spacing w:line="480" w:lineRule="auto"/>
        <w:jc w:val="both"/>
        <w:rPr>
          <w:rFonts w:cs="Arial"/>
          <w:szCs w:val="24"/>
        </w:rPr>
      </w:pPr>
      <w:r>
        <w:rPr>
          <w:rFonts w:cs="Arial"/>
          <w:szCs w:val="24"/>
        </w:rPr>
        <w:t>The third strategy identified within Tesla is technology leadership, which comprises Over-the-are (OTA) updates and autonomous driving technology (</w:t>
      </w:r>
      <w:r>
        <w:rPr>
          <w:rFonts w:cs="Arial"/>
          <w:color w:val="222222"/>
          <w:szCs w:val="24"/>
          <w:shd w:val="clear" w:color="auto" w:fill="FFFFFF"/>
        </w:rPr>
        <w:t>Shen, 2023)</w:t>
      </w:r>
      <w:r>
        <w:rPr>
          <w:rFonts w:cs="Arial"/>
          <w:szCs w:val="24"/>
        </w:rPr>
        <w:t>. The company's technological and innovation leadership concentrates on the development of autonomous driving technologies. The autonomous technologies feature Full-self-driving (FSD) and autopilot. This is witnessed within its cars, including the Model S Tesla, which can take a person from one place to another (</w:t>
      </w:r>
      <w:r>
        <w:rPr>
          <w:rFonts w:cs="Arial"/>
          <w:color w:val="222222"/>
          <w:szCs w:val="24"/>
          <w:shd w:val="clear" w:color="auto" w:fill="FFFFFF"/>
        </w:rPr>
        <w:t>Shen, 2023)</w:t>
      </w:r>
      <w:r>
        <w:rPr>
          <w:rFonts w:cs="Arial"/>
          <w:szCs w:val="24"/>
        </w:rPr>
        <w:t>. Besides, the OTA updates are different software that the company uses to make updates to the vehicles, improving their performance. Technology and innovation leadership improves the sales of the company's products because it reflects on the changing patterns of the world, which corresponds to new technology (</w:t>
      </w:r>
      <w:r>
        <w:rPr>
          <w:rFonts w:cs="Arial"/>
          <w:color w:val="222222"/>
          <w:szCs w:val="24"/>
          <w:shd w:val="clear" w:color="auto" w:fill="FFFFFF"/>
        </w:rPr>
        <w:t>Hetzel, 2021)</w:t>
      </w:r>
      <w:r>
        <w:rPr>
          <w:rFonts w:cs="Arial"/>
          <w:szCs w:val="24"/>
        </w:rPr>
        <w:t>.</w:t>
      </w:r>
    </w:p>
    <w:p>
      <w:pPr>
        <w:spacing w:line="480" w:lineRule="auto"/>
        <w:jc w:val="both"/>
        <w:rPr>
          <w:rFonts w:cs="Arial"/>
          <w:szCs w:val="24"/>
        </w:rPr>
      </w:pPr>
      <w:r>
        <w:rPr>
          <w:rFonts w:cs="Arial"/>
          <w:szCs w:val="24"/>
        </w:rPr>
        <w:t>The last competitive strategy identified within Tesla is global presence and market expansion. Tesla's market expansion strategy has proven its competitive level and encouraged diverse customer bases. Among the company's market expansion strategies is the establishment of Gigafactores in automotive-catered countries such as Germany and China (</w:t>
      </w:r>
      <w:r>
        <w:rPr>
          <w:rFonts w:cs="Arial"/>
          <w:color w:val="222222"/>
          <w:szCs w:val="24"/>
          <w:shd w:val="clear" w:color="auto" w:fill="FFFFFF"/>
        </w:rPr>
        <w:t>Cooke, 2020)</w:t>
      </w:r>
      <w:r>
        <w:rPr>
          <w:rFonts w:cs="Arial"/>
          <w:szCs w:val="24"/>
        </w:rPr>
        <w:t>. The competitive strategy is considered an offensive competitive approach because the company concentrates on improving its market share by improving the products and services the consumers get. The improved level of technology has seen the development of emerging markets, and this is where the company gains most of its new consumers. Besides, this strategy establishes the presence of economies of scale through increased sales volumes.</w:t>
      </w:r>
    </w:p>
    <w:p>
      <w:pPr>
        <w:pStyle w:val="2"/>
        <w:rPr>
          <w:rFonts w:cs="Arial"/>
        </w:rPr>
      </w:pPr>
      <w:bookmarkStart w:id="5" w:name="_Toc160719256"/>
      <w:r>
        <w:rPr>
          <w:rFonts w:cs="Arial"/>
        </w:rPr>
        <w:t>Objective 2: Evaluation of the Effectiveness of the Company’s Competitive Strategy</w:t>
      </w:r>
      <w:bookmarkEnd w:id="5"/>
    </w:p>
    <w:p>
      <w:pPr>
        <w:spacing w:line="480" w:lineRule="auto"/>
        <w:jc w:val="both"/>
        <w:rPr>
          <w:rFonts w:cs="Arial"/>
          <w:color w:val="222222"/>
          <w:szCs w:val="24"/>
          <w:shd w:val="clear" w:color="auto" w:fill="FFFFFF"/>
        </w:rPr>
      </w:pPr>
      <w:r>
        <w:rPr>
          <w:rFonts w:cs="Arial"/>
          <w:szCs w:val="24"/>
        </w:rPr>
        <w:t>The four identified competitive strategies from Tesla have proven to be effective and require proper evaluation. The first strategy under consideration is technological leadership, which is dominant at Tesla. Technological leadership is effective in the company because it features the existence of a premium image. Premium image establishes brand differentiation, and Tesla is utilising this to market its products (</w:t>
      </w:r>
      <w:r>
        <w:rPr>
          <w:rFonts w:cs="Arial"/>
          <w:color w:val="222222"/>
          <w:szCs w:val="24"/>
          <w:shd w:val="clear" w:color="auto" w:fill="FFFFFF"/>
        </w:rPr>
        <w:t>Dai, 2020)</w:t>
      </w:r>
      <w:r>
        <w:rPr>
          <w:rFonts w:cs="Arial"/>
          <w:szCs w:val="24"/>
        </w:rPr>
        <w:t>. Technological leadership has facilitated the improvement of product quality, which has facilitated the increase in sales of the company's products. While focusing on model X/S cars, Tesla has witnessed over 200% sales of the two cars from 2020 to 2023. The number of sales of the two models in 2020 was 499, 000 and there which improved to 1.8 million in 2023 (</w:t>
      </w:r>
      <w:r>
        <w:rPr>
          <w:rFonts w:cs="Arial"/>
          <w:color w:val="222222"/>
          <w:szCs w:val="24"/>
          <w:shd w:val="clear" w:color="auto" w:fill="FFFFFF"/>
        </w:rPr>
        <w:t>Shen, 2023)</w:t>
      </w:r>
      <w:r>
        <w:rPr>
          <w:rFonts w:cs="Arial"/>
          <w:szCs w:val="24"/>
        </w:rPr>
        <w:t>. The competitive strategy has proven its effectiveness because of the sleek design that consumers want to make purchases. The strategy is advantageous because it facilitates brand differentiation, and this is what most consumers love. Cybertruck is one of the products that brings differentiation for the company's brand, encouraging consumers to make purchases to have new experiences (</w:t>
      </w:r>
      <w:r>
        <w:rPr>
          <w:rFonts w:cs="Arial"/>
          <w:color w:val="222222"/>
          <w:szCs w:val="24"/>
          <w:shd w:val="clear" w:color="auto" w:fill="FFFFFF"/>
        </w:rPr>
        <w:t>Lang et al., 2021)</w:t>
      </w:r>
      <w:r>
        <w:rPr>
          <w:rFonts w:cs="Arial"/>
          <w:szCs w:val="24"/>
        </w:rPr>
        <w:t xml:space="preserve">. However, as presented by </w:t>
      </w:r>
      <w:r>
        <w:rPr>
          <w:rFonts w:cs="Arial"/>
          <w:color w:val="222222"/>
          <w:szCs w:val="24"/>
          <w:shd w:val="clear" w:color="auto" w:fill="FFFFFF"/>
        </w:rPr>
        <w:t>Shen (2023), the technology leadership has its disadvantages. One of the disadvantages is the increased level of technological development. This encourages more research to ensure the company is relevant in the automotive industry. Therefore, Tesla suffers from overextending budgets, which causes strain on its financial resources. Despite the profits obtained by the company, it could be more if more resources were not required for research and development.</w:t>
      </w:r>
    </w:p>
    <w:p>
      <w:pPr>
        <w:spacing w:line="480" w:lineRule="auto"/>
        <w:jc w:val="both"/>
        <w:rPr>
          <w:rFonts w:cs="Arial"/>
          <w:color w:val="222222"/>
          <w:szCs w:val="24"/>
          <w:shd w:val="clear" w:color="auto" w:fill="FFFFFF"/>
        </w:rPr>
      </w:pPr>
      <w:r>
        <w:rPr>
          <w:rFonts w:cs="Arial"/>
          <w:color w:val="222222"/>
          <w:szCs w:val="24"/>
          <w:shd w:val="clear" w:color="auto" w:fill="FFFFFF"/>
        </w:rPr>
        <w:t xml:space="preserve">The report identified cost leadership as another competitive strategy within the company. Cost leadership within Tesla features vertical integration, which the company identifies to reduce production costs by more than 12%. Vertical integration under cost leadership has ensured quality assurance, especially on the products that are manufactured in-house. This identifies that products such as batteries are of higher quality. The quality of the batteries and other products that are used within the vehicles have facilitated the increase in the number of ales the company obtains. When analysing the sustainability model, Yahdiyani et al. (2023) identified that Tesla's revenue is high because of the competitive strategies on cost control. </w:t>
      </w:r>
    </w:p>
    <w:p>
      <w:pPr>
        <w:spacing w:line="480" w:lineRule="auto"/>
        <w:jc w:val="both"/>
        <w:rPr>
          <w:rFonts w:cs="Arial"/>
          <w:szCs w:val="24"/>
        </w:rPr>
      </w:pPr>
      <w:r>
        <w:rPr>
          <w:rFonts w:cs="Arial"/>
          <w:szCs w:val="24"/>
          <w:lang w:val="en-US"/>
        </w:rPr>
        <w:drawing>
          <wp:inline distT="0" distB="0" distL="0" distR="0">
            <wp:extent cx="5943600" cy="39255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stretch>
                      <a:fillRect/>
                    </a:stretch>
                  </pic:blipFill>
                  <pic:spPr>
                    <a:xfrm>
                      <a:off x="0" y="0"/>
                      <a:ext cx="5943600" cy="3925570"/>
                    </a:xfrm>
                    <a:prstGeom prst="rect">
                      <a:avLst/>
                    </a:prstGeom>
                  </pic:spPr>
                </pic:pic>
              </a:graphicData>
            </a:graphic>
          </wp:inline>
        </w:drawing>
      </w:r>
    </w:p>
    <w:p>
      <w:pPr>
        <w:spacing w:line="480" w:lineRule="auto"/>
        <w:jc w:val="center"/>
        <w:rPr>
          <w:rFonts w:cs="Arial"/>
          <w:i/>
          <w:szCs w:val="24"/>
        </w:rPr>
      </w:pPr>
      <w:r>
        <w:rPr>
          <w:rFonts w:cs="Arial"/>
          <w:i/>
          <w:szCs w:val="24"/>
        </w:rPr>
        <w:t>Figure 1.1: Tesla Revenue since 2008 (Statista 2024)</w:t>
      </w:r>
    </w:p>
    <w:p>
      <w:pPr>
        <w:spacing w:line="480" w:lineRule="auto"/>
        <w:jc w:val="both"/>
        <w:rPr>
          <w:rFonts w:cs="Arial"/>
          <w:color w:val="222222"/>
          <w:szCs w:val="24"/>
          <w:shd w:val="clear" w:color="auto" w:fill="FFFFFF"/>
        </w:rPr>
      </w:pPr>
      <w:r>
        <w:rPr>
          <w:rFonts w:cs="Arial"/>
          <w:szCs w:val="24"/>
        </w:rPr>
        <w:t xml:space="preserve">Figure 1.1 illustrates the revenue Tesla acquired over the past ten years. According to Statista (2024), the company's 2023 revenue was 96 billion dollars. This justifies the effectiveness of the different strategies that the company utilises to stay competitive. The use of vertical integration and economies of scale has elevated the production and quality of the products, meaning that the consumers can acquire the products they demand at a higher quality than the competitors. On the other hand, the research by </w:t>
      </w:r>
      <w:r>
        <w:rPr>
          <w:rFonts w:cs="Arial"/>
          <w:color w:val="222222"/>
          <w:szCs w:val="24"/>
          <w:shd w:val="clear" w:color="auto" w:fill="FFFFFF"/>
        </w:rPr>
        <w:t>Yahdiyani et al. (2023) talked of competitive catch-up established vertical integration. General Motors and Ford Motor Company are at the forefront of using the same competitive strategies. This is a disadvantage for Tesla because they are caught up in their level of production and ability to stay relevant in the automotive industry.  Another disadvantage is the operation complexity, which can be hard for companies such as Tesla to maintain large-scale production. Maintaining economies of scale requires the integration of return on investments. However, this might be compromised by small mistakes in the production within the company.</w:t>
      </w:r>
    </w:p>
    <w:p>
      <w:pPr>
        <w:spacing w:line="480" w:lineRule="auto"/>
        <w:jc w:val="both"/>
        <w:rPr>
          <w:rFonts w:cs="Arial"/>
          <w:color w:val="222222"/>
          <w:szCs w:val="24"/>
          <w:shd w:val="clear" w:color="auto" w:fill="FFFFFF"/>
        </w:rPr>
      </w:pPr>
      <w:r>
        <w:rPr>
          <w:rFonts w:cs="Arial"/>
          <w:color w:val="222222"/>
          <w:szCs w:val="24"/>
          <w:shd w:val="clear" w:color="auto" w:fill="FFFFFF"/>
        </w:rPr>
        <w:t>The third competitive strategy identified is technological leadership, which is fundamental within Tesla. The utilisation of technology leadership as a competitive strategy has facilitated the development of various advantages within Tesla. The first advantage is setting a competitive edge in place through its products. Tesla was among the first companies to launch automotive driving technology, which was one of the significant moves within the automotive industry. According to Kosuru and Venkitaraman (2023), autonomous self-driving was one of the greatest interventions that would help people move from one point to another. This technology facilitated an increase in the number of consumers buying cars. Besides, this constituted the development of a revenue of more than 96 billion, which was achieved in 2023 (Statista 2024). Furthermore, the strategy generates a market differentiation, generating an increase in the number of consumers because of their uniqueness through the use of technology. Among the disadvantages that can be captured from the competitive strategy are the potential risks of cyber security and data privacy. The increase in the number of hackers puts the company's products to the test. Most consumers prefer not to make Tesla purchases because they fear being stolen.</w:t>
      </w:r>
    </w:p>
    <w:p>
      <w:pPr>
        <w:spacing w:line="480" w:lineRule="auto"/>
        <w:jc w:val="both"/>
        <w:rPr>
          <w:rFonts w:cs="Arial"/>
          <w:color w:val="222222"/>
          <w:szCs w:val="24"/>
          <w:shd w:val="clear" w:color="auto" w:fill="FFFFFF"/>
        </w:rPr>
      </w:pPr>
      <w:r>
        <w:rPr>
          <w:rFonts w:cs="Arial"/>
          <w:color w:val="222222"/>
          <w:szCs w:val="24"/>
          <w:shd w:val="clear" w:color="auto" w:fill="FFFFFF"/>
        </w:rPr>
        <w:t xml:space="preserve">The last strategy identified was </w:t>
      </w:r>
      <w:r>
        <w:rPr>
          <w:rFonts w:cs="Arial"/>
          <w:szCs w:val="24"/>
        </w:rPr>
        <w:t xml:space="preserve">global presence and market expansion, which has identified its effectiveness within Tesla. </w:t>
      </w:r>
      <w:r>
        <w:rPr>
          <w:rFonts w:cs="Arial"/>
          <w:color w:val="222222"/>
          <w:szCs w:val="24"/>
          <w:shd w:val="clear" w:color="auto" w:fill="FFFFFF"/>
        </w:rPr>
        <w:t>The first effectiveness that keeps on recurring is the increased revenue the company has witnessed over the past few years. The market expansion, especially the development of gigafactories in different regions across the world, has increased production, which has spiked higher sales. While reflecting on Figure 1.1, the revenue for Tesla has been increasing since 2014 until now. This is because of the establishment of the Nevada Gigafactory in 2014 and others that came on later, such as the Germany Gigafactory established in 2022 (</w:t>
      </w:r>
      <w:r>
        <w:rPr>
          <w:rFonts w:cs="Arial"/>
          <w:color w:val="000000"/>
          <w:szCs w:val="24"/>
        </w:rPr>
        <w:t>Shead, 2022)</w:t>
      </w:r>
      <w:r>
        <w:rPr>
          <w:rFonts w:cs="Arial"/>
          <w:color w:val="222222"/>
          <w:szCs w:val="24"/>
          <w:shd w:val="clear" w:color="auto" w:fill="FFFFFF"/>
        </w:rPr>
        <w:t>. The advantages of the competitive strategy include accessing emerging markets and improvement of economies of scale. However, the disadvantages identified within the competitive strategy include economic and political risks, especially the one witnessed in 2020 during COVID-19. Despite Tesla's flourishing in 2020 during the pandemic, the strategy it is using can be adverse when political risks occur.</w:t>
      </w:r>
    </w:p>
    <w:p>
      <w:pPr>
        <w:pStyle w:val="2"/>
        <w:rPr>
          <w:rFonts w:cs="Arial"/>
        </w:rPr>
      </w:pPr>
      <w:bookmarkStart w:id="6" w:name="_Toc160719257"/>
      <w:r>
        <w:rPr>
          <w:rFonts w:cs="Arial"/>
        </w:rPr>
        <w:t>Objective 3: Recommendation for Tesla’s future.</w:t>
      </w:r>
      <w:bookmarkEnd w:id="6"/>
    </w:p>
    <w:p>
      <w:pPr>
        <w:spacing w:line="480" w:lineRule="auto"/>
        <w:jc w:val="both"/>
        <w:rPr>
          <w:rFonts w:cs="Arial"/>
          <w:szCs w:val="24"/>
        </w:rPr>
      </w:pPr>
      <w:r>
        <w:rPr>
          <w:rFonts w:cs="Arial"/>
          <w:szCs w:val="24"/>
        </w:rPr>
        <w:t xml:space="preserve">The current competitive strategies for Tesla have proven their significance in the success the company is witnessing. However, several recommendations will enhance the company's competitiveness against its competitors (Islami et al., 2020; </w:t>
      </w:r>
      <w:r>
        <w:rPr>
          <w:rFonts w:cs="Arial"/>
          <w:color w:val="222222"/>
          <w:szCs w:val="24"/>
          <w:shd w:val="clear" w:color="auto" w:fill="FFFFFF"/>
        </w:rPr>
        <w:t>Ali and Anwar 2021</w:t>
      </w:r>
      <w:r>
        <w:rPr>
          <w:rFonts w:cs="Arial"/>
          <w:szCs w:val="24"/>
        </w:rPr>
        <w:t xml:space="preserve">). The first recommendation is to improve product differentiation to feature more products. Tesla should concentrate on its product portfolio to ensure that its consumers get different products and services from the company. When analysing the products manufactured and produced by Tesla, they are not varied. The Tesla models are less than 10, meaning that the consumers are not getting the variety they might require based on their tastes and preferences. Therefore, concentrating on product differentiation will not only allow ease in penetrating the market but also allow the development of products that fit consumers' budgets.  Through conducting a longitudinal study on the importance of product differentiation, the study by Chen et al. (2023) identifies it to increase customer base in different regions. Implementation of the strategy will allow Tesla to stay competitive, especially by conquering companies such as Toyota and Nissan that have dominated the world. </w:t>
      </w:r>
    </w:p>
    <w:p>
      <w:pPr>
        <w:spacing w:line="480" w:lineRule="auto"/>
        <w:jc w:val="both"/>
        <w:rPr>
          <w:rFonts w:cs="Arial"/>
          <w:color w:val="222222"/>
          <w:szCs w:val="24"/>
          <w:shd w:val="clear" w:color="auto" w:fill="FFFFFF"/>
        </w:rPr>
      </w:pPr>
      <w:r>
        <w:rPr>
          <w:rFonts w:cs="Arial"/>
          <w:szCs w:val="24"/>
        </w:rPr>
        <w:t xml:space="preserve">The second recommendation that the company can utilise is sustainable practices, which should fully concentrate on the manufacturing process.  According to </w:t>
      </w:r>
      <w:r>
        <w:rPr>
          <w:rFonts w:cs="Arial"/>
          <w:color w:val="222222"/>
          <w:szCs w:val="24"/>
          <w:shd w:val="clear" w:color="auto" w:fill="FFFFFF"/>
        </w:rPr>
        <w:t>Setyaningrum et al. (2023), the sustainability of businesses establishes more concentration and focus from the consumers. Tesla has been identified as a sustainable company because of the manufacturing of electric vehicles. However, the manufacturing sustainability of the company is not considered 100%, meaning that consumers might prefer other companies. Sustainable practices in the future will stand out for the company because they will enhance brand appeal and address different regulatory trends (Nasifoglu et al., 2020). Besides, some countries want a product that has been sustainably produced, meaning Tesla will acquire a competitive advantage through that (Maradin et al., 2022).</w:t>
      </w:r>
    </w:p>
    <w:p>
      <w:pPr>
        <w:spacing w:line="480" w:lineRule="auto"/>
        <w:jc w:val="both"/>
        <w:rPr>
          <w:rFonts w:cs="Arial"/>
          <w:color w:val="222222"/>
          <w:szCs w:val="24"/>
          <w:shd w:val="clear" w:color="auto" w:fill="FFFFFF"/>
        </w:rPr>
      </w:pPr>
      <w:r>
        <w:rPr>
          <w:rFonts w:cs="Arial"/>
          <w:color w:val="222222"/>
          <w:szCs w:val="24"/>
          <w:shd w:val="clear" w:color="auto" w:fill="FFFFFF"/>
        </w:rPr>
        <w:t xml:space="preserve">Another recommendation is for the company to be involved in strategic partnerships with the government and other organisations. Competitiveness at Tesla requires the integration of improved levels of infrastructures such as roads. Therefore, the company's partnering with different governments across the world will allow for the improvement of such infrastructure, allowing consumers from such countries to make purchases of the products. Electric vehicle use in the world is low, given that more developing and underdeveloped countries lack the ideal infrastructure. This means that the percentage of the consumers Tesla considers as potentially small. However, expanding the projected number of consumers through improved technology acts as an effective way to stay competitive. Besides, consumers want to purchase products from companies that have promoted their level of infrastructure. Despite the move being complex, especially in terms of the required expenses, this will be one of the most significant markets for the company in years. The recommendations have proven some complexities because of the different regulations that countries or regions have, but Tesla can overcome this and establish itself within the industry. Furthermore, other recommendations might improve the company's level of competitiveness in the future, including investing more in battery technology and focusing on educating consumers about the company’s products and services. </w:t>
      </w:r>
    </w:p>
    <w:p>
      <w:pPr>
        <w:pStyle w:val="2"/>
        <w:rPr>
          <w:rFonts w:cs="Arial"/>
        </w:rPr>
      </w:pPr>
      <w:bookmarkStart w:id="7" w:name="_Toc160719258"/>
      <w:r>
        <w:rPr>
          <w:rFonts w:cs="Arial"/>
        </w:rPr>
        <w:t>Conclusion</w:t>
      </w:r>
      <w:bookmarkEnd w:id="7"/>
    </w:p>
    <w:p>
      <w:pPr>
        <w:spacing w:line="480" w:lineRule="auto"/>
        <w:jc w:val="both"/>
        <w:rPr>
          <w:rFonts w:cs="Arial"/>
          <w:szCs w:val="24"/>
        </w:rPr>
      </w:pPr>
      <w:r>
        <w:rPr>
          <w:rFonts w:cs="Arial"/>
          <w:szCs w:val="24"/>
        </w:rPr>
        <w:t>This research has developed various insights into a competitive strategy that exists at Tesla. The competitive strategies identified include a differentiation strategy that features innovation leadership, cost leadership featuring vertical integration and economies of scale, technology leadership and market expansion. The identified strategies have demonstrated consistency in making Tesla competitive, causing an increase in revenue and increased ranking for the organisation. Besides, the report has pointed out that Tesla is focusing on an offensive strategy, which ensures that the industry changes. The offensive competitive strategy, being a corporative strategy, has proven the consistency of Tesla in using technology for development and increasing its relevance within the market. The Porters. Generic Strategies have been identified in each of the competitive strategies that Tesla is concentrating on, including differentiation and cost leadership. The report has made recommendations for the organisation and identified the need for Tesla to concentrate more on product differentiation, which would encourage the existence of a variety of products that would have different costs. The report also identified that Tesla should concentrate and invest more in sustainable production practices. Sustainable production encourages more customers to purchase from the company, knowing that the company is protecting the environment. Tesla should also concentrate on joining hands with other organisations and governments to improve infrastructure so that their products might acquire more consumers. This research has offered a comprehensive look at Tesla; however, future research should concentrate on the identification of the advantages and disadvantages of the recommendation made for a company. The analysis of the recommendation would allow ease in demonstrating how effective it will be when the company utilises it.</w:t>
      </w:r>
    </w:p>
    <w:p>
      <w:pPr>
        <w:spacing w:after="0" w:line="480" w:lineRule="auto"/>
        <w:rPr>
          <w:rFonts w:cs="Arial" w:eastAsiaTheme="majorEastAsia"/>
          <w:color w:val="2F5597" w:themeColor="accent1" w:themeShade="BF"/>
          <w:szCs w:val="24"/>
        </w:rPr>
      </w:pPr>
      <w:r>
        <w:rPr>
          <w:rFonts w:cs="Arial"/>
          <w:szCs w:val="24"/>
        </w:rPr>
        <w:br w:type="page"/>
      </w:r>
    </w:p>
    <w:p>
      <w:pPr>
        <w:pStyle w:val="2"/>
        <w:rPr>
          <w:rFonts w:cs="Arial"/>
        </w:rPr>
      </w:pPr>
      <w:bookmarkStart w:id="8" w:name="_Toc160719259"/>
      <w:r>
        <w:rPr>
          <w:rFonts w:cs="Arial"/>
        </w:rPr>
        <w:t>References</w:t>
      </w:r>
      <w:bookmarkEnd w:id="8"/>
    </w:p>
    <w:p>
      <w:pPr>
        <w:pStyle w:val="8"/>
        <w:spacing w:after="240" w:line="480" w:lineRule="auto"/>
        <w:ind w:left="720" w:hanging="720"/>
        <w:rPr>
          <w:rFonts w:ascii="Arial" w:hAnsi="Arial" w:cs="Arial"/>
          <w:color w:val="000000"/>
        </w:rPr>
      </w:pPr>
      <w:r>
        <w:rPr>
          <w:rFonts w:ascii="Arial" w:hAnsi="Arial" w:cs="Arial"/>
          <w:color w:val="000000"/>
        </w:rPr>
        <w:t>Ali, B.J. and Anwar, G., 2021. Porter’s Generic Competitive Strategies and its influence on the Competitive Advantage. Ali, BJ, &amp; Anwar, G.(2021). Porter’s Generic Competitive Strategies and its influence on the Competitive Advantage. International Journal of Advanced Engineering, Management and Science, 7(6), pp.42-51.</w:t>
      </w:r>
    </w:p>
    <w:p>
      <w:pPr>
        <w:pStyle w:val="8"/>
        <w:spacing w:before="0" w:beforeAutospacing="0" w:after="240" w:afterAutospacing="0" w:line="480" w:lineRule="auto"/>
        <w:ind w:left="720" w:hanging="720"/>
        <w:rPr>
          <w:rFonts w:ascii="Arial" w:hAnsi="Arial" w:cs="Arial"/>
          <w:color w:val="222222"/>
          <w:shd w:val="clear" w:color="auto" w:fill="FFFFFF"/>
        </w:rPr>
      </w:pPr>
      <w:r>
        <w:rPr>
          <w:rFonts w:ascii="Arial" w:hAnsi="Arial" w:cs="Arial"/>
          <w:color w:val="222222"/>
          <w:shd w:val="clear" w:color="auto" w:fill="FFFFFF"/>
        </w:rPr>
        <w:t>Chen, Y.C., Arnold, T., Liu, P.Y. and Huang, C.Y., 2023. Understanding the role of entrepreneurial orientation in creating ambidextrous competitive advantage: a comparative-design, longitudinal study. </w:t>
      </w:r>
      <w:r>
        <w:rPr>
          <w:rFonts w:ascii="Arial" w:hAnsi="Arial" w:cs="Arial"/>
          <w:i/>
          <w:iCs/>
          <w:color w:val="222222"/>
          <w:shd w:val="clear" w:color="auto" w:fill="FFFFFF"/>
        </w:rPr>
        <w:t>European Journal of Marketing</w:t>
      </w:r>
      <w:r>
        <w:rPr>
          <w:rFonts w:ascii="Arial" w:hAnsi="Arial" w:cs="Arial"/>
          <w:color w:val="222222"/>
          <w:shd w:val="clear" w:color="auto" w:fill="FFFFFF"/>
        </w:rPr>
        <w:t>, </w:t>
      </w:r>
      <w:r>
        <w:rPr>
          <w:rFonts w:ascii="Arial" w:hAnsi="Arial" w:cs="Arial"/>
          <w:i/>
          <w:iCs/>
          <w:color w:val="222222"/>
          <w:shd w:val="clear" w:color="auto" w:fill="FFFFFF"/>
        </w:rPr>
        <w:t>57</w:t>
      </w:r>
      <w:r>
        <w:rPr>
          <w:rFonts w:ascii="Arial" w:hAnsi="Arial" w:cs="Arial"/>
          <w:color w:val="222222"/>
          <w:shd w:val="clear" w:color="auto" w:fill="FFFFFF"/>
        </w:rPr>
        <w:t>(1), pp.89-124.</w:t>
      </w:r>
    </w:p>
    <w:p>
      <w:pPr>
        <w:pStyle w:val="8"/>
        <w:spacing w:after="240" w:line="480" w:lineRule="auto"/>
        <w:ind w:left="720" w:hanging="720"/>
        <w:rPr>
          <w:rFonts w:ascii="Arial" w:hAnsi="Arial" w:cs="Arial"/>
          <w:color w:val="000000"/>
        </w:rPr>
      </w:pPr>
      <w:r>
        <w:rPr>
          <w:rFonts w:ascii="Arial" w:hAnsi="Arial" w:cs="Arial"/>
          <w:color w:val="000000"/>
        </w:rPr>
        <w:t>Cooke, P., 2020. Gigafactory logistics in space and time: Tesla’s fourth gigafactory and its rivals. Sustainability, 12(5), p.2044.</w:t>
      </w:r>
    </w:p>
    <w:p>
      <w:pPr>
        <w:spacing w:line="480" w:lineRule="auto"/>
        <w:ind w:left="720" w:hanging="720"/>
        <w:rPr>
          <w:rFonts w:cs="Arial"/>
          <w:color w:val="222222"/>
          <w:szCs w:val="24"/>
          <w:shd w:val="clear" w:color="auto" w:fill="FFFFFF"/>
        </w:rPr>
      </w:pPr>
      <w:r>
        <w:rPr>
          <w:rFonts w:cs="Arial"/>
          <w:color w:val="222222"/>
          <w:szCs w:val="24"/>
          <w:shd w:val="clear" w:color="auto" w:fill="FFFFFF"/>
        </w:rPr>
        <w:t>Dai, R. 2020. The Analysis of Tesla's Competitive Strategy for the Chinese Market. </w:t>
      </w:r>
      <w:r>
        <w:rPr>
          <w:rFonts w:cs="Arial"/>
          <w:i/>
          <w:iCs/>
          <w:color w:val="222222"/>
          <w:szCs w:val="24"/>
          <w:shd w:val="clear" w:color="auto" w:fill="FFFFFF"/>
        </w:rPr>
        <w:t>The University of Nottingham</w:t>
      </w:r>
      <w:r>
        <w:rPr>
          <w:rFonts w:cs="Arial"/>
          <w:color w:val="222222"/>
          <w:szCs w:val="24"/>
          <w:shd w:val="clear" w:color="auto" w:fill="FFFFFF"/>
        </w:rPr>
        <w:t>, (199).</w:t>
      </w:r>
    </w:p>
    <w:p>
      <w:pPr>
        <w:pStyle w:val="8"/>
        <w:spacing w:after="240" w:line="480" w:lineRule="auto"/>
        <w:ind w:left="720" w:hanging="720"/>
        <w:rPr>
          <w:rFonts w:ascii="Arial" w:hAnsi="Arial" w:cs="Arial"/>
          <w:color w:val="000000"/>
        </w:rPr>
      </w:pPr>
      <w:r>
        <w:rPr>
          <w:rFonts w:ascii="Arial" w:hAnsi="Arial" w:cs="Arial"/>
          <w:color w:val="000000"/>
        </w:rPr>
        <w:t>Ding, J. and He, Y., 2022, April. Tesla Pricing Strategy Analysis: Take Model 3 as an Example. In 2022 7th International Conference on Social Sciences and Economic Development (ICSSED 2022) (pp. 1010-1014). Atlantis Press.</w:t>
      </w:r>
    </w:p>
    <w:p>
      <w:pPr>
        <w:pStyle w:val="8"/>
        <w:spacing w:after="240" w:line="480" w:lineRule="auto"/>
        <w:ind w:left="720" w:hanging="720"/>
        <w:rPr>
          <w:rFonts w:ascii="Arial" w:hAnsi="Arial" w:cs="Arial"/>
          <w:color w:val="000000"/>
        </w:rPr>
      </w:pPr>
      <w:r>
        <w:rPr>
          <w:rFonts w:ascii="Arial" w:hAnsi="Arial" w:cs="Arial"/>
          <w:color w:val="000000"/>
        </w:rPr>
        <w:t>Giménez, M.C., 2022. Case Study: A Five Year Business Strategic Plan for Tesla.</w:t>
      </w:r>
    </w:p>
    <w:p>
      <w:pPr>
        <w:pStyle w:val="8"/>
        <w:spacing w:before="0" w:beforeAutospacing="0" w:after="240" w:afterAutospacing="0" w:line="480" w:lineRule="auto"/>
        <w:ind w:left="720" w:hanging="720"/>
        <w:rPr>
          <w:rFonts w:ascii="Arial" w:hAnsi="Arial" w:cs="Arial"/>
          <w:color w:val="000000"/>
        </w:rPr>
      </w:pPr>
      <w:r>
        <w:rPr>
          <w:rFonts w:ascii="Arial" w:hAnsi="Arial" w:cs="Arial"/>
          <w:color w:val="000000"/>
        </w:rPr>
        <w:t>Hensmans, M., 2023. Winning the innovation game in emerging markets. Journal of Business Strategy, 44(4), pp.219-227.</w:t>
      </w:r>
    </w:p>
    <w:p>
      <w:pPr>
        <w:pStyle w:val="8"/>
        <w:spacing w:after="240" w:line="480" w:lineRule="auto"/>
        <w:ind w:left="720" w:hanging="720"/>
        <w:rPr>
          <w:rFonts w:ascii="Arial" w:hAnsi="Arial" w:cs="Arial"/>
          <w:color w:val="000000"/>
        </w:rPr>
      </w:pPr>
      <w:r>
        <w:rPr>
          <w:rFonts w:ascii="Arial" w:hAnsi="Arial" w:cs="Arial"/>
          <w:color w:val="000000"/>
        </w:rPr>
        <w:t>Hetzel, R., 2021. Giga Shed Urbanism: Reimagining the Tesla Gigafactory as Civic Space (Doctoral dissertation, State University of New York at Buffalo).</w:t>
      </w:r>
    </w:p>
    <w:p>
      <w:pPr>
        <w:pStyle w:val="8"/>
        <w:spacing w:before="0" w:beforeAutospacing="0" w:after="240" w:afterAutospacing="0" w:line="480" w:lineRule="auto"/>
        <w:ind w:left="720" w:hanging="720"/>
        <w:rPr>
          <w:rFonts w:ascii="Arial" w:hAnsi="Arial" w:cs="Arial"/>
          <w:color w:val="222222"/>
          <w:shd w:val="clear" w:color="auto" w:fill="FFFFFF"/>
        </w:rPr>
      </w:pPr>
      <w:r>
        <w:rPr>
          <w:rFonts w:ascii="Arial" w:hAnsi="Arial" w:cs="Arial"/>
          <w:color w:val="222222"/>
          <w:shd w:val="clear" w:color="auto" w:fill="FFFFFF"/>
        </w:rPr>
        <w:t>Islami, X., Mustafa, N. and Topuzovska Latkovikj, M., 2020. Linking Porter’s generic strategies to firm performance. Future Business Journal, 6, pp.1-15.</w:t>
      </w:r>
    </w:p>
    <w:p>
      <w:pPr>
        <w:pStyle w:val="8"/>
        <w:spacing w:after="240" w:line="480" w:lineRule="auto"/>
        <w:ind w:left="720" w:hanging="720"/>
        <w:rPr>
          <w:rFonts w:ascii="Arial" w:hAnsi="Arial" w:cs="Arial"/>
          <w:color w:val="000000"/>
        </w:rPr>
      </w:pPr>
      <w:r>
        <w:rPr>
          <w:rFonts w:ascii="Arial" w:hAnsi="Arial" w:cs="Arial"/>
          <w:color w:val="000000"/>
        </w:rPr>
        <w:t>Islami, X., Topuzovska Latkovikj, M., Drakulevski, L. and Borota Popovska, M., 2020. Does differentiation strategy model matter? Designation of organizational performance using differentiation strategy instruments–an empirical analysis. Designation of organizational performance using differentiation strategy instruments–an empirical analysis (February 14, 2020). Islami, X., Latkovikj, MT, Drakulevski, L., &amp; Popovska, MB, pp.158-177.</w:t>
      </w:r>
    </w:p>
    <w:p>
      <w:pPr>
        <w:pStyle w:val="8"/>
        <w:spacing w:before="0" w:beforeAutospacing="0" w:after="240" w:afterAutospacing="0" w:line="480" w:lineRule="auto"/>
        <w:ind w:left="720" w:hanging="720"/>
        <w:rPr>
          <w:rFonts w:ascii="Arial" w:hAnsi="Arial" w:cs="Arial"/>
          <w:color w:val="000000"/>
        </w:rPr>
      </w:pPr>
      <w:r>
        <w:rPr>
          <w:rFonts w:ascii="Arial" w:hAnsi="Arial" w:cs="Arial"/>
          <w:color w:val="222222"/>
          <w:shd w:val="clear" w:color="auto" w:fill="FFFFFF"/>
        </w:rPr>
        <w:t>Kosuru, V.S.R. and Venkitaraman, A.K., 2023. Advancements and challenges in achieving fully autonomous self-driving vehicles. </w:t>
      </w:r>
      <w:r>
        <w:rPr>
          <w:rFonts w:ascii="Arial" w:hAnsi="Arial" w:cs="Arial"/>
          <w:i/>
          <w:iCs/>
          <w:color w:val="222222"/>
          <w:shd w:val="clear" w:color="auto" w:fill="FFFFFF"/>
        </w:rPr>
        <w:t>World Journal of Advanced Research and Reviews</w:t>
      </w:r>
      <w:r>
        <w:rPr>
          <w:rFonts w:ascii="Arial" w:hAnsi="Arial" w:cs="Arial"/>
          <w:color w:val="222222"/>
          <w:shd w:val="clear" w:color="auto" w:fill="FFFFFF"/>
        </w:rPr>
        <w:t>, </w:t>
      </w:r>
      <w:r>
        <w:rPr>
          <w:rFonts w:ascii="Arial" w:hAnsi="Arial" w:cs="Arial"/>
          <w:i/>
          <w:iCs/>
          <w:color w:val="222222"/>
          <w:shd w:val="clear" w:color="auto" w:fill="FFFFFF"/>
        </w:rPr>
        <w:t>18</w:t>
      </w:r>
      <w:r>
        <w:rPr>
          <w:rFonts w:ascii="Arial" w:hAnsi="Arial" w:cs="Arial"/>
          <w:color w:val="222222"/>
          <w:shd w:val="clear" w:color="auto" w:fill="FFFFFF"/>
        </w:rPr>
        <w:t>(1), pp.161-167.</w:t>
      </w:r>
      <w:r>
        <w:rPr>
          <w:rFonts w:ascii="Arial" w:hAnsi="Arial" w:cs="Arial"/>
          <w:color w:val="000000"/>
        </w:rPr>
        <w:t xml:space="preserve"> </w:t>
      </w:r>
    </w:p>
    <w:p>
      <w:pPr>
        <w:pStyle w:val="8"/>
        <w:spacing w:after="240" w:line="480" w:lineRule="auto"/>
        <w:ind w:left="720" w:hanging="720"/>
        <w:rPr>
          <w:rFonts w:ascii="Arial" w:hAnsi="Arial" w:cs="Arial"/>
          <w:color w:val="000000"/>
        </w:rPr>
      </w:pPr>
      <w:r>
        <w:rPr>
          <w:rFonts w:ascii="Arial" w:hAnsi="Arial" w:cs="Arial"/>
          <w:color w:val="000000"/>
        </w:rPr>
        <w:t>Lang, J.W., Reber, B. and Aldori, H., 2021. How Tesla created advantages in the ev automotive paradigm, through an integrated business model of value capture and value creation. Business &amp; Management Studies: An International Journal, 9(1), pp.385-404.</w:t>
      </w:r>
    </w:p>
    <w:p>
      <w:pPr>
        <w:pStyle w:val="8"/>
        <w:spacing w:after="240" w:line="480" w:lineRule="auto"/>
        <w:ind w:left="720" w:hanging="720"/>
        <w:rPr>
          <w:rFonts w:ascii="Arial" w:hAnsi="Arial" w:cs="Arial"/>
          <w:color w:val="000000"/>
        </w:rPr>
      </w:pPr>
      <w:r>
        <w:rPr>
          <w:rFonts w:ascii="Arial" w:hAnsi="Arial" w:cs="Arial"/>
          <w:color w:val="000000"/>
        </w:rPr>
        <w:t>Liu, J. and Zhou, S., 2022, April. Analysis of China’s New Energy Vehicle Market Competitive Strategy: Taking Tesla and NIO as Examples. In 2022 7th International Conference on Social Sciences and Economic Development (ICSSED 2022) (pp. 356-362). Atlantis Press.</w:t>
      </w:r>
    </w:p>
    <w:p>
      <w:pPr>
        <w:pStyle w:val="8"/>
        <w:spacing w:before="0" w:beforeAutospacing="0" w:after="240" w:afterAutospacing="0" w:line="480" w:lineRule="auto"/>
        <w:ind w:left="720" w:hanging="720"/>
        <w:rPr>
          <w:rFonts w:ascii="Arial" w:hAnsi="Arial" w:cs="Arial"/>
          <w:color w:val="000000"/>
        </w:rPr>
      </w:pPr>
      <w:r>
        <w:rPr>
          <w:rFonts w:ascii="Arial" w:hAnsi="Arial" w:cs="Arial"/>
          <w:color w:val="000000"/>
        </w:rPr>
        <w:t>Maradin, D., Malnar, A. and Kaštelan, A., 2022. Sustainable and Clean Energy: The Case of Tesla Company1. Journal of Economics, Finance and Management Studies, 5(12), pp.3531-3542.</w:t>
      </w:r>
    </w:p>
    <w:p>
      <w:pPr>
        <w:pStyle w:val="8"/>
        <w:spacing w:after="240" w:line="480" w:lineRule="auto"/>
        <w:ind w:left="720" w:hanging="720"/>
        <w:rPr>
          <w:rFonts w:ascii="Arial" w:hAnsi="Arial" w:cs="Arial"/>
          <w:color w:val="000000"/>
        </w:rPr>
      </w:pPr>
      <w:r>
        <w:rPr>
          <w:rFonts w:ascii="Arial" w:hAnsi="Arial" w:cs="Arial"/>
          <w:color w:val="000000"/>
        </w:rPr>
        <w:t>Nasifoglu Elidemir, S., Ozturen, A. and Bayighomog, S.W., 2020. Innovative behaviors, employee creativity, and sustainable competitive advantage: A moderated mediation. Sustainability, 12(8), p.3295.</w:t>
      </w:r>
    </w:p>
    <w:p>
      <w:pPr>
        <w:pStyle w:val="8"/>
        <w:spacing w:after="240" w:line="480" w:lineRule="auto"/>
        <w:ind w:left="720" w:hanging="720"/>
        <w:rPr>
          <w:rFonts w:ascii="Arial" w:hAnsi="Arial" w:cs="Arial"/>
          <w:color w:val="000000"/>
        </w:rPr>
      </w:pPr>
      <w:r>
        <w:rPr>
          <w:rFonts w:ascii="Arial" w:hAnsi="Arial" w:cs="Arial"/>
          <w:color w:val="000000"/>
        </w:rPr>
        <w:t>Qiao, X., 2023. Battery Technology-Based Strategic Decisions of Electric Vehicle Firms-The Case of Tesla. Highlights in Business, Economics and Management, 21, pp.225-230.</w:t>
      </w:r>
    </w:p>
    <w:p>
      <w:pPr>
        <w:spacing w:line="480" w:lineRule="auto"/>
        <w:ind w:left="720" w:hanging="720"/>
        <w:rPr>
          <w:rFonts w:cs="Arial"/>
          <w:color w:val="222222"/>
          <w:szCs w:val="24"/>
          <w:shd w:val="clear" w:color="auto" w:fill="FFFFFF"/>
        </w:rPr>
      </w:pPr>
      <w:r>
        <w:rPr>
          <w:rFonts w:cs="Arial"/>
          <w:color w:val="222222"/>
          <w:szCs w:val="24"/>
          <w:shd w:val="clear" w:color="auto" w:fill="FFFFFF"/>
        </w:rPr>
        <w:t>Saxena, N., and Vibhandik, S. 2021. Tesla's Competitive Strategies and Emerging Markets Challenges. </w:t>
      </w:r>
      <w:r>
        <w:rPr>
          <w:rFonts w:cs="Arial"/>
          <w:i/>
          <w:iCs/>
          <w:color w:val="222222"/>
          <w:szCs w:val="24"/>
          <w:shd w:val="clear" w:color="auto" w:fill="FFFFFF"/>
        </w:rPr>
        <w:t>IUP Journal of Brand Management</w:t>
      </w:r>
      <w:r>
        <w:rPr>
          <w:rFonts w:cs="Arial"/>
          <w:color w:val="222222"/>
          <w:szCs w:val="24"/>
          <w:shd w:val="clear" w:color="auto" w:fill="FFFFFF"/>
        </w:rPr>
        <w:t>, </w:t>
      </w:r>
      <w:r>
        <w:rPr>
          <w:rFonts w:cs="Arial"/>
          <w:i/>
          <w:iCs/>
          <w:color w:val="222222"/>
          <w:szCs w:val="24"/>
          <w:shd w:val="clear" w:color="auto" w:fill="FFFFFF"/>
        </w:rPr>
        <w:t>18</w:t>
      </w:r>
      <w:r>
        <w:rPr>
          <w:rFonts w:cs="Arial"/>
          <w:color w:val="222222"/>
          <w:szCs w:val="24"/>
          <w:shd w:val="clear" w:color="auto" w:fill="FFFFFF"/>
        </w:rPr>
        <w:t xml:space="preserve">(3). </w:t>
      </w:r>
    </w:p>
    <w:p>
      <w:pPr>
        <w:pStyle w:val="8"/>
        <w:spacing w:before="0" w:beforeAutospacing="0" w:after="240" w:afterAutospacing="0" w:line="480" w:lineRule="auto"/>
        <w:ind w:left="720" w:hanging="720"/>
        <w:rPr>
          <w:rFonts w:ascii="Arial" w:hAnsi="Arial" w:cs="Arial"/>
          <w:color w:val="222222"/>
          <w:shd w:val="clear" w:color="auto" w:fill="FFFFFF"/>
        </w:rPr>
      </w:pPr>
      <w:r>
        <w:rPr>
          <w:rFonts w:ascii="Arial" w:hAnsi="Arial" w:cs="Arial"/>
          <w:color w:val="222222"/>
          <w:shd w:val="clear" w:color="auto" w:fill="FFFFFF"/>
        </w:rPr>
        <w:t>Setyaningrum, R.P., Kholid, M.N. and Susilo, P., 2023. Sustainable SMEs Performance and Green Competitive Advantage: The Role of Green Creativity, Business Independence and Green IT Empowerment. </w:t>
      </w:r>
      <w:r>
        <w:rPr>
          <w:rFonts w:ascii="Arial" w:hAnsi="Arial" w:cs="Arial"/>
          <w:i/>
          <w:iCs/>
          <w:color w:val="222222"/>
          <w:shd w:val="clear" w:color="auto" w:fill="FFFFFF"/>
        </w:rPr>
        <w:t>Sustainability</w:t>
      </w:r>
      <w:r>
        <w:rPr>
          <w:rFonts w:ascii="Arial" w:hAnsi="Arial" w:cs="Arial"/>
          <w:color w:val="222222"/>
          <w:shd w:val="clear" w:color="auto" w:fill="FFFFFF"/>
        </w:rPr>
        <w:t>, </w:t>
      </w:r>
      <w:r>
        <w:rPr>
          <w:rFonts w:ascii="Arial" w:hAnsi="Arial" w:cs="Arial"/>
          <w:i/>
          <w:iCs/>
          <w:color w:val="222222"/>
          <w:shd w:val="clear" w:color="auto" w:fill="FFFFFF"/>
        </w:rPr>
        <w:t>15</w:t>
      </w:r>
      <w:r>
        <w:rPr>
          <w:rFonts w:ascii="Arial" w:hAnsi="Arial" w:cs="Arial"/>
          <w:color w:val="222222"/>
          <w:shd w:val="clear" w:color="auto" w:fill="FFFFFF"/>
        </w:rPr>
        <w:t>(15), p.12096.</w:t>
      </w:r>
    </w:p>
    <w:p>
      <w:pPr>
        <w:pStyle w:val="8"/>
        <w:spacing w:before="0" w:beforeAutospacing="0" w:after="240" w:afterAutospacing="0" w:line="480" w:lineRule="auto"/>
        <w:ind w:left="720" w:hanging="720"/>
        <w:rPr>
          <w:rFonts w:ascii="Arial" w:hAnsi="Arial" w:cs="Arial"/>
          <w:color w:val="000000"/>
        </w:rPr>
      </w:pPr>
      <w:r>
        <w:rPr>
          <w:rFonts w:ascii="Arial" w:hAnsi="Arial" w:cs="Arial"/>
          <w:color w:val="000000"/>
        </w:rPr>
        <w:t>Shead, S. (2022). </w:t>
      </w:r>
      <w:r>
        <w:rPr>
          <w:rFonts w:ascii="Arial" w:hAnsi="Arial" w:cs="Arial"/>
          <w:i/>
          <w:iCs/>
          <w:color w:val="000000"/>
        </w:rPr>
        <w:t>Elon Musk breaks out the dance moves as he opens new Tesla factory in Germany</w:t>
      </w:r>
      <w:r>
        <w:rPr>
          <w:rFonts w:ascii="Arial" w:hAnsi="Arial" w:cs="Arial"/>
          <w:color w:val="000000"/>
        </w:rPr>
        <w:t>. [online] CNBC. Available at: https://www.cnbc.com/2022/03/22/gigafactory-berlin-tesla-ceo-elon-musk-opens-electric-vehicle-plant.html [Accessed 7 Mar. 2024].</w:t>
      </w:r>
    </w:p>
    <w:p>
      <w:pPr>
        <w:pStyle w:val="8"/>
        <w:spacing w:before="0" w:beforeAutospacing="0" w:after="240" w:afterAutospacing="0" w:line="480" w:lineRule="auto"/>
        <w:ind w:left="720" w:hanging="720"/>
        <w:rPr>
          <w:rFonts w:ascii="Arial" w:hAnsi="Arial" w:cs="Arial"/>
          <w:color w:val="000000"/>
        </w:rPr>
      </w:pPr>
      <w:r>
        <w:rPr>
          <w:rFonts w:ascii="Arial" w:hAnsi="Arial" w:cs="Arial"/>
          <w:color w:val="222222"/>
          <w:shd w:val="clear" w:color="auto" w:fill="FFFFFF"/>
        </w:rPr>
        <w:t>Shen, B., 2023. Competitive Strategies for OTA Services: Adapting the Strategic Clock for Tesla. </w:t>
      </w:r>
      <w:r>
        <w:rPr>
          <w:rFonts w:ascii="Arial" w:hAnsi="Arial" w:cs="Arial"/>
          <w:i/>
          <w:iCs/>
          <w:color w:val="222222"/>
          <w:shd w:val="clear" w:color="auto" w:fill="FFFFFF"/>
        </w:rPr>
        <w:t>Highlights in Business, Economics and Management</w:t>
      </w:r>
      <w:r>
        <w:rPr>
          <w:rFonts w:ascii="Arial" w:hAnsi="Arial" w:cs="Arial"/>
          <w:color w:val="222222"/>
          <w:shd w:val="clear" w:color="auto" w:fill="FFFFFF"/>
        </w:rPr>
        <w:t>, </w:t>
      </w:r>
      <w:r>
        <w:rPr>
          <w:rFonts w:ascii="Arial" w:hAnsi="Arial" w:cs="Arial"/>
          <w:i/>
          <w:iCs/>
          <w:color w:val="222222"/>
          <w:shd w:val="clear" w:color="auto" w:fill="FFFFFF"/>
        </w:rPr>
        <w:t>11</w:t>
      </w:r>
      <w:r>
        <w:rPr>
          <w:rFonts w:ascii="Arial" w:hAnsi="Arial" w:cs="Arial"/>
          <w:color w:val="222222"/>
          <w:shd w:val="clear" w:color="auto" w:fill="FFFFFF"/>
        </w:rPr>
        <w:t>, pp.26-32.</w:t>
      </w:r>
    </w:p>
    <w:p>
      <w:pPr>
        <w:pStyle w:val="8"/>
        <w:spacing w:after="240" w:line="480" w:lineRule="auto"/>
        <w:ind w:left="720" w:hanging="720"/>
        <w:rPr>
          <w:rFonts w:ascii="Arial" w:hAnsi="Arial" w:cs="Arial"/>
          <w:color w:val="000000"/>
        </w:rPr>
      </w:pPr>
      <w:r>
        <w:rPr>
          <w:rFonts w:ascii="Arial" w:hAnsi="Arial" w:cs="Arial"/>
          <w:color w:val="000000"/>
        </w:rPr>
        <w:t>Shen, C. and Zeng, Q., 2022, March. Research on the Marketing Communication Strategy of Tesla Motors in China under the Background of New Media. In 2022 7th International Conference on Financial Innovation and Economic Development (ICFIED 2022) (pp. 947-951). Atlantis Press.</w:t>
      </w:r>
    </w:p>
    <w:p>
      <w:pPr>
        <w:pStyle w:val="8"/>
        <w:spacing w:before="0" w:beforeAutospacing="0" w:after="240" w:afterAutospacing="0" w:line="480" w:lineRule="auto"/>
        <w:ind w:left="720" w:hanging="720"/>
        <w:rPr>
          <w:rFonts w:ascii="Arial" w:hAnsi="Arial" w:cs="Arial"/>
          <w:color w:val="000000"/>
        </w:rPr>
      </w:pPr>
      <w:r>
        <w:rPr>
          <w:rFonts w:ascii="Arial" w:hAnsi="Arial" w:cs="Arial"/>
          <w:color w:val="000000"/>
        </w:rPr>
        <w:t>Statista. (2023). </w:t>
      </w:r>
      <w:r>
        <w:rPr>
          <w:rFonts w:ascii="Arial" w:hAnsi="Arial" w:cs="Arial"/>
          <w:i/>
          <w:iCs/>
          <w:color w:val="000000"/>
        </w:rPr>
        <w:t>Tesla’s revenue 2023 | Statista</w:t>
      </w:r>
      <w:r>
        <w:rPr>
          <w:rFonts w:ascii="Arial" w:hAnsi="Arial" w:cs="Arial"/>
          <w:color w:val="000000"/>
        </w:rPr>
        <w:t xml:space="preserve">. [online] Available at: </w:t>
      </w:r>
      <w:r>
        <w:fldChar w:fldCharType="begin"/>
      </w:r>
      <w:r>
        <w:instrText xml:space="preserve"> HYPERLINK "https://www.statista.com/statistics/272120/revenue-of-tesla/" \l ":~:text=Tesla's%20revenue%20grew%20to%20nearly,is%20Tesla's%20largest%20sales%20market" </w:instrText>
      </w:r>
      <w:r>
        <w:fldChar w:fldCharType="separate"/>
      </w:r>
      <w:r>
        <w:rPr>
          <w:rStyle w:val="11"/>
          <w:rFonts w:ascii="Arial" w:hAnsi="Arial" w:cs="Arial"/>
        </w:rPr>
        <w:t>https://www.statista.com/statistics/272120/revenue-of-tesla/#:~:text=Tesla's%20revenue%20grew%20to%20nearly,is%20Tesla's%20largest%20sales%20market</w:t>
      </w:r>
      <w:r>
        <w:rPr>
          <w:rStyle w:val="11"/>
          <w:rFonts w:ascii="Arial" w:hAnsi="Arial" w:cs="Arial"/>
        </w:rPr>
        <w:fldChar w:fldCharType="end"/>
      </w:r>
      <w:r>
        <w:rPr>
          <w:rFonts w:ascii="Arial" w:hAnsi="Arial" w:cs="Arial"/>
          <w:color w:val="000000"/>
        </w:rPr>
        <w:t>.  [Accessed 7 Mar. 2024].</w:t>
      </w:r>
    </w:p>
    <w:p>
      <w:pPr>
        <w:pStyle w:val="8"/>
        <w:spacing w:before="0" w:beforeAutospacing="0" w:after="240" w:afterAutospacing="0" w:line="480" w:lineRule="auto"/>
        <w:ind w:left="720" w:hanging="720"/>
        <w:rPr>
          <w:rFonts w:ascii="Arial" w:hAnsi="Arial" w:cs="Arial"/>
          <w:color w:val="000000"/>
        </w:rPr>
      </w:pPr>
      <w:r>
        <w:rPr>
          <w:rFonts w:ascii="Arial" w:hAnsi="Arial" w:cs="Arial"/>
          <w:color w:val="000000"/>
        </w:rPr>
        <w:t>Wang, X., 2023, August. Financial Analysis and Strategic Forecast of Tesla, Inc. In International Conference on Economic Management and Green Development (pp. 1831-1841). Singapore: Springer Nature Singapore.</w:t>
      </w:r>
    </w:p>
    <w:p>
      <w:pPr>
        <w:pStyle w:val="8"/>
        <w:spacing w:after="240" w:line="480" w:lineRule="auto"/>
        <w:ind w:left="720" w:hanging="720"/>
        <w:rPr>
          <w:rFonts w:ascii="Arial" w:hAnsi="Arial" w:cs="Arial"/>
          <w:color w:val="000000"/>
        </w:rPr>
      </w:pPr>
      <w:r>
        <w:rPr>
          <w:rFonts w:ascii="Arial" w:hAnsi="Arial" w:cs="Arial"/>
          <w:color w:val="000000"/>
        </w:rPr>
        <w:t>Zaidat, O.O., Kasab, S.A., Sheth, S., Ortega</w:t>
      </w:r>
      <w:r>
        <w:rPr>
          <w:rFonts w:ascii="Cambria Math" w:hAnsi="Cambria Math" w:cs="Cambria Math"/>
          <w:color w:val="000000"/>
        </w:rPr>
        <w:t>‐</w:t>
      </w:r>
      <w:r>
        <w:rPr>
          <w:rFonts w:ascii="Arial" w:hAnsi="Arial" w:cs="Arial"/>
          <w:color w:val="000000"/>
        </w:rPr>
        <w:t>Gutierrez, S., Rai, A.T., Given, C.A., Grandhi, R., Mokin, M., Katz, J.M., Maud, A. and Gupta, R., 2023. TESLA trial: rationale, protocol, and design. Stroke: Vascular and Interventional Neurology, 3(4), p.e000787.</w:t>
      </w:r>
    </w:p>
    <w:p>
      <w:pPr>
        <w:pStyle w:val="8"/>
        <w:spacing w:after="240" w:line="480" w:lineRule="auto"/>
        <w:ind w:left="720" w:hanging="720"/>
        <w:rPr>
          <w:rFonts w:ascii="Arial" w:hAnsi="Arial" w:cs="Arial"/>
          <w:color w:val="000000"/>
        </w:rPr>
      </w:pPr>
      <w:r>
        <w:rPr>
          <w:rFonts w:ascii="Arial" w:hAnsi="Arial" w:cs="Arial"/>
          <w:color w:val="000000"/>
        </w:rPr>
        <w:t>Zhou, Y., 2022, April. Research on Influencing Factors of Tesla Pricing Strategy. In 2022 7th International Conference on Social Sciences and Economic Development (ICSSED 2022) (pp. 107-114). Atlantis Press.</w:t>
      </w:r>
    </w:p>
    <w:p>
      <w:pPr>
        <w:pStyle w:val="8"/>
        <w:spacing w:line="480" w:lineRule="auto"/>
        <w:rPr>
          <w:rFonts w:ascii="Arial" w:hAnsi="Arial" w:cs="Arial"/>
          <w:color w:val="000000"/>
        </w:rPr>
      </w:pPr>
      <w:r>
        <w:rPr>
          <w:rFonts w:ascii="Arial" w:hAnsi="Arial" w:cs="Arial"/>
          <w:color w:val="000000"/>
        </w:rPr>
        <w:t>‌</w:t>
      </w:r>
    </w:p>
    <w:p>
      <w:pPr>
        <w:pStyle w:val="8"/>
        <w:spacing w:before="0" w:beforeAutospacing="0" w:after="240" w:afterAutospacing="0" w:line="360" w:lineRule="atLeast"/>
        <w:rPr>
          <w:color w:val="000000"/>
        </w:rPr>
      </w:pPr>
    </w:p>
    <w:p>
      <w:pPr>
        <w:pStyle w:val="8"/>
        <w:rPr>
          <w:color w:val="000000"/>
        </w:rPr>
      </w:pPr>
      <w:r>
        <w:rPr>
          <w:color w:val="000000"/>
        </w:rPr>
        <w:t>‌</w:t>
      </w:r>
    </w:p>
    <w:p>
      <w:pPr>
        <w:rPr>
          <w:rFonts w:cs="Arial"/>
          <w:color w:val="222222"/>
          <w:sz w:val="20"/>
          <w:szCs w:val="20"/>
          <w:shd w:val="clear" w:color="auto" w:fill="FFFFFF"/>
        </w:rPr>
      </w:pPr>
    </w:p>
    <w:p>
      <w:pPr>
        <w:rPr>
          <w:i/>
          <w:iCs/>
        </w:rPr>
      </w:pPr>
    </w:p>
    <w:sectPr>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等线">
    <w:panose1 w:val="02010600030101010101"/>
    <w:charset w:val="86"/>
    <w:family w:val="auto"/>
    <w:pitch w:val="default"/>
    <w:sig w:usb0="A00002BF" w:usb1="38CF7CFA" w:usb2="00000016" w:usb3="00000000" w:csb0="0004000F" w:csb1="00000000"/>
  </w:font>
  <w:font w:name="汉仪雅酷黑 75W">
    <w:altName w:val="黑体"/>
    <w:panose1 w:val="020B0804020202020204"/>
    <w:charset w:val="86"/>
    <w:family w:val="auto"/>
    <w:pitch w:val="default"/>
    <w:sig w:usb0="00000000" w:usb1="00000000" w:usb2="00000016" w:usb3="00000000" w:csb0="2004000F" w:csb1="00000000"/>
  </w:font>
  <w:font w:name="Cambria Math">
    <w:panose1 w:val="02040503050406030204"/>
    <w:charset w:val="00"/>
    <w:family w:val="roman"/>
    <w:pitch w:val="default"/>
    <w:sig w:usb0="E00006FF" w:usb1="420024FF" w:usb2="02000000" w:usb3="00000000" w:csb0="2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E000F3F"/>
    <w:multiLevelType w:val="multilevel"/>
    <w:tmpl w:val="4E000F3F"/>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TEyNzQzMzEzNTc0MTVV0lEKTi0uzszPAykwrgUA3FQiDiwAAAA="/>
    <w:docVar w:name="commondata" w:val="eyJoZGlkIjoiN2QwNTIzMmYyMjk0MGRiN2Q5MTA2NjVlY2ZiNGEwNmYifQ=="/>
  </w:docVars>
  <w:rsids>
    <w:rsidRoot w:val="00291944"/>
    <w:rsid w:val="0001453D"/>
    <w:rsid w:val="000830A2"/>
    <w:rsid w:val="000A7C32"/>
    <w:rsid w:val="000D54D3"/>
    <w:rsid w:val="000F0168"/>
    <w:rsid w:val="001262C4"/>
    <w:rsid w:val="001F378B"/>
    <w:rsid w:val="00212B15"/>
    <w:rsid w:val="00291944"/>
    <w:rsid w:val="002B6B57"/>
    <w:rsid w:val="002B76E8"/>
    <w:rsid w:val="002D65FC"/>
    <w:rsid w:val="003B7AEC"/>
    <w:rsid w:val="00490980"/>
    <w:rsid w:val="004C5647"/>
    <w:rsid w:val="00504398"/>
    <w:rsid w:val="00591C10"/>
    <w:rsid w:val="005E1312"/>
    <w:rsid w:val="00634A0A"/>
    <w:rsid w:val="00681208"/>
    <w:rsid w:val="006C3400"/>
    <w:rsid w:val="006E1E9A"/>
    <w:rsid w:val="0097226F"/>
    <w:rsid w:val="0098785E"/>
    <w:rsid w:val="009A0929"/>
    <w:rsid w:val="00A628A2"/>
    <w:rsid w:val="00A71DAD"/>
    <w:rsid w:val="00B21E01"/>
    <w:rsid w:val="00B615F3"/>
    <w:rsid w:val="00B638B9"/>
    <w:rsid w:val="00BA524D"/>
    <w:rsid w:val="00BE358B"/>
    <w:rsid w:val="00D136B9"/>
    <w:rsid w:val="00D27D94"/>
    <w:rsid w:val="00D460E5"/>
    <w:rsid w:val="00DA6A9F"/>
    <w:rsid w:val="00DB1309"/>
    <w:rsid w:val="00EA4064"/>
    <w:rsid w:val="00EB0AC0"/>
    <w:rsid w:val="00EC2B81"/>
    <w:rsid w:val="00EC59A7"/>
    <w:rsid w:val="00EF5CAB"/>
    <w:rsid w:val="00F1635B"/>
    <w:rsid w:val="00F2189E"/>
    <w:rsid w:val="00F51F88"/>
    <w:rsid w:val="00F757ED"/>
    <w:rsid w:val="00FE733D"/>
    <w:rsid w:val="00FF3AA5"/>
    <w:rsid w:val="048B7202"/>
    <w:rsid w:val="0EAF1702"/>
    <w:rsid w:val="27C80B9E"/>
    <w:rsid w:val="345E3ECA"/>
    <w:rsid w:val="56DF2712"/>
    <w:rsid w:val="6C580C23"/>
    <w:rsid w:val="779D75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after="160" w:line="259" w:lineRule="auto"/>
    </w:pPr>
    <w:rPr>
      <w:rFonts w:ascii="Arial" w:hAnsi="Arial" w:eastAsiaTheme="minorHAnsi" w:cstheme="minorBidi"/>
      <w:sz w:val="24"/>
      <w:szCs w:val="22"/>
      <w:lang w:val="en-GB" w:eastAsia="en-US" w:bidi="ar-SA"/>
    </w:rPr>
  </w:style>
  <w:style w:type="paragraph" w:styleId="2">
    <w:name w:val="heading 1"/>
    <w:basedOn w:val="1"/>
    <w:next w:val="1"/>
    <w:link w:val="14"/>
    <w:autoRedefine/>
    <w:qFormat/>
    <w:uiPriority w:val="9"/>
    <w:pPr>
      <w:keepNext/>
      <w:keepLines/>
      <w:spacing w:before="240" w:after="0" w:line="480" w:lineRule="auto"/>
      <w:outlineLvl w:val="0"/>
    </w:pPr>
    <w:rPr>
      <w:rFonts w:eastAsiaTheme="majorEastAsia" w:cstheme="majorBidi"/>
      <w:color w:val="2F5597" w:themeColor="accent1" w:themeShade="BF"/>
      <w:szCs w:val="24"/>
    </w:rPr>
  </w:style>
  <w:style w:type="paragraph" w:styleId="3">
    <w:name w:val="heading 2"/>
    <w:basedOn w:val="1"/>
    <w:next w:val="1"/>
    <w:link w:val="15"/>
    <w:autoRedefine/>
    <w:unhideWhenUsed/>
    <w:qFormat/>
    <w:uiPriority w:val="9"/>
    <w:pPr>
      <w:keepNext/>
      <w:keepLines/>
      <w:spacing w:before="40" w:after="0" w:line="480" w:lineRule="auto"/>
      <w:outlineLvl w:val="1"/>
    </w:pPr>
    <w:rPr>
      <w:rFonts w:eastAsiaTheme="majorEastAsia" w:cstheme="majorBidi"/>
      <w:color w:val="2F5597" w:themeColor="accent1" w:themeShade="BF"/>
      <w:szCs w:val="26"/>
    </w:rPr>
  </w:style>
  <w:style w:type="character" w:default="1" w:styleId="10">
    <w:name w:val="Default Paragraph Font"/>
    <w:autoRedefine/>
    <w:semiHidden/>
    <w:unhideWhenUsed/>
    <w:qFormat/>
    <w:uiPriority w:val="1"/>
  </w:style>
  <w:style w:type="table" w:default="1" w:styleId="9">
    <w:name w:val="Normal Table"/>
    <w:autoRedefine/>
    <w:semiHidden/>
    <w:unhideWhenUsed/>
    <w:qFormat/>
    <w:uiPriority w:val="99"/>
    <w:tblPr>
      <w:tblCellMar>
        <w:top w:w="0" w:type="dxa"/>
        <w:left w:w="108" w:type="dxa"/>
        <w:bottom w:w="0" w:type="dxa"/>
        <w:right w:w="108" w:type="dxa"/>
      </w:tblCellMar>
    </w:tblPr>
  </w:style>
  <w:style w:type="paragraph" w:styleId="4">
    <w:name w:val="footer"/>
    <w:basedOn w:val="1"/>
    <w:link w:val="17"/>
    <w:autoRedefine/>
    <w:unhideWhenUsed/>
    <w:qFormat/>
    <w:uiPriority w:val="99"/>
    <w:pPr>
      <w:tabs>
        <w:tab w:val="center" w:pos="4513"/>
        <w:tab w:val="right" w:pos="9026"/>
      </w:tabs>
      <w:spacing w:after="0" w:line="240" w:lineRule="auto"/>
    </w:pPr>
  </w:style>
  <w:style w:type="paragraph" w:styleId="5">
    <w:name w:val="header"/>
    <w:basedOn w:val="1"/>
    <w:link w:val="16"/>
    <w:autoRedefine/>
    <w:unhideWhenUsed/>
    <w:qFormat/>
    <w:uiPriority w:val="99"/>
    <w:pPr>
      <w:tabs>
        <w:tab w:val="center" w:pos="4513"/>
        <w:tab w:val="right" w:pos="9026"/>
      </w:tabs>
      <w:spacing w:after="0" w:line="240" w:lineRule="auto"/>
    </w:pPr>
  </w:style>
  <w:style w:type="paragraph" w:styleId="6">
    <w:name w:val="toc 1"/>
    <w:basedOn w:val="1"/>
    <w:next w:val="1"/>
    <w:autoRedefine/>
    <w:unhideWhenUsed/>
    <w:qFormat/>
    <w:uiPriority w:val="39"/>
    <w:pPr>
      <w:tabs>
        <w:tab w:val="right" w:leader="dot" w:pos="9016"/>
      </w:tabs>
      <w:spacing w:after="100" w:line="480" w:lineRule="auto"/>
    </w:pPr>
  </w:style>
  <w:style w:type="paragraph" w:styleId="7">
    <w:name w:val="toc 2"/>
    <w:basedOn w:val="1"/>
    <w:next w:val="1"/>
    <w:autoRedefine/>
    <w:unhideWhenUsed/>
    <w:qFormat/>
    <w:uiPriority w:val="39"/>
    <w:pPr>
      <w:spacing w:after="100"/>
      <w:ind w:left="240"/>
    </w:pPr>
  </w:style>
  <w:style w:type="paragraph" w:styleId="8">
    <w:name w:val="Normal (Web)"/>
    <w:basedOn w:val="1"/>
    <w:semiHidden/>
    <w:unhideWhenUsed/>
    <w:qFormat/>
    <w:uiPriority w:val="99"/>
    <w:pPr>
      <w:spacing w:before="100" w:beforeAutospacing="1" w:after="100" w:afterAutospacing="1" w:line="240" w:lineRule="auto"/>
    </w:pPr>
    <w:rPr>
      <w:rFonts w:ascii="Times New Roman" w:hAnsi="Times New Roman" w:eastAsia="Times New Roman" w:cs="Times New Roman"/>
      <w:szCs w:val="24"/>
      <w:lang w:val="en-US"/>
    </w:rPr>
  </w:style>
  <w:style w:type="character" w:styleId="11">
    <w:name w:val="Hyperlink"/>
    <w:basedOn w:val="10"/>
    <w:autoRedefine/>
    <w:unhideWhenUsed/>
    <w:qFormat/>
    <w:uiPriority w:val="99"/>
    <w:rPr>
      <w:color w:val="0563C1" w:themeColor="hyperlink"/>
      <w:u w:val="single"/>
      <w14:textFill>
        <w14:solidFill>
          <w14:schemeClr w14:val="hlink"/>
        </w14:solidFill>
      </w14:textFill>
    </w:rPr>
  </w:style>
  <w:style w:type="paragraph" w:styleId="12">
    <w:name w:val="No Spacing"/>
    <w:link w:val="13"/>
    <w:autoRedefine/>
    <w:qFormat/>
    <w:uiPriority w:val="1"/>
    <w:rPr>
      <w:rFonts w:asciiTheme="minorHAnsi" w:hAnsiTheme="minorHAnsi" w:eastAsiaTheme="minorEastAsia" w:cstheme="minorBidi"/>
      <w:sz w:val="22"/>
      <w:szCs w:val="22"/>
      <w:lang w:val="en-US" w:eastAsia="en-US" w:bidi="ar-SA"/>
    </w:rPr>
  </w:style>
  <w:style w:type="character" w:customStyle="1" w:styleId="13">
    <w:name w:val="No Spacing Char"/>
    <w:basedOn w:val="10"/>
    <w:link w:val="12"/>
    <w:autoRedefine/>
    <w:qFormat/>
    <w:uiPriority w:val="1"/>
    <w:rPr>
      <w:rFonts w:eastAsiaTheme="minorEastAsia"/>
      <w:lang w:val="en-US"/>
    </w:rPr>
  </w:style>
  <w:style w:type="character" w:customStyle="1" w:styleId="14">
    <w:name w:val="Heading 1 Char"/>
    <w:basedOn w:val="10"/>
    <w:link w:val="2"/>
    <w:autoRedefine/>
    <w:qFormat/>
    <w:uiPriority w:val="9"/>
    <w:rPr>
      <w:rFonts w:ascii="Arial" w:hAnsi="Arial" w:eastAsiaTheme="majorEastAsia" w:cstheme="majorBidi"/>
      <w:color w:val="2F5597" w:themeColor="accent1" w:themeShade="BF"/>
      <w:sz w:val="24"/>
      <w:szCs w:val="24"/>
      <w:lang w:val="en-GB"/>
    </w:rPr>
  </w:style>
  <w:style w:type="character" w:customStyle="1" w:styleId="15">
    <w:name w:val="Heading 2 Char"/>
    <w:basedOn w:val="10"/>
    <w:link w:val="3"/>
    <w:autoRedefine/>
    <w:qFormat/>
    <w:uiPriority w:val="9"/>
    <w:rPr>
      <w:rFonts w:ascii="Arial" w:hAnsi="Arial" w:eastAsiaTheme="majorEastAsia" w:cstheme="majorBidi"/>
      <w:color w:val="2F5597" w:themeColor="accent1" w:themeShade="BF"/>
      <w:sz w:val="24"/>
      <w:szCs w:val="26"/>
      <w:lang w:val="en-GB"/>
    </w:rPr>
  </w:style>
  <w:style w:type="character" w:customStyle="1" w:styleId="16">
    <w:name w:val="Header Char"/>
    <w:basedOn w:val="10"/>
    <w:link w:val="5"/>
    <w:autoRedefine/>
    <w:qFormat/>
    <w:uiPriority w:val="99"/>
    <w:rPr>
      <w:rFonts w:ascii="Arial" w:hAnsi="Arial"/>
      <w:sz w:val="24"/>
    </w:rPr>
  </w:style>
  <w:style w:type="character" w:customStyle="1" w:styleId="17">
    <w:name w:val="Footer Char"/>
    <w:basedOn w:val="10"/>
    <w:link w:val="4"/>
    <w:autoRedefine/>
    <w:qFormat/>
    <w:uiPriority w:val="99"/>
    <w:rPr>
      <w:rFonts w:ascii="Arial" w:hAnsi="Arial"/>
      <w:sz w:val="24"/>
    </w:rPr>
  </w:style>
  <w:style w:type="paragraph" w:customStyle="1" w:styleId="18">
    <w:name w:val="TOC Heading1"/>
    <w:basedOn w:val="2"/>
    <w:next w:val="1"/>
    <w:autoRedefine/>
    <w:unhideWhenUsed/>
    <w:qFormat/>
    <w:uiPriority w:val="39"/>
    <w:pPr>
      <w:outlineLvl w:val="9"/>
    </w:pPr>
    <w:rPr>
      <w:lang w:val="en-US"/>
    </w:rPr>
  </w:style>
  <w:style w:type="paragraph" w:styleId="19">
    <w:name w:val="List Paragraph"/>
    <w:basedOn w:val="1"/>
    <w:autoRedefine/>
    <w:qFormat/>
    <w:uiPriority w:val="34"/>
    <w:pPr>
      <w:ind w:left="720"/>
      <w:contextualSpacing/>
    </w:pPr>
    <w:rPr>
      <w:rFonts w:asciiTheme="minorHAnsi" w:hAnsiTheme="minorHAnsi"/>
      <w:sz w:val="22"/>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3.xml"/><Relationship Id="rId10" Type="http://schemas.openxmlformats.org/officeDocument/2006/relationships/customXml" Target="../customXml/item2.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Module Code and Name</CompanyEmail>
</CoverPage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5AF091B-3C7A-41E3-B477-F2FDAA23CFDA}">
  <ds:schemaRefs/>
</ds:datastoreItem>
</file>

<file path=customXml/itemProps3.xml><?xml version="1.0" encoding="utf-8"?>
<ds:datastoreItem xmlns:ds="http://schemas.openxmlformats.org/officeDocument/2006/customXml" ds:itemID="{2C09AE6D-5638-48E8-8CC5-4F44FCB183B6}">
  <ds:schemaRefs/>
</ds:datastoreItem>
</file>

<file path=docProps/app.xml><?xml version="1.0" encoding="utf-8"?>
<Properties xmlns="http://schemas.openxmlformats.org/officeDocument/2006/extended-properties" xmlns:vt="http://schemas.openxmlformats.org/officeDocument/2006/docPropsVTypes">
  <Template>Normal</Template>
  <Pages>18</Pages>
  <Words>3735</Words>
  <Characters>21291</Characters>
  <Lines>177</Lines>
  <Paragraphs>49</Paragraphs>
  <TotalTime>1</TotalTime>
  <ScaleCrop>false</ScaleCrop>
  <LinksUpToDate>false</LinksUpToDate>
  <CharactersWithSpaces>24977</CharactersWithSpaces>
  <Application>WPS Office_12.1.0.16412_F1E327BC-269C-435d-A152-05C5408002CA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2024-03-07T07:33:00Z</dcterms:created>
  <dc:creator>Your Name and P Number</dc:creator>
  <cp:lastModifiedBy>rua</cp:lastModifiedBy>
  <dcterms:modified xsi:type="dcterms:W3CDTF">2024-03-14T14:20:21Z</dcterms:modified>
  <dc:subject>Analysis of Tesla</dc:subject>
  <cp:revision>16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2052-12.1.0.16412</vt:lpwstr>
  </property>
  <property fmtid="{D5CDD505-2E9C-101B-9397-08002B2CF9AE}" pid="3" name="ICV">
    <vt:lpwstr>09D360C241FC4693AF95B0D9EFDD837C_13</vt:lpwstr>
  </property>
</Properties>
</file>