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2"/>
          <w:szCs w:val="32"/>
        </w:rPr>
      </w:pPr>
      <w:r w:rsidDel="00000000" w:rsidR="00000000" w:rsidRPr="00000000">
        <w:rPr>
          <w:rtl w:val="0"/>
        </w:rPr>
      </w:r>
    </w:p>
    <w:p w:rsidR="00000000" w:rsidDel="00000000" w:rsidP="00000000" w:rsidRDefault="00000000" w:rsidRPr="00000000" w14:paraId="00000002">
      <w:pPr>
        <w:rPr>
          <w:b w:val="1"/>
          <w:bCs w:val="1"/>
          <w:sz w:val="32"/>
          <w:szCs w:val="32"/>
        </w:rPr>
      </w:pPr>
      <w:r w:rsidDel="00000000" w:rsidR="00000000" w:rsidRPr="00000000">
        <w:rPr>
          <w:rtl w:val="0"/>
        </w:rPr>
      </w:r>
    </w:p>
    <w:p w:rsidR="00000000" w:rsidDel="00000000" w:rsidP="00000000" w:rsidRDefault="00000000" w:rsidRPr="00000000" w14:paraId="00000003">
      <w:pPr>
        <w:jc w:val="center"/>
        <w:rPr>
          <w:sz w:val="32"/>
          <w:szCs w:val="32"/>
        </w:rPr>
      </w:pPr>
      <w:r w:rsidDel="00000000" w:rsidR="00000000" w:rsidRPr="00000000">
        <w:rPr>
          <w:sz w:val="32"/>
          <w:szCs w:val="32"/>
          <w:rtl w:val="0"/>
        </w:rPr>
        <w:t xml:space="preserve">UNIVERSITY OF WALES TRINITY SAINT DAVID</w:t>
      </w:r>
    </w:p>
    <w:p w:rsidR="00000000" w:rsidDel="00000000" w:rsidP="00000000" w:rsidRDefault="00000000" w:rsidRPr="00000000" w14:paraId="00000004">
      <w:pPr>
        <w:jc w:val="center"/>
        <w:rPr>
          <w:b w:val="1"/>
          <w:bCs w:val="1"/>
          <w:sz w:val="32"/>
          <w:szCs w:val="32"/>
        </w:rPr>
      </w:pPr>
      <w:r w:rsidDel="00000000" w:rsidR="00000000" w:rsidRPr="00000000">
        <w:rPr>
          <w:b w:val="1"/>
          <w:bCs w:val="1"/>
          <w:sz w:val="32"/>
          <w:szCs w:val="32"/>
          <w:rtl w:val="0"/>
        </w:rPr>
        <w:t xml:space="preserve">CONTINUING PROFESSIONAL DEVELOPMENT SCHEME</w:t>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APPLICATION FOR FELLOW</w:t>
      </w:r>
    </w:p>
    <w:p w:rsidR="00000000" w:rsidDel="00000000" w:rsidP="00000000" w:rsidRDefault="00000000" w:rsidRPr="00000000" w14:paraId="00000006">
      <w:pPr>
        <w:jc w:val="center"/>
        <w:rPr>
          <w:b w:val="1"/>
          <w:bCs w:val="1"/>
          <w:sz w:val="32"/>
          <w:szCs w:val="32"/>
        </w:rPr>
      </w:pPr>
      <w:r w:rsidDel="00000000" w:rsidR="00000000" w:rsidRPr="00000000">
        <w:rPr>
          <w:rtl w:val="0"/>
        </w:rPr>
      </w:r>
    </w:p>
    <w:p w:rsidR="00000000" w:rsidDel="00000000" w:rsidP="00000000" w:rsidRDefault="00000000" w:rsidRPr="00000000" w14:paraId="00000007">
      <w:pPr>
        <w:ind w:right="384"/>
        <w:jc w:val="both"/>
        <w:rPr>
          <w:color w:val="000000"/>
          <w:sz w:val="24"/>
          <w:szCs w:val="24"/>
        </w:rPr>
      </w:pPr>
      <w:r w:rsidDel="00000000" w:rsidR="00000000" w:rsidRPr="00000000">
        <w:rPr>
          <w:b w:val="1"/>
          <w:bCs w:val="1"/>
          <w:color w:val="000000"/>
          <w:sz w:val="24"/>
          <w:szCs w:val="24"/>
          <w:rtl w:val="0"/>
        </w:rPr>
        <w:t xml:space="preserve">Before you start, </w:t>
      </w:r>
      <w:r w:rsidDel="00000000" w:rsidR="00000000" w:rsidRPr="00000000">
        <w:rPr>
          <w:color w:val="000000"/>
          <w:sz w:val="24"/>
          <w:szCs w:val="24"/>
          <w:rtl w:val="0"/>
        </w:rPr>
        <w:t xml:space="preserve">you will need to refer to the following documents/guidance:</w:t>
      </w:r>
    </w:p>
    <w:p w:rsidR="00000000" w:rsidDel="00000000" w:rsidP="00000000" w:rsidRDefault="00000000" w:rsidRPr="00000000" w14:paraId="00000008">
      <w:pPr>
        <w:spacing w:after="120" w:before="120" w:lineRule="auto"/>
        <w:ind w:left="567" w:right="384" w:hanging="567"/>
        <w:jc w:val="both"/>
        <w:rPr>
          <w:sz w:val="24"/>
          <w:szCs w:val="24"/>
        </w:rPr>
      </w:pPr>
      <w:bookmarkStart w:colFirst="0" w:colLast="0" w:name="_heading=h.6qo3xptsmiyi" w:id="0"/>
      <w:bookmarkEnd w:id="0"/>
      <w:r w:rsidDel="00000000" w:rsidR="00000000" w:rsidRPr="00000000">
        <w:rPr>
          <w:sz w:val="24"/>
          <w:szCs w:val="24"/>
          <w:rtl w:val="0"/>
        </w:rPr>
        <w:t xml:space="preserve">The Advance HE </w:t>
      </w:r>
      <w:hyperlink r:id="rId7">
        <w:r w:rsidDel="00000000" w:rsidR="00000000" w:rsidRPr="00000000">
          <w:rPr>
            <w:b w:val="1"/>
            <w:bCs w:val="1"/>
            <w:color w:val="000000"/>
            <w:sz w:val="24"/>
            <w:szCs w:val="24"/>
            <w:u w:val="single"/>
            <w:rtl w:val="0"/>
          </w:rPr>
          <w:t xml:space="preserve">Fellowship Category Tool</w:t>
        </w:r>
      </w:hyperlink>
      <w:r w:rsidDel="00000000" w:rsidR="00000000" w:rsidRPr="00000000">
        <w:rPr>
          <w:sz w:val="24"/>
          <w:szCs w:val="24"/>
          <w:rtl w:val="0"/>
        </w:rPr>
        <w:t xml:space="preserve"> will help you to determine whether Fellow is the most appropriate category of Fellowship for you at this point;</w:t>
      </w:r>
    </w:p>
    <w:p w:rsidR="00000000" w:rsidDel="00000000" w:rsidP="00000000" w:rsidRDefault="00000000" w:rsidRPr="00000000" w14:paraId="00000009">
      <w:pPr>
        <w:numPr>
          <w:ilvl w:val="0"/>
          <w:numId w:val="2"/>
        </w:numPr>
        <w:pBdr>
          <w:top w:space="0" w:sz="0" w:val="nil"/>
          <w:left w:space="0" w:sz="0" w:val="nil"/>
          <w:bottom w:space="0" w:sz="0" w:val="nil"/>
          <w:right w:space="0" w:sz="0" w:val="nil"/>
          <w:between w:space="0" w:sz="0" w:val="nil"/>
        </w:pBdr>
        <w:spacing w:line="276" w:lineRule="auto"/>
        <w:ind w:left="567" w:right="384" w:hanging="567"/>
        <w:jc w:val="both"/>
        <w:rPr>
          <w:color w:val="000000"/>
          <w:sz w:val="24"/>
          <w:szCs w:val="24"/>
        </w:rPr>
      </w:pPr>
      <w:r w:rsidDel="00000000" w:rsidR="00000000" w:rsidRPr="00000000">
        <w:rPr>
          <w:color w:val="000000"/>
          <w:sz w:val="24"/>
          <w:szCs w:val="24"/>
          <w:rtl w:val="0"/>
        </w:rPr>
        <w:t xml:space="preserve">The </w:t>
      </w:r>
      <w:hyperlink r:id="rId8">
        <w:r w:rsidDel="00000000" w:rsidR="00000000" w:rsidRPr="00000000">
          <w:rPr>
            <w:b w:val="1"/>
            <w:bCs w:val="1"/>
            <w:color w:val="0087b5"/>
            <w:sz w:val="24"/>
            <w:szCs w:val="24"/>
            <w:u w:val="single"/>
            <w:rtl w:val="0"/>
          </w:rPr>
          <w:t xml:space="preserve">Professional Standards Framework for teaching and supporting learning in higher education</w:t>
        </w:r>
      </w:hyperlink>
      <w:r w:rsidDel="00000000" w:rsidR="00000000" w:rsidRPr="00000000">
        <w:rPr>
          <w:color w:val="0087b5"/>
          <w:sz w:val="24"/>
          <w:szCs w:val="24"/>
          <w:rtl w:val="0"/>
        </w:rPr>
        <w:t xml:space="preserve"> </w:t>
      </w:r>
      <w:r w:rsidDel="00000000" w:rsidR="00000000" w:rsidRPr="00000000">
        <w:rPr>
          <w:color w:val="000000"/>
          <w:sz w:val="24"/>
          <w:szCs w:val="24"/>
          <w:rtl w:val="0"/>
        </w:rPr>
        <w:t xml:space="preserve">(PSF 2023) – the award of Fellow is based on the criteria of Descriptor 2 (PSF 2023) being evidenced;</w:t>
      </w:r>
    </w:p>
    <w:p w:rsidR="00000000" w:rsidDel="00000000" w:rsidP="00000000" w:rsidRDefault="00000000" w:rsidRPr="00000000" w14:paraId="0000000A">
      <w:pPr>
        <w:numPr>
          <w:ilvl w:val="0"/>
          <w:numId w:val="2"/>
        </w:numPr>
        <w:pBdr>
          <w:top w:space="0" w:sz="0" w:val="nil"/>
          <w:left w:space="0" w:sz="0" w:val="nil"/>
          <w:bottom w:space="0" w:sz="0" w:val="nil"/>
          <w:right w:space="0" w:sz="0" w:val="nil"/>
          <w:between w:space="0" w:sz="0" w:val="nil"/>
        </w:pBdr>
        <w:spacing w:line="276" w:lineRule="auto"/>
        <w:ind w:left="567" w:right="384" w:hanging="567"/>
        <w:jc w:val="both"/>
        <w:rPr>
          <w:color w:val="000000"/>
          <w:sz w:val="24"/>
          <w:szCs w:val="24"/>
        </w:rPr>
      </w:pPr>
      <w:hyperlink r:id="rId9">
        <w:r w:rsidDel="00000000" w:rsidR="00000000" w:rsidRPr="00000000">
          <w:rPr>
            <w:b w:val="1"/>
            <w:bCs w:val="1"/>
            <w:color w:val="0087b5"/>
            <w:sz w:val="24"/>
            <w:szCs w:val="24"/>
            <w:rtl w:val="0"/>
          </w:rPr>
          <w:t xml:space="preserve">Fellowship Applicant Guidance</w:t>
        </w:r>
      </w:hyperlink>
      <w:r w:rsidDel="00000000" w:rsidR="00000000" w:rsidRPr="00000000">
        <w:rPr>
          <w:b w:val="1"/>
          <w:bCs w:val="1"/>
          <w:color w:val="0087b5"/>
          <w:sz w:val="24"/>
          <w:szCs w:val="24"/>
          <w:rtl w:val="0"/>
        </w:rPr>
        <w:t xml:space="preserve"> </w:t>
      </w:r>
      <w:r w:rsidDel="00000000" w:rsidR="00000000" w:rsidRPr="00000000">
        <w:rPr>
          <w:color w:val="a6a402"/>
          <w:sz w:val="24"/>
          <w:szCs w:val="24"/>
          <w:rtl w:val="0"/>
        </w:rPr>
        <w:t xml:space="preserve">and </w:t>
      </w:r>
      <w:hyperlink r:id="rId10">
        <w:r w:rsidDel="00000000" w:rsidR="00000000" w:rsidRPr="00000000">
          <w:rPr>
            <w:b w:val="1"/>
            <w:bCs w:val="1"/>
            <w:color w:val="0087b5"/>
            <w:sz w:val="24"/>
            <w:szCs w:val="24"/>
            <w:rtl w:val="0"/>
          </w:rPr>
          <w:t xml:space="preserve">Guide to the PSF 2023 Dimensions -  Fellowship (D2)</w:t>
        </w:r>
      </w:hyperlink>
      <w:r w:rsidDel="00000000" w:rsidR="00000000" w:rsidRPr="00000000">
        <w:rPr>
          <w:color w:val="a6a402"/>
          <w:sz w:val="24"/>
          <w:szCs w:val="24"/>
          <w:rtl w:val="0"/>
        </w:rPr>
        <w:t xml:space="preserve">.</w:t>
      </w:r>
      <w:r w:rsidDel="00000000" w:rsidR="00000000" w:rsidRPr="00000000">
        <w:rPr>
          <w:rtl w:val="0"/>
        </w:rPr>
      </w:r>
    </w:p>
    <w:p w:rsidR="00000000" w:rsidDel="00000000" w:rsidP="00000000" w:rsidRDefault="00000000" w:rsidRPr="00000000" w14:paraId="0000000B">
      <w:pPr>
        <w:spacing w:line="276" w:lineRule="auto"/>
        <w:ind w:right="384"/>
        <w:jc w:val="both"/>
        <w:rPr>
          <w:color w:val="000000"/>
          <w:sz w:val="24"/>
          <w:szCs w:val="24"/>
        </w:rPr>
      </w:pPr>
      <w:r w:rsidDel="00000000" w:rsidR="00000000" w:rsidRPr="00000000">
        <w:rPr>
          <w:rtl w:val="0"/>
        </w:rPr>
      </w:r>
    </w:p>
    <w:tbl>
      <w:tblPr>
        <w:tblStyle w:val="Table1"/>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0C">
            <w:pPr>
              <w:spacing w:before="145" w:lineRule="auto"/>
              <w:jc w:val="both"/>
              <w:rPr/>
            </w:pPr>
            <w:r w:rsidDel="00000000" w:rsidR="00000000" w:rsidRPr="00000000">
              <w:rPr>
                <w:b w:val="1"/>
                <w:bCs w:val="1"/>
                <w:color w:val="000000"/>
                <w:sz w:val="24"/>
                <w:szCs w:val="24"/>
                <w:rtl w:val="0"/>
              </w:rPr>
              <w:t xml:space="preserve">Fellow</w:t>
            </w:r>
            <w:r w:rsidDel="00000000" w:rsidR="00000000" w:rsidRPr="00000000">
              <w:rPr>
                <w:color w:val="000000"/>
                <w:sz w:val="24"/>
                <w:szCs w:val="24"/>
                <w:rtl w:val="0"/>
              </w:rPr>
              <w:t xml:space="preserve"> is based on meeting </w:t>
            </w:r>
            <w:r w:rsidDel="00000000" w:rsidR="00000000" w:rsidRPr="00000000">
              <w:rPr>
                <w:b w:val="1"/>
                <w:bCs w:val="1"/>
                <w:color w:val="000000"/>
                <w:sz w:val="24"/>
                <w:szCs w:val="24"/>
                <w:rtl w:val="0"/>
              </w:rPr>
              <w:t xml:space="preserve">Descriptor 2 (D2) of the PSF 2023.</w:t>
            </w:r>
            <w:r w:rsidDel="00000000" w:rsidR="00000000" w:rsidRPr="00000000">
              <w:rPr>
                <w:rtl w:val="0"/>
              </w:rPr>
            </w:r>
          </w:p>
          <w:p w:rsidR="00000000" w:rsidDel="00000000" w:rsidP="00000000" w:rsidRDefault="00000000" w:rsidRPr="00000000" w14:paraId="0000000D">
            <w:pPr>
              <w:ind w:right="384"/>
              <w:jc w:val="both"/>
              <w:rPr>
                <w:color w:val="000000"/>
                <w:sz w:val="24"/>
                <w:szCs w:val="24"/>
              </w:rPr>
            </w:pPr>
            <w:r w:rsidDel="00000000" w:rsidR="00000000" w:rsidRPr="00000000">
              <w:rPr>
                <w:rtl w:val="0"/>
              </w:rPr>
            </w:r>
          </w:p>
          <w:p w:rsidR="00000000" w:rsidDel="00000000" w:rsidP="00000000" w:rsidRDefault="00000000" w:rsidRPr="00000000" w14:paraId="0000000E">
            <w:pPr>
              <w:ind w:right="384"/>
              <w:jc w:val="both"/>
              <w:rPr>
                <w:sz w:val="24"/>
                <w:szCs w:val="24"/>
              </w:rPr>
            </w:pPr>
            <w:r w:rsidDel="00000000" w:rsidR="00000000" w:rsidRPr="00000000">
              <w:rPr>
                <w:color w:val="000000"/>
                <w:sz w:val="24"/>
                <w:szCs w:val="24"/>
                <w:rtl w:val="0"/>
              </w:rPr>
              <w:t xml:space="preserve">Your application for </w:t>
            </w:r>
            <w:r w:rsidDel="00000000" w:rsidR="00000000" w:rsidRPr="00000000">
              <w:rPr>
                <w:b w:val="1"/>
                <w:bCs w:val="1"/>
                <w:color w:val="000000"/>
                <w:sz w:val="24"/>
                <w:szCs w:val="24"/>
                <w:rtl w:val="0"/>
              </w:rPr>
              <w:t xml:space="preserve">Fellow</w:t>
            </w:r>
            <w:r w:rsidDel="00000000" w:rsidR="00000000" w:rsidRPr="00000000">
              <w:rPr>
                <w:color w:val="000000"/>
                <w:sz w:val="24"/>
                <w:szCs w:val="24"/>
                <w:rtl w:val="0"/>
              </w:rPr>
              <w:t xml:space="preserve"> consists of:</w:t>
            </w:r>
            <w:r w:rsidDel="00000000" w:rsidR="00000000" w:rsidRPr="00000000">
              <w:rPr>
                <w:rtl w:val="0"/>
              </w:rPr>
            </w:r>
          </w:p>
          <w:p w:rsidR="00000000" w:rsidDel="00000000" w:rsidP="00000000" w:rsidRDefault="00000000" w:rsidRPr="00000000" w14:paraId="0000000F">
            <w:pPr>
              <w:ind w:right="384"/>
              <w:jc w:val="both"/>
              <w:rPr>
                <w:color w:val="000000"/>
                <w:sz w:val="24"/>
                <w:szCs w:val="24"/>
              </w:rPr>
            </w:pPr>
            <w:r w:rsidDel="00000000" w:rsidR="00000000" w:rsidRPr="00000000">
              <w:rPr>
                <w:rtl w:val="0"/>
              </w:rPr>
            </w:r>
          </w:p>
          <w:p w:rsidR="00000000" w:rsidDel="00000000" w:rsidP="00000000" w:rsidRDefault="00000000" w:rsidRPr="00000000" w14:paraId="00000010">
            <w:pPr>
              <w:numPr>
                <w:ilvl w:val="0"/>
                <w:numId w:val="1"/>
              </w:numPr>
              <w:pBdr>
                <w:top w:space="0" w:sz="0" w:val="nil"/>
                <w:left w:space="0" w:sz="0" w:val="nil"/>
                <w:bottom w:space="0" w:sz="0" w:val="nil"/>
                <w:right w:space="0" w:sz="0" w:val="nil"/>
                <w:between w:space="0" w:sz="0" w:val="nil"/>
              </w:pBdr>
              <w:spacing w:after="200" w:line="276" w:lineRule="auto"/>
              <w:ind w:left="720" w:right="384" w:hanging="360"/>
              <w:jc w:val="both"/>
              <w:rPr>
                <w:color w:val="000000"/>
                <w:sz w:val="24"/>
                <w:szCs w:val="24"/>
              </w:rPr>
            </w:pPr>
            <w:r w:rsidDel="00000000" w:rsidR="00000000" w:rsidRPr="00000000">
              <w:rPr>
                <w:color w:val="000000"/>
                <w:sz w:val="24"/>
                <w:szCs w:val="24"/>
                <w:rtl w:val="0"/>
              </w:rPr>
              <w:t xml:space="preserve">a </w:t>
            </w:r>
            <w:r w:rsidDel="00000000" w:rsidR="00000000" w:rsidRPr="00000000">
              <w:rPr>
                <w:b w:val="1"/>
                <w:bCs w:val="1"/>
                <w:color w:val="000000"/>
                <w:sz w:val="24"/>
                <w:szCs w:val="24"/>
                <w:rtl w:val="0"/>
              </w:rPr>
              <w:t xml:space="preserve">3,000-word reflective narrative shared across all five Areas of Activity plus citations </w:t>
            </w:r>
            <w:r w:rsidDel="00000000" w:rsidR="00000000" w:rsidRPr="00000000">
              <w:rPr>
                <w:rtl w:val="0"/>
              </w:rPr>
            </w:r>
          </w:p>
          <w:p w:rsidR="00000000" w:rsidDel="00000000" w:rsidP="00000000" w:rsidRDefault="00000000" w:rsidRPr="00000000" w14:paraId="00000011">
            <w:pPr>
              <w:ind w:right="384"/>
              <w:jc w:val="both"/>
              <w:rPr>
                <w:color w:val="000000"/>
                <w:sz w:val="24"/>
                <w:szCs w:val="24"/>
              </w:rPr>
            </w:pPr>
            <w:r w:rsidDel="00000000" w:rsidR="00000000" w:rsidRPr="00000000">
              <w:rPr>
                <w:color w:val="000000"/>
                <w:sz w:val="24"/>
                <w:szCs w:val="24"/>
                <w:rtl w:val="0"/>
              </w:rPr>
              <w:t xml:space="preserve">There is a </w:t>
            </w:r>
            <w:r w:rsidDel="00000000" w:rsidR="00000000" w:rsidRPr="00000000">
              <w:rPr>
                <w:b w:val="1"/>
                <w:bCs w:val="1"/>
                <w:color w:val="000000"/>
                <w:sz w:val="24"/>
                <w:szCs w:val="24"/>
                <w:rtl w:val="0"/>
              </w:rPr>
              <w:t xml:space="preserve">3,000 word limit </w:t>
            </w:r>
            <w:r w:rsidDel="00000000" w:rsidR="00000000" w:rsidRPr="00000000">
              <w:rPr>
                <w:color w:val="000000"/>
                <w:sz w:val="24"/>
                <w:szCs w:val="24"/>
                <w:rtl w:val="0"/>
              </w:rPr>
              <w:t xml:space="preserve">plus citations (overall maximum of 3,500 words). Please note that Academic Office checks the word count as part of the submission process. </w:t>
            </w:r>
          </w:p>
          <w:p w:rsidR="00000000" w:rsidDel="00000000" w:rsidP="00000000" w:rsidRDefault="00000000" w:rsidRPr="00000000" w14:paraId="00000012">
            <w:pPr>
              <w:spacing w:before="145" w:lineRule="auto"/>
              <w:jc w:val="both"/>
              <w:rPr>
                <w:b w:val="1"/>
                <w:bCs w:val="1"/>
                <w:color w:val="000000"/>
                <w:sz w:val="24"/>
                <w:szCs w:val="24"/>
              </w:rPr>
            </w:pPr>
            <w:r w:rsidDel="00000000" w:rsidR="00000000" w:rsidRPr="00000000">
              <w:rPr>
                <w:color w:val="000000"/>
                <w:sz w:val="24"/>
                <w:szCs w:val="24"/>
                <w:rtl w:val="0"/>
              </w:rPr>
              <w:t xml:space="preserve">In addition, </w:t>
            </w:r>
            <w:r w:rsidDel="00000000" w:rsidR="00000000" w:rsidRPr="00000000">
              <w:rPr>
                <w:b w:val="1"/>
                <w:bCs w:val="1"/>
                <w:color w:val="000000"/>
                <w:sz w:val="24"/>
                <w:szCs w:val="24"/>
                <w:rtl w:val="0"/>
              </w:rPr>
              <w:t xml:space="preserve">Supporting Statements from two referees </w:t>
            </w:r>
            <w:r w:rsidDel="00000000" w:rsidR="00000000" w:rsidRPr="00000000">
              <w:rPr>
                <w:color w:val="000000"/>
                <w:sz w:val="24"/>
                <w:szCs w:val="24"/>
                <w:rtl w:val="0"/>
              </w:rPr>
              <w:t xml:space="preserve">(see Applicant Guidance) will need to be submitted with your application.</w:t>
            </w:r>
            <w:r w:rsidDel="00000000" w:rsidR="00000000" w:rsidRPr="00000000">
              <w:rPr>
                <w:b w:val="1"/>
                <w:bCs w:val="1"/>
                <w:color w:val="000000"/>
                <w:sz w:val="24"/>
                <w:szCs w:val="24"/>
                <w:rtl w:val="0"/>
              </w:rPr>
              <w:t xml:space="preserve"> </w:t>
            </w:r>
            <w:r w:rsidDel="00000000" w:rsidR="00000000" w:rsidRPr="00000000">
              <w:rPr>
                <w:color w:val="000000"/>
                <w:sz w:val="24"/>
                <w:szCs w:val="24"/>
                <w:rtl w:val="0"/>
              </w:rPr>
              <w:t xml:space="preserve">The</w:t>
            </w:r>
            <w:r w:rsidDel="00000000" w:rsidR="00000000" w:rsidRPr="00000000">
              <w:rPr>
                <w:b w:val="1"/>
                <w:bCs w:val="1"/>
                <w:color w:val="000000"/>
                <w:sz w:val="24"/>
                <w:szCs w:val="24"/>
                <w:rtl w:val="0"/>
              </w:rPr>
              <w:t xml:space="preserve"> Supporting Statements </w:t>
            </w:r>
            <w:r w:rsidDel="00000000" w:rsidR="00000000" w:rsidRPr="00000000">
              <w:rPr>
                <w:color w:val="000000"/>
                <w:sz w:val="24"/>
                <w:szCs w:val="24"/>
                <w:rtl w:val="0"/>
              </w:rPr>
              <w:t xml:space="preserve">will verify and endorse that what you write about in your Account of Professional Practice represents your practice in a genuine way.</w:t>
            </w:r>
            <w:r w:rsidDel="00000000" w:rsidR="00000000" w:rsidRPr="00000000">
              <w:rPr>
                <w:rtl w:val="0"/>
              </w:rPr>
            </w:r>
          </w:p>
          <w:p w:rsidR="00000000" w:rsidDel="00000000" w:rsidP="00000000" w:rsidRDefault="00000000" w:rsidRPr="00000000" w14:paraId="00000013">
            <w:pPr>
              <w:spacing w:before="60" w:lineRule="auto"/>
              <w:ind w:left="114" w:firstLine="0"/>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14">
            <w:pPr>
              <w:ind w:right="384"/>
              <w:jc w:val="both"/>
              <w:rPr>
                <w:b w:val="1"/>
                <w:bCs w:val="1"/>
                <w:color w:val="000000"/>
                <w:sz w:val="24"/>
                <w:szCs w:val="24"/>
              </w:rPr>
            </w:pPr>
            <w:r w:rsidDel="00000000" w:rsidR="00000000" w:rsidRPr="00000000">
              <w:rPr>
                <w:b w:val="1"/>
                <w:bCs w:val="1"/>
                <w:color w:val="000000"/>
                <w:sz w:val="24"/>
                <w:szCs w:val="24"/>
                <w:rtl w:val="0"/>
              </w:rPr>
              <w:t xml:space="preserve">Descriptor 2 </w:t>
            </w:r>
            <w:r w:rsidDel="00000000" w:rsidR="00000000" w:rsidRPr="00000000">
              <w:rPr>
                <w:color w:val="000000"/>
                <w:sz w:val="24"/>
                <w:szCs w:val="24"/>
                <w:rtl w:val="0"/>
              </w:rPr>
              <w:t xml:space="preserve">is suitable for individuals whose practice with learners has breadth and depth, enabling them to evidence all Dimensions. </w:t>
            </w:r>
            <w:r w:rsidDel="00000000" w:rsidR="00000000" w:rsidRPr="00000000">
              <w:rPr>
                <w:b w:val="1"/>
                <w:bCs w:val="1"/>
                <w:color w:val="000000"/>
                <w:sz w:val="24"/>
                <w:szCs w:val="24"/>
                <w:rtl w:val="0"/>
              </w:rPr>
              <w:t xml:space="preserve">Effectiveness of practice in teaching and/or support of high-quality learning is demonstrated through evidence of:</w:t>
            </w:r>
          </w:p>
          <w:p w:rsidR="00000000" w:rsidDel="00000000" w:rsidP="00000000" w:rsidRDefault="00000000" w:rsidRPr="00000000" w14:paraId="00000015">
            <w:pPr>
              <w:ind w:right="384"/>
              <w:jc w:val="both"/>
              <w:rPr>
                <w:b w:val="1"/>
                <w:bCs w:val="1"/>
                <w:color w:val="000000"/>
                <w:sz w:val="24"/>
                <w:szCs w:val="24"/>
              </w:rPr>
            </w:pPr>
            <w:r w:rsidDel="00000000" w:rsidR="00000000" w:rsidRPr="00000000">
              <w:rPr>
                <w:rtl w:val="0"/>
              </w:rPr>
            </w:r>
          </w:p>
          <w:p w:rsidR="00000000" w:rsidDel="00000000" w:rsidP="00000000" w:rsidRDefault="00000000" w:rsidRPr="00000000" w14:paraId="00000016">
            <w:pPr>
              <w:ind w:right="384"/>
              <w:jc w:val="both"/>
              <w:rPr>
                <w:b w:val="1"/>
                <w:bCs w:val="1"/>
                <w:color w:val="000000"/>
                <w:sz w:val="24"/>
                <w:szCs w:val="24"/>
              </w:rPr>
            </w:pPr>
            <w:r w:rsidDel="00000000" w:rsidR="00000000" w:rsidRPr="00000000">
              <w:rPr>
                <w:b w:val="1"/>
                <w:bCs w:val="1"/>
                <w:color w:val="000000"/>
                <w:sz w:val="24"/>
                <w:szCs w:val="24"/>
                <w:rtl w:val="0"/>
              </w:rPr>
              <w:t xml:space="preserve">D2.1: Use of all five Professional Values</w:t>
            </w:r>
          </w:p>
          <w:p w:rsidR="00000000" w:rsidDel="00000000" w:rsidP="00000000" w:rsidRDefault="00000000" w:rsidRPr="00000000" w14:paraId="00000017">
            <w:pPr>
              <w:ind w:right="384"/>
              <w:jc w:val="both"/>
              <w:rPr>
                <w:b w:val="1"/>
                <w:bCs w:val="1"/>
                <w:color w:val="000000"/>
                <w:sz w:val="24"/>
                <w:szCs w:val="24"/>
              </w:rPr>
            </w:pPr>
            <w:r w:rsidDel="00000000" w:rsidR="00000000" w:rsidRPr="00000000">
              <w:rPr>
                <w:b w:val="1"/>
                <w:bCs w:val="1"/>
                <w:color w:val="000000"/>
                <w:sz w:val="24"/>
                <w:szCs w:val="24"/>
                <w:rtl w:val="0"/>
              </w:rPr>
              <w:t xml:space="preserve">D2.2: Application of all five forms of Core Knowledge</w:t>
            </w:r>
          </w:p>
          <w:p w:rsidR="00000000" w:rsidDel="00000000" w:rsidP="00000000" w:rsidRDefault="00000000" w:rsidRPr="00000000" w14:paraId="00000018">
            <w:pPr>
              <w:ind w:right="384"/>
              <w:jc w:val="both"/>
              <w:rPr>
                <w:b w:val="1"/>
                <w:bCs w:val="1"/>
                <w:color w:val="000000"/>
                <w:sz w:val="24"/>
                <w:szCs w:val="24"/>
              </w:rPr>
            </w:pPr>
            <w:r w:rsidDel="00000000" w:rsidR="00000000" w:rsidRPr="00000000">
              <w:rPr>
                <w:b w:val="1"/>
                <w:bCs w:val="1"/>
                <w:color w:val="000000"/>
                <w:sz w:val="24"/>
                <w:szCs w:val="24"/>
                <w:rtl w:val="0"/>
              </w:rPr>
              <w:t xml:space="preserve">D2.3: Effective and inclusive practice in all five Areas of Activity</w:t>
            </w:r>
          </w:p>
          <w:p w:rsidR="00000000" w:rsidDel="00000000" w:rsidP="00000000" w:rsidRDefault="00000000" w:rsidRPr="00000000" w14:paraId="00000019">
            <w:pPr>
              <w:ind w:right="384"/>
              <w:jc w:val="both"/>
              <w:rPr>
                <w:b w:val="1"/>
                <w:bCs w:val="1"/>
                <w:color w:val="000000"/>
                <w:sz w:val="24"/>
                <w:szCs w:val="24"/>
              </w:rPr>
            </w:pPr>
            <w:r w:rsidDel="00000000" w:rsidR="00000000" w:rsidRPr="00000000">
              <w:rPr>
                <w:rtl w:val="0"/>
              </w:rPr>
            </w:r>
          </w:p>
          <w:p w:rsidR="00000000" w:rsidDel="00000000" w:rsidP="00000000" w:rsidRDefault="00000000" w:rsidRPr="00000000" w14:paraId="0000001A">
            <w:pPr>
              <w:ind w:right="384"/>
              <w:jc w:val="both"/>
              <w:rPr/>
            </w:pPr>
            <w:r w:rsidDel="00000000" w:rsidR="00000000" w:rsidRPr="00000000">
              <w:rPr>
                <w:color w:val="000000"/>
                <w:sz w:val="24"/>
                <w:szCs w:val="24"/>
                <w:rtl w:val="0"/>
              </w:rPr>
              <w:t xml:space="preserve">You will need to </w:t>
            </w:r>
            <w:r w:rsidDel="00000000" w:rsidR="00000000" w:rsidRPr="00000000">
              <w:rPr>
                <w:b w:val="1"/>
                <w:bCs w:val="1"/>
                <w:color w:val="000000"/>
                <w:sz w:val="24"/>
                <w:szCs w:val="24"/>
                <w:rtl w:val="0"/>
              </w:rPr>
              <w:t xml:space="preserve">continue to refer to the applicant guidance and Descriptor 2 of the PSF 2023</w:t>
            </w:r>
            <w:r w:rsidDel="00000000" w:rsidR="00000000" w:rsidRPr="00000000">
              <w:rPr>
                <w:color w:val="000000"/>
                <w:sz w:val="24"/>
                <w:szCs w:val="24"/>
                <w:rtl w:val="0"/>
              </w:rPr>
              <w:t xml:space="preserve"> as you draft your application to ensure that you are writing to meet the requirements.</w:t>
            </w:r>
            <w:r w:rsidDel="00000000" w:rsidR="00000000" w:rsidRPr="00000000">
              <w:rPr>
                <w:rtl w:val="0"/>
              </w:rPr>
            </w:r>
          </w:p>
          <w:p w:rsidR="00000000" w:rsidDel="00000000" w:rsidP="00000000" w:rsidRDefault="00000000" w:rsidRPr="00000000" w14:paraId="0000001B">
            <w:pPr>
              <w:spacing w:after="240" w:lineRule="auto"/>
              <w:ind w:right="384"/>
              <w:rPr>
                <w:sz w:val="24"/>
                <w:szCs w:val="24"/>
              </w:rPr>
            </w:pPr>
            <w:r w:rsidDel="00000000" w:rsidR="00000000" w:rsidRPr="00000000">
              <w:rPr>
                <w:color w:val="000000"/>
                <w:sz w:val="24"/>
                <w:szCs w:val="24"/>
                <w:rtl w:val="0"/>
              </w:rPr>
              <w:t xml:space="preserve">You must structure your Reflective Narrative around </w:t>
            </w:r>
            <w:r w:rsidDel="00000000" w:rsidR="00000000" w:rsidRPr="00000000">
              <w:rPr>
                <w:b w:val="1"/>
                <w:bCs w:val="1"/>
                <w:color w:val="000000"/>
                <w:sz w:val="24"/>
                <w:szCs w:val="24"/>
                <w:rtl w:val="0"/>
              </w:rPr>
              <w:t xml:space="preserve">all five</w:t>
            </w:r>
            <w:r w:rsidDel="00000000" w:rsidR="00000000" w:rsidRPr="00000000">
              <w:rPr>
                <w:color w:val="000000"/>
                <w:sz w:val="24"/>
                <w:szCs w:val="24"/>
                <w:rtl w:val="0"/>
              </w:rPr>
              <w:t xml:space="preserve"> of the PSF 2023 Areas of Activity. You will be able to use the relevant boxes below to complete your draft application</w:t>
            </w:r>
            <w:r w:rsidDel="00000000" w:rsidR="00000000" w:rsidRPr="00000000">
              <w:rPr>
                <w:rtl w:val="0"/>
              </w:rPr>
            </w:r>
          </w:p>
          <w:p w:rsidR="00000000" w:rsidDel="00000000" w:rsidP="00000000" w:rsidRDefault="00000000" w:rsidRPr="00000000" w14:paraId="0000001C">
            <w:pPr>
              <w:tabs>
                <w:tab w:val="left" w:leader="none" w:pos="9356"/>
              </w:tabs>
              <w:ind w:right="384"/>
              <w:jc w:val="both"/>
              <w:rPr>
                <w:color w:val="000000"/>
                <w:sz w:val="24"/>
                <w:szCs w:val="24"/>
              </w:rPr>
            </w:pPr>
            <w:r w:rsidDel="00000000" w:rsidR="00000000" w:rsidRPr="00000000">
              <w:rPr>
                <w:color w:val="000000"/>
                <w:sz w:val="24"/>
                <w:szCs w:val="24"/>
                <w:rtl w:val="0"/>
              </w:rPr>
              <w:t xml:space="preserve">When you have finalised your application you will need to send the completed form to your referees so that they can write their Supporting Statements. Please direct your referees to the Fellowship Guidance for Referees writing a Supporting Statement. The referees need to return their Supporting Statements for you to upload with your application. </w:t>
            </w:r>
          </w:p>
          <w:p w:rsidR="00000000" w:rsidDel="00000000" w:rsidP="00000000" w:rsidRDefault="00000000" w:rsidRPr="00000000" w14:paraId="0000001D">
            <w:pPr>
              <w:ind w:right="384"/>
              <w:jc w:val="both"/>
              <w:rPr>
                <w:color w:val="000000"/>
                <w:sz w:val="24"/>
                <w:szCs w:val="24"/>
              </w:rPr>
            </w:pPr>
            <w:r w:rsidDel="00000000" w:rsidR="00000000" w:rsidRPr="00000000">
              <w:rPr>
                <w:rtl w:val="0"/>
              </w:rPr>
            </w:r>
          </w:p>
          <w:p w:rsidR="00000000" w:rsidDel="00000000" w:rsidP="00000000" w:rsidRDefault="00000000" w:rsidRPr="00000000" w14:paraId="0000001E">
            <w:pPr>
              <w:widowControl w:val="0"/>
              <w:jc w:val="both"/>
              <w:rPr>
                <w:b w:val="1"/>
                <w:bCs w:val="1"/>
                <w:color w:val="000000"/>
                <w:sz w:val="24"/>
                <w:szCs w:val="24"/>
              </w:rPr>
            </w:pPr>
            <w:r w:rsidDel="00000000" w:rsidR="00000000" w:rsidRPr="00000000">
              <w:rPr>
                <w:color w:val="000000"/>
                <w:sz w:val="24"/>
                <w:szCs w:val="24"/>
                <w:rtl w:val="0"/>
              </w:rPr>
              <w:t xml:space="preserve">Your application is submitted first to the Academic Office </w:t>
            </w:r>
            <w:r w:rsidDel="00000000" w:rsidR="00000000" w:rsidRPr="00000000">
              <w:rPr>
                <w:b w:val="1"/>
                <w:bCs w:val="1"/>
                <w:color w:val="000000"/>
                <w:sz w:val="24"/>
                <w:szCs w:val="24"/>
                <w:rtl w:val="0"/>
              </w:rPr>
              <w:t xml:space="preserve">via the appropriate submission link on Moodle (Advance HE Fellowship module)</w:t>
            </w:r>
            <w:r w:rsidDel="00000000" w:rsidR="00000000" w:rsidRPr="00000000">
              <w:rPr>
                <w:b w:val="1"/>
                <w:bCs w:val="1"/>
                <w:sz w:val="24"/>
                <w:szCs w:val="24"/>
                <w:rtl w:val="0"/>
              </w:rPr>
              <w:t xml:space="preserve">.</w:t>
            </w:r>
            <w:r w:rsidDel="00000000" w:rsidR="00000000" w:rsidRPr="00000000">
              <w:rPr>
                <w:rtl w:val="0"/>
              </w:rPr>
            </w:r>
          </w:p>
          <w:p w:rsidR="00000000" w:rsidDel="00000000" w:rsidP="00000000" w:rsidRDefault="00000000" w:rsidRPr="00000000" w14:paraId="0000001F">
            <w:pPr>
              <w:rPr>
                <w:b w:val="1"/>
                <w:bCs w:val="1"/>
                <w:sz w:val="32"/>
                <w:szCs w:val="32"/>
              </w:rPr>
            </w:pPr>
            <w:r w:rsidDel="00000000" w:rsidR="00000000" w:rsidRPr="00000000">
              <w:rPr>
                <w:rtl w:val="0"/>
              </w:rPr>
            </w:r>
          </w:p>
        </w:tc>
      </w:tr>
    </w:tbl>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b w:val="1"/>
          <w:bCs w:val="1"/>
          <w:sz w:val="32"/>
          <w:szCs w:val="32"/>
          <w:u w:val="single"/>
        </w:rPr>
      </w:pPr>
      <w:r w:rsidDel="00000000" w:rsidR="00000000" w:rsidRPr="00000000">
        <w:rPr>
          <w:rtl w:val="0"/>
        </w:rPr>
      </w:r>
    </w:p>
    <w:p w:rsidR="00000000" w:rsidDel="00000000" w:rsidP="00000000" w:rsidRDefault="00000000" w:rsidRPr="00000000" w14:paraId="00000022">
      <w:pPr>
        <w:rPr>
          <w:b w:val="1"/>
          <w:bCs w:val="1"/>
          <w:sz w:val="32"/>
          <w:szCs w:val="32"/>
          <w:u w:val="single"/>
        </w:rPr>
      </w:pPr>
      <w:r w:rsidDel="00000000" w:rsidR="00000000" w:rsidRPr="00000000">
        <w:rPr>
          <w:b w:val="1"/>
          <w:bCs w:val="1"/>
          <w:sz w:val="32"/>
          <w:szCs w:val="32"/>
          <w:u w:val="single"/>
          <w:rtl w:val="0"/>
        </w:rPr>
        <w:t xml:space="preserve">SECTION ONE:</w:t>
      </w:r>
    </w:p>
    <w:p w:rsidR="00000000" w:rsidDel="00000000" w:rsidP="00000000" w:rsidRDefault="00000000" w:rsidRPr="00000000" w14:paraId="00000023">
      <w:pPr>
        <w:rPr>
          <w:sz w:val="24"/>
          <w:szCs w:val="24"/>
        </w:rPr>
      </w:pPr>
      <w:r w:rsidDel="00000000" w:rsidR="00000000" w:rsidRPr="00000000">
        <w:rPr>
          <w:rtl w:val="0"/>
        </w:rPr>
      </w:r>
    </w:p>
    <w:tbl>
      <w:tblPr>
        <w:tblStyle w:val="Table2"/>
        <w:tblW w:w="1074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53"/>
        <w:gridCol w:w="5387"/>
        <w:tblGridChange w:id="0">
          <w:tblGrid>
            <w:gridCol w:w="5353"/>
            <w:gridCol w:w="5387"/>
          </w:tblGrid>
        </w:tblGridChange>
      </w:tblGrid>
      <w:tr>
        <w:trPr>
          <w:cantSplit w:val="0"/>
          <w:tblHeader w:val="0"/>
        </w:trPr>
        <w:tc>
          <w:tcPr/>
          <w:p w:rsidR="00000000" w:rsidDel="00000000" w:rsidP="00000000" w:rsidRDefault="00000000" w:rsidRPr="00000000" w14:paraId="00000024">
            <w:pPr>
              <w:rPr>
                <w:b w:val="1"/>
                <w:bCs w:val="1"/>
                <w:sz w:val="24"/>
                <w:szCs w:val="24"/>
              </w:rPr>
            </w:pPr>
            <w:r w:rsidDel="00000000" w:rsidR="00000000" w:rsidRPr="00000000">
              <w:rPr>
                <w:b w:val="1"/>
                <w:bCs w:val="1"/>
                <w:sz w:val="24"/>
                <w:szCs w:val="24"/>
                <w:rtl w:val="0"/>
              </w:rPr>
              <w:t xml:space="preserve">NAME</w:t>
            </w:r>
          </w:p>
        </w:tc>
        <w:tc>
          <w:tcPr/>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Nicola Abrahm </w:t>
            </w:r>
          </w:p>
        </w:tc>
      </w:tr>
      <w:tr>
        <w:trPr>
          <w:cantSplit w:val="0"/>
          <w:tblHeader w:val="0"/>
        </w:trPr>
        <w:tc>
          <w:tcPr/>
          <w:p w:rsidR="00000000" w:rsidDel="00000000" w:rsidP="00000000" w:rsidRDefault="00000000" w:rsidRPr="00000000" w14:paraId="00000027">
            <w:pPr>
              <w:rPr>
                <w:b w:val="1"/>
                <w:bCs w:val="1"/>
                <w:sz w:val="24"/>
                <w:szCs w:val="24"/>
              </w:rPr>
            </w:pPr>
            <w:r w:rsidDel="00000000" w:rsidR="00000000" w:rsidRPr="00000000">
              <w:rPr>
                <w:b w:val="1"/>
                <w:bCs w:val="1"/>
                <w:sz w:val="24"/>
                <w:szCs w:val="24"/>
                <w:rtl w:val="0"/>
              </w:rPr>
              <w:t xml:space="preserve">INSTITUTE/CENTRE/UNIT</w:t>
            </w:r>
          </w:p>
          <w:p w:rsidR="00000000" w:rsidDel="00000000" w:rsidP="00000000" w:rsidRDefault="00000000" w:rsidRPr="00000000" w14:paraId="00000028">
            <w:pPr>
              <w:rPr>
                <w:b w:val="1"/>
                <w:bCs w:val="1"/>
                <w:sz w:val="24"/>
                <w:szCs w:val="24"/>
              </w:rPr>
            </w:pPr>
            <w:r w:rsidDel="00000000" w:rsidR="00000000" w:rsidRPr="00000000">
              <w:rPr>
                <w:rtl w:val="0"/>
              </w:rPr>
            </w:r>
          </w:p>
        </w:tc>
        <w:tc>
          <w:tcPr/>
          <w:p w:rsidR="00000000" w:rsidDel="00000000" w:rsidP="00000000" w:rsidRDefault="00000000" w:rsidRPr="00000000" w14:paraId="00000029">
            <w:pPr>
              <w:rPr>
                <w:sz w:val="24"/>
                <w:szCs w:val="24"/>
              </w:rPr>
            </w:pPr>
            <w:r w:rsidDel="00000000" w:rsidR="00000000" w:rsidRPr="00000000">
              <w:rPr>
                <w:sz w:val="24"/>
                <w:szCs w:val="24"/>
                <w:rtl w:val="0"/>
              </w:rPr>
              <w:t xml:space="preserve">Coleg Sir Gâr </w:t>
            </w:r>
          </w:p>
          <w:p w:rsidR="00000000" w:rsidDel="00000000" w:rsidP="00000000" w:rsidRDefault="00000000" w:rsidRPr="00000000" w14:paraId="0000002A">
            <w:pPr>
              <w:rPr>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2B">
            <w:pPr>
              <w:rPr>
                <w:sz w:val="24"/>
                <w:szCs w:val="24"/>
              </w:rPr>
            </w:pPr>
            <w:r w:rsidDel="00000000" w:rsidR="00000000" w:rsidRPr="00000000">
              <w:rPr>
                <w:b w:val="1"/>
                <w:bCs w:val="1"/>
                <w:sz w:val="24"/>
                <w:szCs w:val="24"/>
                <w:rtl w:val="0"/>
              </w:rPr>
              <w:t xml:space="preserve">POSITION </w:t>
            </w:r>
            <w:r w:rsidDel="00000000" w:rsidR="00000000" w:rsidRPr="00000000">
              <w:rPr>
                <w:sz w:val="24"/>
                <w:szCs w:val="24"/>
                <w:rtl w:val="0"/>
              </w:rPr>
              <w:t xml:space="preserve">(E.g. Lecturer/Senior Lecturer/Principal Lecturer/Director of Discipline/Other </w:t>
            </w:r>
            <w:r w:rsidDel="00000000" w:rsidR="00000000" w:rsidRPr="00000000">
              <w:rPr>
                <w:sz w:val="20"/>
                <w:szCs w:val="20"/>
                <w:rtl w:val="0"/>
              </w:rPr>
              <w:t xml:space="preserve">(please specify)</w:t>
            </w:r>
            <w:r w:rsidDel="00000000" w:rsidR="00000000" w:rsidRPr="00000000">
              <w:rPr>
                <w:rtl w:val="0"/>
              </w:rPr>
            </w:r>
          </w:p>
          <w:p w:rsidR="00000000" w:rsidDel="00000000" w:rsidP="00000000" w:rsidRDefault="00000000" w:rsidRPr="00000000" w14:paraId="0000002C">
            <w:pPr>
              <w:rPr>
                <w:b w:val="1"/>
                <w:bCs w:val="1"/>
                <w:sz w:val="24"/>
                <w:szCs w:val="24"/>
              </w:rPr>
            </w:pPr>
            <w:r w:rsidDel="00000000" w:rsidR="00000000" w:rsidRPr="00000000">
              <w:rPr>
                <w:rtl w:val="0"/>
              </w:rPr>
            </w:r>
          </w:p>
        </w:tc>
        <w:tc>
          <w:tcPr/>
          <w:p w:rsidR="00000000" w:rsidDel="00000000" w:rsidP="00000000" w:rsidRDefault="00000000" w:rsidRPr="00000000" w14:paraId="0000002D">
            <w:pPr>
              <w:rPr>
                <w:sz w:val="24"/>
                <w:szCs w:val="24"/>
              </w:rPr>
            </w:pPr>
            <w:r w:rsidDel="00000000" w:rsidR="00000000" w:rsidRPr="00000000">
              <w:rPr>
                <w:sz w:val="24"/>
                <w:szCs w:val="24"/>
                <w:rtl w:val="0"/>
              </w:rPr>
              <w:t xml:space="preserve">Lecturer / Teaching and Learning Coach </w:t>
            </w:r>
          </w:p>
          <w:p w:rsidR="00000000" w:rsidDel="00000000" w:rsidP="00000000" w:rsidRDefault="00000000" w:rsidRPr="00000000" w14:paraId="0000002E">
            <w:pPr>
              <w:rPr>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2F">
            <w:pPr>
              <w:rPr>
                <w:sz w:val="24"/>
                <w:szCs w:val="24"/>
              </w:rPr>
            </w:pPr>
            <w:r w:rsidDel="00000000" w:rsidR="00000000" w:rsidRPr="00000000">
              <w:rPr>
                <w:b w:val="1"/>
                <w:bCs w:val="1"/>
                <w:sz w:val="24"/>
                <w:szCs w:val="24"/>
                <w:rtl w:val="0"/>
              </w:rPr>
              <w:t xml:space="preserve">ROLE </w:t>
            </w:r>
            <w:r w:rsidDel="00000000" w:rsidR="00000000" w:rsidRPr="00000000">
              <w:rPr>
                <w:sz w:val="24"/>
                <w:szCs w:val="24"/>
                <w:rtl w:val="0"/>
              </w:rPr>
              <w:t xml:space="preserve">(E.g. Lecturer/Programme Director/Admissions Tutor/Module Leader/Other </w:t>
            </w:r>
            <w:r w:rsidDel="00000000" w:rsidR="00000000" w:rsidRPr="00000000">
              <w:rPr>
                <w:sz w:val="20"/>
                <w:szCs w:val="20"/>
                <w:rtl w:val="0"/>
              </w:rPr>
              <w:t xml:space="preserve">(please specify)</w:t>
            </w:r>
            <w:r w:rsidDel="00000000" w:rsidR="00000000" w:rsidRPr="00000000">
              <w:rPr>
                <w:rtl w:val="0"/>
              </w:rPr>
            </w:r>
          </w:p>
          <w:p w:rsidR="00000000" w:rsidDel="00000000" w:rsidP="00000000" w:rsidRDefault="00000000" w:rsidRPr="00000000" w14:paraId="00000030">
            <w:pPr>
              <w:rPr>
                <w:b w:val="1"/>
                <w:bCs w:val="1"/>
                <w:sz w:val="24"/>
                <w:szCs w:val="24"/>
              </w:rPr>
            </w:pPr>
            <w:r w:rsidDel="00000000" w:rsidR="00000000" w:rsidRPr="00000000">
              <w:rPr>
                <w:rtl w:val="0"/>
              </w:rPr>
            </w:r>
          </w:p>
        </w:tc>
        <w:tc>
          <w:tcPr/>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Lecturer / Teaching and Learning Coach </w:t>
            </w:r>
          </w:p>
        </w:tc>
      </w:tr>
      <w:tr>
        <w:trPr>
          <w:cantSplit w:val="0"/>
          <w:tblHeader w:val="0"/>
        </w:trPr>
        <w:tc>
          <w:tcPr/>
          <w:p w:rsidR="00000000" w:rsidDel="00000000" w:rsidP="00000000" w:rsidRDefault="00000000" w:rsidRPr="00000000" w14:paraId="00000033">
            <w:pPr>
              <w:rPr>
                <w:b w:val="1"/>
                <w:bCs w:val="1"/>
                <w:sz w:val="24"/>
                <w:szCs w:val="24"/>
              </w:rPr>
            </w:pPr>
            <w:r w:rsidDel="00000000" w:rsidR="00000000" w:rsidRPr="00000000">
              <w:rPr>
                <w:b w:val="1"/>
                <w:bCs w:val="1"/>
                <w:sz w:val="24"/>
                <w:szCs w:val="24"/>
                <w:rtl w:val="0"/>
              </w:rPr>
              <w:t xml:space="preserve">Referees</w:t>
            </w:r>
          </w:p>
          <w:p w:rsidR="00000000" w:rsidDel="00000000" w:rsidP="00000000" w:rsidRDefault="00000000" w:rsidRPr="00000000" w14:paraId="00000034">
            <w:pPr>
              <w:rPr>
                <w:sz w:val="24"/>
                <w:szCs w:val="24"/>
              </w:rPr>
            </w:pPr>
            <w:r w:rsidDel="00000000" w:rsidR="00000000" w:rsidRPr="00000000">
              <w:rPr>
                <w:sz w:val="24"/>
                <w:szCs w:val="24"/>
                <w:rtl w:val="0"/>
              </w:rPr>
              <w:t xml:space="preserve">Please could you tick the box if you have sent in your referees’ statements (Please be aware if we do not receive your referees’ statements at the time of the submission or a maximum of 2 days after the panel submission date then your application will be passed to the next Panel meeting).</w:t>
            </w:r>
          </w:p>
          <w:p w:rsidR="00000000" w:rsidDel="00000000" w:rsidP="00000000" w:rsidRDefault="00000000" w:rsidRPr="00000000" w14:paraId="00000035">
            <w:pPr>
              <w:rPr>
                <w:b w:val="1"/>
                <w:bCs w:val="1"/>
                <w:sz w:val="24"/>
                <w:szCs w:val="24"/>
              </w:rPr>
            </w:pPr>
            <w:r w:rsidDel="00000000" w:rsidR="00000000" w:rsidRPr="00000000">
              <w:rPr>
                <w:sz w:val="24"/>
                <w:szCs w:val="24"/>
                <w:rtl w:val="0"/>
              </w:rPr>
              <w:t xml:space="preserve">If your supporting statements are not included with your application, you must ensure your referees send their supporting statements to the Academic Office by the deadline. The Academic Office will not chase referees.</w:t>
            </w:r>
            <w:r w:rsidDel="00000000" w:rsidR="00000000" w:rsidRPr="00000000">
              <w:rPr>
                <w:rtl w:val="0"/>
              </w:rPr>
            </w:r>
          </w:p>
        </w:tc>
        <w:tc>
          <w:tcPr/>
          <w:p w:rsidR="00000000" w:rsidDel="00000000" w:rsidP="00000000" w:rsidRDefault="00000000" w:rsidRPr="00000000" w14:paraId="00000036">
            <w:pPr>
              <w:rPr>
                <w:b w:val="1"/>
                <w:bCs w:val="1"/>
                <w:sz w:val="24"/>
                <w:szCs w:val="24"/>
              </w:rPr>
            </w:pPr>
            <w:r w:rsidDel="00000000" w:rsidR="00000000" w:rsidRPr="00000000">
              <w:rPr>
                <w:rtl w:val="0"/>
              </w:rPr>
            </w:r>
          </w:p>
          <w:p w:rsidR="00000000" w:rsidDel="00000000" w:rsidP="00000000" w:rsidRDefault="00000000" w:rsidRPr="00000000" w14:paraId="00000037">
            <w:pPr>
              <w:rPr>
                <w:b w:val="1"/>
                <w:bCs w:val="1"/>
                <w:sz w:val="24"/>
                <w:szCs w:val="24"/>
              </w:rPr>
            </w:pPr>
            <w:r w:rsidDel="00000000" w:rsidR="00000000" w:rsidRPr="00000000">
              <w:rPr>
                <w:rtl w:val="0"/>
              </w:rPr>
            </w:r>
          </w:p>
          <w:p w:rsidR="00000000" w:rsidDel="00000000" w:rsidP="00000000" w:rsidRDefault="00000000" w:rsidRPr="00000000" w14:paraId="00000038">
            <w:pPr>
              <w:rPr>
                <w:b w:val="1"/>
                <w:bCs w:val="1"/>
                <w:sz w:val="24"/>
                <w:szCs w:val="24"/>
              </w:rPr>
            </w:pPr>
            <w:r w:rsidDel="00000000" w:rsidR="00000000" w:rsidRPr="00000000">
              <w:rPr>
                <w:b w:val="1"/>
                <w:bCs w:val="1"/>
                <w:sz w:val="24"/>
                <w:szCs w:val="24"/>
                <w:rtl w:val="0"/>
              </w:rPr>
              <w:t xml:space="preserve">Yes    </w:t>
            </w:r>
            <w:r w:rsidDel="00000000" w:rsidR="00000000" w:rsidRPr="00000000">
              <w:rPr>
                <w:rFonts w:ascii="MS Gothic" w:cs="MS Gothic" w:eastAsia="MS Gothic" w:hAnsi="MS Gothic"/>
                <w:b w:val="1"/>
                <w:bCs w:val="1"/>
                <w:sz w:val="24"/>
                <w:szCs w:val="24"/>
                <w:rtl w:val="0"/>
              </w:rPr>
              <w:t xml:space="preserve">✓</w:t>
            </w:r>
            <w:r w:rsidDel="00000000" w:rsidR="00000000" w:rsidRPr="00000000">
              <w:rPr>
                <w:b w:val="1"/>
                <w:bCs w:val="1"/>
                <w:sz w:val="24"/>
                <w:szCs w:val="24"/>
                <w:rtl w:val="0"/>
              </w:rPr>
              <w:t xml:space="preserve">                         No </w:t>
            </w:r>
            <w:r w:rsidDel="00000000" w:rsidR="00000000" w:rsidRPr="00000000">
              <w:rPr>
                <w:rFonts w:ascii="MS Gothic" w:cs="MS Gothic" w:eastAsia="MS Gothic" w:hAnsi="MS Gothic"/>
                <w:b w:val="1"/>
                <w:bCs w:val="1"/>
                <w:sz w:val="24"/>
                <w:szCs w:val="24"/>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39">
            <w:pPr>
              <w:rPr>
                <w:b w:val="1"/>
                <w:bCs w:val="1"/>
                <w:sz w:val="24"/>
                <w:szCs w:val="24"/>
              </w:rPr>
            </w:pPr>
            <w:r w:rsidDel="00000000" w:rsidR="00000000" w:rsidRPr="00000000">
              <w:rPr>
                <w:b w:val="1"/>
                <w:bCs w:val="1"/>
                <w:sz w:val="24"/>
                <w:szCs w:val="24"/>
                <w:rtl w:val="0"/>
              </w:rPr>
              <w:t xml:space="preserve">Date of Training</w:t>
            </w:r>
          </w:p>
        </w:tc>
        <w:tc>
          <w:tcPr/>
          <w:p w:rsidR="00000000" w:rsidDel="00000000" w:rsidP="00000000" w:rsidRDefault="00000000" w:rsidRPr="00000000" w14:paraId="0000003A">
            <w:pPr>
              <w:rPr>
                <w:sz w:val="24"/>
                <w:szCs w:val="24"/>
              </w:rPr>
            </w:pPr>
            <w:r w:rsidDel="00000000" w:rsidR="00000000" w:rsidRPr="00000000">
              <w:rPr>
                <w:sz w:val="24"/>
                <w:szCs w:val="24"/>
                <w:rtl w:val="0"/>
              </w:rPr>
              <w:t xml:space="preserve">17/05/26</w:t>
            </w:r>
          </w:p>
        </w:tc>
      </w:tr>
      <w:tr>
        <w:trPr>
          <w:cantSplit w:val="0"/>
          <w:tblHeader w:val="0"/>
        </w:trPr>
        <w:tc>
          <w:tcPr/>
          <w:p w:rsidR="00000000" w:rsidDel="00000000" w:rsidP="00000000" w:rsidRDefault="00000000" w:rsidRPr="00000000" w14:paraId="0000003B">
            <w:pPr>
              <w:rPr>
                <w:b w:val="1"/>
                <w:bCs w:val="1"/>
                <w:sz w:val="24"/>
                <w:szCs w:val="24"/>
              </w:rPr>
            </w:pPr>
            <w:r w:rsidDel="00000000" w:rsidR="00000000" w:rsidRPr="00000000">
              <w:rPr>
                <w:b w:val="1"/>
                <w:bCs w:val="1"/>
                <w:sz w:val="24"/>
                <w:szCs w:val="24"/>
                <w:rtl w:val="0"/>
              </w:rPr>
              <w:t xml:space="preserve">Mentor</w:t>
            </w:r>
          </w:p>
        </w:tc>
        <w:tc>
          <w:tcPr/>
          <w:p w:rsidR="00000000" w:rsidDel="00000000" w:rsidP="00000000" w:rsidRDefault="00000000" w:rsidRPr="00000000" w14:paraId="0000003C">
            <w:pPr>
              <w:rPr>
                <w:sz w:val="24"/>
                <w:szCs w:val="24"/>
              </w:rPr>
            </w:pPr>
            <w:r w:rsidDel="00000000" w:rsidR="00000000" w:rsidRPr="00000000">
              <w:rPr>
                <w:sz w:val="24"/>
                <w:szCs w:val="24"/>
                <w:rtl w:val="0"/>
              </w:rPr>
              <w:t xml:space="preserve">Henry Dorling </w:t>
            </w:r>
          </w:p>
        </w:tc>
      </w:tr>
    </w:tbl>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after="200" w:line="276" w:lineRule="auto"/>
        <w:rPr>
          <w:b w:val="1"/>
          <w:bCs w:val="1"/>
          <w:color w:val="009999"/>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2"/>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Context statement: </w:t>
      </w:r>
    </w:p>
    <w:p w:rsidR="00000000" w:rsidDel="00000000" w:rsidP="00000000" w:rsidRDefault="00000000" w:rsidRPr="00000000" w14:paraId="00000041">
      <w:pPr>
        <w:rPr/>
      </w:pPr>
      <w:r w:rsidDel="00000000" w:rsidR="00000000" w:rsidRPr="00000000">
        <w:rPr>
          <w:rtl w:val="0"/>
        </w:rPr>
      </w:r>
    </w:p>
    <w:tbl>
      <w:tblPr>
        <w:tblStyle w:val="Table3"/>
        <w:tblW w:w="1034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43"/>
        <w:tblGridChange w:id="0">
          <w:tblGrid>
            <w:gridCol w:w="10343"/>
          </w:tblGrid>
        </w:tblGridChange>
      </w:tblGrid>
      <w:tr>
        <w:trPr>
          <w:cantSplit w:val="0"/>
          <w:tblHeader w:val="0"/>
        </w:trPr>
        <w:tc>
          <w:tcPr/>
          <w:p w:rsidR="00000000" w:rsidDel="00000000" w:rsidP="00000000" w:rsidRDefault="00000000" w:rsidRPr="00000000" w14:paraId="00000042">
            <w:pPr>
              <w:spacing w:after="240" w:before="240" w:line="360" w:lineRule="auto"/>
              <w:jc w:val="both"/>
              <w:rPr/>
            </w:pPr>
            <w:r w:rsidDel="00000000" w:rsidR="00000000" w:rsidRPr="00000000">
              <w:rPr>
                <w:rtl w:val="0"/>
              </w:rPr>
              <w:t xml:space="preserve">I have taught in higher education (HE) at Coleg Sir Gâr for ten years.  I currently work as both an HE Lecturer and a Teaching and Learning Coach. I deliver on the PGCE programme and the FdA in</w:t>
            </w:r>
            <w:r w:rsidDel="00000000" w:rsidR="00000000" w:rsidRPr="00000000">
              <w:rPr>
                <w:i w:val="1"/>
                <w:iCs w:val="1"/>
                <w:rtl w:val="0"/>
              </w:rPr>
              <w:t xml:space="preserve"> Children, Young People and Society,</w:t>
            </w:r>
            <w:r w:rsidDel="00000000" w:rsidR="00000000" w:rsidRPr="00000000">
              <w:rPr>
                <w:rtl w:val="0"/>
              </w:rPr>
              <w:t xml:space="preserve"> both affiliated with UWTSD. The PGCE is a two year, part-time course and I currently teach the Year 2 cohort at Levels 6 and 7 - through a hybrid model that combines online and face-to-face learning. This year, I conducted action research on strategies to improve collaboration and inclusivity in a hybrid model. </w:t>
            </w:r>
          </w:p>
          <w:p w:rsidR="00000000" w:rsidDel="00000000" w:rsidP="00000000" w:rsidRDefault="00000000" w:rsidRPr="00000000" w14:paraId="00000043">
            <w:pPr>
              <w:spacing w:after="240" w:before="240" w:line="360" w:lineRule="auto"/>
              <w:jc w:val="both"/>
              <w:rPr/>
            </w:pPr>
            <w:r w:rsidDel="00000000" w:rsidR="00000000" w:rsidRPr="00000000">
              <w:rPr>
                <w:rtl w:val="0"/>
              </w:rPr>
              <w:t xml:space="preserve">The FdA programme in </w:t>
            </w:r>
            <w:r w:rsidDel="00000000" w:rsidR="00000000" w:rsidRPr="00000000">
              <w:rPr>
                <w:i w:val="1"/>
                <w:iCs w:val="1"/>
                <w:rtl w:val="0"/>
              </w:rPr>
              <w:t xml:space="preserve">Children, Young people and Society</w:t>
            </w:r>
            <w:r w:rsidDel="00000000" w:rsidR="00000000" w:rsidRPr="00000000">
              <w:rPr>
                <w:rtl w:val="0"/>
              </w:rPr>
              <w:t xml:space="preserve"> cohort is classroom based at levels 5 and 5, and predominantly mature learners returning to education. Up until 2025, I carried out the role of Programme Director and was responsible for overall course leadership, oversight of exam boards and learner recruitment. This directly impacted supporting learner experiences and was consistently reflected in the National Student Survey (NSS). Alongside this, I undertook two consecutive years of action research focused on the </w:t>
            </w:r>
            <w:r w:rsidDel="00000000" w:rsidR="00000000" w:rsidRPr="00000000">
              <w:rPr>
                <w:i w:val="1"/>
                <w:iCs w:val="1"/>
                <w:rtl w:val="0"/>
              </w:rPr>
              <w:t xml:space="preserve">Curriculum for Wales</w:t>
            </w:r>
            <w:r w:rsidDel="00000000" w:rsidR="00000000" w:rsidRPr="00000000">
              <w:rPr>
                <w:rtl w:val="0"/>
              </w:rPr>
              <w:t xml:space="preserve">, applying findings directly to my teaching practice to enhance learning and critical engagement with educational reform. </w:t>
            </w:r>
          </w:p>
          <w:p w:rsidR="00000000" w:rsidDel="00000000" w:rsidP="00000000" w:rsidRDefault="00000000" w:rsidRPr="00000000" w14:paraId="00000044">
            <w:pPr>
              <w:spacing w:after="240" w:before="240" w:line="360" w:lineRule="auto"/>
              <w:jc w:val="both"/>
              <w:rPr/>
            </w:pPr>
            <w:r w:rsidDel="00000000" w:rsidR="00000000" w:rsidRPr="00000000">
              <w:rPr>
                <w:rtl w:val="0"/>
              </w:rPr>
              <w:t xml:space="preserve">In 2025, I was seconded to the Teaching and Learning Team which supports staff across in HE provision, spanning seven campuses. I mentor colleagues through structured programmes, conduct lesson observations and provide developmental feedback. Developing staff expertise and refining pedagogical practices directly enhances the quality of the classroom experience - where learners benefit from more engaging, effective and up to date environments.</w:t>
            </w:r>
          </w:p>
          <w:p w:rsidR="00000000" w:rsidDel="00000000" w:rsidP="00000000" w:rsidRDefault="00000000" w:rsidRPr="00000000" w14:paraId="00000045">
            <w:pPr>
              <w:spacing w:after="240" w:before="240" w:line="360" w:lineRule="auto"/>
              <w:jc w:val="both"/>
              <w:rPr/>
            </w:pPr>
            <w:r w:rsidDel="00000000" w:rsidR="00000000" w:rsidRPr="00000000">
              <w:rPr>
                <w:rtl w:val="0"/>
              </w:rPr>
              <w:t xml:space="preserve">I am committed to my own professional development and recently completed a Master of Arts in Education with first-class honours. My dissertation explored mature learners’ perceptions of growth mindset and earlier this year I published an academic blog with the Learning and Skills Research Network. </w:t>
            </w:r>
            <w:r w:rsidDel="00000000" w:rsidR="00000000" w:rsidRPr="00000000">
              <w:rPr>
                <w:rtl w:val="0"/>
              </w:rPr>
            </w:r>
          </w:p>
        </w:tc>
      </w:tr>
    </w:tbl>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spacing w:after="200" w:line="276" w:lineRule="auto"/>
        <w:rPr>
          <w:color w:val="009999"/>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2"/>
        <w:rPr>
          <w:rFonts w:ascii="Arial" w:cs="Arial" w:eastAsia="Arial" w:hAnsi="Arial"/>
          <w:color w:val="000000"/>
          <w:sz w:val="22"/>
          <w:szCs w:val="22"/>
        </w:rPr>
      </w:pPr>
      <w:r w:rsidDel="00000000" w:rsidR="00000000" w:rsidRPr="00000000">
        <w:rPr>
          <w:rFonts w:ascii="Arial" w:cs="Arial" w:eastAsia="Arial" w:hAnsi="Arial"/>
          <w:color w:val="000000"/>
          <w:sz w:val="32"/>
          <w:szCs w:val="32"/>
          <w:rtl w:val="0"/>
        </w:rPr>
        <w:t xml:space="preserve">Evidencing Area of Activity 1 (A1): Design and plan learning activities and/or programmes </w:t>
      </w:r>
      <w:r w:rsidDel="00000000" w:rsidR="00000000" w:rsidRPr="00000000">
        <w:rPr>
          <w:rtl w:val="0"/>
        </w:rPr>
      </w:r>
    </w:p>
    <w:tbl>
      <w:tblPr>
        <w:tblStyle w:val="Table4"/>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49">
            <w:pPr>
              <w:spacing w:line="360" w:lineRule="auto"/>
              <w:jc w:val="both"/>
              <w:rPr>
                <w:highlight w:val="white"/>
              </w:rPr>
            </w:pPr>
            <w:r w:rsidDel="00000000" w:rsidR="00000000" w:rsidRPr="00000000">
              <w:rPr>
                <w:rtl w:val="0"/>
              </w:rPr>
            </w:r>
          </w:p>
          <w:p w:rsidR="00000000" w:rsidDel="00000000" w:rsidP="00000000" w:rsidRDefault="00000000" w:rsidRPr="00000000" w14:paraId="0000004A">
            <w:pPr>
              <w:spacing w:line="360" w:lineRule="auto"/>
              <w:jc w:val="both"/>
              <w:rPr>
                <w:color w:val="1c1c1c"/>
                <w:sz w:val="21"/>
                <w:szCs w:val="21"/>
                <w:highlight w:val="white"/>
              </w:rPr>
            </w:pPr>
            <w:r w:rsidDel="00000000" w:rsidR="00000000" w:rsidRPr="00000000">
              <w:rPr>
                <w:color w:val="1c1c1c"/>
                <w:sz w:val="21"/>
                <w:szCs w:val="21"/>
                <w:highlight w:val="white"/>
                <w:rtl w:val="0"/>
              </w:rPr>
              <w:t xml:space="preserve">At the start of the academic year 2025/2026, I drew on insights from action research (V3) to design learning activities for the PGCE programme. The aim was to enhance learner engagement within a hybrid environment. While the hybrid model supports those unable to attend in person, it is less inclusive than fully face-to-face learning (Sareen and Mandal, 2024). By altering pedagogy, I aimed to create a more inclusive and collaborative environment (Goria et al., 2022) (V1, V2), aligning with the need for flexibility and equity in higher education (Advance HE, 2025) (V4). </w:t>
            </w:r>
          </w:p>
          <w:p w:rsidR="00000000" w:rsidDel="00000000" w:rsidP="00000000" w:rsidRDefault="00000000" w:rsidRPr="00000000" w14:paraId="0000004B">
            <w:pPr>
              <w:spacing w:line="360" w:lineRule="auto"/>
              <w:jc w:val="both"/>
              <w:rPr>
                <w:color w:val="1c1c1c"/>
                <w:sz w:val="21"/>
                <w:szCs w:val="21"/>
                <w:highlight w:val="white"/>
              </w:rPr>
            </w:pPr>
            <w:r w:rsidDel="00000000" w:rsidR="00000000" w:rsidRPr="00000000">
              <w:rPr>
                <w:rtl w:val="0"/>
              </w:rPr>
            </w:r>
          </w:p>
          <w:p w:rsidR="00000000" w:rsidDel="00000000" w:rsidP="00000000" w:rsidRDefault="00000000" w:rsidRPr="00000000" w14:paraId="0000004C">
            <w:pPr>
              <w:spacing w:line="360" w:lineRule="auto"/>
              <w:jc w:val="both"/>
              <w:rPr>
                <w:color w:val="1c1c1c"/>
                <w:sz w:val="21"/>
                <w:szCs w:val="21"/>
                <w:highlight w:val="white"/>
              </w:rPr>
            </w:pPr>
            <w:r w:rsidDel="00000000" w:rsidR="00000000" w:rsidRPr="00000000">
              <w:rPr>
                <w:color w:val="1c1c1c"/>
                <w:sz w:val="21"/>
                <w:szCs w:val="21"/>
                <w:highlight w:val="white"/>
                <w:rtl w:val="0"/>
              </w:rPr>
              <w:t xml:space="preserve">A literature review informed the design process (V3). I used questionnaires to gather input from PGCE staff and learners (V1, V5). This feedback identified barriers to the model, indicating that technical glitches and social inhibitions could hinder engagement, inclusivity, and participation (Arfat et al., 2025) (V5, K5). These insights shaped my interventions and the need for greater connectivity using EdTech. For consistency, I selected tools aligned with the Teaching Toolkit 2 module to support collaboration at the academic level required for the PGCE programme (K2, K5). Following my interventions, I observed more learner communication across both platforms, with more online learners addressing the class verbally rather than typing in Google Chat. </w:t>
            </w:r>
          </w:p>
          <w:p w:rsidR="00000000" w:rsidDel="00000000" w:rsidP="00000000" w:rsidRDefault="00000000" w:rsidRPr="00000000" w14:paraId="0000004D">
            <w:pPr>
              <w:spacing w:line="360" w:lineRule="auto"/>
              <w:jc w:val="both"/>
              <w:rPr>
                <w:color w:val="1c1c1c"/>
                <w:sz w:val="21"/>
                <w:szCs w:val="21"/>
                <w:highlight w:val="white"/>
              </w:rPr>
            </w:pPr>
            <w:r w:rsidDel="00000000" w:rsidR="00000000" w:rsidRPr="00000000">
              <w:rPr>
                <w:rtl w:val="0"/>
              </w:rPr>
            </w:r>
          </w:p>
          <w:p w:rsidR="00000000" w:rsidDel="00000000" w:rsidP="00000000" w:rsidRDefault="00000000" w:rsidRPr="00000000" w14:paraId="0000004E">
            <w:pPr>
              <w:spacing w:line="360" w:lineRule="auto"/>
              <w:jc w:val="both"/>
              <w:rPr>
                <w:color w:val="1c1c1c"/>
                <w:sz w:val="21"/>
                <w:szCs w:val="21"/>
                <w:highlight w:val="white"/>
              </w:rPr>
            </w:pPr>
            <w:r w:rsidDel="00000000" w:rsidR="00000000" w:rsidRPr="00000000">
              <w:rPr>
                <w:color w:val="1c1c1c"/>
                <w:sz w:val="21"/>
                <w:szCs w:val="21"/>
                <w:highlight w:val="white"/>
                <w:rtl w:val="0"/>
              </w:rPr>
              <w:t xml:space="preserve">I focused on specific digital pedagogy to bridge the gap between physical and digital spaces (National Education Association, 2026) (K4). I designed group tasks via mixed breakout rooms, allowing online and in-person learners to work together (A1). Learners commented that this format enabled them to share ideas effectively, overcoming the limitations of traditional formats (Sareen and Mandal, 2024) (V2). They experienced less of a social divide between platforms (V1, V2). This was evidenced by greater attendance and positive feedback from exit tickets. </w:t>
            </w:r>
          </w:p>
          <w:p w:rsidR="00000000" w:rsidDel="00000000" w:rsidP="00000000" w:rsidRDefault="00000000" w:rsidRPr="00000000" w14:paraId="0000004F">
            <w:pPr>
              <w:spacing w:line="360" w:lineRule="auto"/>
              <w:jc w:val="both"/>
              <w:rPr>
                <w:color w:val="1c1c1c"/>
                <w:sz w:val="21"/>
                <w:szCs w:val="21"/>
                <w:highlight w:val="white"/>
              </w:rPr>
            </w:pPr>
            <w:r w:rsidDel="00000000" w:rsidR="00000000" w:rsidRPr="00000000">
              <w:rPr>
                <w:rtl w:val="0"/>
              </w:rPr>
            </w:r>
          </w:p>
          <w:p w:rsidR="00000000" w:rsidDel="00000000" w:rsidP="00000000" w:rsidRDefault="00000000" w:rsidRPr="00000000" w14:paraId="00000050">
            <w:pPr>
              <w:spacing w:line="360" w:lineRule="auto"/>
              <w:jc w:val="both"/>
              <w:rPr>
                <w:color w:val="1c1c1c"/>
                <w:sz w:val="21"/>
                <w:szCs w:val="21"/>
                <w:highlight w:val="white"/>
              </w:rPr>
            </w:pPr>
            <w:r w:rsidDel="00000000" w:rsidR="00000000" w:rsidRPr="00000000">
              <w:rPr>
                <w:color w:val="1c1c1c"/>
                <w:sz w:val="21"/>
                <w:szCs w:val="21"/>
                <w:highlight w:val="white"/>
                <w:rtl w:val="0"/>
              </w:rPr>
              <w:t xml:space="preserve">Online learners join the classroom via Google Meet. Another implementation involved asking all learners to join the class Google Meet, while face-to-face learners used </w:t>
            </w:r>
            <w:r w:rsidDel="00000000" w:rsidR="00000000" w:rsidRPr="00000000">
              <w:rPr>
                <w:i w:val="1"/>
                <w:iCs w:val="1"/>
                <w:color w:val="1c1c1c"/>
                <w:sz w:val="21"/>
                <w:szCs w:val="21"/>
                <w:highlight w:val="white"/>
                <w:rtl w:val="0"/>
              </w:rPr>
              <w:t xml:space="preserve">Companion Mode</w:t>
            </w:r>
            <w:r w:rsidDel="00000000" w:rsidR="00000000" w:rsidRPr="00000000">
              <w:rPr>
                <w:color w:val="1c1c1c"/>
                <w:sz w:val="21"/>
                <w:szCs w:val="21"/>
                <w:highlight w:val="white"/>
                <w:rtl w:val="0"/>
              </w:rPr>
              <w:t xml:space="preserve">. This practice ensured all learners were visible to each other, promoting a sense of belonging and social presence (V1, K4). To boost participation, I embedded synchronous activities using Curipod and Canva Whiteboard. This allowed each learner, regardless of location, to contribute simultaneously in real time (K4), further strengthening the collaborative environment. During sessions, learners remarked on feeling more socially connected to their peers. </w:t>
            </w:r>
          </w:p>
          <w:p w:rsidR="00000000" w:rsidDel="00000000" w:rsidP="00000000" w:rsidRDefault="00000000" w:rsidRPr="00000000" w14:paraId="00000051">
            <w:pPr>
              <w:spacing w:line="360" w:lineRule="auto"/>
              <w:jc w:val="both"/>
              <w:rPr>
                <w:color w:val="1c1c1c"/>
                <w:sz w:val="21"/>
                <w:szCs w:val="21"/>
                <w:highlight w:val="white"/>
              </w:rPr>
            </w:pPr>
            <w:r w:rsidDel="00000000" w:rsidR="00000000" w:rsidRPr="00000000">
              <w:rPr>
                <w:rtl w:val="0"/>
              </w:rPr>
            </w:r>
          </w:p>
          <w:p w:rsidR="00000000" w:rsidDel="00000000" w:rsidP="00000000" w:rsidRDefault="00000000" w:rsidRPr="00000000" w14:paraId="00000052">
            <w:pPr>
              <w:spacing w:line="360" w:lineRule="auto"/>
              <w:jc w:val="both"/>
              <w:rPr>
                <w:color w:val="1c1c1c"/>
                <w:sz w:val="21"/>
                <w:szCs w:val="21"/>
                <w:highlight w:val="white"/>
              </w:rPr>
            </w:pPr>
            <w:r w:rsidDel="00000000" w:rsidR="00000000" w:rsidRPr="00000000">
              <w:rPr>
                <w:color w:val="1c1c1c"/>
                <w:sz w:val="21"/>
                <w:szCs w:val="21"/>
                <w:highlight w:val="white"/>
                <w:rtl w:val="0"/>
              </w:rPr>
              <w:t xml:space="preserve">To align teaching and assessment with outcomes, I embedded formative digital assessments into sessions. Reflective Padlet posts and quizzes allowed learners to demonstrate their understanding in diverse formats, catering to different learning styles (A3, K1). Materials were made available in advance via Google Classroom to ensure equitable access in case of technical issues (National Education Association, 2021) (V2, K4). </w:t>
            </w:r>
          </w:p>
          <w:p w:rsidR="00000000" w:rsidDel="00000000" w:rsidP="00000000" w:rsidRDefault="00000000" w:rsidRPr="00000000" w14:paraId="00000053">
            <w:pPr>
              <w:spacing w:line="360" w:lineRule="auto"/>
              <w:jc w:val="both"/>
              <w:rPr>
                <w:color w:val="1c1c1c"/>
                <w:sz w:val="21"/>
                <w:szCs w:val="21"/>
                <w:highlight w:val="white"/>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color w:val="1c1c1c"/>
                <w:sz w:val="21"/>
                <w:szCs w:val="21"/>
                <w:highlight w:val="white"/>
                <w:rtl w:val="0"/>
              </w:rPr>
              <w:t xml:space="preserve">I adopted a mixed methods approach to measure the impact of each strategy (K3). At the end of each session, learners completed an exit ticket, rating the usefulness of tools on a scale of 1 to 5, along with brief comments. I used this feedback to reflect on session effectiveness and identify patterns in learner preferences that could inform subsequent designs (K3). For example, when participants preferred Canva Whiteboard as their collaboration tool, I utilised this feedback to shape the next session's starter, promoting collaborative knowledge retrieval (A2). Using exit tickets in this way made my session design both reflective and responsive, adapting strategies to learner preferences, to promote engagement and progression towards intended learning outcomes (K3, K5).</w:t>
            </w:r>
            <w:r w:rsidDel="00000000" w:rsidR="00000000" w:rsidRPr="00000000">
              <w:rPr>
                <w:highlight w:val="white"/>
                <w:rtl w:val="0"/>
              </w:rPr>
              <w:t xml:space="preserve"> </w:t>
            </w:r>
            <w:r w:rsidDel="00000000" w:rsidR="00000000" w:rsidRPr="00000000">
              <w:rPr>
                <w:rtl w:val="0"/>
              </w:rPr>
            </w:r>
          </w:p>
        </w:tc>
      </w:tr>
    </w:tbl>
    <w:p w:rsidR="00000000" w:rsidDel="00000000" w:rsidP="00000000" w:rsidRDefault="00000000" w:rsidRPr="00000000" w14:paraId="00000055">
      <w:pPr>
        <w:jc w:val="both"/>
        <w:rPr>
          <w:color w:val="009999"/>
          <w:sz w:val="32"/>
          <w:szCs w:val="32"/>
        </w:rPr>
      </w:pPr>
      <w:bookmarkStart w:colFirst="0" w:colLast="0" w:name="_heading=h.2w4ix4me726g" w:id="1"/>
      <w:bookmarkEnd w:id="1"/>
      <w:r w:rsidDel="00000000" w:rsidR="00000000" w:rsidRPr="00000000">
        <w:rPr>
          <w:rtl w:val="0"/>
        </w:rPr>
      </w:r>
    </w:p>
    <w:p w:rsidR="00000000" w:rsidDel="00000000" w:rsidP="00000000" w:rsidRDefault="00000000" w:rsidRPr="00000000" w14:paraId="00000056">
      <w:pPr>
        <w:spacing w:after="200" w:line="276" w:lineRule="auto"/>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7">
      <w:pPr>
        <w:jc w:val="both"/>
        <w:rPr/>
      </w:pPr>
      <w:r w:rsidDel="00000000" w:rsidR="00000000" w:rsidRPr="00000000">
        <w:rPr>
          <w:sz w:val="32"/>
          <w:szCs w:val="32"/>
          <w:rtl w:val="0"/>
        </w:rPr>
        <w:t xml:space="preserve">Evidencing Area of Activity 2 (A2): Teach and/or support learning through appropriate approaches and environments</w:t>
      </w:r>
      <w:r w:rsidDel="00000000" w:rsidR="00000000" w:rsidRPr="00000000">
        <w:rPr>
          <w:rtl w:val="0"/>
        </w:rPr>
      </w:r>
    </w:p>
    <w:tbl>
      <w:tblPr>
        <w:tblStyle w:val="Table5"/>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58">
            <w:pPr>
              <w:spacing w:after="240" w:before="240" w:line="360" w:lineRule="auto"/>
              <w:jc w:val="both"/>
              <w:rPr>
                <w:color w:val="1c1c1c"/>
                <w:sz w:val="21"/>
                <w:szCs w:val="21"/>
                <w:highlight w:val="white"/>
              </w:rPr>
            </w:pPr>
            <w:r w:rsidDel="00000000" w:rsidR="00000000" w:rsidRPr="00000000">
              <w:rPr>
                <w:color w:val="1c1c1c"/>
                <w:sz w:val="21"/>
                <w:szCs w:val="21"/>
                <w:highlight w:val="white"/>
                <w:rtl w:val="0"/>
              </w:rPr>
              <w:t xml:space="preserve">Delivering the Foundation Degree in Children, Young People and Society (CYPS) requires learners to apply learning theories in professional placement contexts (K1). To support this, I organised a visit to the outdoor learning provision Natur at Ysgol Bro Dinefwr, providing an authentic setting that linked theory and practice (V1, V2). Prior to the visit, learners designed a hypothetical activity based on experiential learning theory (Kolb, 1984). During the visit, they evaluated how outdoor learning approaches and resources could inform their practice (A1), encouraging active participation, reflection, and application of theory (K1, K2). Learners then presented how they would use </w:t>
            </w:r>
            <w:r w:rsidDel="00000000" w:rsidR="00000000" w:rsidRPr="00000000">
              <w:rPr>
                <w:i w:val="1"/>
                <w:iCs w:val="1"/>
                <w:color w:val="1c1c1c"/>
                <w:sz w:val="21"/>
                <w:szCs w:val="21"/>
                <w:highlight w:val="white"/>
                <w:rtl w:val="0"/>
              </w:rPr>
              <w:t xml:space="preserve">Natur</w:t>
            </w:r>
            <w:r w:rsidDel="00000000" w:rsidR="00000000" w:rsidRPr="00000000">
              <w:rPr>
                <w:color w:val="1c1c1c"/>
                <w:sz w:val="21"/>
                <w:szCs w:val="21"/>
                <w:highlight w:val="white"/>
                <w:rtl w:val="0"/>
              </w:rPr>
              <w:t xml:space="preserve">’</w:t>
            </w:r>
            <w:r w:rsidDel="00000000" w:rsidR="00000000" w:rsidRPr="00000000">
              <w:rPr>
                <w:i w:val="1"/>
                <w:iCs w:val="1"/>
                <w:color w:val="1c1c1c"/>
                <w:sz w:val="21"/>
                <w:szCs w:val="21"/>
                <w:highlight w:val="white"/>
                <w:rtl w:val="0"/>
              </w:rPr>
              <w:t xml:space="preserve">s</w:t>
            </w:r>
            <w:r w:rsidDel="00000000" w:rsidR="00000000" w:rsidRPr="00000000">
              <w:rPr>
                <w:color w:val="1c1c1c"/>
                <w:sz w:val="21"/>
                <w:szCs w:val="21"/>
                <w:highlight w:val="white"/>
                <w:rtl w:val="0"/>
              </w:rPr>
              <w:t xml:space="preserve"> resources within their placement scenarios.</w:t>
            </w:r>
          </w:p>
          <w:p w:rsidR="00000000" w:rsidDel="00000000" w:rsidP="00000000" w:rsidRDefault="00000000" w:rsidRPr="00000000" w14:paraId="00000059">
            <w:pPr>
              <w:spacing w:after="240" w:before="240" w:line="360" w:lineRule="auto"/>
              <w:jc w:val="both"/>
              <w:rPr>
                <w:color w:val="1c1c1c"/>
                <w:sz w:val="21"/>
                <w:szCs w:val="21"/>
                <w:highlight w:val="white"/>
              </w:rPr>
            </w:pPr>
            <w:r w:rsidDel="00000000" w:rsidR="00000000" w:rsidRPr="00000000">
              <w:rPr>
                <w:color w:val="1c1c1c"/>
                <w:sz w:val="21"/>
                <w:szCs w:val="21"/>
                <w:highlight w:val="white"/>
                <w:rtl w:val="0"/>
              </w:rPr>
              <w:t xml:space="preserve">The impact was assessed through presentations, peer feedback, and exit tickets, which demonstrated increased engagement in applying theory to practice and greater critical reflection (A3, K3). Learners continued to reference this experience in later discussions, indicating sustained understanding and retention of knowledge (A4, V3). Reflecting on this activity, I recognised the value of using authentic learning environments to strengthen the connection between academic theory and professional practice (K3).</w:t>
            </w:r>
          </w:p>
          <w:p w:rsidR="00000000" w:rsidDel="00000000" w:rsidP="00000000" w:rsidRDefault="00000000" w:rsidRPr="00000000" w14:paraId="0000005A">
            <w:pPr>
              <w:spacing w:after="240" w:before="240" w:line="360" w:lineRule="auto"/>
              <w:jc w:val="both"/>
              <w:rPr>
                <w:color w:val="1c1c1c"/>
                <w:sz w:val="21"/>
                <w:szCs w:val="21"/>
                <w:highlight w:val="white"/>
              </w:rPr>
            </w:pPr>
            <w:r w:rsidDel="00000000" w:rsidR="00000000" w:rsidRPr="00000000">
              <w:rPr>
                <w:color w:val="1c1c1c"/>
                <w:sz w:val="21"/>
                <w:szCs w:val="21"/>
                <w:highlight w:val="white"/>
                <w:rtl w:val="0"/>
              </w:rPr>
              <w:t xml:space="preserve">During an initial lesson on referencing, a starter activity revealed that some learners struggled to distinguish between academic and non-academic sources and lacked confidence in locating research evidence. This indicated a need for a more practical approach to developing academic research skills (McGregor and Cartwright, 2011) (K2). Instead of focusing solely on citations, I adapted the lesson to include a guided library workshop where learners explored the full research process, including locating academic texts and identifying appropriate sources (A1). To differentiate, I supported less experienced learners by demonstrating the process before assigning shorter tasks. As some progressed, I encouraged them to explore e-books and journals independently. </w:t>
            </w:r>
          </w:p>
          <w:p w:rsidR="00000000" w:rsidDel="00000000" w:rsidP="00000000" w:rsidRDefault="00000000" w:rsidRPr="00000000" w14:paraId="0000005B">
            <w:pPr>
              <w:spacing w:after="240" w:before="240" w:line="360" w:lineRule="auto"/>
              <w:jc w:val="both"/>
              <w:rPr>
                <w:color w:val="1c1c1c"/>
                <w:sz w:val="21"/>
                <w:szCs w:val="21"/>
                <w:highlight w:val="white"/>
              </w:rPr>
            </w:pPr>
            <w:r w:rsidDel="00000000" w:rsidR="00000000" w:rsidRPr="00000000">
              <w:rPr>
                <w:color w:val="1c1c1c"/>
                <w:sz w:val="21"/>
                <w:szCs w:val="21"/>
                <w:highlight w:val="white"/>
                <w:rtl w:val="0"/>
              </w:rPr>
              <w:t xml:space="preserve">By embedding referencing within an authentic academic context, learners developed a stronger understanding of how effective research practices support academic integrity (K3). Verbal feedback indicated that this hands-on experience reduced concerns surrounding referencing and improved academic self-efficacy, particularly among those returning to education with limited prior experience (K1). Overall, the activity emphasised the importance of experiential learning, scaffolded support, and collaboration with professional services in developing academic capability (Boronski and Hassan, 2020) (V5). Using the library for the workshop also promoted equity while providing a meaningful context for referencing (A4, V2).</w:t>
            </w:r>
          </w:p>
          <w:p w:rsidR="00000000" w:rsidDel="00000000" w:rsidP="00000000" w:rsidRDefault="00000000" w:rsidRPr="00000000" w14:paraId="0000005C">
            <w:pPr>
              <w:spacing w:after="240" w:before="240" w:line="360" w:lineRule="auto"/>
              <w:jc w:val="both"/>
              <w:rPr>
                <w:color w:val="1c1c1c"/>
                <w:sz w:val="21"/>
                <w:szCs w:val="21"/>
                <w:highlight w:val="white"/>
              </w:rPr>
            </w:pPr>
            <w:r w:rsidDel="00000000" w:rsidR="00000000" w:rsidRPr="00000000">
              <w:rPr>
                <w:color w:val="1c1c1c"/>
                <w:sz w:val="21"/>
                <w:szCs w:val="21"/>
                <w:highlight w:val="white"/>
                <w:rtl w:val="0"/>
              </w:rPr>
              <w:t xml:space="preserve">To further support inclusivity, I recognise that learners with additional learning needs (ALN) can experience low self-esteem, which may create barriers to participation and engagement (Cottrell, 2019). From my observations, some learners are reluctant to contribute to class discussions, despite dialogue being important for developing understanding and engagement. I therefore adopt a supportive and inclusive approach to classroom dialogue and avoid directing questions at individuals unexpectedly (Bedford and Wilson, 2013) (V1). This helps reduce concerns and encourages participation, particularly among learners who may fear giving incorrect responses. Instead, I use scaffolded questioning techniques. Using Think, Pair, Share, I ask learners to discuss questions in pairs or small groups before inviting volunteers to share with the class. This gives learners time to process their thoughts and build confidence through peer support (K1, V2), leading to more diverse contributions from quieter learners.</w:t>
            </w:r>
          </w:p>
          <w:p w:rsidR="00000000" w:rsidDel="00000000" w:rsidP="00000000" w:rsidRDefault="00000000" w:rsidRPr="00000000" w14:paraId="0000005D">
            <w:pPr>
              <w:spacing w:after="240" w:before="240" w:line="360" w:lineRule="auto"/>
              <w:jc w:val="both"/>
              <w:rPr>
                <w:color w:val="980000"/>
              </w:rPr>
            </w:pPr>
            <w:r w:rsidDel="00000000" w:rsidR="00000000" w:rsidRPr="00000000">
              <w:rPr>
                <w:color w:val="1c1c1c"/>
                <w:sz w:val="21"/>
                <w:szCs w:val="21"/>
                <w:highlight w:val="white"/>
                <w:rtl w:val="0"/>
              </w:rPr>
              <w:t xml:space="preserve">I also regularly use anonymous digital quizzes to assess understanding against learning outcomes and identify areas requiring further support (A3, K4). This gentler approach encourages participation from less confident learners, enabling contributions without fear of judgement. The quizzes provide immediate formative feedback, allowing me to adapt teaching responsively while promoting an inclusive environment where all learners feel valued and supported (A4, V1). Learner feedback suggested this approach increased engagement and encouraged wider participation in activities (A4, V1). Reflecting on this practice, I have become more aware of the importance of creating low-risk opportunities for participation to support inclusive learning experiences.</w:t>
            </w:r>
            <w:r w:rsidDel="00000000" w:rsidR="00000000" w:rsidRPr="00000000">
              <w:rPr>
                <w:rtl w:val="0"/>
              </w:rPr>
            </w:r>
          </w:p>
        </w:tc>
      </w:tr>
    </w:tbl>
    <w:p w:rsidR="00000000" w:rsidDel="00000000" w:rsidP="00000000" w:rsidRDefault="00000000" w:rsidRPr="00000000" w14:paraId="0000005E">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5F">
      <w:pPr>
        <w:spacing w:after="200" w:line="360" w:lineRule="auto"/>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0">
      <w:pPr>
        <w:spacing w:line="360" w:lineRule="auto"/>
        <w:rPr>
          <w:sz w:val="32"/>
          <w:szCs w:val="32"/>
        </w:rPr>
      </w:pPr>
      <w:r w:rsidDel="00000000" w:rsidR="00000000" w:rsidRPr="00000000">
        <w:rPr>
          <w:sz w:val="32"/>
          <w:szCs w:val="32"/>
          <w:rtl w:val="0"/>
        </w:rPr>
        <w:t xml:space="preserve">Evidencing Area of Activity 3 (A3): Assess and give feedback for learning</w:t>
      </w:r>
    </w:p>
    <w:tbl>
      <w:tblPr>
        <w:tblStyle w:val="Table6"/>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61">
            <w:pPr>
              <w:spacing w:after="240" w:before="240" w:line="360" w:lineRule="auto"/>
              <w:jc w:val="both"/>
              <w:rPr>
                <w:highlight w:val="white"/>
              </w:rPr>
            </w:pPr>
            <w:r w:rsidDel="00000000" w:rsidR="00000000" w:rsidRPr="00000000">
              <w:rPr>
                <w:highlight w:val="white"/>
                <w:rtl w:val="0"/>
              </w:rPr>
              <w:t xml:space="preserve">As a Teaching and Learning Coach, I co-designed and delivered </w:t>
            </w:r>
            <w:r w:rsidDel="00000000" w:rsidR="00000000" w:rsidRPr="00000000">
              <w:rPr>
                <w:i w:val="1"/>
                <w:iCs w:val="1"/>
                <w:highlight w:val="white"/>
                <w:rtl w:val="0"/>
              </w:rPr>
              <w:t xml:space="preserve">Assessment in Action</w:t>
            </w:r>
            <w:r w:rsidDel="00000000" w:rsidR="00000000" w:rsidRPr="00000000">
              <w:rPr>
                <w:highlight w:val="white"/>
                <w:rtl w:val="0"/>
              </w:rPr>
              <w:t xml:space="preserve">, a strategic initiative to enhance student learning in higher education, to enhance student learning experiences (A1, V5). During an online workshop, I supported staff to use strategies such as role play, SWOT analysis and scoring systems to structure self and peer assessment (A2), helping learners to take a more active role in the process.</w:t>
            </w:r>
          </w:p>
          <w:p w:rsidR="00000000" w:rsidDel="00000000" w:rsidP="00000000" w:rsidRDefault="00000000" w:rsidRPr="00000000" w14:paraId="00000062">
            <w:pPr>
              <w:spacing w:after="240" w:before="240" w:line="360" w:lineRule="auto"/>
              <w:jc w:val="both"/>
              <w:rPr>
                <w:highlight w:val="white"/>
              </w:rPr>
            </w:pPr>
            <w:r w:rsidDel="00000000" w:rsidR="00000000" w:rsidRPr="00000000">
              <w:rPr>
                <w:highlight w:val="white"/>
                <w:rtl w:val="0"/>
              </w:rPr>
              <w:t xml:space="preserve">Feedback data also highlighted a need for further training in digital rubrics. In response, I adapted subsequent workshops to address this (A5, K4), demonstrating how rubrics can underpin and strengthen approaches like role play, SWOT analysis and scoring systems. Verbal feedback from the sessions indicated that staff felt more confident in applying these methods in their teaching (K3). Subsequent data feedback highlighted the pedagogical takeaways as having a positive impact on learners, particularly in developing critical thinking skills, with an increase in staff use of visual live learning tools for assessment.</w:t>
            </w:r>
          </w:p>
          <w:p w:rsidR="00000000" w:rsidDel="00000000" w:rsidP="00000000" w:rsidRDefault="00000000" w:rsidRPr="00000000" w14:paraId="00000063">
            <w:pPr>
              <w:spacing w:after="240" w:before="240" w:line="360" w:lineRule="auto"/>
              <w:jc w:val="both"/>
              <w:rPr>
                <w:highlight w:val="white"/>
              </w:rPr>
            </w:pPr>
            <w:r w:rsidDel="00000000" w:rsidR="00000000" w:rsidRPr="00000000">
              <w:rPr>
                <w:highlight w:val="white"/>
                <w:rtl w:val="0"/>
              </w:rPr>
              <w:t xml:space="preserve">I view assessment and feedback as a two-way process influencing learner achievement (Waring and Evans, 2015) (V3). I use the Pose, Pause, Pounce, Bounce mod</w:t>
            </w:r>
            <w:r w:rsidDel="00000000" w:rsidR="00000000" w:rsidRPr="00000000">
              <w:rPr>
                <w:rtl w:val="0"/>
              </w:rPr>
              <w:t xml:space="preserve">el</w:t>
            </w:r>
            <w:r w:rsidDel="00000000" w:rsidR="00000000" w:rsidRPr="00000000">
              <w:rPr>
                <w:rtl w:val="0"/>
              </w:rPr>
              <w:t xml:space="preserve"> (Wiliam, 2016)</w:t>
            </w:r>
            <w:r w:rsidDel="00000000" w:rsidR="00000000" w:rsidRPr="00000000">
              <w:rPr>
                <w:rtl w:val="0"/>
              </w:rPr>
              <w:t xml:space="preserve"> </w:t>
            </w:r>
            <w:r w:rsidDel="00000000" w:rsidR="00000000" w:rsidRPr="00000000">
              <w:rPr>
                <w:highlight w:val="white"/>
                <w:rtl w:val="0"/>
              </w:rPr>
              <w:t xml:space="preserve">to facilitate peer led feedback. ‘Bouncing’ open ended questions pushes learners towards a higher level of critical analysis (Gardner, 2012) (A2, K1). While verbal strategies can support immediate feedback, not all students feel confident contributing openly (A4, K1). To ensure inclusivity, I follow up discussions with anonymous Curipod surveys to mitigate any psychological barriers to group discussion (A1,V2). </w:t>
            </w:r>
            <w:r w:rsidDel="00000000" w:rsidR="00000000" w:rsidRPr="00000000">
              <w:rPr>
                <w:color w:val="0a0a0a"/>
                <w:highlight w:val="white"/>
                <w:rtl w:val="0"/>
              </w:rPr>
              <w:t xml:space="preserve">From my observations, the impact of feedback diminishes when students cannot apply it soon after (V3). </w:t>
            </w:r>
            <w:r w:rsidDel="00000000" w:rsidR="00000000" w:rsidRPr="00000000">
              <w:rPr>
                <w:highlight w:val="white"/>
                <w:rtl w:val="0"/>
              </w:rPr>
              <w:t xml:space="preserve">Using Curipod for assessment provides real time feedback to the learners and allows me to </w:t>
            </w:r>
            <w:r w:rsidDel="00000000" w:rsidR="00000000" w:rsidRPr="00000000">
              <w:rPr>
                <w:highlight w:val="white"/>
                <w:rtl w:val="0"/>
              </w:rPr>
              <w:t xml:space="preserve">address any knowledge gaps</w:t>
            </w:r>
            <w:r w:rsidDel="00000000" w:rsidR="00000000" w:rsidRPr="00000000">
              <w:rPr>
                <w:highlight w:val="white"/>
                <w:rtl w:val="0"/>
              </w:rPr>
              <w:t xml:space="preserve">. I have used this when introducing key definitions and presenting the articles of the UN Convention on the Rights of a Child (K4).</w:t>
            </w:r>
          </w:p>
          <w:p w:rsidR="00000000" w:rsidDel="00000000" w:rsidP="00000000" w:rsidRDefault="00000000" w:rsidRPr="00000000" w14:paraId="00000064">
            <w:pPr>
              <w:spacing w:after="240" w:before="240" w:line="360" w:lineRule="auto"/>
              <w:jc w:val="both"/>
              <w:rPr/>
            </w:pPr>
            <w:r w:rsidDel="00000000" w:rsidR="00000000" w:rsidRPr="00000000">
              <w:rPr>
                <w:rtl w:val="0"/>
              </w:rPr>
              <w:t xml:space="preserve">As preparation for summative assessment, I lead tutorials where learners benchmark their work against assessment criteria (K2, V5). On one occasion, I integrated peer review of schemes of work to develop learners’ critical evaluative skills</w:t>
            </w:r>
            <w:r w:rsidDel="00000000" w:rsidR="00000000" w:rsidRPr="00000000">
              <w:rPr>
                <w:highlight w:val="white"/>
                <w:rtl w:val="0"/>
              </w:rPr>
              <w:t xml:space="preserve"> (K3). I have supported learners undertaking resubmissions through critical dialogue, helping them interpret and apply assessment feedback. Using the GROW model to structure tutorials, I clarified areas for improvement and worked with learners to develop SMART goals linked to their personal development plans, supporting successful resubmissions and learner ownership (V2, A4). This approach has contributed to improved resubmission outcomes, with learners demonstrating clearer engagement with feedback and achieving higher grades on resubmitted work, while also reducing the need for further resubmissions. </w:t>
            </w: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highlight w:val="white"/>
                <w:rtl w:val="0"/>
              </w:rPr>
              <w:t xml:space="preserve">When carrying out teaching observations of PGCE learners (K3), I provide initial verbal feedback for initial reassurance and support. This also provides an opportunity for myself and the learner to consider goals, progress towards these and the necessary improvements against professional standards </w:t>
            </w:r>
            <w:r w:rsidDel="00000000" w:rsidR="00000000" w:rsidRPr="00000000">
              <w:rPr>
                <w:rtl w:val="0"/>
              </w:rPr>
              <w:t xml:space="preserve">(K2, K3). I then give written feedback on the official template for clarity, transparency and a point of referral for the learner (K5, A4).</w:t>
            </w:r>
            <w:r w:rsidDel="00000000" w:rsidR="00000000" w:rsidRPr="00000000">
              <w:rPr>
                <w:rtl w:val="0"/>
              </w:rPr>
              <w:t xml:space="preserve"> This approach had a positive impact on learners’ grades this year, in relation to their blog assignment submissions, reflecting a higher level of critical self-reflection.   </w:t>
            </w:r>
          </w:p>
          <w:p w:rsidR="00000000" w:rsidDel="00000000" w:rsidP="00000000" w:rsidRDefault="00000000" w:rsidRPr="00000000" w14:paraId="00000066">
            <w:pPr>
              <w:spacing w:line="360" w:lineRule="auto"/>
              <w:jc w:val="both"/>
              <w:rPr/>
            </w:pPr>
            <w:r w:rsidDel="00000000" w:rsidR="00000000" w:rsidRPr="00000000">
              <w:rPr>
                <w:rtl w:val="0"/>
              </w:rPr>
            </w:r>
          </w:p>
          <w:p w:rsidR="00000000" w:rsidDel="00000000" w:rsidP="00000000" w:rsidRDefault="00000000" w:rsidRPr="00000000" w14:paraId="00000067">
            <w:pPr>
              <w:spacing w:line="360" w:lineRule="auto"/>
              <w:jc w:val="both"/>
              <w:rPr>
                <w:highlight w:val="white"/>
              </w:rPr>
            </w:pPr>
            <w:r w:rsidDel="00000000" w:rsidR="00000000" w:rsidRPr="00000000">
              <w:rPr>
                <w:highlight w:val="white"/>
                <w:rtl w:val="0"/>
              </w:rPr>
              <w:t xml:space="preserve">Regarding summative marking, I provide audio feedback within the UWTSD three week feedback policy (K5). Cavanaugh (2020) argues that audio feedback can help learners engage more positively with constructive criticism through hearing the tutor’s tone of voice (V3, K1). For learners with dyslexia, audio feedback offers a more accessible alternative to written comments, reducing literacy demands and enabling them to revisit feedback as needed (V1). I also participate in internal moderation and team collaboration to ensure marking is fair, reliable and aligned with academic standards (V5, K5). </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8">
            <w:pPr>
              <w:spacing w:line="360" w:lineRule="auto"/>
              <w:jc w:val="both"/>
              <w:rPr>
                <w:color w:val="980000"/>
                <w:sz w:val="32"/>
                <w:szCs w:val="32"/>
              </w:rPr>
            </w:pPr>
            <w:r w:rsidDel="00000000" w:rsidR="00000000" w:rsidRPr="00000000">
              <w:rPr>
                <w:rtl w:val="0"/>
              </w:rPr>
            </w:r>
          </w:p>
        </w:tc>
      </w:tr>
    </w:tbl>
    <w:p w:rsidR="00000000" w:rsidDel="00000000" w:rsidP="00000000" w:rsidRDefault="00000000" w:rsidRPr="00000000" w14:paraId="00000069">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6A">
      <w:pPr>
        <w:spacing w:after="200" w:line="360" w:lineRule="auto"/>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B">
      <w:pPr>
        <w:spacing w:line="360" w:lineRule="auto"/>
        <w:rPr>
          <w:sz w:val="32"/>
          <w:szCs w:val="32"/>
        </w:rPr>
      </w:pPr>
      <w:r w:rsidDel="00000000" w:rsidR="00000000" w:rsidRPr="00000000">
        <w:rPr>
          <w:sz w:val="32"/>
          <w:szCs w:val="32"/>
          <w:rtl w:val="0"/>
        </w:rPr>
        <w:t xml:space="preserve">Evidencing Area of Activity 4 (A4): Support and guide learners</w:t>
      </w:r>
    </w:p>
    <w:tbl>
      <w:tblPr>
        <w:tblStyle w:val="Table7"/>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6C">
            <w:pPr>
              <w:spacing w:after="240" w:before="240" w:line="360" w:lineRule="auto"/>
              <w:jc w:val="both"/>
              <w:rPr>
                <w:color w:val="1c1c1c"/>
                <w:highlight w:val="white"/>
              </w:rPr>
            </w:pPr>
            <w:r w:rsidDel="00000000" w:rsidR="00000000" w:rsidRPr="00000000">
              <w:rPr>
                <w:color w:val="1c1c1c"/>
                <w:highlight w:val="white"/>
                <w:rtl w:val="0"/>
              </w:rPr>
              <w:t xml:space="preserve">As a lecturer and personal tutor for the FdA CYPS, I adopt an empathetic approach to support diverse learners transitioning from further education (FE), as well as mature learners, returning to education. My practice is shaped by primary research exploring mature learners’ perceptions of growth mindset (K3). I prioritise creating supportive environments where learners can participate in discussions without fear of judgement (V1, V2). </w:t>
            </w:r>
          </w:p>
          <w:p w:rsidR="00000000" w:rsidDel="00000000" w:rsidP="00000000" w:rsidRDefault="00000000" w:rsidRPr="00000000" w14:paraId="0000006D">
            <w:pPr>
              <w:spacing w:after="240" w:before="240" w:line="360" w:lineRule="auto"/>
              <w:jc w:val="both"/>
              <w:rPr/>
            </w:pPr>
            <w:r w:rsidDel="00000000" w:rsidR="00000000" w:rsidRPr="00000000">
              <w:rPr>
                <w:color w:val="1c1c1c"/>
                <w:highlight w:val="white"/>
                <w:rtl w:val="0"/>
              </w:rPr>
              <w:t xml:space="preserve">Mature learners can lack confidence due to previous </w:t>
            </w:r>
            <w:r w:rsidDel="00000000" w:rsidR="00000000" w:rsidRPr="00000000">
              <w:rPr>
                <w:highlight w:val="white"/>
                <w:rtl w:val="0"/>
              </w:rPr>
              <w:t xml:space="preserve">negative experiences in education (Abraham, 2025). At the beginning of each academic year, I ask learners to construct a Class Contract outlining social rules for a supportive environment (V2). To encourage academic resilience, I integrate growth mindset theory into the </w:t>
            </w:r>
            <w:r w:rsidDel="00000000" w:rsidR="00000000" w:rsidRPr="00000000">
              <w:rPr>
                <w:i w:val="1"/>
                <w:iCs w:val="1"/>
                <w:highlight w:val="white"/>
                <w:rtl w:val="0"/>
              </w:rPr>
              <w:t xml:space="preserve">Academic Study Skills</w:t>
            </w:r>
            <w:r w:rsidDel="00000000" w:rsidR="00000000" w:rsidRPr="00000000">
              <w:rPr>
                <w:highlight w:val="white"/>
                <w:rtl w:val="0"/>
              </w:rPr>
              <w:t xml:space="preserve"> module (Dweck, 2007). </w:t>
            </w:r>
            <w:r w:rsidDel="00000000" w:rsidR="00000000" w:rsidRPr="00000000">
              <w:rPr>
                <w:rtl w:val="0"/>
              </w:rPr>
              <w:t xml:space="preserve">Upon starting the module, I invite learners to take part in a </w:t>
            </w:r>
            <w:r w:rsidDel="00000000" w:rsidR="00000000" w:rsidRPr="00000000">
              <w:rPr>
                <w:i w:val="1"/>
                <w:iCs w:val="1"/>
                <w:rtl w:val="0"/>
              </w:rPr>
              <w:t xml:space="preserve">Hopes and Fears</w:t>
            </w:r>
            <w:r w:rsidDel="00000000" w:rsidR="00000000" w:rsidRPr="00000000">
              <w:rPr>
                <w:rtl w:val="0"/>
              </w:rPr>
              <w:t xml:space="preserve"> activity where they anonymously write these on post-it notes (A1). I then use this input to lead a group discussion (A2, V1). This activity helps individuals with different experiences connect by sharing similar concerns (V2). Learners report that it reduces isolation and builds group cohesion early in the academic year.</w:t>
            </w:r>
          </w:p>
          <w:p w:rsidR="00000000" w:rsidDel="00000000" w:rsidP="00000000" w:rsidRDefault="00000000" w:rsidRPr="00000000" w14:paraId="0000006E">
            <w:pPr>
              <w:spacing w:after="240" w:before="240" w:line="360" w:lineRule="auto"/>
              <w:jc w:val="both"/>
              <w:rPr>
                <w:color w:val="1c1c1c"/>
                <w:highlight w:val="white"/>
              </w:rPr>
            </w:pPr>
            <w:r w:rsidDel="00000000" w:rsidR="00000000" w:rsidRPr="00000000">
              <w:rPr>
                <w:rtl w:val="0"/>
              </w:rPr>
              <w:t xml:space="preserve">I also ask learners to complete a digital growth mindset quiz as an early diagnostic activity with immediate feedback (A4, K4). This helps learners recognise and reflect on their responses to setbacks and challenges (K3). Learners are not required to share their results, supporting a respectful and inclusive approach (V1) and</w:t>
            </w:r>
            <w:r w:rsidDel="00000000" w:rsidR="00000000" w:rsidRPr="00000000">
              <w:rPr>
                <w:color w:val="1c1c1c"/>
                <w:highlight w:val="white"/>
                <w:rtl w:val="0"/>
              </w:rPr>
              <w:t xml:space="preserve"> can lead to candid discussions about previous educational experiences that could remain unaddressed (V1, K3). </w:t>
            </w:r>
            <w:r w:rsidDel="00000000" w:rsidR="00000000" w:rsidRPr="00000000">
              <w:rPr>
                <w:rtl w:val="0"/>
              </w:rPr>
              <w:t xml:space="preserve">The activity helps me identify fixed mindset behaviours, strengthening my understanding of learner attitudes and informing strategies to improve engagement and progression (K3, K5). For example, I may adapt my communication and feedback early in the module by using informal check-ins, clear step-by-step guidance and supportive verbal feedback during activities. This has helped increase learner participation in tutorials and</w:t>
            </w:r>
            <w:r w:rsidDel="00000000" w:rsidR="00000000" w:rsidRPr="00000000">
              <w:rPr>
                <w:rtl w:val="0"/>
              </w:rPr>
              <w:t xml:space="preserve"> </w:t>
            </w:r>
            <w:r w:rsidDel="00000000" w:rsidR="00000000" w:rsidRPr="00000000">
              <w:rPr>
                <w:rtl w:val="0"/>
              </w:rPr>
              <w:t xml:space="preserve">quieter learners who were initially reluctant to contribute have become more confident in sharing ideas during group discussions. </w:t>
            </w:r>
            <w:r w:rsidDel="00000000" w:rsidR="00000000" w:rsidRPr="00000000">
              <w:rPr>
                <w:rtl w:val="0"/>
              </w:rPr>
            </w:r>
          </w:p>
          <w:p w:rsidR="00000000" w:rsidDel="00000000" w:rsidP="00000000" w:rsidRDefault="00000000" w:rsidRPr="00000000" w14:paraId="0000006F">
            <w:pPr>
              <w:spacing w:after="240" w:before="240" w:line="360" w:lineRule="auto"/>
              <w:jc w:val="both"/>
              <w:rPr>
                <w:color w:val="1c1c1c"/>
                <w:highlight w:val="white"/>
              </w:rPr>
            </w:pPr>
            <w:r w:rsidDel="00000000" w:rsidR="00000000" w:rsidRPr="00000000">
              <w:rPr>
                <w:color w:val="1c1c1c"/>
                <w:highlight w:val="white"/>
                <w:rtl w:val="0"/>
              </w:rPr>
              <w:t xml:space="preserve">A common concern among learners is the prospect of presenting to peers. To address this, I use study skills workshops and a scaffolded approach that gradually builds confidence and presentation skills. Learners progress from small-group discussions to peer sharing, before delivering independent presentations using the BenQ board. This approach helps reduce concerns and feelings of powerlessness while developing academic agency and confidence (K2). In line with the class contract, learners provide constructive peer feedback and develop self-regulatory skills by reflecting on their performance. The impact of this has been evident in both learner confidence and achievement, with fewer learners requesting alternative assessment arrangements before presentations. Several learners who were initially reluctant to contribute progressed to presenting independently. One learner, who had previously expressed significant anxiety about public speaking, went on to speak live on BBC Radio Wales during a lesson. </w:t>
            </w:r>
          </w:p>
          <w:p w:rsidR="00000000" w:rsidDel="00000000" w:rsidP="00000000" w:rsidRDefault="00000000" w:rsidRPr="00000000" w14:paraId="00000070">
            <w:pPr>
              <w:spacing w:after="240" w:before="240" w:line="360" w:lineRule="auto"/>
              <w:jc w:val="both"/>
              <w:rPr>
                <w:color w:val="980000"/>
              </w:rPr>
            </w:pPr>
            <w:r w:rsidDel="00000000" w:rsidR="00000000" w:rsidRPr="00000000">
              <w:rPr>
                <w:color w:val="1c1c1c"/>
                <w:highlight w:val="white"/>
                <w:rtl w:val="0"/>
              </w:rPr>
              <w:t xml:space="preserve">I recognise that inclusive support involves addressing learner differences and cultural backgrounds (Boronski and Hassan, 2020), as well as additional learning needs (ALN) (V1, V2). I use the mid-first term learner questionnaire '</w:t>
            </w:r>
            <w:r w:rsidDel="00000000" w:rsidR="00000000" w:rsidRPr="00000000">
              <w:rPr>
                <w:i w:val="1"/>
                <w:iCs w:val="1"/>
                <w:color w:val="1c1c1c"/>
                <w:highlight w:val="white"/>
                <w:rtl w:val="0"/>
              </w:rPr>
              <w:t xml:space="preserve">How are we getting along?</w:t>
            </w:r>
            <w:r w:rsidDel="00000000" w:rsidR="00000000" w:rsidRPr="00000000">
              <w:rPr>
                <w:color w:val="1c1c1c"/>
                <w:highlight w:val="white"/>
                <w:rtl w:val="0"/>
              </w:rPr>
              <w:t xml:space="preserve">' (A3, K5) to pre-empt learning barriers. Additionally, I acknowledge the reluctance of some adult learners to engage with Learner Support Services (LSS) (K3) that can be stigma related (Bedford and Wilson, 2013) (V1). I present LSS as a professional resource included in tuition fees to support learners in achieving their potential (V1, V2). Removing barriers to learning promotes independence and resilience (V2), evidenced by a consecutive majority of learners progressing from level 5 to the BA in Social Care Studies.</w:t>
            </w:r>
            <w:r w:rsidDel="00000000" w:rsidR="00000000" w:rsidRPr="00000000">
              <w:rPr>
                <w:rtl w:val="0"/>
              </w:rPr>
            </w:r>
          </w:p>
        </w:tc>
      </w:tr>
    </w:tbl>
    <w:p w:rsidR="00000000" w:rsidDel="00000000" w:rsidP="00000000" w:rsidRDefault="00000000" w:rsidRPr="00000000" w14:paraId="00000071">
      <w:pPr>
        <w:rPr>
          <w:color w:val="009999"/>
          <w:sz w:val="32"/>
          <w:szCs w:val="32"/>
        </w:rPr>
      </w:pPr>
      <w:r w:rsidDel="00000000" w:rsidR="00000000" w:rsidRPr="00000000">
        <w:rPr>
          <w:rtl w:val="0"/>
        </w:rPr>
      </w:r>
    </w:p>
    <w:p w:rsidR="00000000" w:rsidDel="00000000" w:rsidP="00000000" w:rsidRDefault="00000000" w:rsidRPr="00000000" w14:paraId="00000072">
      <w:pPr>
        <w:spacing w:after="200" w:line="276" w:lineRule="auto"/>
        <w:rPr>
          <w:sz w:val="32"/>
          <w:szCs w:val="32"/>
        </w:rPr>
      </w:pPr>
      <w:bookmarkStart w:colFirst="0" w:colLast="0" w:name="_heading=h.i5c4uaccxne1" w:id="2"/>
      <w:bookmarkEnd w:id="2"/>
      <w:r w:rsidDel="00000000" w:rsidR="00000000" w:rsidRPr="00000000">
        <w:br w:type="page"/>
      </w:r>
      <w:r w:rsidDel="00000000" w:rsidR="00000000" w:rsidRPr="00000000">
        <w:rPr>
          <w:rtl w:val="0"/>
        </w:rPr>
      </w:r>
    </w:p>
    <w:p w:rsidR="00000000" w:rsidDel="00000000" w:rsidP="00000000" w:rsidRDefault="00000000" w:rsidRPr="00000000" w14:paraId="00000073">
      <w:pPr>
        <w:jc w:val="both"/>
        <w:rPr>
          <w:sz w:val="32"/>
          <w:szCs w:val="32"/>
        </w:rPr>
      </w:pPr>
      <w:r w:rsidDel="00000000" w:rsidR="00000000" w:rsidRPr="00000000">
        <w:rPr>
          <w:sz w:val="32"/>
          <w:szCs w:val="32"/>
          <w:rtl w:val="0"/>
        </w:rPr>
        <w:t xml:space="preserve">Evidencing Area of Activity 5 (A5):</w:t>
      </w:r>
      <w:r w:rsidDel="00000000" w:rsidR="00000000" w:rsidRPr="00000000">
        <w:rPr>
          <w:sz w:val="24"/>
          <w:szCs w:val="24"/>
          <w:rtl w:val="0"/>
        </w:rPr>
        <w:t xml:space="preserve"> </w:t>
      </w:r>
      <w:r w:rsidDel="00000000" w:rsidR="00000000" w:rsidRPr="00000000">
        <w:rPr>
          <w:sz w:val="32"/>
          <w:szCs w:val="32"/>
          <w:rtl w:val="0"/>
        </w:rPr>
        <w:t xml:space="preserve">Enhance practice through own continuing professional development </w:t>
      </w:r>
    </w:p>
    <w:tbl>
      <w:tblPr>
        <w:tblStyle w:val="Table8"/>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74">
            <w:pPr>
              <w:spacing w:line="360" w:lineRule="auto"/>
              <w:jc w:val="both"/>
              <w:rPr/>
            </w:pPr>
            <w:r w:rsidDel="00000000" w:rsidR="00000000" w:rsidRPr="00000000">
              <w:rPr>
                <w:rtl w:val="0"/>
              </w:rPr>
              <w:t xml:space="preserve">Earlier this year I attended anti-racism training by Rachel Clarke on building awareness and strategies to manage racism (V1). I applied this learning in a PGCE session by adapting a critical analysis of the Equality Act 2010 (K1, K6) to include discussion of its real world application and limitations (A1). I referred to strategies from the training and used open questioning so that diverse perspectives and misconceptions around racism could be sensitively shared (V2). Exit ticket feedback indicated that practical language to address racism made learners feel more confident in responding to potential issues (A3, K5).</w:t>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spacing w:line="360" w:lineRule="auto"/>
              <w:jc w:val="both"/>
              <w:rPr/>
            </w:pPr>
            <w:r w:rsidDel="00000000" w:rsidR="00000000" w:rsidRPr="00000000">
              <w:rPr>
                <w:rtl w:val="0"/>
              </w:rPr>
              <w:t xml:space="preserve">Following the Additional Learning Needs (ALN) department’s training on the Universal Offer (V4), I delivered a session to PGCE learners (A2). I created a digital quiz on the ALN Education Tribunal (Wales) Act 2018 (K1, K4), allowing me to assess prior knowledge before the main activity (A3). I then allocated pairs of scenarios reflecting everyday challenges faced by learners with ALN (V1, V2). I assessed impact through targeted questioning to identify gaps in understanding of legislation and support strategies (K2). Learners commented that the scenarios provided a relatable context to support their initial understanding and requested subsequent sessions to further clarify key points (A4, V4). </w:t>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rtl w:val="0"/>
              </w:rPr>
              <w:t xml:space="preserve">During a peer observation (A4), I observed the effective use of charades to support tutor, peer and self-assessment (K3). I adapted this approach for PGCE students to recap learning theories. I then embedded Borton’s </w:t>
            </w:r>
            <w:r w:rsidDel="00000000" w:rsidR="00000000" w:rsidRPr="00000000">
              <w:rPr>
                <w:i w:val="1"/>
                <w:iCs w:val="1"/>
                <w:rtl w:val="0"/>
              </w:rPr>
              <w:t xml:space="preserve">What? So What? Now What?</w:t>
            </w:r>
            <w:r w:rsidDel="00000000" w:rsidR="00000000" w:rsidRPr="00000000">
              <w:rPr>
                <w:rtl w:val="0"/>
              </w:rPr>
              <w:t xml:space="preserve"> model (1970) to structure reflection and support experiential learning (K2, A2, A4). As a result, learners independently applied the model in their assignments and reflective practice, using it to structure their evaluation of learning activities and demonstrate clear understanding of the framework. </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t xml:space="preserve">As a PGCE lecturer, it is essential to model innovative and engaging practice, however midway through this academic year, I felt my lesson structure was becoming repetitive (A1, K2). I consulted with colleagues (V5) to discuss alternative delivery methods appropriate for hybrid connectivity (K4). I also met with a Canva representative to explore alternatives to traditional slide-based delivery (V3), including embedding media, collaborative activities and more visually engaging workshop resources (A1, A2). I subsequently replaced sequential presentation slides with a Canva Whiteboard to include a multimodal approach with 3D images, videos, text and live collaborative links (K4). These interventions enhanced real time participation from all learners, regardless of their platform (V2).</w:t>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highlight w:val="white"/>
              </w:rPr>
            </w:pPr>
            <w:r w:rsidDel="00000000" w:rsidR="00000000" w:rsidRPr="00000000">
              <w:rPr>
                <w:rtl w:val="0"/>
              </w:rPr>
              <w:t xml:space="preserve">I evaluated the impact of this change through formative assessment, including observation of learner engagement and participation (A3, K5), supported by verbal feedback. Learners also used Canva Whiteboard to provide feedback via digital post-it notes, identifying strengths of the approach and suggesting areas for improvement, while engaging in peer review of each other's contributions (V2). I shared the whiteboard with colleagues for quality assurance and professional discussion (V3, V4). Their feedback informed further refinements to the session, highlighting the value of collaboration and reflective practice in enhancing teaching and learning (Campbell and Norton, 2007). </w:t>
            </w:r>
            <w:r w:rsidDel="00000000" w:rsidR="00000000" w:rsidRPr="00000000">
              <w:rPr>
                <w:rtl w:val="0"/>
              </w:rPr>
            </w:r>
          </w:p>
          <w:p w:rsidR="00000000" w:rsidDel="00000000" w:rsidP="00000000" w:rsidRDefault="00000000" w:rsidRPr="00000000" w14:paraId="0000007D">
            <w:pPr>
              <w:spacing w:after="240" w:before="240" w:line="360" w:lineRule="auto"/>
              <w:jc w:val="both"/>
              <w:rPr/>
            </w:pPr>
            <w:r w:rsidDel="00000000" w:rsidR="00000000" w:rsidRPr="00000000">
              <w:rPr>
                <w:rtl w:val="0"/>
              </w:rPr>
              <w:t xml:space="preserve">I conducted two years of action research on the implementation of </w:t>
            </w:r>
            <w:r w:rsidDel="00000000" w:rsidR="00000000" w:rsidRPr="00000000">
              <w:rPr>
                <w:i w:val="1"/>
                <w:iCs w:val="1"/>
                <w:rtl w:val="0"/>
              </w:rPr>
              <w:t xml:space="preserve">Curriculum for Wales</w:t>
            </w:r>
            <w:r w:rsidDel="00000000" w:rsidR="00000000" w:rsidRPr="00000000">
              <w:rPr>
                <w:rtl w:val="0"/>
              </w:rPr>
              <w:t xml:space="preserve"> to enhance programme content within the FdA CYPS programme (V3). Through engagement with educational stakeholders, including senior Welsh Government representatives, and the case study of Ysgol Gynradd Nantgaredig, I developed current, practice-informed resources that enabled learners to engage with curriculum reform through authentic examples, rather than policy documents alone (Abraham, 2023) (V1, V5). These resources, including external links to schools and curriculum materials, provided learners with direct access to real-world examples of implementation, helping them connect theory, policy and practice (A1, K2).</w:t>
            </w:r>
          </w:p>
          <w:p w:rsidR="00000000" w:rsidDel="00000000" w:rsidP="00000000" w:rsidRDefault="00000000" w:rsidRPr="00000000" w14:paraId="0000007E">
            <w:pPr>
              <w:spacing w:after="240" w:before="240" w:line="360" w:lineRule="auto"/>
              <w:jc w:val="both"/>
              <w:rPr>
                <w:b w:val="1"/>
                <w:bCs w:val="1"/>
                <w:color w:val="980000"/>
              </w:rPr>
            </w:pPr>
            <w:r w:rsidDel="00000000" w:rsidR="00000000" w:rsidRPr="00000000">
              <w:rPr>
                <w:rtl w:val="0"/>
              </w:rPr>
              <w:t xml:space="preserve">The research informed my teaching by ensuring programme content remained current, while the resources supported learner understanding and discussion. Learner feedback indicated how they valued the authentic case studies and practical examples, which improved their understanding of educational reform and its implications for professional practice (K5, V2). I also disseminated the findings through the college </w:t>
            </w:r>
            <w:r w:rsidDel="00000000" w:rsidR="00000000" w:rsidRPr="00000000">
              <w:rPr>
                <w:i w:val="1"/>
                <w:iCs w:val="1"/>
                <w:rtl w:val="0"/>
              </w:rPr>
              <w:t xml:space="preserve">Festival of Practice</w:t>
            </w:r>
            <w:r w:rsidDel="00000000" w:rsidR="00000000" w:rsidRPr="00000000">
              <w:rPr>
                <w:rtl w:val="0"/>
              </w:rPr>
              <w:t xml:space="preserve"> and professional publications, contributing to wider staff understanding of educational reform. </w:t>
            </w:r>
            <w:r w:rsidDel="00000000" w:rsidR="00000000" w:rsidRPr="00000000">
              <w:rPr>
                <w:rtl w:val="0"/>
              </w:rPr>
            </w:r>
          </w:p>
        </w:tc>
      </w:tr>
    </w:tbl>
    <w:p w:rsidR="00000000" w:rsidDel="00000000" w:rsidP="00000000" w:rsidRDefault="00000000" w:rsidRPr="00000000" w14:paraId="0000007F">
      <w:pPr>
        <w:rPr>
          <w:b w:val="1"/>
          <w:bCs w:val="1"/>
          <w:sz w:val="32"/>
          <w:szCs w:val="32"/>
        </w:rPr>
      </w:pPr>
      <w:r w:rsidDel="00000000" w:rsidR="00000000" w:rsidRPr="00000000">
        <w:rPr>
          <w:rtl w:val="0"/>
        </w:rPr>
      </w:r>
    </w:p>
    <w:p w:rsidR="00000000" w:rsidDel="00000000" w:rsidP="00000000" w:rsidRDefault="00000000" w:rsidRPr="00000000" w14:paraId="00000080">
      <w:pPr>
        <w:rPr>
          <w:b w:val="1"/>
          <w:bCs w:val="1"/>
          <w:sz w:val="32"/>
          <w:szCs w:val="32"/>
        </w:rPr>
      </w:pPr>
      <w:r w:rsidDel="00000000" w:rsidR="00000000" w:rsidRPr="00000000">
        <w:rPr>
          <w:rtl w:val="0"/>
        </w:rPr>
      </w:r>
    </w:p>
    <w:p w:rsidR="00000000" w:rsidDel="00000000" w:rsidP="00000000" w:rsidRDefault="00000000" w:rsidRPr="00000000" w14:paraId="00000081">
      <w:pPr>
        <w:spacing w:after="200" w:line="276" w:lineRule="auto"/>
        <w:rPr>
          <w:sz w:val="32"/>
          <w:szCs w:val="32"/>
        </w:rPr>
      </w:pPr>
      <w:bookmarkStart w:colFirst="0" w:colLast="0" w:name="_heading=h.7mkpplvha2eo" w:id="3"/>
      <w:bookmarkEnd w:id="3"/>
      <w:r w:rsidDel="00000000" w:rsidR="00000000" w:rsidRPr="00000000">
        <w:br w:type="page"/>
      </w:r>
      <w:r w:rsidDel="00000000" w:rsidR="00000000" w:rsidRPr="00000000">
        <w:rPr>
          <w:rtl w:val="0"/>
        </w:rPr>
      </w:r>
    </w:p>
    <w:p w:rsidR="00000000" w:rsidDel="00000000" w:rsidP="00000000" w:rsidRDefault="00000000" w:rsidRPr="00000000" w14:paraId="00000082">
      <w:pPr>
        <w:jc w:val="both"/>
        <w:rPr>
          <w:sz w:val="32"/>
          <w:szCs w:val="32"/>
        </w:rPr>
      </w:pPr>
      <w:r w:rsidDel="00000000" w:rsidR="00000000" w:rsidRPr="00000000">
        <w:rPr>
          <w:sz w:val="32"/>
          <w:szCs w:val="32"/>
          <w:rtl w:val="0"/>
        </w:rPr>
        <w:t xml:space="preserve">References/Citations:   </w:t>
      </w:r>
    </w:p>
    <w:tbl>
      <w:tblPr>
        <w:tblStyle w:val="Table9"/>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0455"/>
        <w:tblGridChange w:id="0">
          <w:tblGrid>
            <w:gridCol w:w="10455"/>
          </w:tblGrid>
        </w:tblGridChange>
      </w:tblGrid>
      <w:tr>
        <w:trPr>
          <w:cantSplit w:val="0"/>
          <w:trHeight w:val="300" w:hRule="atLeast"/>
          <w:tblHeader w:val="0"/>
        </w:trPr>
        <w:tc>
          <w:tcPr/>
          <w:p w:rsidR="00000000" w:rsidDel="00000000" w:rsidP="00000000" w:rsidRDefault="00000000" w:rsidRPr="00000000" w14:paraId="00000083">
            <w:pPr>
              <w:spacing w:line="276" w:lineRule="auto"/>
              <w:rPr>
                <w:highlight w:val="white"/>
              </w:rPr>
            </w:pPr>
            <w:r w:rsidDel="00000000" w:rsidR="00000000" w:rsidRPr="00000000">
              <w:rPr>
                <w:highlight w:val="white"/>
                <w:rtl w:val="0"/>
              </w:rPr>
              <w:t xml:space="preserve">Abraham, N. (2023) ‘Curriculum for Wales: the force awakens…’, in </w:t>
            </w:r>
            <w:r w:rsidDel="00000000" w:rsidR="00000000" w:rsidRPr="00000000">
              <w:rPr>
                <w:i w:val="1"/>
                <w:iCs w:val="1"/>
                <w:highlight w:val="white"/>
                <w:rtl w:val="0"/>
              </w:rPr>
              <w:t xml:space="preserve">Children in Wales magazine: autumn 2023</w:t>
            </w:r>
            <w:r w:rsidDel="00000000" w:rsidR="00000000" w:rsidRPr="00000000">
              <w:rPr>
                <w:highlight w:val="white"/>
                <w:rtl w:val="0"/>
              </w:rPr>
              <w:t xml:space="preserve">. Available at: https://issuu.com/childreninwales/docs/ciw_autumn_2023_magazine_english (Accessed: 11 May 2026).</w:t>
            </w:r>
          </w:p>
          <w:p w:rsidR="00000000" w:rsidDel="00000000" w:rsidP="00000000" w:rsidRDefault="00000000" w:rsidRPr="00000000" w14:paraId="00000084">
            <w:pPr>
              <w:spacing w:line="276" w:lineRule="auto"/>
              <w:rPr>
                <w:highlight w:val="white"/>
              </w:rPr>
            </w:pPr>
            <w:r w:rsidDel="00000000" w:rsidR="00000000" w:rsidRPr="00000000">
              <w:rPr>
                <w:rtl w:val="0"/>
              </w:rPr>
            </w:r>
          </w:p>
          <w:p w:rsidR="00000000" w:rsidDel="00000000" w:rsidP="00000000" w:rsidRDefault="00000000" w:rsidRPr="00000000" w14:paraId="00000085">
            <w:pPr>
              <w:spacing w:line="276" w:lineRule="auto"/>
              <w:rPr>
                <w:highlight w:val="white"/>
              </w:rPr>
            </w:pPr>
            <w:r w:rsidDel="00000000" w:rsidR="00000000" w:rsidRPr="00000000">
              <w:rPr>
                <w:highlight w:val="white"/>
                <w:rtl w:val="0"/>
              </w:rPr>
              <w:t xml:space="preserve">Abraham, N. (2025) </w:t>
            </w:r>
            <w:r w:rsidDel="00000000" w:rsidR="00000000" w:rsidRPr="00000000">
              <w:rPr>
                <w:i w:val="1"/>
                <w:iCs w:val="1"/>
                <w:highlight w:val="white"/>
                <w:rtl w:val="0"/>
              </w:rPr>
              <w:t xml:space="preserve">The sky is the limit: exploring mature students’ perceptions of growth mindset</w:t>
            </w:r>
            <w:r w:rsidDel="00000000" w:rsidR="00000000" w:rsidRPr="00000000">
              <w:rPr>
                <w:highlight w:val="white"/>
                <w:rtl w:val="0"/>
              </w:rPr>
              <w:t xml:space="preserve">. Learning and Skills Research Network. Available at: https://lsrn.wordpress.com/blogs/the-sky-is-the-limit-exploring-mature-students-perceptions-of-growth-mindset/ (Accessed: 14 May 2026).</w:t>
            </w:r>
          </w:p>
          <w:p w:rsidR="00000000" w:rsidDel="00000000" w:rsidP="00000000" w:rsidRDefault="00000000" w:rsidRPr="00000000" w14:paraId="00000086">
            <w:pPr>
              <w:spacing w:line="276" w:lineRule="auto"/>
              <w:rPr>
                <w:highlight w:val="white"/>
              </w:rPr>
            </w:pPr>
            <w:r w:rsidDel="00000000" w:rsidR="00000000" w:rsidRPr="00000000">
              <w:rPr>
                <w:rtl w:val="0"/>
              </w:rPr>
            </w:r>
          </w:p>
          <w:p w:rsidR="00000000" w:rsidDel="00000000" w:rsidP="00000000" w:rsidRDefault="00000000" w:rsidRPr="00000000" w14:paraId="00000087">
            <w:pPr>
              <w:spacing w:line="276" w:lineRule="auto"/>
              <w:rPr>
                <w:highlight w:val="white"/>
              </w:rPr>
            </w:pPr>
            <w:r w:rsidDel="00000000" w:rsidR="00000000" w:rsidRPr="00000000">
              <w:rPr>
                <w:highlight w:val="white"/>
                <w:rtl w:val="0"/>
              </w:rPr>
              <w:t xml:space="preserve">Advance HE (2023) </w:t>
            </w:r>
            <w:r w:rsidDel="00000000" w:rsidR="00000000" w:rsidRPr="00000000">
              <w:rPr>
                <w:i w:val="1"/>
                <w:iCs w:val="1"/>
                <w:highlight w:val="white"/>
                <w:rtl w:val="0"/>
              </w:rPr>
              <w:t xml:space="preserve">UK professional standards framework</w:t>
            </w:r>
            <w:r w:rsidDel="00000000" w:rsidR="00000000" w:rsidRPr="00000000">
              <w:rPr>
                <w:highlight w:val="white"/>
                <w:rtl w:val="0"/>
              </w:rPr>
              <w:t xml:space="preserve">. Available at: https://www.advance-he.ac.uk/teaching-learning/professional-standards-framework (Accessed: 24 April 2026).</w:t>
            </w:r>
          </w:p>
          <w:p w:rsidR="00000000" w:rsidDel="00000000" w:rsidP="00000000" w:rsidRDefault="00000000" w:rsidRPr="00000000" w14:paraId="00000088">
            <w:pPr>
              <w:spacing w:line="276" w:lineRule="auto"/>
              <w:rPr>
                <w:highlight w:val="white"/>
              </w:rPr>
            </w:pPr>
            <w:r w:rsidDel="00000000" w:rsidR="00000000" w:rsidRPr="00000000">
              <w:rPr>
                <w:rtl w:val="0"/>
              </w:rPr>
            </w:r>
          </w:p>
          <w:p w:rsidR="00000000" w:rsidDel="00000000" w:rsidP="00000000" w:rsidRDefault="00000000" w:rsidRPr="00000000" w14:paraId="00000089">
            <w:pPr>
              <w:spacing w:line="276" w:lineRule="auto"/>
              <w:rPr>
                <w:highlight w:val="white"/>
              </w:rPr>
            </w:pPr>
            <w:r w:rsidDel="00000000" w:rsidR="00000000" w:rsidRPr="00000000">
              <w:rPr>
                <w:highlight w:val="white"/>
                <w:rtl w:val="0"/>
              </w:rPr>
              <w:t xml:space="preserve">Advance HE (2025) </w:t>
            </w:r>
            <w:r w:rsidDel="00000000" w:rsidR="00000000" w:rsidRPr="00000000">
              <w:rPr>
                <w:i w:val="1"/>
                <w:iCs w:val="1"/>
                <w:highlight w:val="white"/>
                <w:rtl w:val="0"/>
              </w:rPr>
              <w:t xml:space="preserve">Flexible learning in higher education</w:t>
            </w:r>
            <w:r w:rsidDel="00000000" w:rsidR="00000000" w:rsidRPr="00000000">
              <w:rPr>
                <w:highlight w:val="white"/>
                <w:rtl w:val="0"/>
              </w:rPr>
              <w:t xml:space="preserve">. Available at: https://www.advance-he.ac.uk/teaching-learning/flexible-learning-higher-education (Accessed: 5 May 2026).</w:t>
            </w:r>
          </w:p>
          <w:p w:rsidR="00000000" w:rsidDel="00000000" w:rsidP="00000000" w:rsidRDefault="00000000" w:rsidRPr="00000000" w14:paraId="0000008A">
            <w:pPr>
              <w:spacing w:line="276" w:lineRule="auto"/>
              <w:rPr>
                <w:highlight w:val="white"/>
              </w:rPr>
            </w:pPr>
            <w:r w:rsidDel="00000000" w:rsidR="00000000" w:rsidRPr="00000000">
              <w:rPr>
                <w:rtl w:val="0"/>
              </w:rPr>
            </w:r>
          </w:p>
          <w:p w:rsidR="00000000" w:rsidDel="00000000" w:rsidP="00000000" w:rsidRDefault="00000000" w:rsidRPr="00000000" w14:paraId="0000008B">
            <w:pPr>
              <w:spacing w:line="276" w:lineRule="auto"/>
              <w:rPr>
                <w:highlight w:val="white"/>
              </w:rPr>
            </w:pPr>
            <w:r w:rsidDel="00000000" w:rsidR="00000000" w:rsidRPr="00000000">
              <w:rPr>
                <w:highlight w:val="white"/>
                <w:rtl w:val="0"/>
              </w:rPr>
              <w:t xml:space="preserve">Arfat, Y., Shahid, K.M., Al-tayyar, S., Mahmood, K. and Alghamdi, A. (2025) ‘Building inclusive learning environment through hybrid learning system: role of technology and corresponding engagement’, </w:t>
            </w:r>
            <w:r w:rsidDel="00000000" w:rsidR="00000000" w:rsidRPr="00000000">
              <w:rPr>
                <w:i w:val="1"/>
                <w:iCs w:val="1"/>
                <w:highlight w:val="white"/>
                <w:rtl w:val="0"/>
              </w:rPr>
              <w:t xml:space="preserve">Sustainable Futures</w:t>
            </w:r>
            <w:r w:rsidDel="00000000" w:rsidR="00000000" w:rsidRPr="00000000">
              <w:rPr>
                <w:highlight w:val="white"/>
                <w:rtl w:val="0"/>
              </w:rPr>
              <w:t xml:space="preserve">, 10, 100887. doi:10.1016/j.sftr.2025.100887</w:t>
            </w:r>
          </w:p>
          <w:p w:rsidR="00000000" w:rsidDel="00000000" w:rsidP="00000000" w:rsidRDefault="00000000" w:rsidRPr="00000000" w14:paraId="0000008C">
            <w:pPr>
              <w:spacing w:line="276" w:lineRule="auto"/>
              <w:rPr>
                <w:highlight w:val="white"/>
              </w:rPr>
            </w:pPr>
            <w:r w:rsidDel="00000000" w:rsidR="00000000" w:rsidRPr="00000000">
              <w:rPr>
                <w:rtl w:val="0"/>
              </w:rPr>
            </w:r>
          </w:p>
          <w:p w:rsidR="00000000" w:rsidDel="00000000" w:rsidP="00000000" w:rsidRDefault="00000000" w:rsidRPr="00000000" w14:paraId="0000008D">
            <w:pPr>
              <w:spacing w:line="276" w:lineRule="auto"/>
              <w:rPr>
                <w:highlight w:val="white"/>
              </w:rPr>
            </w:pPr>
            <w:r w:rsidDel="00000000" w:rsidR="00000000" w:rsidRPr="00000000">
              <w:rPr>
                <w:highlight w:val="white"/>
                <w:rtl w:val="0"/>
              </w:rPr>
              <w:t xml:space="preserve">Bedford, D. and Wilson, E. (2013) </w:t>
            </w:r>
            <w:r w:rsidDel="00000000" w:rsidR="00000000" w:rsidRPr="00000000">
              <w:rPr>
                <w:i w:val="1"/>
                <w:iCs w:val="1"/>
                <w:highlight w:val="white"/>
                <w:rtl w:val="0"/>
              </w:rPr>
              <w:t xml:space="preserve">Study skills for foundation degrees</w:t>
            </w:r>
            <w:r w:rsidDel="00000000" w:rsidR="00000000" w:rsidRPr="00000000">
              <w:rPr>
                <w:highlight w:val="white"/>
                <w:rtl w:val="0"/>
              </w:rPr>
              <w:t xml:space="preserve">. 2nd edn. Abingdon: Routledge.</w:t>
            </w:r>
          </w:p>
          <w:p w:rsidR="00000000" w:rsidDel="00000000" w:rsidP="00000000" w:rsidRDefault="00000000" w:rsidRPr="00000000" w14:paraId="0000008E">
            <w:pPr>
              <w:spacing w:line="276" w:lineRule="auto"/>
              <w:rPr>
                <w:highlight w:val="white"/>
              </w:rPr>
            </w:pPr>
            <w:r w:rsidDel="00000000" w:rsidR="00000000" w:rsidRPr="00000000">
              <w:rPr>
                <w:rtl w:val="0"/>
              </w:rPr>
            </w:r>
          </w:p>
          <w:p w:rsidR="00000000" w:rsidDel="00000000" w:rsidP="00000000" w:rsidRDefault="00000000" w:rsidRPr="00000000" w14:paraId="0000008F">
            <w:pPr>
              <w:spacing w:line="276" w:lineRule="auto"/>
              <w:rPr>
                <w:i w:val="1"/>
                <w:iCs w:val="1"/>
                <w:highlight w:val="white"/>
              </w:rPr>
            </w:pPr>
            <w:r w:rsidDel="00000000" w:rsidR="00000000" w:rsidRPr="00000000">
              <w:rPr>
                <w:highlight w:val="white"/>
                <w:rtl w:val="0"/>
              </w:rPr>
              <w:t xml:space="preserve">Bolton, G. (2014) </w:t>
            </w:r>
            <w:r w:rsidDel="00000000" w:rsidR="00000000" w:rsidRPr="00000000">
              <w:rPr>
                <w:i w:val="1"/>
                <w:iCs w:val="1"/>
                <w:highlight w:val="white"/>
                <w:rtl w:val="0"/>
              </w:rPr>
              <w:t xml:space="preserve">Reflective practice: writing and professional development</w:t>
            </w:r>
            <w:r w:rsidDel="00000000" w:rsidR="00000000" w:rsidRPr="00000000">
              <w:rPr>
                <w:highlight w:val="white"/>
                <w:rtl w:val="0"/>
              </w:rPr>
              <w:t xml:space="preserve">. 4th edn. London: SAGE. </w:t>
            </w:r>
            <w:r w:rsidDel="00000000" w:rsidR="00000000" w:rsidRPr="00000000">
              <w:rPr>
                <w:rtl w:val="0"/>
              </w:rPr>
            </w:r>
          </w:p>
          <w:p w:rsidR="00000000" w:rsidDel="00000000" w:rsidP="00000000" w:rsidRDefault="00000000" w:rsidRPr="00000000" w14:paraId="00000090">
            <w:pPr>
              <w:spacing w:line="276" w:lineRule="auto"/>
              <w:rPr>
                <w:i w:val="1"/>
                <w:iCs w:val="1"/>
                <w:highlight w:val="white"/>
              </w:rPr>
            </w:pPr>
            <w:r w:rsidDel="00000000" w:rsidR="00000000" w:rsidRPr="00000000">
              <w:rPr>
                <w:rtl w:val="0"/>
              </w:rPr>
            </w:r>
          </w:p>
          <w:p w:rsidR="00000000" w:rsidDel="00000000" w:rsidP="00000000" w:rsidRDefault="00000000" w:rsidRPr="00000000" w14:paraId="00000091">
            <w:pPr>
              <w:spacing w:line="276" w:lineRule="auto"/>
              <w:rPr>
                <w:highlight w:val="white"/>
              </w:rPr>
            </w:pPr>
            <w:r w:rsidDel="00000000" w:rsidR="00000000" w:rsidRPr="00000000">
              <w:rPr>
                <w:highlight w:val="white"/>
                <w:rtl w:val="0"/>
              </w:rPr>
              <w:t xml:space="preserve">Boronski, T. and Hassan, N. (2020) </w:t>
            </w:r>
            <w:r w:rsidDel="00000000" w:rsidR="00000000" w:rsidRPr="00000000">
              <w:rPr>
                <w:i w:val="1"/>
                <w:iCs w:val="1"/>
                <w:highlight w:val="white"/>
                <w:rtl w:val="0"/>
              </w:rPr>
              <w:t xml:space="preserve">Social and emotional development</w:t>
            </w:r>
            <w:r w:rsidDel="00000000" w:rsidR="00000000" w:rsidRPr="00000000">
              <w:rPr>
                <w:highlight w:val="white"/>
                <w:rtl w:val="0"/>
              </w:rPr>
              <w:t xml:space="preserve">. London: SAGE.</w:t>
            </w:r>
          </w:p>
          <w:p w:rsidR="00000000" w:rsidDel="00000000" w:rsidP="00000000" w:rsidRDefault="00000000" w:rsidRPr="00000000" w14:paraId="00000092">
            <w:pPr>
              <w:spacing w:line="276" w:lineRule="auto"/>
              <w:rPr>
                <w:i w:val="1"/>
                <w:iCs w:val="1"/>
                <w:highlight w:val="white"/>
              </w:rPr>
            </w:pPr>
            <w:r w:rsidDel="00000000" w:rsidR="00000000" w:rsidRPr="00000000">
              <w:rPr>
                <w:highlight w:val="white"/>
                <w:rtl w:val="0"/>
              </w:rPr>
              <w:t xml:space="preserve">Braincert (2022) </w:t>
            </w:r>
            <w:r w:rsidDel="00000000" w:rsidR="00000000" w:rsidRPr="00000000">
              <w:rPr>
                <w:i w:val="1"/>
                <w:iCs w:val="1"/>
                <w:highlight w:val="white"/>
                <w:rtl w:val="0"/>
              </w:rPr>
              <w:t xml:space="preserve">Braincert: the complete training &amp; testing platform</w:t>
            </w:r>
            <w:r w:rsidDel="00000000" w:rsidR="00000000" w:rsidRPr="00000000">
              <w:rPr>
                <w:highlight w:val="white"/>
                <w:rtl w:val="0"/>
              </w:rPr>
              <w:t xml:space="preserve">. Available at: https://www.braincert.com/ (Accessed: 6 May 2026). </w:t>
            </w:r>
            <w:r w:rsidDel="00000000" w:rsidR="00000000" w:rsidRPr="00000000">
              <w:rPr>
                <w:rtl w:val="0"/>
              </w:rPr>
            </w:r>
          </w:p>
          <w:p w:rsidR="00000000" w:rsidDel="00000000" w:rsidP="00000000" w:rsidRDefault="00000000" w:rsidRPr="00000000" w14:paraId="00000093">
            <w:pPr>
              <w:spacing w:line="276" w:lineRule="auto"/>
              <w:rPr>
                <w:i w:val="1"/>
                <w:iCs w:val="1"/>
                <w:highlight w:val="white"/>
              </w:rPr>
            </w:pPr>
            <w:r w:rsidDel="00000000" w:rsidR="00000000" w:rsidRPr="00000000">
              <w:rPr>
                <w:rtl w:val="0"/>
              </w:rPr>
            </w:r>
          </w:p>
          <w:p w:rsidR="00000000" w:rsidDel="00000000" w:rsidP="00000000" w:rsidRDefault="00000000" w:rsidRPr="00000000" w14:paraId="00000094">
            <w:pPr>
              <w:spacing w:line="276" w:lineRule="auto"/>
              <w:rPr>
                <w:highlight w:val="white"/>
              </w:rPr>
            </w:pPr>
            <w:r w:rsidDel="00000000" w:rsidR="00000000" w:rsidRPr="00000000">
              <w:rPr>
                <w:highlight w:val="white"/>
                <w:rtl w:val="0"/>
              </w:rPr>
              <w:t xml:space="preserve">Campbell, A. and Norton, L. (2007) </w:t>
            </w:r>
            <w:r w:rsidDel="00000000" w:rsidR="00000000" w:rsidRPr="00000000">
              <w:rPr>
                <w:i w:val="1"/>
                <w:iCs w:val="1"/>
                <w:highlight w:val="white"/>
                <w:rtl w:val="0"/>
              </w:rPr>
              <w:t xml:space="preserve">Learning, teaching and assessing in higher education: developing reflective practice</w:t>
            </w:r>
            <w:r w:rsidDel="00000000" w:rsidR="00000000" w:rsidRPr="00000000">
              <w:rPr>
                <w:highlight w:val="white"/>
                <w:rtl w:val="0"/>
              </w:rPr>
              <w:t xml:space="preserve">. Exeter: Learning Matters Ltd.</w:t>
            </w:r>
          </w:p>
          <w:p w:rsidR="00000000" w:rsidDel="00000000" w:rsidP="00000000" w:rsidRDefault="00000000" w:rsidRPr="00000000" w14:paraId="00000095">
            <w:pPr>
              <w:spacing w:line="276" w:lineRule="auto"/>
              <w:rPr>
                <w:highlight w:val="white"/>
              </w:rPr>
            </w:pPr>
            <w:r w:rsidDel="00000000" w:rsidR="00000000" w:rsidRPr="00000000">
              <w:rPr>
                <w:highlight w:val="white"/>
                <w:rtl w:val="0"/>
              </w:rPr>
              <w:t xml:space="preserve">Cavanaugh, A.J. (2020) </w:t>
            </w:r>
            <w:r w:rsidDel="00000000" w:rsidR="00000000" w:rsidRPr="00000000">
              <w:rPr>
                <w:i w:val="1"/>
                <w:iCs w:val="1"/>
                <w:highlight w:val="white"/>
                <w:rtl w:val="0"/>
              </w:rPr>
              <w:t xml:space="preserve">How audio feedback can help students understand grammatical and mechanical errors</w:t>
            </w:r>
            <w:r w:rsidDel="00000000" w:rsidR="00000000" w:rsidRPr="00000000">
              <w:rPr>
                <w:highlight w:val="white"/>
                <w:rtl w:val="0"/>
              </w:rPr>
              <w:t xml:space="preserve">. Available at: https://style.mla.org/audio-feedback-grammar/ (Accessed: 29 April 2026).</w:t>
            </w:r>
          </w:p>
          <w:p w:rsidR="00000000" w:rsidDel="00000000" w:rsidP="00000000" w:rsidRDefault="00000000" w:rsidRPr="00000000" w14:paraId="00000096">
            <w:pPr>
              <w:spacing w:line="276" w:lineRule="auto"/>
              <w:rPr>
                <w:highlight w:val="white"/>
              </w:rPr>
            </w:pPr>
            <w:r w:rsidDel="00000000" w:rsidR="00000000" w:rsidRPr="00000000">
              <w:rPr>
                <w:rtl w:val="0"/>
              </w:rPr>
            </w:r>
          </w:p>
          <w:p w:rsidR="00000000" w:rsidDel="00000000" w:rsidP="00000000" w:rsidRDefault="00000000" w:rsidRPr="00000000" w14:paraId="00000097">
            <w:pPr>
              <w:spacing w:line="276" w:lineRule="auto"/>
              <w:rPr>
                <w:highlight w:val="white"/>
              </w:rPr>
            </w:pPr>
            <w:r w:rsidDel="00000000" w:rsidR="00000000" w:rsidRPr="00000000">
              <w:rPr>
                <w:highlight w:val="white"/>
                <w:rtl w:val="0"/>
              </w:rPr>
              <w:t xml:space="preserve">Cottrell, S. (2019) </w:t>
            </w:r>
            <w:r w:rsidDel="00000000" w:rsidR="00000000" w:rsidRPr="00000000">
              <w:rPr>
                <w:i w:val="1"/>
                <w:iCs w:val="1"/>
                <w:highlight w:val="white"/>
                <w:rtl w:val="0"/>
              </w:rPr>
              <w:t xml:space="preserve">The study skills handbook</w:t>
            </w:r>
            <w:r w:rsidDel="00000000" w:rsidR="00000000" w:rsidRPr="00000000">
              <w:rPr>
                <w:highlight w:val="white"/>
                <w:rtl w:val="0"/>
              </w:rPr>
              <w:t xml:space="preserve">. 5th edn. London: Red Globe Press.</w:t>
            </w:r>
          </w:p>
          <w:p w:rsidR="00000000" w:rsidDel="00000000" w:rsidP="00000000" w:rsidRDefault="00000000" w:rsidRPr="00000000" w14:paraId="00000098">
            <w:pPr>
              <w:spacing w:line="276" w:lineRule="auto"/>
              <w:rPr>
                <w:highlight w:val="white"/>
              </w:rPr>
            </w:pPr>
            <w:r w:rsidDel="00000000" w:rsidR="00000000" w:rsidRPr="00000000">
              <w:rPr>
                <w:highlight w:val="white"/>
                <w:rtl w:val="0"/>
              </w:rPr>
              <w:t xml:space="preserve">Dweck, C.S. (2007) </w:t>
            </w:r>
            <w:r w:rsidDel="00000000" w:rsidR="00000000" w:rsidRPr="00000000">
              <w:rPr>
                <w:i w:val="1"/>
                <w:iCs w:val="1"/>
                <w:highlight w:val="white"/>
                <w:rtl w:val="0"/>
              </w:rPr>
              <w:t xml:space="preserve">Mindset: changing the way you think to fulfil your potential</w:t>
            </w:r>
            <w:r w:rsidDel="00000000" w:rsidR="00000000" w:rsidRPr="00000000">
              <w:rPr>
                <w:highlight w:val="white"/>
                <w:rtl w:val="0"/>
              </w:rPr>
              <w:t xml:space="preserve">. London: Robinson.</w:t>
            </w:r>
          </w:p>
          <w:p w:rsidR="00000000" w:rsidDel="00000000" w:rsidP="00000000" w:rsidRDefault="00000000" w:rsidRPr="00000000" w14:paraId="00000099">
            <w:pPr>
              <w:spacing w:line="276" w:lineRule="auto"/>
              <w:rPr>
                <w:highlight w:val="white"/>
              </w:rPr>
            </w:pPr>
            <w:r w:rsidDel="00000000" w:rsidR="00000000" w:rsidRPr="00000000">
              <w:rPr>
                <w:rtl w:val="0"/>
              </w:rPr>
            </w:r>
          </w:p>
          <w:p w:rsidR="00000000" w:rsidDel="00000000" w:rsidP="00000000" w:rsidRDefault="00000000" w:rsidRPr="00000000" w14:paraId="0000009A">
            <w:pPr>
              <w:spacing w:line="276" w:lineRule="auto"/>
              <w:rPr>
                <w:highlight w:val="white"/>
              </w:rPr>
            </w:pPr>
            <w:r w:rsidDel="00000000" w:rsidR="00000000" w:rsidRPr="00000000">
              <w:rPr>
                <w:highlight w:val="white"/>
                <w:rtl w:val="0"/>
              </w:rPr>
              <w:t xml:space="preserve">Gardner, J. (2012) </w:t>
            </w:r>
            <w:r w:rsidDel="00000000" w:rsidR="00000000" w:rsidRPr="00000000">
              <w:rPr>
                <w:i w:val="1"/>
                <w:iCs w:val="1"/>
                <w:highlight w:val="white"/>
                <w:rtl w:val="0"/>
              </w:rPr>
              <w:t xml:space="preserve">Assessment and learning</w:t>
            </w:r>
            <w:r w:rsidDel="00000000" w:rsidR="00000000" w:rsidRPr="00000000">
              <w:rPr>
                <w:highlight w:val="white"/>
                <w:rtl w:val="0"/>
              </w:rPr>
              <w:t xml:space="preserve">. 2nd edn. London: SAGE.</w:t>
            </w:r>
          </w:p>
          <w:p w:rsidR="00000000" w:rsidDel="00000000" w:rsidP="00000000" w:rsidRDefault="00000000" w:rsidRPr="00000000" w14:paraId="0000009B">
            <w:pPr>
              <w:spacing w:line="276" w:lineRule="auto"/>
              <w:rPr>
                <w:highlight w:val="white"/>
              </w:rPr>
            </w:pPr>
            <w:r w:rsidDel="00000000" w:rsidR="00000000" w:rsidRPr="00000000">
              <w:rPr>
                <w:highlight w:val="white"/>
                <w:rtl w:val="0"/>
              </w:rPr>
              <w:t xml:space="preserve">Goria, C., Witthaus, G., Turner, M., Hanford, S., Bhend, M., Wray, A., Wahyudi, M. and Gibson, A. (2022) </w:t>
            </w:r>
            <w:r w:rsidDel="00000000" w:rsidR="00000000" w:rsidRPr="00000000">
              <w:rPr>
                <w:i w:val="1"/>
                <w:iCs w:val="1"/>
                <w:highlight w:val="white"/>
                <w:rtl w:val="0"/>
              </w:rPr>
              <w:t xml:space="preserve">Hybrid teaching: a futurist model or a realist model for the future?</w:t>
            </w:r>
            <w:r w:rsidDel="00000000" w:rsidR="00000000" w:rsidRPr="00000000">
              <w:rPr>
                <w:highlight w:val="white"/>
                <w:rtl w:val="0"/>
              </w:rPr>
              <w:t xml:space="preserve"> Quality Assurance Agency for Higher Education. Available at: https://www.qaa.ac.uk/docs/qaa/members/hybrid-teaching-a-futurist-mode-or-realist-model-for-the-future.pdf (Accessed: 24 April 2026).</w:t>
            </w:r>
          </w:p>
          <w:p w:rsidR="00000000" w:rsidDel="00000000" w:rsidP="00000000" w:rsidRDefault="00000000" w:rsidRPr="00000000" w14:paraId="0000009C">
            <w:pPr>
              <w:spacing w:line="276" w:lineRule="auto"/>
              <w:rPr>
                <w:highlight w:val="white"/>
              </w:rPr>
            </w:pPr>
            <w:r w:rsidDel="00000000" w:rsidR="00000000" w:rsidRPr="00000000">
              <w:rPr>
                <w:rtl w:val="0"/>
              </w:rPr>
            </w:r>
          </w:p>
          <w:p w:rsidR="00000000" w:rsidDel="00000000" w:rsidP="00000000" w:rsidRDefault="00000000" w:rsidRPr="00000000" w14:paraId="0000009D">
            <w:pPr>
              <w:spacing w:line="276" w:lineRule="auto"/>
              <w:rPr>
                <w:highlight w:val="white"/>
              </w:rPr>
            </w:pPr>
            <w:r w:rsidDel="00000000" w:rsidR="00000000" w:rsidRPr="00000000">
              <w:rPr>
                <w:highlight w:val="white"/>
                <w:rtl w:val="0"/>
              </w:rPr>
              <w:t xml:space="preserve">Kolb, D.A. (1984) </w:t>
            </w:r>
            <w:r w:rsidDel="00000000" w:rsidR="00000000" w:rsidRPr="00000000">
              <w:rPr>
                <w:i w:val="1"/>
                <w:iCs w:val="1"/>
                <w:highlight w:val="white"/>
                <w:rtl w:val="0"/>
              </w:rPr>
              <w:t xml:space="preserve">Experiential learning: experience as the source of learning and development</w:t>
            </w:r>
            <w:r w:rsidDel="00000000" w:rsidR="00000000" w:rsidRPr="00000000">
              <w:rPr>
                <w:highlight w:val="white"/>
                <w:rtl w:val="0"/>
              </w:rPr>
              <w:t xml:space="preserve">. Englewood Cliffs: Prentice-Hall.</w:t>
            </w:r>
          </w:p>
          <w:p w:rsidR="00000000" w:rsidDel="00000000" w:rsidP="00000000" w:rsidRDefault="00000000" w:rsidRPr="00000000" w14:paraId="0000009E">
            <w:pPr>
              <w:spacing w:line="276" w:lineRule="auto"/>
              <w:rPr>
                <w:highlight w:val="white"/>
              </w:rPr>
            </w:pPr>
            <w:r w:rsidDel="00000000" w:rsidR="00000000" w:rsidRPr="00000000">
              <w:rPr>
                <w:rtl w:val="0"/>
              </w:rPr>
            </w:r>
          </w:p>
          <w:p w:rsidR="00000000" w:rsidDel="00000000" w:rsidP="00000000" w:rsidRDefault="00000000" w:rsidRPr="00000000" w14:paraId="0000009F">
            <w:pPr>
              <w:spacing w:line="276" w:lineRule="auto"/>
              <w:rPr>
                <w:highlight w:val="white"/>
              </w:rPr>
            </w:pPr>
            <w:r w:rsidDel="00000000" w:rsidR="00000000" w:rsidRPr="00000000">
              <w:rPr>
                <w:highlight w:val="white"/>
                <w:rtl w:val="0"/>
              </w:rPr>
              <w:t xml:space="preserve">McGregor, D. and Cartwright, L. (2011) </w:t>
            </w:r>
            <w:r w:rsidDel="00000000" w:rsidR="00000000" w:rsidRPr="00000000">
              <w:rPr>
                <w:i w:val="1"/>
                <w:iCs w:val="1"/>
                <w:highlight w:val="white"/>
                <w:rtl w:val="0"/>
              </w:rPr>
              <w:t xml:space="preserve">Developing reflective practice: a guide for beginning teachers</w:t>
            </w:r>
            <w:r w:rsidDel="00000000" w:rsidR="00000000" w:rsidRPr="00000000">
              <w:rPr>
                <w:highlight w:val="white"/>
                <w:rtl w:val="0"/>
              </w:rPr>
              <w:t xml:space="preserve">. Berkshire: Open University Press.</w:t>
            </w:r>
          </w:p>
          <w:p w:rsidR="00000000" w:rsidDel="00000000" w:rsidP="00000000" w:rsidRDefault="00000000" w:rsidRPr="00000000" w14:paraId="000000A0">
            <w:pPr>
              <w:spacing w:line="276" w:lineRule="auto"/>
              <w:rPr>
                <w:highlight w:val="white"/>
              </w:rPr>
            </w:pPr>
            <w:r w:rsidDel="00000000" w:rsidR="00000000" w:rsidRPr="00000000">
              <w:rPr>
                <w:rtl w:val="0"/>
              </w:rPr>
            </w:r>
          </w:p>
          <w:p w:rsidR="00000000" w:rsidDel="00000000" w:rsidP="00000000" w:rsidRDefault="00000000" w:rsidRPr="00000000" w14:paraId="000000A1">
            <w:pPr>
              <w:spacing w:line="276" w:lineRule="auto"/>
              <w:rPr>
                <w:highlight w:val="white"/>
              </w:rPr>
            </w:pPr>
            <w:r w:rsidDel="00000000" w:rsidR="00000000" w:rsidRPr="00000000">
              <w:rPr>
                <w:highlight w:val="white"/>
                <w:rtl w:val="0"/>
              </w:rPr>
              <w:t xml:space="preserve">National Education Association (2026) </w:t>
            </w:r>
            <w:r w:rsidDel="00000000" w:rsidR="00000000" w:rsidRPr="00000000">
              <w:rPr>
                <w:i w:val="1"/>
                <w:iCs w:val="1"/>
                <w:highlight w:val="white"/>
                <w:rtl w:val="0"/>
              </w:rPr>
              <w:t xml:space="preserve">Professional excellence / student engagement</w:t>
            </w:r>
            <w:r w:rsidDel="00000000" w:rsidR="00000000" w:rsidRPr="00000000">
              <w:rPr>
                <w:highlight w:val="white"/>
                <w:rtl w:val="0"/>
              </w:rPr>
              <w:t xml:space="preserve">. 25 March. Available at: https://www.nea.org/professional-excellence/student-engagement/tools-tips/rethinking-classroom-hyflex-learning (Accessed: 24 April 2026).</w:t>
            </w:r>
          </w:p>
          <w:p w:rsidR="00000000" w:rsidDel="00000000" w:rsidP="00000000" w:rsidRDefault="00000000" w:rsidRPr="00000000" w14:paraId="000000A2">
            <w:pPr>
              <w:spacing w:line="276" w:lineRule="auto"/>
              <w:rPr>
                <w:highlight w:val="white"/>
              </w:rPr>
            </w:pPr>
            <w:r w:rsidDel="00000000" w:rsidR="00000000" w:rsidRPr="00000000">
              <w:rPr>
                <w:rtl w:val="0"/>
              </w:rPr>
            </w:r>
          </w:p>
          <w:p w:rsidR="00000000" w:rsidDel="00000000" w:rsidP="00000000" w:rsidRDefault="00000000" w:rsidRPr="00000000" w14:paraId="000000A3">
            <w:pPr>
              <w:spacing w:line="276" w:lineRule="auto"/>
              <w:rPr>
                <w:highlight w:val="white"/>
              </w:rPr>
            </w:pPr>
            <w:r w:rsidDel="00000000" w:rsidR="00000000" w:rsidRPr="00000000">
              <w:rPr>
                <w:highlight w:val="white"/>
                <w:rtl w:val="0"/>
              </w:rPr>
              <w:t xml:space="preserve">Sareen, S. and Mandal, S. (2024) ‘Challenges of blended learning in higher education across global north-south: a systematic and integrative literature review’, </w:t>
            </w:r>
            <w:r w:rsidDel="00000000" w:rsidR="00000000" w:rsidRPr="00000000">
              <w:rPr>
                <w:i w:val="1"/>
                <w:iCs w:val="1"/>
                <w:highlight w:val="white"/>
                <w:rtl w:val="0"/>
              </w:rPr>
              <w:t xml:space="preserve">Social Sciences &amp; Humanities Open</w:t>
            </w:r>
            <w:r w:rsidDel="00000000" w:rsidR="00000000" w:rsidRPr="00000000">
              <w:rPr>
                <w:highlight w:val="white"/>
                <w:rtl w:val="0"/>
              </w:rPr>
              <w:t xml:space="preserve">, 10, 101011. doi:10.1016/j.ssaho.2024.101011</w:t>
            </w:r>
          </w:p>
          <w:p w:rsidR="00000000" w:rsidDel="00000000" w:rsidP="00000000" w:rsidRDefault="00000000" w:rsidRPr="00000000" w14:paraId="000000A4">
            <w:pPr>
              <w:spacing w:line="276" w:lineRule="auto"/>
              <w:rPr>
                <w:highlight w:val="white"/>
              </w:rPr>
            </w:pPr>
            <w:r w:rsidDel="00000000" w:rsidR="00000000" w:rsidRPr="00000000">
              <w:rPr>
                <w:rtl w:val="0"/>
              </w:rPr>
            </w:r>
          </w:p>
          <w:p w:rsidR="00000000" w:rsidDel="00000000" w:rsidP="00000000" w:rsidRDefault="00000000" w:rsidRPr="00000000" w14:paraId="000000A5">
            <w:pPr>
              <w:spacing w:line="276" w:lineRule="auto"/>
              <w:rPr>
                <w:highlight w:val="white"/>
              </w:rPr>
            </w:pPr>
            <w:r w:rsidDel="00000000" w:rsidR="00000000" w:rsidRPr="00000000">
              <w:rPr>
                <w:highlight w:val="white"/>
                <w:rtl w:val="0"/>
              </w:rPr>
              <w:t xml:space="preserve">Waring, M. and Evans, C. (2015) </w:t>
            </w:r>
            <w:r w:rsidDel="00000000" w:rsidR="00000000" w:rsidRPr="00000000">
              <w:rPr>
                <w:i w:val="1"/>
                <w:iCs w:val="1"/>
                <w:highlight w:val="white"/>
                <w:rtl w:val="0"/>
              </w:rPr>
              <w:t xml:space="preserve">Understanding pedagogy: developing a critical approach to teaching and learning</w:t>
            </w:r>
            <w:r w:rsidDel="00000000" w:rsidR="00000000" w:rsidRPr="00000000">
              <w:rPr>
                <w:highlight w:val="white"/>
                <w:rtl w:val="0"/>
              </w:rPr>
              <w:t xml:space="preserve">. Abingdon: Routledge.</w:t>
            </w:r>
          </w:p>
          <w:p w:rsidR="00000000" w:rsidDel="00000000" w:rsidP="00000000" w:rsidRDefault="00000000" w:rsidRPr="00000000" w14:paraId="000000A6">
            <w:pPr>
              <w:spacing w:line="276" w:lineRule="auto"/>
              <w:rPr>
                <w:highlight w:val="white"/>
              </w:rPr>
            </w:pPr>
            <w:r w:rsidDel="00000000" w:rsidR="00000000" w:rsidRPr="00000000">
              <w:rPr>
                <w:rtl w:val="0"/>
              </w:rPr>
            </w:r>
          </w:p>
          <w:p w:rsidR="00000000" w:rsidDel="00000000" w:rsidP="00000000" w:rsidRDefault="00000000" w:rsidRPr="00000000" w14:paraId="000000A7">
            <w:pPr>
              <w:spacing w:line="276" w:lineRule="auto"/>
              <w:rPr>
                <w:highlight w:val="white"/>
              </w:rPr>
            </w:pPr>
            <w:r w:rsidDel="00000000" w:rsidR="00000000" w:rsidRPr="00000000">
              <w:rPr>
                <w:highlight w:val="white"/>
                <w:rtl w:val="0"/>
              </w:rPr>
              <w:t xml:space="preserve">Wiliam, D. (2016) </w:t>
            </w:r>
            <w:r w:rsidDel="00000000" w:rsidR="00000000" w:rsidRPr="00000000">
              <w:rPr>
                <w:i w:val="1"/>
                <w:iCs w:val="1"/>
                <w:highlight w:val="white"/>
                <w:rtl w:val="0"/>
              </w:rPr>
              <w:t xml:space="preserve">Content then process</w:t>
            </w:r>
            <w:r w:rsidDel="00000000" w:rsidR="00000000" w:rsidRPr="00000000">
              <w:rPr>
                <w:highlight w:val="white"/>
                <w:rtl w:val="0"/>
              </w:rPr>
              <w:t xml:space="preserve">. Available at: https://www.youtube.com/watch?v=029fSeOaGio (Accessed: 27 April 2026).</w:t>
            </w:r>
          </w:p>
          <w:p w:rsidR="00000000" w:rsidDel="00000000" w:rsidP="00000000" w:rsidRDefault="00000000" w:rsidRPr="00000000" w14:paraId="000000A8">
            <w:pPr>
              <w:rPr>
                <w:color w:val="000000"/>
                <w:sz w:val="24"/>
                <w:szCs w:val="24"/>
              </w:rPr>
            </w:pPr>
            <w:r w:rsidDel="00000000" w:rsidR="00000000" w:rsidRPr="00000000">
              <w:rPr>
                <w:rtl w:val="0"/>
              </w:rPr>
            </w:r>
          </w:p>
        </w:tc>
      </w:tr>
    </w:tbl>
    <w:p w:rsidR="00000000" w:rsidDel="00000000" w:rsidP="00000000" w:rsidRDefault="00000000" w:rsidRPr="00000000" w14:paraId="000000A9">
      <w:pPr>
        <w:rPr>
          <w:b w:val="1"/>
          <w:bCs w:val="1"/>
          <w:sz w:val="32"/>
          <w:szCs w:val="32"/>
        </w:rPr>
      </w:pPr>
      <w:r w:rsidDel="00000000" w:rsidR="00000000" w:rsidRPr="00000000">
        <w:rPr>
          <w:rtl w:val="0"/>
        </w:rPr>
      </w:r>
    </w:p>
    <w:p w:rsidR="00000000" w:rsidDel="00000000" w:rsidP="00000000" w:rsidRDefault="00000000" w:rsidRPr="00000000" w14:paraId="000000AA">
      <w:pPr>
        <w:widowControl w:val="0"/>
        <w:jc w:val="both"/>
        <w:rPr>
          <w:b w:val="1"/>
          <w:bCs w:val="1"/>
          <w:color w:val="000000"/>
          <w:sz w:val="24"/>
          <w:szCs w:val="24"/>
        </w:rPr>
      </w:pPr>
      <w:r w:rsidDel="00000000" w:rsidR="00000000" w:rsidRPr="00000000">
        <w:rPr>
          <w:color w:val="000000"/>
          <w:sz w:val="24"/>
          <w:szCs w:val="24"/>
          <w:rtl w:val="0"/>
        </w:rPr>
        <w:t xml:space="preserve">Your application (including the two Supporting Statements from your referees) is submitted first to the Academic Office </w:t>
      </w:r>
      <w:r w:rsidDel="00000000" w:rsidR="00000000" w:rsidRPr="00000000">
        <w:rPr>
          <w:b w:val="1"/>
          <w:bCs w:val="1"/>
          <w:color w:val="000000"/>
          <w:sz w:val="24"/>
          <w:szCs w:val="24"/>
          <w:rtl w:val="0"/>
        </w:rPr>
        <w:t xml:space="preserve">via the appropriate submission link on Moodle (Advance HE Fellowship module).</w:t>
      </w:r>
    </w:p>
    <w:p w:rsidR="00000000" w:rsidDel="00000000" w:rsidP="00000000" w:rsidRDefault="00000000" w:rsidRPr="00000000" w14:paraId="000000AB">
      <w:pPr>
        <w:widowControl w:val="0"/>
        <w:jc w:val="both"/>
        <w:rPr>
          <w:b w:val="1"/>
          <w:bCs w:val="1"/>
          <w:color w:val="000000"/>
          <w:sz w:val="24"/>
          <w:szCs w:val="24"/>
        </w:rPr>
      </w:pPr>
      <w:r w:rsidDel="00000000" w:rsidR="00000000" w:rsidRPr="00000000">
        <w:rPr>
          <w:rtl w:val="0"/>
        </w:rPr>
      </w:r>
    </w:p>
    <w:p w:rsidR="00000000" w:rsidDel="00000000" w:rsidP="00000000" w:rsidRDefault="00000000" w:rsidRPr="00000000" w14:paraId="000000AC">
      <w:pPr>
        <w:spacing w:after="200" w:line="276" w:lineRule="auto"/>
        <w:rPr>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D">
      <w:pPr>
        <w:jc w:val="both"/>
        <w:rPr>
          <w:b w:val="1"/>
          <w:bCs w:val="1"/>
          <w:sz w:val="32"/>
          <w:szCs w:val="32"/>
        </w:rPr>
      </w:pPr>
      <w:r w:rsidDel="00000000" w:rsidR="00000000" w:rsidRPr="00000000">
        <w:rPr>
          <w:b w:val="1"/>
          <w:bCs w:val="1"/>
          <w:sz w:val="32"/>
          <w:szCs w:val="32"/>
          <w:rtl w:val="0"/>
        </w:rPr>
        <w:t xml:space="preserve">SECTION FOUR: </w:t>
      </w:r>
      <w:r w:rsidDel="00000000" w:rsidR="00000000" w:rsidRPr="00000000">
        <w:rPr>
          <w:rtl w:val="0"/>
        </w:rPr>
        <w:tab/>
      </w:r>
      <w:r w:rsidDel="00000000" w:rsidR="00000000" w:rsidRPr="00000000">
        <w:rPr>
          <w:b w:val="1"/>
          <w:bCs w:val="1"/>
          <w:sz w:val="32"/>
          <w:szCs w:val="32"/>
          <w:rtl w:val="0"/>
        </w:rPr>
        <w:t xml:space="preserve">Referees</w:t>
      </w:r>
    </w:p>
    <w:p w:rsidR="00000000" w:rsidDel="00000000" w:rsidP="00000000" w:rsidRDefault="00000000" w:rsidRPr="00000000" w14:paraId="000000AE">
      <w:pPr>
        <w:jc w:val="both"/>
        <w:rPr>
          <w:sz w:val="24"/>
          <w:szCs w:val="24"/>
        </w:rPr>
      </w:pPr>
      <w:r w:rsidDel="00000000" w:rsidR="00000000" w:rsidRPr="00000000">
        <w:rPr>
          <w:rtl w:val="0"/>
        </w:rPr>
      </w:r>
    </w:p>
    <w:p w:rsidR="00000000" w:rsidDel="00000000" w:rsidP="00000000" w:rsidRDefault="00000000" w:rsidRPr="00000000" w14:paraId="000000AF">
      <w:pPr>
        <w:jc w:val="both"/>
        <w:rPr>
          <w:sz w:val="24"/>
          <w:szCs w:val="24"/>
        </w:rPr>
      </w:pPr>
      <w:r w:rsidDel="00000000" w:rsidR="00000000" w:rsidRPr="00000000">
        <w:rPr>
          <w:sz w:val="24"/>
          <w:szCs w:val="24"/>
          <w:rtl w:val="0"/>
        </w:rPr>
        <w:t xml:space="preserve">Your application must be accompanied by two</w:t>
      </w:r>
      <w:r w:rsidDel="00000000" w:rsidR="00000000" w:rsidRPr="00000000">
        <w:rPr>
          <w:b w:val="1"/>
          <w:bCs w:val="1"/>
          <w:sz w:val="24"/>
          <w:szCs w:val="24"/>
          <w:rtl w:val="0"/>
        </w:rPr>
        <w:t xml:space="preserve"> supporting statements </w:t>
      </w:r>
      <w:r w:rsidDel="00000000" w:rsidR="00000000" w:rsidRPr="00000000">
        <w:rPr>
          <w:sz w:val="24"/>
          <w:szCs w:val="24"/>
          <w:rtl w:val="0"/>
        </w:rPr>
        <w:t xml:space="preserve">from  persons who are in a position to comment on your teaching and learning practices and achievements.</w:t>
      </w:r>
    </w:p>
    <w:p w:rsidR="00000000" w:rsidDel="00000000" w:rsidP="00000000" w:rsidRDefault="00000000" w:rsidRPr="00000000" w14:paraId="000000B0">
      <w:pPr>
        <w:jc w:val="both"/>
        <w:rPr>
          <w:sz w:val="24"/>
          <w:szCs w:val="24"/>
        </w:rPr>
      </w:pPr>
      <w:r w:rsidDel="00000000" w:rsidR="00000000" w:rsidRPr="00000000">
        <w:rPr>
          <w:rtl w:val="0"/>
        </w:rPr>
      </w:r>
    </w:p>
    <w:p w:rsidR="00000000" w:rsidDel="00000000" w:rsidP="00000000" w:rsidRDefault="00000000" w:rsidRPr="00000000" w14:paraId="000000B1">
      <w:pPr>
        <w:jc w:val="both"/>
        <w:rPr>
          <w:sz w:val="24"/>
          <w:szCs w:val="24"/>
        </w:rPr>
      </w:pPr>
      <w:r w:rsidDel="00000000" w:rsidR="00000000" w:rsidRPr="00000000">
        <w:rPr>
          <w:sz w:val="24"/>
          <w:szCs w:val="24"/>
          <w:rtl w:val="0"/>
        </w:rPr>
        <w:t xml:space="preserve">The function of a Referee is to provide an informed peer review of your eligibility for Fellow, using their knowledge of your work and the context in which you teach and/or support learning. Each Referee are expected to </w:t>
      </w:r>
      <w:r w:rsidDel="00000000" w:rsidR="00000000" w:rsidRPr="00000000">
        <w:rPr>
          <w:b w:val="1"/>
          <w:bCs w:val="1"/>
          <w:sz w:val="24"/>
          <w:szCs w:val="24"/>
          <w:rtl w:val="0"/>
        </w:rPr>
        <w:t xml:space="preserve">authenticate your application</w:t>
      </w:r>
      <w:r w:rsidDel="00000000" w:rsidR="00000000" w:rsidRPr="00000000">
        <w:rPr>
          <w:sz w:val="24"/>
          <w:szCs w:val="24"/>
          <w:rtl w:val="0"/>
        </w:rPr>
        <w:t xml:space="preserve"> by commenting directly on the content of your application and to make additional, relevant comments, as they wish.</w:t>
      </w:r>
    </w:p>
    <w:p w:rsidR="00000000" w:rsidDel="00000000" w:rsidP="00000000" w:rsidRDefault="00000000" w:rsidRPr="00000000" w14:paraId="000000B2">
      <w:pPr>
        <w:jc w:val="both"/>
        <w:rPr>
          <w:sz w:val="24"/>
          <w:szCs w:val="24"/>
        </w:rPr>
      </w:pPr>
      <w:r w:rsidDel="00000000" w:rsidR="00000000" w:rsidRPr="00000000">
        <w:rPr>
          <w:rtl w:val="0"/>
        </w:rPr>
      </w:r>
    </w:p>
    <w:p w:rsidR="00000000" w:rsidDel="00000000" w:rsidP="00000000" w:rsidRDefault="00000000" w:rsidRPr="00000000" w14:paraId="000000B3">
      <w:pPr>
        <w:jc w:val="both"/>
        <w:rPr>
          <w:sz w:val="24"/>
          <w:szCs w:val="24"/>
        </w:rPr>
      </w:pPr>
      <w:r w:rsidDel="00000000" w:rsidR="00000000" w:rsidRPr="00000000">
        <w:rPr>
          <w:sz w:val="24"/>
          <w:szCs w:val="24"/>
          <w:rtl w:val="0"/>
        </w:rPr>
        <w:t xml:space="preserve">Referees should be experienced staff and be able to comment knowledgeably, and from first-hand experience, on your current role and any other relevant activities recently undertaken. </w:t>
      </w:r>
      <w:r w:rsidDel="00000000" w:rsidR="00000000" w:rsidRPr="00000000">
        <w:rPr>
          <w:b w:val="1"/>
          <w:bCs w:val="1"/>
          <w:sz w:val="24"/>
          <w:szCs w:val="24"/>
          <w:rtl w:val="0"/>
        </w:rPr>
        <w:t xml:space="preserve"> Your Referees should either be Fellows, Senior Fellows or Principal Fellows of Advance HE</w:t>
      </w:r>
      <w:r w:rsidDel="00000000" w:rsidR="00000000" w:rsidRPr="00000000">
        <w:rPr>
          <w:sz w:val="24"/>
          <w:szCs w:val="24"/>
          <w:rtl w:val="0"/>
        </w:rPr>
        <w:t xml:space="preserve">, or an appropriately experienced member of staff working for a UK Higher Education Institution (HEI). All Referees need to be familiar with the PSF2023.</w:t>
      </w:r>
    </w:p>
    <w:p w:rsidR="00000000" w:rsidDel="00000000" w:rsidP="00000000" w:rsidRDefault="00000000" w:rsidRPr="00000000" w14:paraId="000000B4">
      <w:pPr>
        <w:jc w:val="both"/>
        <w:rPr>
          <w:sz w:val="24"/>
          <w:szCs w:val="24"/>
        </w:rPr>
      </w:pPr>
      <w:r w:rsidDel="00000000" w:rsidR="00000000" w:rsidRPr="00000000">
        <w:rPr>
          <w:rtl w:val="0"/>
        </w:rPr>
      </w:r>
    </w:p>
    <w:p w:rsidR="00000000" w:rsidDel="00000000" w:rsidP="00000000" w:rsidRDefault="00000000" w:rsidRPr="00000000" w14:paraId="000000B5">
      <w:pPr>
        <w:jc w:val="both"/>
        <w:rPr>
          <w:b w:val="1"/>
          <w:bCs w:val="1"/>
          <w:sz w:val="24"/>
          <w:szCs w:val="24"/>
        </w:rPr>
      </w:pPr>
      <w:r w:rsidDel="00000000" w:rsidR="00000000" w:rsidRPr="00000000">
        <w:rPr>
          <w:b w:val="1"/>
          <w:bCs w:val="1"/>
          <w:sz w:val="24"/>
          <w:szCs w:val="24"/>
          <w:rtl w:val="0"/>
        </w:rPr>
        <w:t xml:space="preserve">Referees should be provided with a copy of the Guidance Notes for Referees – please speak to your mentor regarding this document.</w:t>
      </w:r>
    </w:p>
    <w:p w:rsidR="00000000" w:rsidDel="00000000" w:rsidP="00000000" w:rsidRDefault="00000000" w:rsidRPr="00000000" w14:paraId="000000B6">
      <w:pPr>
        <w:jc w:val="both"/>
        <w:rPr>
          <w:sz w:val="24"/>
          <w:szCs w:val="24"/>
        </w:rPr>
      </w:pPr>
      <w:r w:rsidDel="00000000" w:rsidR="00000000" w:rsidRPr="00000000">
        <w:rPr>
          <w:rtl w:val="0"/>
        </w:rPr>
      </w:r>
    </w:p>
    <w:tbl>
      <w:tblPr>
        <w:tblStyle w:val="Table10"/>
        <w:tblW w:w="104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97"/>
        <w:gridCol w:w="5859"/>
        <w:tblGridChange w:id="0">
          <w:tblGrid>
            <w:gridCol w:w="4597"/>
            <w:gridCol w:w="5859"/>
          </w:tblGrid>
        </w:tblGridChange>
      </w:tblGrid>
      <w:tr>
        <w:trPr>
          <w:cantSplit w:val="0"/>
          <w:tblHeader w:val="0"/>
        </w:trPr>
        <w:tc>
          <w:tcPr>
            <w:gridSpan w:val="2"/>
          </w:tcPr>
          <w:p w:rsidR="00000000" w:rsidDel="00000000" w:rsidP="00000000" w:rsidRDefault="00000000" w:rsidRPr="00000000" w14:paraId="000000B7">
            <w:pPr>
              <w:jc w:val="both"/>
              <w:rPr>
                <w:b w:val="1"/>
                <w:bCs w:val="1"/>
                <w:sz w:val="24"/>
                <w:szCs w:val="24"/>
              </w:rPr>
            </w:pPr>
            <w:r w:rsidDel="00000000" w:rsidR="00000000" w:rsidRPr="00000000">
              <w:rPr>
                <w:b w:val="1"/>
                <w:bCs w:val="1"/>
                <w:sz w:val="24"/>
                <w:szCs w:val="24"/>
                <w:rtl w:val="0"/>
              </w:rPr>
              <w:t xml:space="preserve">Referee 1:</w:t>
            </w:r>
          </w:p>
          <w:p w:rsidR="00000000" w:rsidDel="00000000" w:rsidP="00000000" w:rsidRDefault="00000000" w:rsidRPr="00000000" w14:paraId="000000B8">
            <w:pPr>
              <w:jc w:val="both"/>
              <w:rPr>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BA">
            <w:pPr>
              <w:jc w:val="both"/>
              <w:rPr>
                <w:sz w:val="24"/>
                <w:szCs w:val="24"/>
              </w:rPr>
            </w:pPr>
            <w:r w:rsidDel="00000000" w:rsidR="00000000" w:rsidRPr="00000000">
              <w:rPr>
                <w:sz w:val="24"/>
                <w:szCs w:val="24"/>
                <w:rtl w:val="0"/>
              </w:rPr>
              <w:t xml:space="preserve">Name</w:t>
            </w:r>
          </w:p>
        </w:tc>
        <w:tc>
          <w:tcPr/>
          <w:p w:rsidR="00000000" w:rsidDel="00000000" w:rsidP="00000000" w:rsidRDefault="00000000" w:rsidRPr="00000000" w14:paraId="000000BB">
            <w:pPr>
              <w:jc w:val="both"/>
              <w:rPr>
                <w:sz w:val="24"/>
                <w:szCs w:val="24"/>
              </w:rPr>
            </w:pPr>
            <w:r w:rsidDel="00000000" w:rsidR="00000000" w:rsidRPr="00000000">
              <w:rPr>
                <w:sz w:val="24"/>
                <w:szCs w:val="24"/>
                <w:rtl w:val="0"/>
              </w:rPr>
              <w:t xml:space="preserve">Jess Evans</w:t>
            </w:r>
          </w:p>
        </w:tc>
      </w:tr>
      <w:tr>
        <w:trPr>
          <w:cantSplit w:val="0"/>
          <w:tblHeader w:val="0"/>
        </w:trPr>
        <w:tc>
          <w:tcPr/>
          <w:p w:rsidR="00000000" w:rsidDel="00000000" w:rsidP="00000000" w:rsidRDefault="00000000" w:rsidRPr="00000000" w14:paraId="000000BC">
            <w:pPr>
              <w:jc w:val="both"/>
              <w:rPr>
                <w:sz w:val="24"/>
                <w:szCs w:val="24"/>
              </w:rPr>
            </w:pPr>
            <w:r w:rsidDel="00000000" w:rsidR="00000000" w:rsidRPr="00000000">
              <w:rPr>
                <w:sz w:val="24"/>
                <w:szCs w:val="24"/>
                <w:rtl w:val="0"/>
              </w:rPr>
              <w:t xml:space="preserve">Job Title</w:t>
            </w:r>
          </w:p>
        </w:tc>
        <w:tc>
          <w:tcPr/>
          <w:p w:rsidR="00000000" w:rsidDel="00000000" w:rsidP="00000000" w:rsidRDefault="00000000" w:rsidRPr="00000000" w14:paraId="000000BD">
            <w:pPr>
              <w:jc w:val="both"/>
              <w:rPr>
                <w:sz w:val="24"/>
                <w:szCs w:val="24"/>
              </w:rPr>
            </w:pPr>
            <w:r w:rsidDel="00000000" w:rsidR="00000000" w:rsidRPr="00000000">
              <w:rPr>
                <w:sz w:val="24"/>
                <w:szCs w:val="24"/>
                <w:rtl w:val="0"/>
              </w:rPr>
              <w:t xml:space="preserve">Head of Teaching, Learning and Education </w:t>
            </w:r>
          </w:p>
        </w:tc>
      </w:tr>
      <w:tr>
        <w:trPr>
          <w:cantSplit w:val="0"/>
          <w:tblHeader w:val="0"/>
        </w:trPr>
        <w:tc>
          <w:tcPr/>
          <w:p w:rsidR="00000000" w:rsidDel="00000000" w:rsidP="00000000" w:rsidRDefault="00000000" w:rsidRPr="00000000" w14:paraId="000000BE">
            <w:pPr>
              <w:jc w:val="both"/>
              <w:rPr>
                <w:sz w:val="24"/>
                <w:szCs w:val="24"/>
              </w:rPr>
            </w:pPr>
            <w:r w:rsidDel="00000000" w:rsidR="00000000" w:rsidRPr="00000000">
              <w:rPr>
                <w:sz w:val="24"/>
                <w:szCs w:val="24"/>
                <w:rtl w:val="0"/>
              </w:rPr>
              <w:t xml:space="preserve">Fellowship Status</w:t>
            </w:r>
          </w:p>
        </w:tc>
        <w:tc>
          <w:tcPr/>
          <w:p w:rsidR="00000000" w:rsidDel="00000000" w:rsidP="00000000" w:rsidRDefault="00000000" w:rsidRPr="00000000" w14:paraId="000000BF">
            <w:pPr>
              <w:jc w:val="both"/>
              <w:rPr>
                <w:sz w:val="24"/>
                <w:szCs w:val="24"/>
              </w:rPr>
            </w:pPr>
            <w:r w:rsidDel="00000000" w:rsidR="00000000" w:rsidRPr="00000000">
              <w:rPr>
                <w:sz w:val="24"/>
                <w:szCs w:val="24"/>
                <w:rtl w:val="0"/>
              </w:rPr>
              <w:t xml:space="preserve">In progress</w:t>
            </w:r>
          </w:p>
        </w:tc>
      </w:tr>
      <w:tr>
        <w:trPr>
          <w:cantSplit w:val="0"/>
          <w:tblHeader w:val="0"/>
        </w:trPr>
        <w:tc>
          <w:tcPr/>
          <w:p w:rsidR="00000000" w:rsidDel="00000000" w:rsidP="00000000" w:rsidRDefault="00000000" w:rsidRPr="00000000" w14:paraId="000000C0">
            <w:pPr>
              <w:jc w:val="both"/>
              <w:rPr>
                <w:sz w:val="24"/>
                <w:szCs w:val="24"/>
              </w:rPr>
            </w:pPr>
            <w:r w:rsidDel="00000000" w:rsidR="00000000" w:rsidRPr="00000000">
              <w:rPr>
                <w:sz w:val="24"/>
                <w:szCs w:val="24"/>
                <w:rtl w:val="0"/>
              </w:rPr>
              <w:t xml:space="preserve">Institution/Institute/Centre/Unit</w:t>
            </w:r>
          </w:p>
        </w:tc>
        <w:tc>
          <w:tcPr/>
          <w:p w:rsidR="00000000" w:rsidDel="00000000" w:rsidP="00000000" w:rsidRDefault="00000000" w:rsidRPr="00000000" w14:paraId="000000C1">
            <w:pPr>
              <w:jc w:val="both"/>
              <w:rPr>
                <w:sz w:val="24"/>
                <w:szCs w:val="24"/>
              </w:rPr>
            </w:pPr>
            <w:r w:rsidDel="00000000" w:rsidR="00000000" w:rsidRPr="00000000">
              <w:rPr>
                <w:sz w:val="24"/>
                <w:szCs w:val="24"/>
                <w:rtl w:val="0"/>
              </w:rPr>
              <w:t xml:space="preserve">Coleg Sir Gâr</w:t>
            </w:r>
          </w:p>
        </w:tc>
      </w:tr>
      <w:tr>
        <w:trPr>
          <w:cantSplit w:val="0"/>
          <w:tblHeader w:val="0"/>
        </w:trPr>
        <w:tc>
          <w:tcPr/>
          <w:p w:rsidR="00000000" w:rsidDel="00000000" w:rsidP="00000000" w:rsidRDefault="00000000" w:rsidRPr="00000000" w14:paraId="000000C2">
            <w:pPr>
              <w:jc w:val="both"/>
              <w:rPr>
                <w:sz w:val="24"/>
                <w:szCs w:val="24"/>
              </w:rPr>
            </w:pPr>
            <w:r w:rsidDel="00000000" w:rsidR="00000000" w:rsidRPr="00000000">
              <w:rPr>
                <w:sz w:val="24"/>
                <w:szCs w:val="24"/>
                <w:rtl w:val="0"/>
              </w:rPr>
              <w:t xml:space="preserve">Email address</w:t>
            </w:r>
          </w:p>
        </w:tc>
        <w:tc>
          <w:tcPr/>
          <w:p w:rsidR="00000000" w:rsidDel="00000000" w:rsidP="00000000" w:rsidRDefault="00000000" w:rsidRPr="00000000" w14:paraId="000000C3">
            <w:pPr>
              <w:jc w:val="both"/>
              <w:rPr>
                <w:sz w:val="24"/>
                <w:szCs w:val="24"/>
              </w:rPr>
            </w:pPr>
            <w:r w:rsidDel="00000000" w:rsidR="00000000" w:rsidRPr="00000000">
              <w:rPr>
                <w:sz w:val="24"/>
                <w:szCs w:val="24"/>
                <w:rtl w:val="0"/>
              </w:rPr>
              <w:t xml:space="preserve">jess.evans@colegsirgar.ac.uk</w:t>
            </w:r>
          </w:p>
        </w:tc>
      </w:tr>
      <w:tr>
        <w:trPr>
          <w:cantSplit w:val="0"/>
          <w:tblHeader w:val="0"/>
        </w:trPr>
        <w:tc>
          <w:tcPr>
            <w:gridSpan w:val="2"/>
          </w:tcPr>
          <w:p w:rsidR="00000000" w:rsidDel="00000000" w:rsidP="00000000" w:rsidRDefault="00000000" w:rsidRPr="00000000" w14:paraId="000000C4">
            <w:pPr>
              <w:jc w:val="both"/>
              <w:rPr>
                <w:sz w:val="24"/>
                <w:szCs w:val="24"/>
              </w:rPr>
            </w:pPr>
            <w:r w:rsidDel="00000000" w:rsidR="00000000" w:rsidRPr="00000000">
              <w:rPr>
                <w:sz w:val="24"/>
                <w:szCs w:val="24"/>
                <w:rtl w:val="0"/>
              </w:rPr>
              <w:t xml:space="preserve">In what capacity can this individual comment on your professional practice?</w:t>
            </w:r>
          </w:p>
          <w:p w:rsidR="00000000" w:rsidDel="00000000" w:rsidP="00000000" w:rsidRDefault="00000000" w:rsidRPr="00000000" w14:paraId="000000C5">
            <w:pPr>
              <w:jc w:val="both"/>
              <w:rPr>
                <w:sz w:val="24"/>
                <w:szCs w:val="24"/>
              </w:rPr>
            </w:pPr>
            <w:r w:rsidDel="00000000" w:rsidR="00000000" w:rsidRPr="00000000">
              <w:rPr>
                <w:rtl w:val="0"/>
              </w:rPr>
            </w:r>
          </w:p>
          <w:p w:rsidR="00000000" w:rsidDel="00000000" w:rsidP="00000000" w:rsidRDefault="00000000" w:rsidRPr="00000000" w14:paraId="000000C6">
            <w:pPr>
              <w:jc w:val="both"/>
              <w:rPr>
                <w:sz w:val="24"/>
                <w:szCs w:val="24"/>
              </w:rPr>
            </w:pPr>
            <w:r w:rsidDel="00000000" w:rsidR="00000000" w:rsidRPr="00000000">
              <w:rPr>
                <w:sz w:val="24"/>
                <w:szCs w:val="24"/>
                <w:rtl w:val="0"/>
              </w:rPr>
              <w:t xml:space="preserve">Line manager from 2025 to date. </w:t>
            </w:r>
          </w:p>
          <w:p w:rsidR="00000000" w:rsidDel="00000000" w:rsidP="00000000" w:rsidRDefault="00000000" w:rsidRPr="00000000" w14:paraId="000000C7">
            <w:pPr>
              <w:jc w:val="both"/>
              <w:rPr>
                <w:sz w:val="24"/>
                <w:szCs w:val="24"/>
                <w:highlight w:val="yellow"/>
              </w:rPr>
            </w:pPr>
            <w:r w:rsidDel="00000000" w:rsidR="00000000" w:rsidRPr="00000000">
              <w:rPr>
                <w:rtl w:val="0"/>
              </w:rPr>
            </w:r>
          </w:p>
        </w:tc>
      </w:tr>
    </w:tbl>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spacing w:after="200" w:line="276" w:lineRule="auto"/>
        <w:rPr>
          <w:rFonts w:ascii="Calibri" w:cs="Calibri" w:eastAsia="Calibri" w:hAnsi="Calibri"/>
          <w:b w:val="1"/>
          <w:bCs w:val="1"/>
          <w:color w:val="000000"/>
        </w:rPr>
      </w:pPr>
      <w:r w:rsidDel="00000000" w:rsidR="00000000" w:rsidRPr="00000000">
        <w:rPr>
          <w:rtl w:val="0"/>
        </w:rPr>
      </w:r>
    </w:p>
    <w:tbl>
      <w:tblPr>
        <w:tblStyle w:val="Table11"/>
        <w:tblW w:w="104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97"/>
        <w:gridCol w:w="5859"/>
        <w:tblGridChange w:id="0">
          <w:tblGrid>
            <w:gridCol w:w="4597"/>
            <w:gridCol w:w="5859"/>
          </w:tblGrid>
        </w:tblGridChange>
      </w:tblGrid>
      <w:tr>
        <w:trPr>
          <w:cantSplit w:val="0"/>
          <w:tblHeader w:val="0"/>
        </w:trPr>
        <w:tc>
          <w:tcPr>
            <w:gridSpan w:val="2"/>
          </w:tcPr>
          <w:p w:rsidR="00000000" w:rsidDel="00000000" w:rsidP="00000000" w:rsidRDefault="00000000" w:rsidRPr="00000000" w14:paraId="000000CB">
            <w:pPr>
              <w:jc w:val="both"/>
              <w:rPr>
                <w:b w:val="1"/>
                <w:bCs w:val="1"/>
                <w:sz w:val="24"/>
                <w:szCs w:val="24"/>
              </w:rPr>
            </w:pPr>
            <w:r w:rsidDel="00000000" w:rsidR="00000000" w:rsidRPr="00000000">
              <w:rPr>
                <w:b w:val="1"/>
                <w:bCs w:val="1"/>
                <w:sz w:val="24"/>
                <w:szCs w:val="24"/>
                <w:rtl w:val="0"/>
              </w:rPr>
              <w:t xml:space="preserve">Referee 2:</w:t>
            </w:r>
          </w:p>
          <w:p w:rsidR="00000000" w:rsidDel="00000000" w:rsidP="00000000" w:rsidRDefault="00000000" w:rsidRPr="00000000" w14:paraId="000000CC">
            <w:pPr>
              <w:jc w:val="both"/>
              <w:rPr>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CE">
            <w:pPr>
              <w:jc w:val="both"/>
              <w:rPr>
                <w:sz w:val="24"/>
                <w:szCs w:val="24"/>
              </w:rPr>
            </w:pPr>
            <w:r w:rsidDel="00000000" w:rsidR="00000000" w:rsidRPr="00000000">
              <w:rPr>
                <w:sz w:val="24"/>
                <w:szCs w:val="24"/>
                <w:rtl w:val="0"/>
              </w:rPr>
              <w:t xml:space="preserve">Name</w:t>
            </w:r>
          </w:p>
        </w:tc>
        <w:tc>
          <w:tcPr/>
          <w:p w:rsidR="00000000" w:rsidDel="00000000" w:rsidP="00000000" w:rsidRDefault="00000000" w:rsidRPr="00000000" w14:paraId="000000CF">
            <w:pPr>
              <w:jc w:val="both"/>
              <w:rPr>
                <w:sz w:val="24"/>
                <w:szCs w:val="24"/>
              </w:rPr>
            </w:pPr>
            <w:r w:rsidDel="00000000" w:rsidR="00000000" w:rsidRPr="00000000">
              <w:rPr>
                <w:sz w:val="24"/>
                <w:szCs w:val="24"/>
                <w:rtl w:val="0"/>
              </w:rPr>
              <w:t xml:space="preserve">Catherine Slade</w:t>
            </w:r>
          </w:p>
        </w:tc>
      </w:tr>
      <w:tr>
        <w:trPr>
          <w:cantSplit w:val="0"/>
          <w:tblHeader w:val="0"/>
        </w:trPr>
        <w:tc>
          <w:tcPr/>
          <w:p w:rsidR="00000000" w:rsidDel="00000000" w:rsidP="00000000" w:rsidRDefault="00000000" w:rsidRPr="00000000" w14:paraId="000000D0">
            <w:pPr>
              <w:jc w:val="both"/>
              <w:rPr>
                <w:sz w:val="24"/>
                <w:szCs w:val="24"/>
              </w:rPr>
            </w:pPr>
            <w:r w:rsidDel="00000000" w:rsidR="00000000" w:rsidRPr="00000000">
              <w:rPr>
                <w:sz w:val="24"/>
                <w:szCs w:val="24"/>
                <w:rtl w:val="0"/>
              </w:rPr>
              <w:t xml:space="preserve">Job Title</w:t>
            </w:r>
          </w:p>
        </w:tc>
        <w:tc>
          <w:tcPr/>
          <w:p w:rsidR="00000000" w:rsidDel="00000000" w:rsidP="00000000" w:rsidRDefault="00000000" w:rsidRPr="00000000" w14:paraId="000000D1">
            <w:pPr>
              <w:jc w:val="both"/>
              <w:rPr>
                <w:sz w:val="24"/>
                <w:szCs w:val="24"/>
              </w:rPr>
            </w:pPr>
            <w:r w:rsidDel="00000000" w:rsidR="00000000" w:rsidRPr="00000000">
              <w:rPr>
                <w:sz w:val="24"/>
                <w:szCs w:val="24"/>
                <w:rtl w:val="0"/>
              </w:rPr>
              <w:t xml:space="preserve">Lecturer </w:t>
            </w:r>
          </w:p>
        </w:tc>
      </w:tr>
      <w:tr>
        <w:trPr>
          <w:cantSplit w:val="0"/>
          <w:tblHeader w:val="0"/>
        </w:trPr>
        <w:tc>
          <w:tcPr/>
          <w:p w:rsidR="00000000" w:rsidDel="00000000" w:rsidP="00000000" w:rsidRDefault="00000000" w:rsidRPr="00000000" w14:paraId="000000D2">
            <w:pPr>
              <w:jc w:val="both"/>
              <w:rPr>
                <w:sz w:val="24"/>
                <w:szCs w:val="24"/>
              </w:rPr>
            </w:pPr>
            <w:r w:rsidDel="00000000" w:rsidR="00000000" w:rsidRPr="00000000">
              <w:rPr>
                <w:sz w:val="24"/>
                <w:szCs w:val="24"/>
                <w:rtl w:val="0"/>
              </w:rPr>
              <w:t xml:space="preserve">Fellowship Status</w:t>
            </w:r>
          </w:p>
        </w:tc>
        <w:tc>
          <w:tcPr/>
          <w:p w:rsidR="00000000" w:rsidDel="00000000" w:rsidP="00000000" w:rsidRDefault="00000000" w:rsidRPr="00000000" w14:paraId="000000D3">
            <w:pPr>
              <w:jc w:val="both"/>
              <w:rPr>
                <w:sz w:val="24"/>
                <w:szCs w:val="24"/>
              </w:rPr>
            </w:pPr>
            <w:r w:rsidDel="00000000" w:rsidR="00000000" w:rsidRPr="00000000">
              <w:rPr>
                <w:sz w:val="24"/>
                <w:szCs w:val="24"/>
                <w:rtl w:val="0"/>
              </w:rPr>
              <w:t xml:space="preserve">Fellow</w:t>
            </w:r>
          </w:p>
        </w:tc>
      </w:tr>
      <w:tr>
        <w:trPr>
          <w:cantSplit w:val="0"/>
          <w:tblHeader w:val="0"/>
        </w:trPr>
        <w:tc>
          <w:tcPr/>
          <w:p w:rsidR="00000000" w:rsidDel="00000000" w:rsidP="00000000" w:rsidRDefault="00000000" w:rsidRPr="00000000" w14:paraId="000000D4">
            <w:pPr>
              <w:jc w:val="both"/>
              <w:rPr>
                <w:sz w:val="24"/>
                <w:szCs w:val="24"/>
              </w:rPr>
            </w:pPr>
            <w:r w:rsidDel="00000000" w:rsidR="00000000" w:rsidRPr="00000000">
              <w:rPr>
                <w:sz w:val="24"/>
                <w:szCs w:val="24"/>
                <w:rtl w:val="0"/>
              </w:rPr>
              <w:t xml:space="preserve">Institution/Institute/Centre/Unit</w:t>
            </w:r>
          </w:p>
        </w:tc>
        <w:tc>
          <w:tcPr/>
          <w:p w:rsidR="00000000" w:rsidDel="00000000" w:rsidP="00000000" w:rsidRDefault="00000000" w:rsidRPr="00000000" w14:paraId="000000D5">
            <w:pPr>
              <w:jc w:val="both"/>
              <w:rPr>
                <w:sz w:val="24"/>
                <w:szCs w:val="24"/>
              </w:rPr>
            </w:pPr>
            <w:r w:rsidDel="00000000" w:rsidR="00000000" w:rsidRPr="00000000">
              <w:rPr>
                <w:sz w:val="24"/>
                <w:szCs w:val="24"/>
                <w:rtl w:val="0"/>
              </w:rPr>
              <w:t xml:space="preserve">Coleg Sir Gâr</w:t>
            </w:r>
          </w:p>
        </w:tc>
      </w:tr>
      <w:tr>
        <w:trPr>
          <w:cantSplit w:val="0"/>
          <w:tblHeader w:val="0"/>
        </w:trPr>
        <w:tc>
          <w:tcPr/>
          <w:p w:rsidR="00000000" w:rsidDel="00000000" w:rsidP="00000000" w:rsidRDefault="00000000" w:rsidRPr="00000000" w14:paraId="000000D6">
            <w:pPr>
              <w:jc w:val="both"/>
              <w:rPr>
                <w:sz w:val="24"/>
                <w:szCs w:val="24"/>
              </w:rPr>
            </w:pPr>
            <w:r w:rsidDel="00000000" w:rsidR="00000000" w:rsidRPr="00000000">
              <w:rPr>
                <w:sz w:val="24"/>
                <w:szCs w:val="24"/>
                <w:rtl w:val="0"/>
              </w:rPr>
              <w:t xml:space="preserve">Email address</w:t>
            </w:r>
          </w:p>
        </w:tc>
        <w:tc>
          <w:tcPr/>
          <w:p w:rsidR="00000000" w:rsidDel="00000000" w:rsidP="00000000" w:rsidRDefault="00000000" w:rsidRPr="00000000" w14:paraId="000000D7">
            <w:pPr>
              <w:jc w:val="both"/>
              <w:rPr>
                <w:sz w:val="24"/>
                <w:szCs w:val="24"/>
              </w:rPr>
            </w:pPr>
            <w:r w:rsidDel="00000000" w:rsidR="00000000" w:rsidRPr="00000000">
              <w:rPr>
                <w:color w:val="1155cc"/>
                <w:rtl w:val="0"/>
              </w:rPr>
              <w:t xml:space="preserve">cwmtaweconsultancy@gmail.com</w:t>
            </w:r>
            <w:r w:rsidDel="00000000" w:rsidR="00000000" w:rsidRPr="00000000">
              <w:rPr>
                <w:sz w:val="24"/>
                <w:szCs w:val="24"/>
                <w:rtl w:val="0"/>
              </w:rPr>
              <w:t xml:space="preserve">  and catherine.slade@colegsirgar.ac.uk</w:t>
            </w:r>
          </w:p>
        </w:tc>
      </w:tr>
      <w:tr>
        <w:trPr>
          <w:cantSplit w:val="0"/>
          <w:tblHeader w:val="0"/>
        </w:trPr>
        <w:tc>
          <w:tcPr>
            <w:gridSpan w:val="2"/>
          </w:tcPr>
          <w:p w:rsidR="00000000" w:rsidDel="00000000" w:rsidP="00000000" w:rsidRDefault="00000000" w:rsidRPr="00000000" w14:paraId="000000D8">
            <w:pPr>
              <w:jc w:val="both"/>
              <w:rPr>
                <w:sz w:val="24"/>
                <w:szCs w:val="24"/>
              </w:rPr>
            </w:pPr>
            <w:r w:rsidDel="00000000" w:rsidR="00000000" w:rsidRPr="00000000">
              <w:rPr>
                <w:sz w:val="24"/>
                <w:szCs w:val="24"/>
                <w:rtl w:val="0"/>
              </w:rPr>
              <w:t xml:space="preserve">In what capacity can this individual comment on your professional practice?</w:t>
            </w:r>
          </w:p>
          <w:p w:rsidR="00000000" w:rsidDel="00000000" w:rsidP="00000000" w:rsidRDefault="00000000" w:rsidRPr="00000000" w14:paraId="000000D9">
            <w:pPr>
              <w:jc w:val="both"/>
              <w:rPr>
                <w:sz w:val="24"/>
                <w:szCs w:val="24"/>
              </w:rPr>
            </w:pPr>
            <w:r w:rsidDel="00000000" w:rsidR="00000000" w:rsidRPr="00000000">
              <w:rPr>
                <w:rtl w:val="0"/>
              </w:rPr>
            </w:r>
          </w:p>
          <w:p w:rsidR="00000000" w:rsidDel="00000000" w:rsidP="00000000" w:rsidRDefault="00000000" w:rsidRPr="00000000" w14:paraId="000000DA">
            <w:pPr>
              <w:jc w:val="both"/>
              <w:rPr>
                <w:sz w:val="24"/>
                <w:szCs w:val="24"/>
              </w:rPr>
            </w:pPr>
            <w:r w:rsidDel="00000000" w:rsidR="00000000" w:rsidRPr="00000000">
              <w:rPr>
                <w:sz w:val="24"/>
                <w:szCs w:val="24"/>
                <w:rtl w:val="0"/>
              </w:rPr>
              <w:t xml:space="preserve">Previous line manager from 2023-2025. </w:t>
            </w:r>
          </w:p>
          <w:p w:rsidR="00000000" w:rsidDel="00000000" w:rsidP="00000000" w:rsidRDefault="00000000" w:rsidRPr="00000000" w14:paraId="000000DB">
            <w:pPr>
              <w:jc w:val="both"/>
              <w:rPr>
                <w:sz w:val="24"/>
                <w:szCs w:val="24"/>
              </w:rPr>
            </w:pPr>
            <w:r w:rsidDel="00000000" w:rsidR="00000000" w:rsidRPr="00000000">
              <w:rPr>
                <w:rtl w:val="0"/>
              </w:rPr>
            </w:r>
          </w:p>
        </w:tc>
      </w:tr>
    </w:tbl>
    <w:p w:rsidR="00000000" w:rsidDel="00000000" w:rsidP="00000000" w:rsidRDefault="00000000" w:rsidRPr="00000000" w14:paraId="000000DD">
      <w:pPr>
        <w:spacing w:after="200" w:line="276" w:lineRule="auto"/>
        <w:rPr>
          <w:rFonts w:ascii="Calibri" w:cs="Calibri" w:eastAsia="Calibri" w:hAnsi="Calibri"/>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DE">
      <w:pPr>
        <w:rPr>
          <w:rFonts w:ascii="Calibri" w:cs="Calibri" w:eastAsia="Calibri" w:hAnsi="Calibri"/>
          <w:b w:val="1"/>
          <w:bCs w:val="1"/>
          <w:color w:val="000000"/>
        </w:rPr>
      </w:pPr>
      <w:r w:rsidDel="00000000" w:rsidR="00000000" w:rsidRPr="00000000">
        <w:rPr>
          <w:rtl w:val="0"/>
        </w:rPr>
      </w:r>
    </w:p>
    <w:p w:rsidR="00000000" w:rsidDel="00000000" w:rsidP="00000000" w:rsidRDefault="00000000" w:rsidRPr="00000000" w14:paraId="000000DF">
      <w:pPr>
        <w:rPr/>
      </w:pPr>
      <w:r w:rsidDel="00000000" w:rsidR="00000000" w:rsidRPr="00000000">
        <w:rPr>
          <w:b w:val="1"/>
          <w:bCs w:val="1"/>
          <w:color w:val="000000"/>
          <w:rtl w:val="0"/>
        </w:rPr>
        <w:t xml:space="preserve">GDPR on data sharing with ADVANCE HE</w:t>
      </w: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E0">
      <w:pPr>
        <w:rPr/>
      </w:pPr>
      <w:r w:rsidDel="00000000" w:rsidR="00000000" w:rsidRPr="00000000">
        <w:rPr>
          <w:color w:val="000000"/>
          <w:rtl w:val="0"/>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MyAdvanceHE database. </w:t>
      </w:r>
      <w:r w:rsidDel="00000000" w:rsidR="00000000" w:rsidRPr="00000000">
        <w:rPr>
          <w:rtl w:val="0"/>
        </w:rPr>
      </w:r>
    </w:p>
    <w:p w:rsidR="00000000" w:rsidDel="00000000" w:rsidP="00000000" w:rsidRDefault="00000000" w:rsidRPr="00000000" w14:paraId="000000E1">
      <w:pPr>
        <w:rPr>
          <w:color w:val="000000"/>
        </w:rPr>
      </w:pPr>
      <w:r w:rsidDel="00000000" w:rsidR="00000000" w:rsidRPr="00000000">
        <w:rPr>
          <w:color w:val="000000"/>
          <w:rtl w:val="0"/>
        </w:rPr>
        <w:t xml:space="preserve">https://my.advance-he.ac.uk/</w:t>
      </w:r>
    </w:p>
    <w:p w:rsidR="00000000" w:rsidDel="00000000" w:rsidP="00000000" w:rsidRDefault="00000000" w:rsidRPr="00000000" w14:paraId="000000E2">
      <w:pPr>
        <w:rPr/>
      </w:pPr>
      <w:r w:rsidDel="00000000" w:rsidR="00000000" w:rsidRPr="00000000">
        <w:rPr>
          <w:color w:val="000000"/>
          <w:rtl w:val="0"/>
        </w:rPr>
        <w:t xml:space="preserve">Advance HE will make use of this data in the course of providing their Accreditation Services to UWTSD, and potentially in any reviews they might carry out of our accredited provision. </w:t>
      </w:r>
      <w:r w:rsidDel="00000000" w:rsidR="00000000" w:rsidRPr="00000000">
        <w:rPr>
          <w:rtl w:val="0"/>
        </w:rPr>
      </w:r>
    </w:p>
    <w:p w:rsidR="00000000" w:rsidDel="00000000" w:rsidP="00000000" w:rsidRDefault="00000000" w:rsidRPr="00000000" w14:paraId="000000E3">
      <w:pPr>
        <w:rPr/>
      </w:pPr>
      <w:r w:rsidDel="00000000" w:rsidR="00000000" w:rsidRPr="00000000">
        <w:rPr>
          <w:color w:val="000000"/>
          <w:rtl w:val="0"/>
        </w:rPr>
        <w:t xml:space="preserve">By submitting your coursework and appendices you are confirming you agree to this data sharing.</w:t>
      </w: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jc w:val="both"/>
        <w:rPr>
          <w:b w:val="1"/>
          <w:bCs w:val="1"/>
          <w:sz w:val="32"/>
          <w:szCs w:val="32"/>
        </w:rPr>
      </w:pPr>
      <w:r w:rsidDel="00000000" w:rsidR="00000000" w:rsidRPr="00000000">
        <w:rPr>
          <w:b w:val="1"/>
          <w:bCs w:val="1"/>
          <w:sz w:val="32"/>
          <w:szCs w:val="32"/>
          <w:rtl w:val="0"/>
        </w:rPr>
        <w:t xml:space="preserve">SECTION FIVE: </w:t>
      </w:r>
      <w:r w:rsidDel="00000000" w:rsidR="00000000" w:rsidRPr="00000000">
        <w:rPr>
          <w:rtl w:val="0"/>
        </w:rPr>
        <w:tab/>
      </w:r>
      <w:r w:rsidDel="00000000" w:rsidR="00000000" w:rsidRPr="00000000">
        <w:rPr>
          <w:b w:val="1"/>
          <w:bCs w:val="1"/>
          <w:sz w:val="32"/>
          <w:szCs w:val="32"/>
          <w:rtl w:val="0"/>
        </w:rPr>
        <w:t xml:space="preserve">Declaration</w:t>
      </w:r>
    </w:p>
    <w:p w:rsidR="00000000" w:rsidDel="00000000" w:rsidP="00000000" w:rsidRDefault="00000000" w:rsidRPr="00000000" w14:paraId="000000E6">
      <w:pPr>
        <w:jc w:val="both"/>
        <w:rPr>
          <w:b w:val="1"/>
          <w:bCs w:val="1"/>
          <w:sz w:val="32"/>
          <w:szCs w:val="32"/>
        </w:rPr>
      </w:pPr>
      <w:r w:rsidDel="00000000" w:rsidR="00000000" w:rsidRPr="00000000">
        <w:rPr>
          <w:rtl w:val="0"/>
        </w:rPr>
      </w:r>
    </w:p>
    <w:p w:rsidR="00000000" w:rsidDel="00000000" w:rsidP="00000000" w:rsidRDefault="00000000" w:rsidRPr="00000000" w14:paraId="000000E7">
      <w:pPr>
        <w:jc w:val="both"/>
        <w:rPr>
          <w:sz w:val="24"/>
          <w:szCs w:val="24"/>
        </w:rPr>
      </w:pPr>
      <w:r w:rsidDel="00000000" w:rsidR="00000000" w:rsidRPr="00000000">
        <w:rPr>
          <w:sz w:val="24"/>
          <w:szCs w:val="24"/>
          <w:rtl w:val="0"/>
        </w:rPr>
        <w:t xml:space="preserve">Please sign and date in the box below to confirm that the application you are submitting is your own work.</w:t>
      </w:r>
    </w:p>
    <w:p w:rsidR="00000000" w:rsidDel="00000000" w:rsidP="00000000" w:rsidRDefault="00000000" w:rsidRPr="00000000" w14:paraId="000000E8">
      <w:pPr>
        <w:jc w:val="both"/>
        <w:rPr>
          <w:sz w:val="24"/>
          <w:szCs w:val="24"/>
        </w:rPr>
      </w:pPr>
      <w:r w:rsidDel="00000000" w:rsidR="00000000" w:rsidRPr="00000000">
        <w:rPr>
          <w:rtl w:val="0"/>
        </w:rPr>
      </w:r>
    </w:p>
    <w:tbl>
      <w:tblPr>
        <w:tblStyle w:val="Table12"/>
        <w:tblW w:w="1059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1"/>
        <w:gridCol w:w="9327"/>
        <w:tblGridChange w:id="0">
          <w:tblGrid>
            <w:gridCol w:w="1271"/>
            <w:gridCol w:w="9327"/>
          </w:tblGrid>
        </w:tblGridChange>
      </w:tblGrid>
      <w:tr>
        <w:trPr>
          <w:cantSplit w:val="0"/>
          <w:tblHeader w:val="0"/>
        </w:trPr>
        <w:tc>
          <w:tcPr/>
          <w:p w:rsidR="00000000" w:rsidDel="00000000" w:rsidP="00000000" w:rsidRDefault="00000000" w:rsidRPr="00000000" w14:paraId="000000E9">
            <w:pPr>
              <w:jc w:val="both"/>
              <w:rPr>
                <w:sz w:val="24"/>
                <w:szCs w:val="24"/>
              </w:rPr>
            </w:pPr>
            <w:r w:rsidDel="00000000" w:rsidR="00000000" w:rsidRPr="00000000">
              <w:rPr>
                <w:sz w:val="24"/>
                <w:szCs w:val="24"/>
                <w:rtl w:val="0"/>
              </w:rPr>
              <w:t xml:space="preserve">Signature </w:t>
            </w:r>
          </w:p>
        </w:tc>
        <w:tc>
          <w:tcPr/>
          <w:p w:rsidR="00000000" w:rsidDel="00000000" w:rsidP="00000000" w:rsidRDefault="00000000" w:rsidRPr="00000000" w14:paraId="000000EA">
            <w:pPr>
              <w:jc w:val="both"/>
              <w:rPr>
                <w:sz w:val="24"/>
                <w:szCs w:val="24"/>
              </w:rPr>
            </w:pPr>
            <w:r w:rsidDel="00000000" w:rsidR="00000000" w:rsidRPr="00000000">
              <w:rPr>
                <w:sz w:val="24"/>
                <w:szCs w:val="24"/>
                <w:rtl w:val="0"/>
              </w:rPr>
              <w:t xml:space="preserve">N. Abraham</w:t>
            </w:r>
          </w:p>
        </w:tc>
      </w:tr>
      <w:tr>
        <w:trPr>
          <w:cantSplit w:val="0"/>
          <w:tblHeader w:val="0"/>
        </w:trPr>
        <w:tc>
          <w:tcPr/>
          <w:p w:rsidR="00000000" w:rsidDel="00000000" w:rsidP="00000000" w:rsidRDefault="00000000" w:rsidRPr="00000000" w14:paraId="000000EB">
            <w:pPr>
              <w:jc w:val="both"/>
              <w:rPr>
                <w:sz w:val="24"/>
                <w:szCs w:val="24"/>
              </w:rPr>
            </w:pPr>
            <w:r w:rsidDel="00000000" w:rsidR="00000000" w:rsidRPr="00000000">
              <w:rPr>
                <w:sz w:val="24"/>
                <w:szCs w:val="24"/>
                <w:rtl w:val="0"/>
              </w:rPr>
              <w:t xml:space="preserve">Date </w:t>
            </w:r>
          </w:p>
        </w:tc>
        <w:tc>
          <w:tcPr/>
          <w:p w:rsidR="00000000" w:rsidDel="00000000" w:rsidP="00000000" w:rsidRDefault="00000000" w:rsidRPr="00000000" w14:paraId="000000EC">
            <w:pPr>
              <w:jc w:val="both"/>
              <w:rPr>
                <w:sz w:val="24"/>
                <w:szCs w:val="24"/>
              </w:rPr>
            </w:pPr>
            <w:r w:rsidDel="00000000" w:rsidR="00000000" w:rsidRPr="00000000">
              <w:rPr>
                <w:sz w:val="24"/>
                <w:szCs w:val="24"/>
                <w:rtl w:val="0"/>
              </w:rPr>
              <w:t xml:space="preserve">03/06/26</w:t>
            </w:r>
          </w:p>
        </w:tc>
      </w:tr>
    </w:tbl>
    <w:p w:rsidR="00000000" w:rsidDel="00000000" w:rsidP="00000000" w:rsidRDefault="00000000" w:rsidRPr="00000000" w14:paraId="000000ED">
      <w:pPr>
        <w:jc w:val="both"/>
        <w:rPr>
          <w:sz w:val="24"/>
          <w:szCs w:val="24"/>
        </w:rPr>
      </w:pPr>
      <w:r w:rsidDel="00000000" w:rsidR="00000000" w:rsidRPr="00000000">
        <w:rPr>
          <w:rtl w:val="0"/>
        </w:rPr>
      </w:r>
    </w:p>
    <w:p w:rsidR="00000000" w:rsidDel="00000000" w:rsidP="00000000" w:rsidRDefault="00000000" w:rsidRPr="00000000" w14:paraId="000000EE">
      <w:pPr>
        <w:widowControl w:val="0"/>
        <w:jc w:val="both"/>
        <w:rPr>
          <w:sz w:val="32"/>
          <w:szCs w:val="32"/>
        </w:rPr>
      </w:pPr>
      <w:r w:rsidDel="00000000" w:rsidR="00000000" w:rsidRPr="00000000">
        <w:rPr>
          <w:rtl w:val="0"/>
        </w:rPr>
      </w:r>
    </w:p>
    <w:p w:rsidR="00000000" w:rsidDel="00000000" w:rsidP="00000000" w:rsidRDefault="00000000" w:rsidRPr="00000000" w14:paraId="000000EF">
      <w:pPr>
        <w:widowControl w:val="0"/>
        <w:jc w:val="both"/>
        <w:rPr>
          <w:sz w:val="32"/>
          <w:szCs w:val="32"/>
        </w:rPr>
      </w:pPr>
      <w:r w:rsidDel="00000000" w:rsidR="00000000" w:rsidRPr="00000000">
        <w:rPr>
          <w:rtl w:val="0"/>
        </w:rPr>
      </w:r>
    </w:p>
    <w:sectPr>
      <w:headerReference r:id="rId11" w:type="default"/>
      <w:footerReference r:id="rId12"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MS Gothic"/>
  <w:font w:name="Calibri"/>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1">
    <w:pPr>
      <w:pBdr>
        <w:top w:space="0" w:sz="0" w:val="nil"/>
        <w:left w:space="0" w:sz="0" w:val="nil"/>
        <w:bottom w:space="0" w:sz="0" w:val="nil"/>
        <w:right w:space="0" w:sz="0" w:val="nil"/>
        <w:between w:space="0" w:sz="0" w:val="nil"/>
      </w:pBdr>
      <w:tabs>
        <w:tab w:val="center" w:leader="none" w:pos="4513"/>
        <w:tab w:val="right" w:leader="none" w:pos="9026"/>
      </w:tabs>
      <w:jc w:val="center"/>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0">
    <w:pPr>
      <w:pBdr>
        <w:top w:space="0" w:sz="0" w:val="nil"/>
        <w:left w:space="0" w:sz="0" w:val="nil"/>
        <w:bottom w:space="0" w:sz="0" w:val="nil"/>
        <w:right w:space="0" w:sz="0" w:val="nil"/>
        <w:between w:space="0" w:sz="0" w:val="nil"/>
      </w:pBdr>
      <w:tabs>
        <w:tab w:val="center" w:leader="none" w:pos="4513"/>
        <w:tab w:val="right" w:leader="none" w:pos="9026"/>
      </w:tabs>
      <w:jc w:val="right"/>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tl w:val="0"/>
      </w:rPr>
      <w:t xml:space="preserve">Appendix E2.09</w:t>
    </w:r>
    <w:r w:rsidDel="00000000" w:rsidR="00000000" w:rsidRPr="00000000">
      <w:drawing>
        <wp:anchor allowOverlap="1" behindDoc="0" distB="0" distT="0" distL="114300" distR="114300" hidden="0" layoutInCell="1" locked="0" relativeHeight="0" simplePos="0">
          <wp:simplePos x="0" y="0"/>
          <wp:positionH relativeFrom="column">
            <wp:posOffset>-397506</wp:posOffset>
          </wp:positionH>
          <wp:positionV relativeFrom="paragraph">
            <wp:posOffset>-413449</wp:posOffset>
          </wp:positionV>
          <wp:extent cx="1626919" cy="542306"/>
          <wp:effectExtent b="0" l="0" r="0" t="0"/>
          <wp:wrapNone/>
          <wp:docPr descr="uwtsd-logo-bilingual" id="1"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1626919" cy="542306"/>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80" w:lineRule="auto"/>
    </w:pPr>
    <w:rPr>
      <w:b w:val="1"/>
      <w:bCs w:val="1"/>
      <w:sz w:val="48"/>
      <w:szCs w:val="48"/>
    </w:rPr>
  </w:style>
  <w:style w:type="paragraph" w:styleId="Heading2">
    <w:name w:val="heading 2"/>
    <w:basedOn w:val="Normal"/>
    <w:next w:val="Normal"/>
    <w:pPr>
      <w:keepNext w:val="1"/>
      <w:keepLines w:val="1"/>
      <w:spacing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advance-he.ac.uk/knowledge-hub/psf-2023-fellowship-applicant-pack" TargetMode="External"/><Relationship Id="rId12" Type="http://schemas.openxmlformats.org/officeDocument/2006/relationships/footer" Target="footer1.xml"/><Relationship Id="rId9" Type="http://schemas.openxmlformats.org/officeDocument/2006/relationships/hyperlink" Target="https://advance-he.ac.uk/knowledge-hub/psf-2023-fellowship-applicant-pac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dvance-he.ac.uk/form/fellowship-decision-tool-2023" TargetMode="External"/><Relationship Id="rId8" Type="http://schemas.openxmlformats.org/officeDocument/2006/relationships/hyperlink" Target="https://s3.eu-west-2.amazonaws.com/assets.creode.advancehe-document-manager/documents/advance-he/PSF%202023%20-%20Screen%20Reader%20Compatible%20-%20final_1675089549.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X0DBD3/Gj1Xb4d8NxFwDGpqrUw==">CgMxLjAyDmguNnFvM3hwdHNtaXlpMg5oLjJ3NGl4NG1lNzI2ZzIOaC5pNWM0dWFjY3huZTEyDmguN21rcHBsdmhhMmVvOAByITEwMzJseEEtTkRGLXNwOXhVd1BpNGl1VF9valpRQ1QwbQ==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lpwstr>814300</vt:lpwstr>
  </property>
  <property fmtid="{D5CDD505-2E9C-101B-9397-08002B2CF9AE}" pid="4" name="_ExtendedDescription">
    <vt:lpwstr>_ExtendedDescription</vt:lpwstr>
  </property>
  <property fmtid="{D5CDD505-2E9C-101B-9397-08002B2CF9AE}" pid="5" name="TriggerFlowInfo">
    <vt:lpwstr>TriggerFlowInfo</vt:lpwstr>
  </property>
  <property fmtid="{D5CDD505-2E9C-101B-9397-08002B2CF9AE}" pid="6" name="ComplianceAssetId">
    <vt:lpwstr>ComplianceAssetId</vt:lpwstr>
  </property>
  <property fmtid="{D5CDD505-2E9C-101B-9397-08002B2CF9AE}" pid="7" name="MediaServiceImageTags">
    <vt:lpwstr>MediaServiceImageTags</vt:lpwstr>
  </property>
</Properties>
</file>