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A3E8D" w:rsidRPr="00AA3E8D" w:rsidRDefault="00AA3E8D" w:rsidP="00AA3E8D">
      <w:pPr>
        <w:spacing w:before="1540" w:after="240"/>
        <w:jc w:val="center"/>
        <w:rPr>
          <w:rFonts w:ascii="Times New Roman" w:eastAsia="Times New Roman" w:hAnsi="Times New Roman" w:cs="Times New Roman"/>
          <w:color w:val="5B9BD5"/>
          <w:sz w:val="22"/>
          <w:lang w:val="en-US"/>
        </w:rPr>
      </w:pPr>
      <w:r w:rsidRPr="00AA3E8D">
        <w:rPr>
          <w:rFonts w:ascii="Times New Roman" w:eastAsia="Times New Roman" w:hAnsi="Times New Roman" w:cs="Times New Roman"/>
          <w:noProof/>
          <w:color w:val="5B9BD5"/>
          <w:sz w:val="22"/>
          <w:lang w:val="en-US"/>
        </w:rPr>
        <w:drawing>
          <wp:inline distT="0" distB="0" distL="0" distR="0">
            <wp:extent cx="1417320" cy="750898"/>
            <wp:effectExtent l="0" t="0" r="0" b="0"/>
            <wp:docPr id="1"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4F81BD" w:themeColor="accent1"/>
          <w:sz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rsidR="00AA3E8D" w:rsidRPr="001E24B1" w:rsidRDefault="002E655D" w:rsidP="004F6E91">
          <w:pPr>
            <w:pBdr>
              <w:top w:val="single" w:sz="6" w:space="6" w:color="5B9BD5"/>
              <w:bottom w:val="single" w:sz="6" w:space="6" w:color="5B9BD5"/>
            </w:pBdr>
            <w:spacing w:after="240"/>
            <w:jc w:val="center"/>
            <w:rPr>
              <w:rFonts w:ascii="Times New Roman" w:eastAsia="Times New Roman" w:hAnsi="Times New Roman" w:cs="Times New Roman"/>
              <w:caps/>
              <w:color w:val="4F81BD" w:themeColor="accent1"/>
              <w:sz w:val="280"/>
              <w:szCs w:val="80"/>
              <w:lang w:val="en-US"/>
            </w:rPr>
          </w:pPr>
          <w:r w:rsidRPr="001E24B1">
            <w:rPr>
              <w:color w:val="4F81BD" w:themeColor="accent1"/>
              <w:sz w:val="72"/>
            </w:rPr>
            <w:t>Financial Management for the Hotel Industry</w:t>
          </w:r>
        </w:p>
      </w:sdtContent>
    </w:sdt>
    <w:sdt>
      <w:sdtPr>
        <w:rPr>
          <w:rFonts w:eastAsiaTheme="minorEastAsia" w:cstheme="majorBidi"/>
          <w:color w:val="4F81BD" w:themeColor="accent1"/>
          <w:sz w:val="28"/>
          <w:szCs w:val="28"/>
          <w:lang w:val="en-US"/>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rsidR="00AA3E8D" w:rsidRPr="00AA3E8D" w:rsidRDefault="002E655D" w:rsidP="004F6E91">
          <w:pPr>
            <w:spacing w:after="0"/>
            <w:jc w:val="center"/>
            <w:rPr>
              <w:rFonts w:ascii="Times New Roman" w:eastAsia="Times New Roman" w:hAnsi="Times New Roman" w:cs="Times New Roman"/>
              <w:color w:val="5B9BD5"/>
              <w:sz w:val="28"/>
              <w:szCs w:val="28"/>
              <w:lang w:val="en-US"/>
            </w:rPr>
          </w:pPr>
          <w:r>
            <w:rPr>
              <w:rFonts w:eastAsiaTheme="minorEastAsia" w:cstheme="majorBidi"/>
              <w:color w:val="4F81BD" w:themeColor="accent1"/>
              <w:sz w:val="28"/>
              <w:szCs w:val="28"/>
              <w:lang w:val="en-US"/>
            </w:rPr>
            <w:t xml:space="preserve">     </w:t>
          </w:r>
        </w:p>
      </w:sdtContent>
    </w:sdt>
    <w:p w:rsidR="00FF1D13" w:rsidRDefault="00FF1D13" w:rsidP="00AA3E8D">
      <w:pPr>
        <w:spacing w:before="480" w:after="0"/>
        <w:jc w:val="center"/>
        <w:rPr>
          <w:rFonts w:ascii="Times New Roman" w:eastAsia="Times New Roman" w:hAnsi="Times New Roman" w:cs="Times New Roman"/>
          <w:color w:val="5B9BD5"/>
          <w:sz w:val="22"/>
          <w:lang w:val="en-US"/>
        </w:rPr>
      </w:pPr>
      <w:r>
        <w:rPr>
          <w:rFonts w:ascii="Times New Roman" w:eastAsia="Times New Roman" w:hAnsi="Times New Roman" w:cs="Times New Roman"/>
          <w:color w:val="5B9BD5"/>
          <w:sz w:val="22"/>
          <w:lang w:val="en-US"/>
        </w:rPr>
        <w:t xml:space="preserve">Student name: </w:t>
      </w:r>
      <w:proofErr w:type="spellStart"/>
      <w:r>
        <w:rPr>
          <w:rFonts w:ascii="Times New Roman" w:eastAsia="Times New Roman" w:hAnsi="Times New Roman" w:cs="Times New Roman"/>
          <w:color w:val="5B9BD5"/>
          <w:sz w:val="22"/>
          <w:lang w:val="en-US"/>
        </w:rPr>
        <w:t>Oana</w:t>
      </w:r>
      <w:proofErr w:type="spellEnd"/>
      <w:r>
        <w:rPr>
          <w:rFonts w:ascii="Times New Roman" w:eastAsia="Times New Roman" w:hAnsi="Times New Roman" w:cs="Times New Roman"/>
          <w:color w:val="5B9BD5"/>
          <w:sz w:val="22"/>
          <w:lang w:val="en-US"/>
        </w:rPr>
        <w:t xml:space="preserve"> </w:t>
      </w:r>
      <w:proofErr w:type="spellStart"/>
      <w:r>
        <w:rPr>
          <w:rFonts w:ascii="Times New Roman" w:eastAsia="Times New Roman" w:hAnsi="Times New Roman" w:cs="Times New Roman"/>
          <w:color w:val="5B9BD5"/>
          <w:sz w:val="22"/>
          <w:lang w:val="en-US"/>
        </w:rPr>
        <w:t>Andricencu</w:t>
      </w:r>
      <w:proofErr w:type="spellEnd"/>
    </w:p>
    <w:p w:rsidR="00920F6F" w:rsidRDefault="00F85EDB" w:rsidP="00AA3E8D">
      <w:pPr>
        <w:spacing w:before="480" w:after="0"/>
        <w:jc w:val="center"/>
        <w:rPr>
          <w:rFonts w:ascii="Times New Roman" w:eastAsia="Times New Roman" w:hAnsi="Times New Roman" w:cs="Times New Roman"/>
          <w:color w:val="5B9BD5"/>
          <w:sz w:val="22"/>
          <w:lang w:val="en-US"/>
        </w:rPr>
      </w:pPr>
      <w:r>
        <w:rPr>
          <w:rFonts w:ascii="Times New Roman" w:eastAsia="Times New Roman" w:hAnsi="Times New Roman" w:cs="Times New Roman"/>
          <w:color w:val="5B9BD5"/>
          <w:sz w:val="22"/>
          <w:lang w:val="en-US"/>
        </w:rPr>
        <w:t xml:space="preserve">Student s NO: </w:t>
      </w:r>
      <w:hyperlink r:id="rId9" w:history="1">
        <w:r w:rsidR="00920F6F" w:rsidRPr="00F604DF">
          <w:rPr>
            <w:rStyle w:val="Hyperlink"/>
            <w:rFonts w:ascii="Times New Roman" w:eastAsia="Times New Roman" w:hAnsi="Times New Roman" w:cs="Times New Roman"/>
            <w:sz w:val="22"/>
            <w:lang w:val="en-US"/>
          </w:rPr>
          <w:t>2025565@student.uwtsd.ac.uk</w:t>
        </w:r>
      </w:hyperlink>
    </w:p>
    <w:p w:rsidR="00920F6F" w:rsidRDefault="00920F6F" w:rsidP="00AA3E8D">
      <w:pPr>
        <w:spacing w:before="480" w:after="0"/>
        <w:jc w:val="center"/>
        <w:rPr>
          <w:rFonts w:ascii="Times New Roman" w:eastAsia="Times New Roman" w:hAnsi="Times New Roman" w:cs="Times New Roman"/>
          <w:color w:val="5B9BD5"/>
          <w:sz w:val="22"/>
          <w:lang w:val="en-US"/>
        </w:rPr>
      </w:pPr>
      <w:r>
        <w:rPr>
          <w:rFonts w:ascii="Times New Roman" w:eastAsia="Times New Roman" w:hAnsi="Times New Roman" w:cs="Times New Roman"/>
          <w:color w:val="5B9BD5"/>
          <w:sz w:val="22"/>
          <w:lang w:val="en-US"/>
        </w:rPr>
        <w:t>Module Code: BMIH5001</w:t>
      </w:r>
    </w:p>
    <w:p w:rsidR="00AA3E8D" w:rsidRPr="00AA3E8D" w:rsidRDefault="00AD0BC6" w:rsidP="00AA3E8D">
      <w:pPr>
        <w:spacing w:before="480" w:after="0"/>
        <w:jc w:val="center"/>
        <w:rPr>
          <w:rFonts w:ascii="Times New Roman" w:eastAsia="Times New Roman" w:hAnsi="Times New Roman" w:cs="Times New Roman"/>
          <w:color w:val="5B9BD5"/>
          <w:sz w:val="22"/>
          <w:lang w:val="en-US"/>
        </w:rPr>
      </w:pPr>
      <w:r>
        <w:rPr>
          <w:rFonts w:ascii="Times New Roman" w:eastAsia="Times New Roman" w:hAnsi="Times New Roman" w:cs="Times New Roman"/>
          <w:color w:val="5B9BD5"/>
          <w:sz w:val="22"/>
          <w:lang w:val="en-US"/>
        </w:rPr>
        <w:t>Lecture</w:t>
      </w:r>
      <w:r w:rsidR="00681F8C">
        <w:rPr>
          <w:rFonts w:ascii="Times New Roman" w:eastAsia="Times New Roman" w:hAnsi="Times New Roman" w:cs="Times New Roman"/>
          <w:color w:val="5B9BD5"/>
          <w:sz w:val="22"/>
          <w:lang w:val="en-US"/>
        </w:rPr>
        <w:t>rs</w:t>
      </w:r>
      <w:r>
        <w:rPr>
          <w:rFonts w:ascii="Times New Roman" w:eastAsia="Times New Roman" w:hAnsi="Times New Roman" w:cs="Times New Roman"/>
          <w:color w:val="5B9BD5"/>
          <w:sz w:val="22"/>
          <w:lang w:val="en-US"/>
        </w:rPr>
        <w:t xml:space="preserve"> Name: Christopher Wilkin</w:t>
      </w:r>
    </w:p>
    <w:p w:rsidR="00AA3E8D" w:rsidRDefault="00AA3E8D" w:rsidP="00AA3E8D">
      <w:pPr>
        <w:pStyle w:val="Titlu1"/>
        <w:rPr>
          <w:rFonts w:eastAsia="Times New Roman"/>
        </w:rPr>
      </w:pPr>
      <w:r w:rsidRPr="00AA3E8D">
        <w:rPr>
          <w:rFonts w:eastAsia="Times New Roman"/>
        </w:rPr>
        <w:br w:type="page"/>
      </w:r>
      <w:bookmarkStart w:id="0" w:name="_Toc120286201"/>
      <w:bookmarkStart w:id="1" w:name="_Toc120971362"/>
      <w:r w:rsidRPr="00AA3E8D">
        <w:rPr>
          <w:rFonts w:eastAsia="Times New Roman"/>
        </w:rPr>
        <w:lastRenderedPageBreak/>
        <w:t>Executive Summary</w:t>
      </w:r>
      <w:bookmarkEnd w:id="0"/>
      <w:bookmarkEnd w:id="1"/>
    </w:p>
    <w:p w:rsidR="00AA3E8D" w:rsidRDefault="001805AF" w:rsidP="00361DA0">
      <w:pPr>
        <w:jc w:val="both"/>
      </w:pPr>
      <w:r w:rsidRPr="001805AF">
        <w:t>This report's purpose is to analyse the financial statements and reports of Marriott International, one of the most renowned hospitality organisations operating globally. It aims to reflect how strong financial management can be accomplished within the hospitality industry. Discussions related to the financial performance of Marriott International for the years 2020 and 2021 have been made, which indicates the requirement of the organisation to enhance its gearing and profitability. Apart from this, the benefits and limitations related to ratio analysis could be derived while the importance that ratio analysis has in business decision-mak</w:t>
      </w:r>
      <w:r>
        <w:t>ing could be analysed in detail</w:t>
      </w:r>
      <w:r w:rsidR="00361DA0">
        <w:t>.</w:t>
      </w:r>
      <w:r w:rsidR="00AA3E8D">
        <w:br w:type="page"/>
      </w:r>
    </w:p>
    <w:p w:rsidR="000F5F0D" w:rsidRPr="00C510B6" w:rsidRDefault="000F5F0D" w:rsidP="00C510B6">
      <w:pPr>
        <w:pStyle w:val="Tabeldefiguri"/>
        <w:tabs>
          <w:tab w:val="right" w:leader="dot" w:pos="9016"/>
        </w:tabs>
        <w:jc w:val="center"/>
        <w:rPr>
          <w:rFonts w:cstheme="majorBidi"/>
          <w:color w:val="0070C0"/>
          <w:sz w:val="32"/>
          <w:szCs w:val="32"/>
        </w:rPr>
      </w:pPr>
      <w:r w:rsidRPr="00C510B6">
        <w:rPr>
          <w:rFonts w:cstheme="majorBidi"/>
          <w:color w:val="0070C0"/>
          <w:sz w:val="32"/>
          <w:szCs w:val="32"/>
        </w:rPr>
        <w:lastRenderedPageBreak/>
        <w:t>Table of Contents</w:t>
      </w:r>
    </w:p>
    <w:p w:rsidR="000F5F0D" w:rsidRPr="00C510B6" w:rsidRDefault="007B0B26" w:rsidP="00C510B6">
      <w:pPr>
        <w:pStyle w:val="Tabeldefiguri"/>
        <w:tabs>
          <w:tab w:val="right" w:leader="dot" w:pos="9016"/>
        </w:tabs>
        <w:rPr>
          <w:rFonts w:cstheme="majorBidi"/>
          <w:noProof/>
        </w:rPr>
      </w:pPr>
      <w:r w:rsidRPr="00C510B6">
        <w:rPr>
          <w:rFonts w:cstheme="majorBidi"/>
        </w:rPr>
        <w:fldChar w:fldCharType="begin"/>
      </w:r>
      <w:r w:rsidR="000F5F0D" w:rsidRPr="00C510B6">
        <w:rPr>
          <w:rFonts w:cstheme="majorBidi"/>
        </w:rPr>
        <w:instrText xml:space="preserve"> TOC \h \z \t "Heading 1" \c </w:instrText>
      </w:r>
      <w:r w:rsidRPr="00C510B6">
        <w:rPr>
          <w:rFonts w:cstheme="majorBidi"/>
        </w:rPr>
        <w:fldChar w:fldCharType="separate"/>
      </w:r>
      <w:hyperlink w:anchor="_Toc120971362" w:history="1">
        <w:r w:rsidR="000F5F0D" w:rsidRPr="00C510B6">
          <w:rPr>
            <w:rStyle w:val="Hyperlink"/>
            <w:rFonts w:eastAsia="Times New Roman" w:cstheme="majorBidi"/>
            <w:noProof/>
          </w:rPr>
          <w:t>Executive Summary</w:t>
        </w:r>
        <w:r w:rsidR="000F5F0D" w:rsidRPr="00C510B6">
          <w:rPr>
            <w:rFonts w:cstheme="majorBidi"/>
            <w:noProof/>
            <w:webHidden/>
          </w:rPr>
          <w:tab/>
        </w:r>
        <w:r w:rsidRPr="00C510B6">
          <w:rPr>
            <w:rFonts w:cstheme="majorBidi"/>
            <w:noProof/>
            <w:webHidden/>
          </w:rPr>
          <w:fldChar w:fldCharType="begin"/>
        </w:r>
        <w:r w:rsidR="000F5F0D" w:rsidRPr="00C510B6">
          <w:rPr>
            <w:rFonts w:cstheme="majorBidi"/>
            <w:noProof/>
            <w:webHidden/>
          </w:rPr>
          <w:instrText xml:space="preserve"> PAGEREF _Toc120971362 \h </w:instrText>
        </w:r>
        <w:r w:rsidRPr="00C510B6">
          <w:rPr>
            <w:rFonts w:cstheme="majorBidi"/>
            <w:noProof/>
            <w:webHidden/>
          </w:rPr>
        </w:r>
        <w:r w:rsidRPr="00C510B6">
          <w:rPr>
            <w:rFonts w:cstheme="majorBidi"/>
            <w:noProof/>
            <w:webHidden/>
          </w:rPr>
          <w:fldChar w:fldCharType="separate"/>
        </w:r>
        <w:r w:rsidR="000F5F0D" w:rsidRPr="00C510B6">
          <w:rPr>
            <w:rFonts w:cstheme="majorBidi"/>
            <w:noProof/>
            <w:webHidden/>
          </w:rPr>
          <w:t>2</w:t>
        </w:r>
        <w:r w:rsidRPr="00C510B6">
          <w:rPr>
            <w:rFonts w:cstheme="majorBidi"/>
            <w:noProof/>
            <w:webHidden/>
          </w:rPr>
          <w:fldChar w:fldCharType="end"/>
        </w:r>
      </w:hyperlink>
    </w:p>
    <w:p w:rsidR="000F5F0D" w:rsidRPr="00C510B6" w:rsidRDefault="0046218E" w:rsidP="00C510B6">
      <w:pPr>
        <w:pStyle w:val="Tabeldefiguri"/>
        <w:tabs>
          <w:tab w:val="right" w:leader="dot" w:pos="9016"/>
        </w:tabs>
        <w:rPr>
          <w:rFonts w:cstheme="majorBidi"/>
          <w:noProof/>
        </w:rPr>
      </w:pPr>
      <w:hyperlink w:anchor="_Toc120971363" w:history="1">
        <w:r w:rsidR="000F5F0D" w:rsidRPr="00C510B6">
          <w:rPr>
            <w:rStyle w:val="Hyperlink"/>
            <w:rFonts w:cstheme="majorBidi"/>
            <w:noProof/>
          </w:rPr>
          <w:t>Introduction</w:t>
        </w:r>
        <w:r w:rsidR="000F5F0D" w:rsidRPr="00C510B6">
          <w:rPr>
            <w:rFonts w:cstheme="majorBidi"/>
            <w:noProof/>
            <w:webHidden/>
          </w:rPr>
          <w:tab/>
        </w:r>
        <w:r w:rsidR="007B0B26" w:rsidRPr="00C510B6">
          <w:rPr>
            <w:rFonts w:cstheme="majorBidi"/>
            <w:noProof/>
            <w:webHidden/>
          </w:rPr>
          <w:fldChar w:fldCharType="begin"/>
        </w:r>
        <w:r w:rsidR="000F5F0D" w:rsidRPr="00C510B6">
          <w:rPr>
            <w:rFonts w:cstheme="majorBidi"/>
            <w:noProof/>
            <w:webHidden/>
          </w:rPr>
          <w:instrText xml:space="preserve"> PAGEREF _Toc120971363 \h </w:instrText>
        </w:r>
        <w:r w:rsidR="007B0B26" w:rsidRPr="00C510B6">
          <w:rPr>
            <w:rFonts w:cstheme="majorBidi"/>
            <w:noProof/>
            <w:webHidden/>
          </w:rPr>
        </w:r>
        <w:r w:rsidR="007B0B26" w:rsidRPr="00C510B6">
          <w:rPr>
            <w:rFonts w:cstheme="majorBidi"/>
            <w:noProof/>
            <w:webHidden/>
          </w:rPr>
          <w:fldChar w:fldCharType="separate"/>
        </w:r>
        <w:r w:rsidR="000F5F0D" w:rsidRPr="00C510B6">
          <w:rPr>
            <w:rFonts w:cstheme="majorBidi"/>
            <w:noProof/>
            <w:webHidden/>
          </w:rPr>
          <w:t>4</w:t>
        </w:r>
        <w:r w:rsidR="007B0B26" w:rsidRPr="00C510B6">
          <w:rPr>
            <w:rFonts w:cstheme="majorBidi"/>
            <w:noProof/>
            <w:webHidden/>
          </w:rPr>
          <w:fldChar w:fldCharType="end"/>
        </w:r>
      </w:hyperlink>
    </w:p>
    <w:p w:rsidR="000F5F0D" w:rsidRPr="00C510B6" w:rsidRDefault="0046218E" w:rsidP="00C510B6">
      <w:pPr>
        <w:pStyle w:val="Tabeldefiguri"/>
        <w:tabs>
          <w:tab w:val="right" w:leader="dot" w:pos="9016"/>
        </w:tabs>
        <w:rPr>
          <w:rFonts w:cstheme="majorBidi"/>
          <w:noProof/>
        </w:rPr>
      </w:pPr>
      <w:hyperlink w:anchor="_Toc120971364" w:history="1">
        <w:r w:rsidR="000F5F0D" w:rsidRPr="00C510B6">
          <w:rPr>
            <w:rStyle w:val="Hyperlink"/>
            <w:rFonts w:cstheme="majorBidi"/>
            <w:noProof/>
          </w:rPr>
          <w:t>Financial Analysis Trends</w:t>
        </w:r>
        <w:r w:rsidR="000F5F0D" w:rsidRPr="00C510B6">
          <w:rPr>
            <w:rFonts w:cstheme="majorBidi"/>
            <w:noProof/>
            <w:webHidden/>
          </w:rPr>
          <w:tab/>
        </w:r>
        <w:r w:rsidR="007B0B26" w:rsidRPr="00C510B6">
          <w:rPr>
            <w:rFonts w:cstheme="majorBidi"/>
            <w:noProof/>
            <w:webHidden/>
          </w:rPr>
          <w:fldChar w:fldCharType="begin"/>
        </w:r>
        <w:r w:rsidR="000F5F0D" w:rsidRPr="00C510B6">
          <w:rPr>
            <w:rFonts w:cstheme="majorBidi"/>
            <w:noProof/>
            <w:webHidden/>
          </w:rPr>
          <w:instrText xml:space="preserve"> PAGEREF _Toc120971364 \h </w:instrText>
        </w:r>
        <w:r w:rsidR="007B0B26" w:rsidRPr="00C510B6">
          <w:rPr>
            <w:rFonts w:cstheme="majorBidi"/>
            <w:noProof/>
            <w:webHidden/>
          </w:rPr>
        </w:r>
        <w:r w:rsidR="007B0B26" w:rsidRPr="00C510B6">
          <w:rPr>
            <w:rFonts w:cstheme="majorBidi"/>
            <w:noProof/>
            <w:webHidden/>
          </w:rPr>
          <w:fldChar w:fldCharType="separate"/>
        </w:r>
        <w:r w:rsidR="000F5F0D" w:rsidRPr="00C510B6">
          <w:rPr>
            <w:rFonts w:cstheme="majorBidi"/>
            <w:noProof/>
            <w:webHidden/>
          </w:rPr>
          <w:t>5</w:t>
        </w:r>
        <w:r w:rsidR="007B0B26" w:rsidRPr="00C510B6">
          <w:rPr>
            <w:rFonts w:cstheme="majorBidi"/>
            <w:noProof/>
            <w:webHidden/>
          </w:rPr>
          <w:fldChar w:fldCharType="end"/>
        </w:r>
      </w:hyperlink>
    </w:p>
    <w:p w:rsidR="000F5F0D" w:rsidRPr="00C510B6" w:rsidRDefault="0046218E" w:rsidP="00C510B6">
      <w:pPr>
        <w:pStyle w:val="Tabeldefiguri"/>
        <w:tabs>
          <w:tab w:val="right" w:leader="dot" w:pos="9016"/>
        </w:tabs>
        <w:rPr>
          <w:rFonts w:cstheme="majorBidi"/>
          <w:noProof/>
        </w:rPr>
      </w:pPr>
      <w:hyperlink w:anchor="_Toc120971365" w:history="1">
        <w:r w:rsidR="000F5F0D" w:rsidRPr="00C510B6">
          <w:rPr>
            <w:rStyle w:val="Hyperlink"/>
            <w:rFonts w:cstheme="majorBidi"/>
            <w:noProof/>
          </w:rPr>
          <w:t>Knowledge from Ratio Analysis</w:t>
        </w:r>
        <w:r w:rsidR="000F5F0D" w:rsidRPr="00C510B6">
          <w:rPr>
            <w:rFonts w:cstheme="majorBidi"/>
            <w:noProof/>
            <w:webHidden/>
          </w:rPr>
          <w:tab/>
        </w:r>
        <w:r w:rsidR="007B0B26" w:rsidRPr="00C510B6">
          <w:rPr>
            <w:rFonts w:cstheme="majorBidi"/>
            <w:noProof/>
            <w:webHidden/>
          </w:rPr>
          <w:fldChar w:fldCharType="begin"/>
        </w:r>
        <w:r w:rsidR="000F5F0D" w:rsidRPr="00C510B6">
          <w:rPr>
            <w:rFonts w:cstheme="majorBidi"/>
            <w:noProof/>
            <w:webHidden/>
          </w:rPr>
          <w:instrText xml:space="preserve"> PAGEREF _Toc120971365 \h </w:instrText>
        </w:r>
        <w:r w:rsidR="007B0B26" w:rsidRPr="00C510B6">
          <w:rPr>
            <w:rFonts w:cstheme="majorBidi"/>
            <w:noProof/>
            <w:webHidden/>
          </w:rPr>
        </w:r>
        <w:r w:rsidR="007B0B26" w:rsidRPr="00C510B6">
          <w:rPr>
            <w:rFonts w:cstheme="majorBidi"/>
            <w:noProof/>
            <w:webHidden/>
          </w:rPr>
          <w:fldChar w:fldCharType="separate"/>
        </w:r>
        <w:r w:rsidR="000F5F0D" w:rsidRPr="00C510B6">
          <w:rPr>
            <w:rFonts w:cstheme="majorBidi"/>
            <w:noProof/>
            <w:webHidden/>
          </w:rPr>
          <w:t>10</w:t>
        </w:r>
        <w:r w:rsidR="007B0B26" w:rsidRPr="00C510B6">
          <w:rPr>
            <w:rFonts w:cstheme="majorBidi"/>
            <w:noProof/>
            <w:webHidden/>
          </w:rPr>
          <w:fldChar w:fldCharType="end"/>
        </w:r>
      </w:hyperlink>
    </w:p>
    <w:p w:rsidR="000F5F0D" w:rsidRPr="00C510B6" w:rsidRDefault="0046218E" w:rsidP="00C510B6">
      <w:pPr>
        <w:pStyle w:val="Tabeldefiguri"/>
        <w:tabs>
          <w:tab w:val="right" w:leader="dot" w:pos="9016"/>
        </w:tabs>
        <w:rPr>
          <w:rFonts w:cstheme="majorBidi"/>
          <w:noProof/>
        </w:rPr>
      </w:pPr>
      <w:hyperlink w:anchor="_Toc120971366" w:history="1">
        <w:r w:rsidR="000F5F0D" w:rsidRPr="00C510B6">
          <w:rPr>
            <w:rStyle w:val="Hyperlink"/>
            <w:rFonts w:cstheme="majorBidi"/>
            <w:noProof/>
          </w:rPr>
          <w:t>Benefits and Limitations of Ratio Analysis</w:t>
        </w:r>
        <w:r w:rsidR="000F5F0D" w:rsidRPr="00C510B6">
          <w:rPr>
            <w:rFonts w:cstheme="majorBidi"/>
            <w:noProof/>
            <w:webHidden/>
          </w:rPr>
          <w:tab/>
        </w:r>
        <w:r w:rsidR="007B0B26" w:rsidRPr="00C510B6">
          <w:rPr>
            <w:rFonts w:cstheme="majorBidi"/>
            <w:noProof/>
            <w:webHidden/>
          </w:rPr>
          <w:fldChar w:fldCharType="begin"/>
        </w:r>
        <w:r w:rsidR="000F5F0D" w:rsidRPr="00C510B6">
          <w:rPr>
            <w:rFonts w:cstheme="majorBidi"/>
            <w:noProof/>
            <w:webHidden/>
          </w:rPr>
          <w:instrText xml:space="preserve"> PAGEREF _Toc120971366 \h </w:instrText>
        </w:r>
        <w:r w:rsidR="007B0B26" w:rsidRPr="00C510B6">
          <w:rPr>
            <w:rFonts w:cstheme="majorBidi"/>
            <w:noProof/>
            <w:webHidden/>
          </w:rPr>
        </w:r>
        <w:r w:rsidR="007B0B26" w:rsidRPr="00C510B6">
          <w:rPr>
            <w:rFonts w:cstheme="majorBidi"/>
            <w:noProof/>
            <w:webHidden/>
          </w:rPr>
          <w:fldChar w:fldCharType="separate"/>
        </w:r>
        <w:r w:rsidR="000F5F0D" w:rsidRPr="00C510B6">
          <w:rPr>
            <w:rFonts w:cstheme="majorBidi"/>
            <w:noProof/>
            <w:webHidden/>
          </w:rPr>
          <w:t>12</w:t>
        </w:r>
        <w:r w:rsidR="007B0B26" w:rsidRPr="00C510B6">
          <w:rPr>
            <w:rFonts w:cstheme="majorBidi"/>
            <w:noProof/>
            <w:webHidden/>
          </w:rPr>
          <w:fldChar w:fldCharType="end"/>
        </w:r>
      </w:hyperlink>
    </w:p>
    <w:p w:rsidR="000F5F0D" w:rsidRPr="00C510B6" w:rsidRDefault="0046218E" w:rsidP="00C510B6">
      <w:pPr>
        <w:pStyle w:val="Tabeldefiguri"/>
        <w:tabs>
          <w:tab w:val="right" w:leader="dot" w:pos="9016"/>
        </w:tabs>
        <w:rPr>
          <w:rFonts w:cstheme="majorBidi"/>
          <w:noProof/>
        </w:rPr>
      </w:pPr>
      <w:hyperlink w:anchor="_Toc120971367" w:history="1">
        <w:r w:rsidR="000F5F0D" w:rsidRPr="00C510B6">
          <w:rPr>
            <w:rStyle w:val="Hyperlink"/>
            <w:rFonts w:cstheme="majorBidi"/>
            <w:noProof/>
          </w:rPr>
          <w:t>Conclusion</w:t>
        </w:r>
        <w:r w:rsidR="000F5F0D" w:rsidRPr="00C510B6">
          <w:rPr>
            <w:rFonts w:cstheme="majorBidi"/>
            <w:noProof/>
            <w:webHidden/>
          </w:rPr>
          <w:tab/>
        </w:r>
        <w:r w:rsidR="007B0B26" w:rsidRPr="00C510B6">
          <w:rPr>
            <w:rFonts w:cstheme="majorBidi"/>
            <w:noProof/>
            <w:webHidden/>
          </w:rPr>
          <w:fldChar w:fldCharType="begin"/>
        </w:r>
        <w:r w:rsidR="000F5F0D" w:rsidRPr="00C510B6">
          <w:rPr>
            <w:rFonts w:cstheme="majorBidi"/>
            <w:noProof/>
            <w:webHidden/>
          </w:rPr>
          <w:instrText xml:space="preserve"> PAGEREF _Toc120971367 \h </w:instrText>
        </w:r>
        <w:r w:rsidR="007B0B26" w:rsidRPr="00C510B6">
          <w:rPr>
            <w:rFonts w:cstheme="majorBidi"/>
            <w:noProof/>
            <w:webHidden/>
          </w:rPr>
        </w:r>
        <w:r w:rsidR="007B0B26" w:rsidRPr="00C510B6">
          <w:rPr>
            <w:rFonts w:cstheme="majorBidi"/>
            <w:noProof/>
            <w:webHidden/>
          </w:rPr>
          <w:fldChar w:fldCharType="separate"/>
        </w:r>
        <w:r w:rsidR="000F5F0D" w:rsidRPr="00C510B6">
          <w:rPr>
            <w:rFonts w:cstheme="majorBidi"/>
            <w:noProof/>
            <w:webHidden/>
          </w:rPr>
          <w:t>13</w:t>
        </w:r>
        <w:r w:rsidR="007B0B26" w:rsidRPr="00C510B6">
          <w:rPr>
            <w:rFonts w:cstheme="majorBidi"/>
            <w:noProof/>
            <w:webHidden/>
          </w:rPr>
          <w:fldChar w:fldCharType="end"/>
        </w:r>
      </w:hyperlink>
    </w:p>
    <w:p w:rsidR="000F5F0D" w:rsidRPr="00C510B6" w:rsidRDefault="0046218E" w:rsidP="00C510B6">
      <w:pPr>
        <w:pStyle w:val="Tabeldefiguri"/>
        <w:tabs>
          <w:tab w:val="right" w:leader="dot" w:pos="9016"/>
        </w:tabs>
        <w:rPr>
          <w:rFonts w:cstheme="majorBidi"/>
          <w:noProof/>
        </w:rPr>
      </w:pPr>
      <w:hyperlink w:anchor="_Toc120971368" w:history="1">
        <w:r w:rsidR="000F5F0D" w:rsidRPr="00C510B6">
          <w:rPr>
            <w:rStyle w:val="Hyperlink"/>
            <w:rFonts w:cstheme="majorBidi"/>
            <w:noProof/>
          </w:rPr>
          <w:t>Bibliography</w:t>
        </w:r>
        <w:r w:rsidR="000F5F0D" w:rsidRPr="00C510B6">
          <w:rPr>
            <w:rFonts w:cstheme="majorBidi"/>
            <w:noProof/>
            <w:webHidden/>
          </w:rPr>
          <w:tab/>
        </w:r>
        <w:r w:rsidR="007B0B26" w:rsidRPr="00C510B6">
          <w:rPr>
            <w:rFonts w:cstheme="majorBidi"/>
            <w:noProof/>
            <w:webHidden/>
          </w:rPr>
          <w:fldChar w:fldCharType="begin"/>
        </w:r>
        <w:r w:rsidR="000F5F0D" w:rsidRPr="00C510B6">
          <w:rPr>
            <w:rFonts w:cstheme="majorBidi"/>
            <w:noProof/>
            <w:webHidden/>
          </w:rPr>
          <w:instrText xml:space="preserve"> PAGEREF _Toc120971368 \h </w:instrText>
        </w:r>
        <w:r w:rsidR="007B0B26" w:rsidRPr="00C510B6">
          <w:rPr>
            <w:rFonts w:cstheme="majorBidi"/>
            <w:noProof/>
            <w:webHidden/>
          </w:rPr>
        </w:r>
        <w:r w:rsidR="007B0B26" w:rsidRPr="00C510B6">
          <w:rPr>
            <w:rFonts w:cstheme="majorBidi"/>
            <w:noProof/>
            <w:webHidden/>
          </w:rPr>
          <w:fldChar w:fldCharType="separate"/>
        </w:r>
        <w:r w:rsidR="000F5F0D" w:rsidRPr="00C510B6">
          <w:rPr>
            <w:rFonts w:cstheme="majorBidi"/>
            <w:noProof/>
            <w:webHidden/>
          </w:rPr>
          <w:t>14</w:t>
        </w:r>
        <w:r w:rsidR="007B0B26" w:rsidRPr="00C510B6">
          <w:rPr>
            <w:rFonts w:cstheme="majorBidi"/>
            <w:noProof/>
            <w:webHidden/>
          </w:rPr>
          <w:fldChar w:fldCharType="end"/>
        </w:r>
      </w:hyperlink>
    </w:p>
    <w:p w:rsidR="000F5F0D" w:rsidRPr="00C510B6" w:rsidRDefault="007B0B26" w:rsidP="00C510B6">
      <w:pPr>
        <w:rPr>
          <w:rFonts w:eastAsiaTheme="majorEastAsia" w:cstheme="majorBidi"/>
          <w:bCs/>
          <w:color w:val="0070C0"/>
          <w:sz w:val="32"/>
          <w:szCs w:val="28"/>
        </w:rPr>
      </w:pPr>
      <w:r w:rsidRPr="00C510B6">
        <w:rPr>
          <w:rFonts w:cstheme="majorBidi"/>
        </w:rPr>
        <w:fldChar w:fldCharType="end"/>
      </w:r>
      <w:r w:rsidR="000F5F0D" w:rsidRPr="00C510B6">
        <w:rPr>
          <w:rFonts w:cstheme="majorBidi"/>
        </w:rPr>
        <w:br w:type="page"/>
      </w:r>
    </w:p>
    <w:p w:rsidR="00AA3E8D" w:rsidRPr="00C510B6" w:rsidRDefault="00AA3E8D" w:rsidP="00C510B6">
      <w:pPr>
        <w:pStyle w:val="Titlu1"/>
      </w:pPr>
      <w:bookmarkStart w:id="2" w:name="_Toc120971363"/>
      <w:r w:rsidRPr="00C510B6">
        <w:lastRenderedPageBreak/>
        <w:t>Introduction</w:t>
      </w:r>
      <w:bookmarkEnd w:id="2"/>
    </w:p>
    <w:p w:rsidR="00AA3E8D" w:rsidRPr="00C510B6" w:rsidRDefault="00FB684D" w:rsidP="00C510B6">
      <w:pPr>
        <w:jc w:val="both"/>
        <w:rPr>
          <w:rFonts w:cstheme="majorBidi"/>
        </w:rPr>
      </w:pPr>
      <w:r w:rsidRPr="00FB684D">
        <w:rPr>
          <w:rFonts w:cstheme="majorBidi"/>
        </w:rPr>
        <w:t>Financial management is important for all businesses. The great significance of financial management can also be identified in the hotel industry. The purpose of this study is to analyse the financial statements of Marriott International, which is one of the most renowned hospitality organisations operating globally. Another purpose is to show a detailed understanding of ratios, their importance of ratios and their limitations of ratios. It also aims to evaluate why ratios and the fluctuations in ratios are important to be considered for hotel management. Marriott International is an American multinational company concerned with operating, licensing and franchising lodging including timeshare, hotel and residential properties founded in the year 1927. It has a powerful portfolio comprising 30 brands and above 8000 properties in more than 149 countries and territories (Marriott International, 2022). This study is going to evaluate the financial performance that this hospitality organisation has accomplished and consider the impo</w:t>
      </w:r>
      <w:r>
        <w:rPr>
          <w:rFonts w:cstheme="majorBidi"/>
        </w:rPr>
        <w:t>rtance of ratios in its context</w:t>
      </w:r>
      <w:r w:rsidR="00943149" w:rsidRPr="00C510B6">
        <w:rPr>
          <w:rFonts w:cstheme="majorBidi"/>
        </w:rPr>
        <w:t>.</w:t>
      </w:r>
      <w:r w:rsidR="00AA3E8D" w:rsidRPr="00C510B6">
        <w:rPr>
          <w:rFonts w:cstheme="majorBidi"/>
        </w:rPr>
        <w:br w:type="page"/>
      </w:r>
    </w:p>
    <w:p w:rsidR="00AA3E8D" w:rsidRPr="00C510B6" w:rsidRDefault="00AA3E8D" w:rsidP="00C510B6">
      <w:pPr>
        <w:pStyle w:val="Titlu1"/>
      </w:pPr>
      <w:bookmarkStart w:id="3" w:name="_Toc120286203"/>
      <w:bookmarkStart w:id="4" w:name="_Toc120971364"/>
      <w:r w:rsidRPr="00C510B6">
        <w:lastRenderedPageBreak/>
        <w:t>Financial Analysis Trends</w:t>
      </w:r>
      <w:bookmarkEnd w:id="3"/>
      <w:bookmarkEnd w:id="4"/>
    </w:p>
    <w:p w:rsidR="00AA3E8D" w:rsidRPr="00C510B6" w:rsidRDefault="00AA3E8D" w:rsidP="00C510B6">
      <w:pPr>
        <w:pStyle w:val="Titlu2"/>
        <w:rPr>
          <w:color w:val="0070C0"/>
        </w:rPr>
      </w:pPr>
      <w:bookmarkStart w:id="5" w:name="_Toc120286204"/>
      <w:r w:rsidRPr="00C510B6">
        <w:rPr>
          <w:color w:val="0070C0"/>
        </w:rPr>
        <w:t>Profitability</w:t>
      </w:r>
      <w:bookmarkEnd w:id="5"/>
    </w:p>
    <w:p w:rsidR="00157ED0" w:rsidRPr="00C510B6" w:rsidRDefault="009F0E39" w:rsidP="00C510B6">
      <w:pPr>
        <w:jc w:val="both"/>
        <w:rPr>
          <w:rFonts w:cstheme="majorBidi"/>
        </w:rPr>
      </w:pPr>
      <w:r w:rsidRPr="009F0E39">
        <w:rPr>
          <w:rFonts w:cstheme="majorBidi"/>
        </w:rPr>
        <w:t>According to Amanda (2019), profitability ratios are referred to as ratios, which indicate the ability of business organisations for earning profits in a period of accounting. Below is a detailed analysis of the profitability ratios of Marriott Intern</w:t>
      </w:r>
      <w:r>
        <w:rPr>
          <w:rFonts w:cstheme="majorBidi"/>
        </w:rPr>
        <w:t xml:space="preserve">ational for the past two years </w:t>
      </w:r>
      <w:r w:rsidR="00157ED0" w:rsidRPr="00C510B6">
        <w:rPr>
          <w:rFonts w:cstheme="majorBidi"/>
        </w:rPr>
        <w:t>–</w:t>
      </w:r>
    </w:p>
    <w:tbl>
      <w:tblPr>
        <w:tblStyle w:val="Tabelgril"/>
        <w:tblW w:w="5000" w:type="pct"/>
        <w:tblLook w:val="04A0" w:firstRow="1" w:lastRow="0" w:firstColumn="1" w:lastColumn="0" w:noHBand="0" w:noVBand="1"/>
      </w:tblPr>
      <w:tblGrid>
        <w:gridCol w:w="5474"/>
        <w:gridCol w:w="1771"/>
        <w:gridCol w:w="1771"/>
      </w:tblGrid>
      <w:tr w:rsidR="000151B6" w:rsidRPr="00C510B6" w:rsidTr="000151B6">
        <w:trPr>
          <w:trHeight w:val="199"/>
        </w:trPr>
        <w:tc>
          <w:tcPr>
            <w:tcW w:w="3036" w:type="pct"/>
            <w:noWrap/>
            <w:hideMark/>
          </w:tcPr>
          <w:p w:rsidR="000151B6" w:rsidRPr="00C510B6" w:rsidRDefault="000151B6" w:rsidP="00C510B6">
            <w:pPr>
              <w:jc w:val="both"/>
              <w:rPr>
                <w:rFonts w:cstheme="majorBidi"/>
                <w:szCs w:val="24"/>
              </w:rPr>
            </w:pPr>
            <w:r w:rsidRPr="00C510B6">
              <w:rPr>
                <w:rFonts w:cstheme="majorBidi"/>
                <w:b/>
                <w:bCs/>
                <w:szCs w:val="24"/>
              </w:rPr>
              <w:t>Profitability Ratios</w:t>
            </w:r>
          </w:p>
        </w:tc>
        <w:tc>
          <w:tcPr>
            <w:tcW w:w="982" w:type="pct"/>
            <w:noWrap/>
            <w:hideMark/>
          </w:tcPr>
          <w:p w:rsidR="000151B6" w:rsidRPr="00C510B6" w:rsidRDefault="000151B6" w:rsidP="00C510B6">
            <w:pPr>
              <w:jc w:val="center"/>
              <w:rPr>
                <w:rFonts w:cstheme="majorBidi"/>
                <w:b/>
                <w:bCs/>
                <w:szCs w:val="24"/>
              </w:rPr>
            </w:pPr>
            <w:r w:rsidRPr="00C510B6">
              <w:rPr>
                <w:rFonts w:cstheme="majorBidi"/>
                <w:b/>
                <w:bCs/>
                <w:szCs w:val="24"/>
              </w:rPr>
              <w:t>2021</w:t>
            </w:r>
          </w:p>
        </w:tc>
        <w:tc>
          <w:tcPr>
            <w:tcW w:w="982" w:type="pct"/>
            <w:noWrap/>
            <w:hideMark/>
          </w:tcPr>
          <w:p w:rsidR="000151B6" w:rsidRPr="00C510B6" w:rsidRDefault="000151B6" w:rsidP="00C510B6">
            <w:pPr>
              <w:jc w:val="center"/>
              <w:rPr>
                <w:rFonts w:cstheme="majorBidi"/>
                <w:b/>
                <w:bCs/>
                <w:szCs w:val="24"/>
              </w:rPr>
            </w:pPr>
            <w:r w:rsidRPr="00C510B6">
              <w:rPr>
                <w:rFonts w:cstheme="majorBidi"/>
                <w:b/>
                <w:bCs/>
                <w:szCs w:val="24"/>
              </w:rPr>
              <w:t>2020</w:t>
            </w:r>
          </w:p>
        </w:tc>
      </w:tr>
      <w:tr w:rsidR="000151B6" w:rsidRPr="00C510B6" w:rsidTr="00DF7DCF">
        <w:trPr>
          <w:trHeight w:val="300"/>
        </w:trPr>
        <w:tc>
          <w:tcPr>
            <w:tcW w:w="3036" w:type="pct"/>
            <w:noWrap/>
            <w:hideMark/>
          </w:tcPr>
          <w:p w:rsidR="000151B6" w:rsidRPr="00C510B6" w:rsidRDefault="000151B6" w:rsidP="00C510B6">
            <w:pPr>
              <w:pStyle w:val="Listparagraf"/>
              <w:numPr>
                <w:ilvl w:val="0"/>
                <w:numId w:val="2"/>
              </w:numPr>
              <w:jc w:val="both"/>
              <w:rPr>
                <w:rFonts w:cstheme="majorBidi"/>
                <w:szCs w:val="24"/>
              </w:rPr>
            </w:pPr>
            <w:r w:rsidRPr="00C510B6">
              <w:rPr>
                <w:rFonts w:cstheme="majorBidi"/>
                <w:szCs w:val="24"/>
              </w:rPr>
              <w:t>Gross margin</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20.2136</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13.8019</w:t>
            </w:r>
          </w:p>
        </w:tc>
      </w:tr>
      <w:tr w:rsidR="000151B6" w:rsidRPr="00C510B6" w:rsidTr="00DF7DCF">
        <w:trPr>
          <w:trHeight w:val="300"/>
        </w:trPr>
        <w:tc>
          <w:tcPr>
            <w:tcW w:w="3036" w:type="pct"/>
            <w:noWrap/>
            <w:hideMark/>
          </w:tcPr>
          <w:p w:rsidR="000151B6" w:rsidRPr="00C510B6" w:rsidRDefault="000151B6" w:rsidP="00C510B6">
            <w:pPr>
              <w:pStyle w:val="Listparagraf"/>
              <w:numPr>
                <w:ilvl w:val="0"/>
                <w:numId w:val="2"/>
              </w:numPr>
              <w:jc w:val="both"/>
              <w:rPr>
                <w:rFonts w:cstheme="majorBidi"/>
                <w:szCs w:val="24"/>
              </w:rPr>
            </w:pPr>
            <w:r w:rsidRPr="00C510B6">
              <w:rPr>
                <w:rFonts w:cstheme="majorBidi"/>
                <w:szCs w:val="24"/>
              </w:rPr>
              <w:t>Operating margin</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12.629</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0.7946</w:t>
            </w:r>
          </w:p>
        </w:tc>
      </w:tr>
      <w:tr w:rsidR="000151B6" w:rsidRPr="00C510B6" w:rsidTr="00DF7DCF">
        <w:trPr>
          <w:trHeight w:val="300"/>
        </w:trPr>
        <w:tc>
          <w:tcPr>
            <w:tcW w:w="3036" w:type="pct"/>
            <w:noWrap/>
            <w:hideMark/>
          </w:tcPr>
          <w:p w:rsidR="000151B6" w:rsidRPr="00C510B6" w:rsidRDefault="000151B6" w:rsidP="00C510B6">
            <w:pPr>
              <w:pStyle w:val="Listparagraf"/>
              <w:numPr>
                <w:ilvl w:val="0"/>
                <w:numId w:val="2"/>
              </w:numPr>
              <w:jc w:val="both"/>
              <w:rPr>
                <w:rFonts w:cstheme="majorBidi"/>
                <w:szCs w:val="24"/>
              </w:rPr>
            </w:pPr>
            <w:r w:rsidRPr="00C510B6">
              <w:rPr>
                <w:rFonts w:cstheme="majorBidi"/>
                <w:szCs w:val="24"/>
              </w:rPr>
              <w:t>Net profit margin</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7.931</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- 2.5258</w:t>
            </w:r>
          </w:p>
        </w:tc>
      </w:tr>
    </w:tbl>
    <w:p w:rsidR="00AA3E8D" w:rsidRPr="00C510B6" w:rsidRDefault="00AA3E8D" w:rsidP="00C510B6">
      <w:pPr>
        <w:jc w:val="both"/>
        <w:rPr>
          <w:rFonts w:cstheme="majorBidi"/>
        </w:rPr>
      </w:pPr>
    </w:p>
    <w:p w:rsidR="00AA3E8D" w:rsidRPr="00C510B6" w:rsidRDefault="000151B6" w:rsidP="00C510B6">
      <w:pPr>
        <w:jc w:val="center"/>
        <w:rPr>
          <w:rFonts w:cstheme="majorBidi"/>
        </w:rPr>
      </w:pPr>
      <w:r w:rsidRPr="00C510B6">
        <w:rPr>
          <w:rFonts w:cstheme="majorBidi"/>
          <w:noProof/>
          <w:lang w:val="en-US"/>
        </w:rPr>
        <w:drawing>
          <wp:inline distT="0" distB="0" distL="0" distR="0">
            <wp:extent cx="4572000" cy="2743200"/>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151B6" w:rsidRPr="00C510B6" w:rsidRDefault="00A34110" w:rsidP="00C510B6">
      <w:pPr>
        <w:pStyle w:val="Legend"/>
        <w:jc w:val="center"/>
        <w:rPr>
          <w:rFonts w:cstheme="majorBidi"/>
        </w:rPr>
      </w:pPr>
      <w:r w:rsidRPr="00C510B6">
        <w:rPr>
          <w:rFonts w:cstheme="majorBidi"/>
        </w:rPr>
        <w:t xml:space="preserve">Figure </w:t>
      </w:r>
      <w:r w:rsidR="007B0B26" w:rsidRPr="00C510B6">
        <w:rPr>
          <w:rFonts w:cstheme="majorBidi"/>
        </w:rPr>
        <w:fldChar w:fldCharType="begin"/>
      </w:r>
      <w:r w:rsidRPr="00C510B6">
        <w:rPr>
          <w:rFonts w:cstheme="majorBidi"/>
        </w:rPr>
        <w:instrText xml:space="preserve"> SEQ Figure \* ARABIC </w:instrText>
      </w:r>
      <w:r w:rsidR="007B0B26" w:rsidRPr="00C510B6">
        <w:rPr>
          <w:rFonts w:cstheme="majorBidi"/>
        </w:rPr>
        <w:fldChar w:fldCharType="separate"/>
      </w:r>
      <w:r w:rsidR="00BA43AD" w:rsidRPr="00C510B6">
        <w:rPr>
          <w:rFonts w:cstheme="majorBidi"/>
          <w:noProof/>
        </w:rPr>
        <w:t>1</w:t>
      </w:r>
      <w:r w:rsidR="007B0B26" w:rsidRPr="00C510B6">
        <w:rPr>
          <w:rFonts w:cstheme="majorBidi"/>
        </w:rPr>
        <w:fldChar w:fldCharType="end"/>
      </w:r>
      <w:r w:rsidRPr="00C510B6">
        <w:rPr>
          <w:rFonts w:cstheme="majorBidi"/>
        </w:rPr>
        <w:t>: Trends in gross, operating and net profit margins</w:t>
      </w:r>
    </w:p>
    <w:p w:rsidR="00837898" w:rsidRPr="00C510B6" w:rsidRDefault="0059424C" w:rsidP="00C510B6">
      <w:pPr>
        <w:jc w:val="both"/>
        <w:rPr>
          <w:rFonts w:cstheme="majorBidi"/>
        </w:rPr>
      </w:pPr>
      <w:r w:rsidRPr="00C510B6">
        <w:rPr>
          <w:rFonts w:cstheme="majorBidi"/>
        </w:rPr>
        <w:t xml:space="preserve">The three profitability ratios considered above for Marriott International indicate that </w:t>
      </w:r>
      <w:r w:rsidR="0098564B" w:rsidRPr="00C510B6">
        <w:rPr>
          <w:rFonts w:cstheme="majorBidi"/>
        </w:rPr>
        <w:t xml:space="preserve">the gross profit, operating profit and net profit margins of the company have increased between 2020 and 2021 considerably. </w:t>
      </w:r>
      <w:r w:rsidRPr="00C510B6">
        <w:rPr>
          <w:rFonts w:cstheme="majorBidi"/>
        </w:rPr>
        <w:t xml:space="preserve"> </w:t>
      </w:r>
      <w:r w:rsidR="00397BDC" w:rsidRPr="00C510B6">
        <w:rPr>
          <w:rFonts w:cstheme="majorBidi"/>
        </w:rPr>
        <w:t xml:space="preserve">All the three ratios indicate extremely poor profits earned in the organisation in the year 2020. As the net profit margin showed a negative figure in 2020, it indicates a net loss earned in the organisation in this year. </w:t>
      </w:r>
      <w:r w:rsidR="001279A8" w:rsidRPr="00C510B6">
        <w:rPr>
          <w:rFonts w:cstheme="majorBidi"/>
        </w:rPr>
        <w:t>However, all these three ratios indicate an increasing trend between the years 2020 and 2021</w:t>
      </w:r>
      <w:r w:rsidR="002827A2" w:rsidRPr="00C510B6">
        <w:rPr>
          <w:rFonts w:cstheme="majorBidi"/>
        </w:rPr>
        <w:t xml:space="preserve">, which in turn reflect an adequacy in the profits that the hospitality organisation earns. </w:t>
      </w:r>
      <w:r w:rsidR="00837898" w:rsidRPr="00C510B6">
        <w:rPr>
          <w:rFonts w:cstheme="majorBidi"/>
        </w:rPr>
        <w:t>An increasing trend can also be seen in the other profitability ratios of this hospitality organisation, as discussed underneath –</w:t>
      </w:r>
    </w:p>
    <w:tbl>
      <w:tblPr>
        <w:tblStyle w:val="Tabelgril"/>
        <w:tblW w:w="5000" w:type="pct"/>
        <w:tblLook w:val="04A0" w:firstRow="1" w:lastRow="0" w:firstColumn="1" w:lastColumn="0" w:noHBand="0" w:noVBand="1"/>
      </w:tblPr>
      <w:tblGrid>
        <w:gridCol w:w="5474"/>
        <w:gridCol w:w="1771"/>
        <w:gridCol w:w="1771"/>
      </w:tblGrid>
      <w:tr w:rsidR="000151B6" w:rsidRPr="00C510B6" w:rsidTr="00DF7DCF">
        <w:trPr>
          <w:trHeight w:val="300"/>
        </w:trPr>
        <w:tc>
          <w:tcPr>
            <w:tcW w:w="3036" w:type="pct"/>
            <w:noWrap/>
            <w:hideMark/>
          </w:tcPr>
          <w:p w:rsidR="000151B6" w:rsidRPr="00C510B6" w:rsidRDefault="000151B6" w:rsidP="00C510B6">
            <w:pPr>
              <w:jc w:val="both"/>
              <w:rPr>
                <w:rFonts w:cstheme="majorBidi"/>
                <w:szCs w:val="24"/>
              </w:rPr>
            </w:pPr>
            <w:r w:rsidRPr="00C510B6">
              <w:rPr>
                <w:rFonts w:cstheme="majorBidi"/>
                <w:b/>
                <w:bCs/>
                <w:szCs w:val="24"/>
              </w:rPr>
              <w:t>Profitability Ratios</w:t>
            </w:r>
          </w:p>
        </w:tc>
        <w:tc>
          <w:tcPr>
            <w:tcW w:w="982" w:type="pct"/>
            <w:noWrap/>
            <w:hideMark/>
          </w:tcPr>
          <w:p w:rsidR="000151B6" w:rsidRPr="00C510B6" w:rsidRDefault="000151B6" w:rsidP="00C510B6">
            <w:pPr>
              <w:jc w:val="center"/>
              <w:rPr>
                <w:rFonts w:cstheme="majorBidi"/>
                <w:b/>
                <w:bCs/>
                <w:szCs w:val="24"/>
              </w:rPr>
            </w:pPr>
            <w:r w:rsidRPr="00C510B6">
              <w:rPr>
                <w:rFonts w:cstheme="majorBidi"/>
                <w:b/>
                <w:bCs/>
                <w:szCs w:val="24"/>
              </w:rPr>
              <w:t>2021</w:t>
            </w:r>
          </w:p>
        </w:tc>
        <w:tc>
          <w:tcPr>
            <w:tcW w:w="982" w:type="pct"/>
            <w:noWrap/>
            <w:hideMark/>
          </w:tcPr>
          <w:p w:rsidR="000151B6" w:rsidRPr="00C510B6" w:rsidRDefault="000151B6" w:rsidP="00C510B6">
            <w:pPr>
              <w:jc w:val="center"/>
              <w:rPr>
                <w:rFonts w:cstheme="majorBidi"/>
                <w:b/>
                <w:bCs/>
                <w:szCs w:val="24"/>
              </w:rPr>
            </w:pPr>
            <w:r w:rsidRPr="00C510B6">
              <w:rPr>
                <w:rFonts w:cstheme="majorBidi"/>
                <w:b/>
                <w:bCs/>
                <w:szCs w:val="24"/>
              </w:rPr>
              <w:t>2020</w:t>
            </w:r>
          </w:p>
        </w:tc>
      </w:tr>
      <w:tr w:rsidR="000151B6" w:rsidRPr="00C510B6" w:rsidTr="00DF7DCF">
        <w:trPr>
          <w:trHeight w:val="300"/>
        </w:trPr>
        <w:tc>
          <w:tcPr>
            <w:tcW w:w="3036" w:type="pct"/>
            <w:noWrap/>
            <w:hideMark/>
          </w:tcPr>
          <w:p w:rsidR="000151B6" w:rsidRPr="00C510B6" w:rsidRDefault="000151B6" w:rsidP="00C510B6">
            <w:pPr>
              <w:pStyle w:val="Listparagraf"/>
              <w:numPr>
                <w:ilvl w:val="0"/>
                <w:numId w:val="2"/>
              </w:numPr>
              <w:jc w:val="both"/>
              <w:rPr>
                <w:rFonts w:cstheme="majorBidi"/>
                <w:szCs w:val="24"/>
              </w:rPr>
            </w:pPr>
            <w:r w:rsidRPr="00C510B6">
              <w:rPr>
                <w:rFonts w:cstheme="majorBidi"/>
                <w:szCs w:val="24"/>
              </w:rPr>
              <w:lastRenderedPageBreak/>
              <w:t>Return on assets (ROA)</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4.3009</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- 1.0809</w:t>
            </w:r>
          </w:p>
        </w:tc>
      </w:tr>
      <w:tr w:rsidR="000151B6" w:rsidRPr="00C510B6" w:rsidTr="00DF7DCF">
        <w:trPr>
          <w:trHeight w:val="300"/>
        </w:trPr>
        <w:tc>
          <w:tcPr>
            <w:tcW w:w="3036" w:type="pct"/>
            <w:noWrap/>
            <w:hideMark/>
          </w:tcPr>
          <w:p w:rsidR="000151B6" w:rsidRPr="00C510B6" w:rsidRDefault="000151B6" w:rsidP="00C510B6">
            <w:pPr>
              <w:pStyle w:val="Listparagraf"/>
              <w:numPr>
                <w:ilvl w:val="0"/>
                <w:numId w:val="2"/>
              </w:numPr>
              <w:jc w:val="both"/>
              <w:rPr>
                <w:rFonts w:cstheme="majorBidi"/>
                <w:szCs w:val="24"/>
              </w:rPr>
            </w:pPr>
            <w:r w:rsidRPr="00C510B6">
              <w:rPr>
                <w:rFonts w:cstheme="majorBidi"/>
                <w:szCs w:val="24"/>
              </w:rPr>
              <w:t>Return on equity (ROE)</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77.7228</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- 62.093</w:t>
            </w:r>
          </w:p>
        </w:tc>
      </w:tr>
      <w:tr w:rsidR="000151B6" w:rsidRPr="00C510B6" w:rsidTr="00DF7DCF">
        <w:trPr>
          <w:trHeight w:val="300"/>
        </w:trPr>
        <w:tc>
          <w:tcPr>
            <w:tcW w:w="3036" w:type="pct"/>
            <w:noWrap/>
            <w:hideMark/>
          </w:tcPr>
          <w:p w:rsidR="000151B6" w:rsidRPr="00C510B6" w:rsidRDefault="000151B6" w:rsidP="00C510B6">
            <w:pPr>
              <w:pStyle w:val="Listparagraf"/>
              <w:numPr>
                <w:ilvl w:val="0"/>
                <w:numId w:val="2"/>
              </w:numPr>
              <w:jc w:val="both"/>
              <w:rPr>
                <w:rFonts w:cstheme="majorBidi"/>
                <w:szCs w:val="24"/>
              </w:rPr>
            </w:pPr>
            <w:r w:rsidRPr="00C510B6">
              <w:rPr>
                <w:rFonts w:cstheme="majorBidi"/>
                <w:szCs w:val="24"/>
              </w:rPr>
              <w:t>Return on investment (ROI)</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10.2261</w:t>
            </w:r>
          </w:p>
        </w:tc>
        <w:tc>
          <w:tcPr>
            <w:tcW w:w="982" w:type="pct"/>
            <w:noWrap/>
            <w:hideMark/>
          </w:tcPr>
          <w:p w:rsidR="000151B6" w:rsidRPr="00C510B6" w:rsidRDefault="000151B6" w:rsidP="00C510B6">
            <w:pPr>
              <w:jc w:val="center"/>
              <w:rPr>
                <w:rFonts w:cstheme="majorBidi"/>
                <w:szCs w:val="24"/>
              </w:rPr>
            </w:pPr>
            <w:r w:rsidRPr="00C510B6">
              <w:rPr>
                <w:rFonts w:cstheme="majorBidi"/>
                <w:szCs w:val="24"/>
              </w:rPr>
              <w:t>- 2.7717</w:t>
            </w:r>
          </w:p>
        </w:tc>
      </w:tr>
    </w:tbl>
    <w:p w:rsidR="000151B6" w:rsidRPr="00C510B6" w:rsidRDefault="000151B6" w:rsidP="00C510B6">
      <w:pPr>
        <w:rPr>
          <w:rFonts w:cstheme="majorBidi"/>
        </w:rPr>
      </w:pPr>
    </w:p>
    <w:p w:rsidR="000151B6" w:rsidRPr="00C510B6" w:rsidRDefault="000151B6" w:rsidP="00C510B6">
      <w:pPr>
        <w:jc w:val="center"/>
        <w:rPr>
          <w:rFonts w:cstheme="majorBidi"/>
        </w:rPr>
      </w:pPr>
      <w:r w:rsidRPr="00C510B6">
        <w:rPr>
          <w:rFonts w:cstheme="majorBidi"/>
          <w:noProof/>
          <w:lang w:val="en-US"/>
        </w:rPr>
        <w:drawing>
          <wp:inline distT="0" distB="0" distL="0" distR="0">
            <wp:extent cx="4572000" cy="2743200"/>
            <wp:effectExtent l="19050" t="0" r="1905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A3E8D" w:rsidRPr="00C510B6" w:rsidRDefault="00A34110" w:rsidP="00C510B6">
      <w:pPr>
        <w:pStyle w:val="Legend"/>
        <w:jc w:val="center"/>
        <w:rPr>
          <w:rFonts w:cstheme="majorBidi"/>
        </w:rPr>
      </w:pPr>
      <w:r w:rsidRPr="00C510B6">
        <w:rPr>
          <w:rFonts w:cstheme="majorBidi"/>
        </w:rPr>
        <w:t xml:space="preserve">Figure </w:t>
      </w:r>
      <w:r w:rsidR="007B0B26" w:rsidRPr="00C510B6">
        <w:rPr>
          <w:rFonts w:cstheme="majorBidi"/>
        </w:rPr>
        <w:fldChar w:fldCharType="begin"/>
      </w:r>
      <w:r w:rsidRPr="00C510B6">
        <w:rPr>
          <w:rFonts w:cstheme="majorBidi"/>
        </w:rPr>
        <w:instrText xml:space="preserve"> SEQ Figure \* ARABIC </w:instrText>
      </w:r>
      <w:r w:rsidR="007B0B26" w:rsidRPr="00C510B6">
        <w:rPr>
          <w:rFonts w:cstheme="majorBidi"/>
        </w:rPr>
        <w:fldChar w:fldCharType="separate"/>
      </w:r>
      <w:r w:rsidR="00BA43AD" w:rsidRPr="00C510B6">
        <w:rPr>
          <w:rFonts w:cstheme="majorBidi"/>
          <w:noProof/>
        </w:rPr>
        <w:t>2</w:t>
      </w:r>
      <w:r w:rsidR="007B0B26" w:rsidRPr="00C510B6">
        <w:rPr>
          <w:rFonts w:cstheme="majorBidi"/>
        </w:rPr>
        <w:fldChar w:fldCharType="end"/>
      </w:r>
      <w:r w:rsidRPr="00C510B6">
        <w:rPr>
          <w:rFonts w:cstheme="majorBidi"/>
        </w:rPr>
        <w:t>: Trends in ROA, ROE and ROI</w:t>
      </w:r>
    </w:p>
    <w:p w:rsidR="00542C33" w:rsidRPr="00C510B6" w:rsidRDefault="009F0E39" w:rsidP="00C510B6">
      <w:pPr>
        <w:jc w:val="both"/>
        <w:rPr>
          <w:rFonts w:cstheme="majorBidi"/>
        </w:rPr>
      </w:pPr>
      <w:r w:rsidRPr="009F0E39">
        <w:rPr>
          <w:rFonts w:cstheme="majorBidi"/>
        </w:rPr>
        <w:t>The analysis of the ROA, ROE and ROI of Marriott International also shows negative figures achieved in 2020. However, each of these three profitability ratios of the organisation shows considerable improvements in the year 2021. As a result, an increasing trend can also be seen within the ROA, ROE and ROI of this hospitality organisation. This increasing trend reflects that the losses that the organisation earned from assets, equity and investment have been reduced and changed to profits. Therefore, the analysis of the trends in the profitability ratios of Marriott International helps in concluding that the organisation earned huge losses in 2020. These losses were earned mainly due to the Covid-19 outbreak throughout the world, travel restrictions of people and the close down of hotels due to the global lockdown. However, the organisation successfully earned profits in the year 2021, as reflected by the profitability ratio</w:t>
      </w:r>
      <w:r>
        <w:rPr>
          <w:rFonts w:cstheme="majorBidi"/>
        </w:rPr>
        <w:t>s analysed in the above section</w:t>
      </w:r>
      <w:r w:rsidR="0050408F" w:rsidRPr="00C510B6">
        <w:rPr>
          <w:rFonts w:cstheme="majorBidi"/>
        </w:rPr>
        <w:t>.</w:t>
      </w:r>
    </w:p>
    <w:p w:rsidR="00AA3E8D" w:rsidRPr="00C510B6" w:rsidRDefault="00AA3E8D" w:rsidP="00C510B6">
      <w:pPr>
        <w:pStyle w:val="Titlu2"/>
        <w:rPr>
          <w:color w:val="0070C0"/>
        </w:rPr>
      </w:pPr>
      <w:bookmarkStart w:id="6" w:name="_Toc120286205"/>
      <w:r w:rsidRPr="00C510B6">
        <w:rPr>
          <w:color w:val="0070C0"/>
        </w:rPr>
        <w:t>Liquidity</w:t>
      </w:r>
      <w:bookmarkEnd w:id="6"/>
    </w:p>
    <w:p w:rsidR="00B85790" w:rsidRPr="00C510B6" w:rsidRDefault="00DF7DCF" w:rsidP="00DA51AF">
      <w:pPr>
        <w:jc w:val="both"/>
        <w:rPr>
          <w:rFonts w:cstheme="majorBidi"/>
        </w:rPr>
      </w:pPr>
      <w:r w:rsidRPr="00C510B6">
        <w:rPr>
          <w:rFonts w:cstheme="majorBidi"/>
        </w:rPr>
        <w:t>Liquidity ratios refer to the ratios of a company, which reflect its ability to meet all its current liabilities using either its current assets or its liquid assets (</w:t>
      </w:r>
      <w:proofErr w:type="spellStart"/>
      <w:r w:rsidR="00C57485" w:rsidRPr="00C510B6">
        <w:rPr>
          <w:rFonts w:cstheme="majorBidi"/>
        </w:rPr>
        <w:t>Kadim</w:t>
      </w:r>
      <w:proofErr w:type="spellEnd"/>
      <w:r w:rsidR="00C57485" w:rsidRPr="00C510B6">
        <w:rPr>
          <w:rFonts w:cstheme="majorBidi"/>
        </w:rPr>
        <w:t xml:space="preserve"> </w:t>
      </w:r>
      <w:r w:rsidR="00C57485" w:rsidRPr="00C510B6">
        <w:rPr>
          <w:rFonts w:cstheme="majorBidi"/>
          <w:i/>
          <w:iCs/>
        </w:rPr>
        <w:t>et al</w:t>
      </w:r>
      <w:r w:rsidR="00C57485" w:rsidRPr="00C510B6">
        <w:rPr>
          <w:rFonts w:cstheme="majorBidi"/>
        </w:rPr>
        <w:t>., 2020)</w:t>
      </w:r>
      <w:r w:rsidRPr="00C510B6">
        <w:rPr>
          <w:rFonts w:cstheme="majorBidi"/>
        </w:rPr>
        <w:t xml:space="preserve">. </w:t>
      </w:r>
      <w:r w:rsidR="00DA51AF" w:rsidRPr="00C510B6">
        <w:rPr>
          <w:rFonts w:cstheme="majorBidi"/>
        </w:rPr>
        <w:t>Below</w:t>
      </w:r>
      <w:r w:rsidR="00157ED0" w:rsidRPr="00C510B6">
        <w:rPr>
          <w:rFonts w:cstheme="majorBidi"/>
        </w:rPr>
        <w:t xml:space="preserve"> is a detailed analysis of the liquidity ratios of Marriott International for the past two years –</w:t>
      </w:r>
    </w:p>
    <w:tbl>
      <w:tblPr>
        <w:tblStyle w:val="Tabelgril"/>
        <w:tblW w:w="5000" w:type="pct"/>
        <w:tblLook w:val="04A0" w:firstRow="1" w:lastRow="0" w:firstColumn="1" w:lastColumn="0" w:noHBand="0" w:noVBand="1"/>
      </w:tblPr>
      <w:tblGrid>
        <w:gridCol w:w="5632"/>
        <w:gridCol w:w="1765"/>
        <w:gridCol w:w="1619"/>
      </w:tblGrid>
      <w:tr w:rsidR="00E56152" w:rsidRPr="00C510B6" w:rsidTr="00DF7DCF">
        <w:trPr>
          <w:trHeight w:val="300"/>
        </w:trPr>
        <w:tc>
          <w:tcPr>
            <w:tcW w:w="3123" w:type="pct"/>
            <w:noWrap/>
            <w:hideMark/>
          </w:tcPr>
          <w:p w:rsidR="00E56152" w:rsidRPr="00C510B6" w:rsidRDefault="00E56152" w:rsidP="00C510B6">
            <w:pPr>
              <w:jc w:val="both"/>
              <w:rPr>
                <w:rFonts w:cstheme="majorBidi"/>
                <w:szCs w:val="24"/>
              </w:rPr>
            </w:pPr>
            <w:r w:rsidRPr="00C510B6">
              <w:rPr>
                <w:rFonts w:cstheme="majorBidi"/>
                <w:b/>
                <w:bCs/>
                <w:szCs w:val="24"/>
              </w:rPr>
              <w:t>Liquidity Ratios</w:t>
            </w:r>
          </w:p>
        </w:tc>
        <w:tc>
          <w:tcPr>
            <w:tcW w:w="979" w:type="pct"/>
            <w:noWrap/>
            <w:hideMark/>
          </w:tcPr>
          <w:p w:rsidR="00E56152" w:rsidRPr="00C510B6" w:rsidRDefault="00E56152" w:rsidP="00C510B6">
            <w:pPr>
              <w:jc w:val="center"/>
              <w:rPr>
                <w:rFonts w:cstheme="majorBidi"/>
                <w:b/>
                <w:bCs/>
                <w:szCs w:val="24"/>
              </w:rPr>
            </w:pPr>
            <w:r w:rsidRPr="00C510B6">
              <w:rPr>
                <w:rFonts w:cstheme="majorBidi"/>
                <w:b/>
                <w:bCs/>
                <w:szCs w:val="24"/>
              </w:rPr>
              <w:t>2021</w:t>
            </w:r>
          </w:p>
        </w:tc>
        <w:tc>
          <w:tcPr>
            <w:tcW w:w="898" w:type="pct"/>
            <w:noWrap/>
            <w:hideMark/>
          </w:tcPr>
          <w:p w:rsidR="00E56152" w:rsidRPr="00C510B6" w:rsidRDefault="00E56152" w:rsidP="00C510B6">
            <w:pPr>
              <w:jc w:val="center"/>
              <w:rPr>
                <w:rFonts w:cstheme="majorBidi"/>
                <w:b/>
                <w:bCs/>
                <w:szCs w:val="24"/>
              </w:rPr>
            </w:pPr>
            <w:r w:rsidRPr="00C510B6">
              <w:rPr>
                <w:rFonts w:cstheme="majorBidi"/>
                <w:b/>
                <w:bCs/>
                <w:szCs w:val="24"/>
              </w:rPr>
              <w:t>2020</w:t>
            </w:r>
          </w:p>
        </w:tc>
      </w:tr>
      <w:tr w:rsidR="00E56152" w:rsidRPr="00C510B6" w:rsidTr="00DF7DCF">
        <w:trPr>
          <w:trHeight w:val="300"/>
        </w:trPr>
        <w:tc>
          <w:tcPr>
            <w:tcW w:w="3123" w:type="pct"/>
            <w:noWrap/>
            <w:hideMark/>
          </w:tcPr>
          <w:p w:rsidR="00E56152" w:rsidRPr="00C510B6" w:rsidRDefault="00E56152" w:rsidP="00C510B6">
            <w:pPr>
              <w:pStyle w:val="Listparagraf"/>
              <w:numPr>
                <w:ilvl w:val="0"/>
                <w:numId w:val="5"/>
              </w:numPr>
              <w:jc w:val="both"/>
              <w:rPr>
                <w:rFonts w:cstheme="majorBidi"/>
                <w:szCs w:val="24"/>
              </w:rPr>
            </w:pPr>
            <w:r w:rsidRPr="00C510B6">
              <w:rPr>
                <w:rFonts w:cstheme="majorBidi"/>
                <w:szCs w:val="24"/>
              </w:rPr>
              <w:lastRenderedPageBreak/>
              <w:t>Current ratio</w:t>
            </w:r>
          </w:p>
        </w:tc>
        <w:tc>
          <w:tcPr>
            <w:tcW w:w="979" w:type="pct"/>
            <w:noWrap/>
            <w:hideMark/>
          </w:tcPr>
          <w:p w:rsidR="00E56152" w:rsidRPr="00C510B6" w:rsidRDefault="00E56152" w:rsidP="00C510B6">
            <w:pPr>
              <w:jc w:val="center"/>
              <w:rPr>
                <w:rFonts w:cstheme="majorBidi"/>
                <w:szCs w:val="24"/>
              </w:rPr>
            </w:pPr>
            <w:r w:rsidRPr="00C510B6">
              <w:rPr>
                <w:rFonts w:cstheme="majorBidi"/>
                <w:szCs w:val="24"/>
              </w:rPr>
              <w:t>0.5659</w:t>
            </w:r>
          </w:p>
        </w:tc>
        <w:tc>
          <w:tcPr>
            <w:tcW w:w="898" w:type="pct"/>
            <w:noWrap/>
            <w:hideMark/>
          </w:tcPr>
          <w:p w:rsidR="00E56152" w:rsidRPr="00C510B6" w:rsidRDefault="00E56152" w:rsidP="00C510B6">
            <w:pPr>
              <w:jc w:val="center"/>
              <w:rPr>
                <w:rFonts w:cstheme="majorBidi"/>
                <w:szCs w:val="24"/>
              </w:rPr>
            </w:pPr>
            <w:r w:rsidRPr="00C510B6">
              <w:rPr>
                <w:rFonts w:cstheme="majorBidi"/>
                <w:szCs w:val="24"/>
              </w:rPr>
              <w:t>0.4911</w:t>
            </w:r>
          </w:p>
        </w:tc>
      </w:tr>
      <w:tr w:rsidR="00E56152" w:rsidRPr="00C510B6" w:rsidTr="00DF7DCF">
        <w:trPr>
          <w:trHeight w:val="300"/>
        </w:trPr>
        <w:tc>
          <w:tcPr>
            <w:tcW w:w="3123" w:type="pct"/>
            <w:noWrap/>
            <w:hideMark/>
          </w:tcPr>
          <w:p w:rsidR="00E56152" w:rsidRPr="00C510B6" w:rsidRDefault="00E56152" w:rsidP="00C510B6">
            <w:pPr>
              <w:pStyle w:val="Listparagraf"/>
              <w:numPr>
                <w:ilvl w:val="0"/>
                <w:numId w:val="5"/>
              </w:numPr>
              <w:jc w:val="both"/>
              <w:rPr>
                <w:rFonts w:cstheme="majorBidi"/>
                <w:szCs w:val="24"/>
              </w:rPr>
            </w:pPr>
            <w:r w:rsidRPr="00C510B6">
              <w:rPr>
                <w:rFonts w:cstheme="majorBidi"/>
                <w:szCs w:val="24"/>
              </w:rPr>
              <w:t>Free cash flow per share</w:t>
            </w:r>
          </w:p>
        </w:tc>
        <w:tc>
          <w:tcPr>
            <w:tcW w:w="979" w:type="pct"/>
            <w:noWrap/>
            <w:hideMark/>
          </w:tcPr>
          <w:p w:rsidR="00E56152" w:rsidRPr="00C510B6" w:rsidRDefault="00E56152" w:rsidP="00C510B6">
            <w:pPr>
              <w:jc w:val="center"/>
              <w:rPr>
                <w:rFonts w:cstheme="majorBidi"/>
                <w:szCs w:val="24"/>
              </w:rPr>
            </w:pPr>
            <w:r w:rsidRPr="00C510B6">
              <w:rPr>
                <w:rFonts w:cstheme="majorBidi"/>
                <w:szCs w:val="24"/>
              </w:rPr>
              <w:t>- 2.3594</w:t>
            </w:r>
          </w:p>
        </w:tc>
        <w:tc>
          <w:tcPr>
            <w:tcW w:w="898" w:type="pct"/>
            <w:noWrap/>
            <w:hideMark/>
          </w:tcPr>
          <w:p w:rsidR="00E56152" w:rsidRPr="00C510B6" w:rsidRDefault="00E56152" w:rsidP="00C510B6">
            <w:pPr>
              <w:jc w:val="center"/>
              <w:rPr>
                <w:rFonts w:cstheme="majorBidi"/>
                <w:szCs w:val="24"/>
              </w:rPr>
            </w:pPr>
            <w:r w:rsidRPr="00C510B6">
              <w:rPr>
                <w:rFonts w:cstheme="majorBidi"/>
                <w:szCs w:val="24"/>
              </w:rPr>
              <w:t>1.161</w:t>
            </w:r>
          </w:p>
        </w:tc>
      </w:tr>
      <w:tr w:rsidR="00E56152" w:rsidRPr="00C510B6" w:rsidTr="00DF7DCF">
        <w:trPr>
          <w:trHeight w:val="300"/>
        </w:trPr>
        <w:tc>
          <w:tcPr>
            <w:tcW w:w="3123" w:type="pct"/>
            <w:noWrap/>
            <w:hideMark/>
          </w:tcPr>
          <w:p w:rsidR="00E56152" w:rsidRPr="00C510B6" w:rsidRDefault="00E56152" w:rsidP="00C510B6">
            <w:pPr>
              <w:pStyle w:val="Listparagraf"/>
              <w:numPr>
                <w:ilvl w:val="0"/>
                <w:numId w:val="5"/>
              </w:numPr>
              <w:jc w:val="both"/>
              <w:rPr>
                <w:rFonts w:cstheme="majorBidi"/>
                <w:szCs w:val="24"/>
              </w:rPr>
            </w:pPr>
            <w:r w:rsidRPr="00C510B6">
              <w:rPr>
                <w:rFonts w:cstheme="majorBidi"/>
                <w:szCs w:val="24"/>
              </w:rPr>
              <w:t>Operating cash flow per share</w:t>
            </w:r>
          </w:p>
        </w:tc>
        <w:tc>
          <w:tcPr>
            <w:tcW w:w="979" w:type="pct"/>
            <w:noWrap/>
            <w:hideMark/>
          </w:tcPr>
          <w:p w:rsidR="00E56152" w:rsidRPr="00C510B6" w:rsidRDefault="00E56152" w:rsidP="00C510B6">
            <w:pPr>
              <w:jc w:val="center"/>
              <w:rPr>
                <w:rFonts w:cstheme="majorBidi"/>
                <w:szCs w:val="24"/>
              </w:rPr>
            </w:pPr>
            <w:r w:rsidRPr="00C510B6">
              <w:rPr>
                <w:rFonts w:cstheme="majorBidi"/>
                <w:szCs w:val="24"/>
              </w:rPr>
              <w:t>- 1.4565</w:t>
            </w:r>
          </w:p>
        </w:tc>
        <w:tc>
          <w:tcPr>
            <w:tcW w:w="898" w:type="pct"/>
            <w:noWrap/>
            <w:hideMark/>
          </w:tcPr>
          <w:p w:rsidR="00E56152" w:rsidRPr="00C510B6" w:rsidRDefault="00E56152" w:rsidP="00C510B6">
            <w:pPr>
              <w:jc w:val="center"/>
              <w:rPr>
                <w:rFonts w:cstheme="majorBidi"/>
                <w:szCs w:val="24"/>
              </w:rPr>
            </w:pPr>
            <w:r w:rsidRPr="00C510B6">
              <w:rPr>
                <w:rFonts w:cstheme="majorBidi"/>
                <w:szCs w:val="24"/>
              </w:rPr>
              <w:t>0.0083</w:t>
            </w:r>
          </w:p>
        </w:tc>
      </w:tr>
    </w:tbl>
    <w:p w:rsidR="001472A1" w:rsidRPr="00C510B6" w:rsidRDefault="001472A1" w:rsidP="00C510B6">
      <w:pPr>
        <w:jc w:val="both"/>
        <w:rPr>
          <w:rFonts w:cstheme="majorBidi"/>
        </w:rPr>
      </w:pPr>
    </w:p>
    <w:p w:rsidR="001472A1" w:rsidRPr="00C510B6" w:rsidRDefault="00E56152" w:rsidP="00C510B6">
      <w:pPr>
        <w:jc w:val="center"/>
        <w:rPr>
          <w:rFonts w:cstheme="majorBidi"/>
        </w:rPr>
      </w:pPr>
      <w:r w:rsidRPr="00C510B6">
        <w:rPr>
          <w:rFonts w:cstheme="majorBidi"/>
          <w:noProof/>
          <w:lang w:val="en-US"/>
        </w:rPr>
        <w:drawing>
          <wp:inline distT="0" distB="0" distL="0" distR="0">
            <wp:extent cx="4572000" cy="2743200"/>
            <wp:effectExtent l="19050" t="0" r="19050" b="0"/>
            <wp:docPr id="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A3E8D" w:rsidRPr="00C510B6" w:rsidRDefault="00A34110" w:rsidP="00C510B6">
      <w:pPr>
        <w:pStyle w:val="Legend"/>
        <w:jc w:val="center"/>
        <w:rPr>
          <w:rFonts w:cstheme="majorBidi"/>
        </w:rPr>
      </w:pPr>
      <w:r w:rsidRPr="00C510B6">
        <w:rPr>
          <w:rFonts w:cstheme="majorBidi"/>
        </w:rPr>
        <w:t xml:space="preserve">Figure </w:t>
      </w:r>
      <w:r w:rsidR="007B0B26" w:rsidRPr="00C510B6">
        <w:rPr>
          <w:rFonts w:cstheme="majorBidi"/>
        </w:rPr>
        <w:fldChar w:fldCharType="begin"/>
      </w:r>
      <w:r w:rsidRPr="00C510B6">
        <w:rPr>
          <w:rFonts w:cstheme="majorBidi"/>
        </w:rPr>
        <w:instrText xml:space="preserve"> SEQ Figure \* ARABIC </w:instrText>
      </w:r>
      <w:r w:rsidR="007B0B26" w:rsidRPr="00C510B6">
        <w:rPr>
          <w:rFonts w:cstheme="majorBidi"/>
        </w:rPr>
        <w:fldChar w:fldCharType="separate"/>
      </w:r>
      <w:r w:rsidR="00BA43AD" w:rsidRPr="00C510B6">
        <w:rPr>
          <w:rFonts w:cstheme="majorBidi"/>
          <w:noProof/>
        </w:rPr>
        <w:t>3</w:t>
      </w:r>
      <w:r w:rsidR="007B0B26" w:rsidRPr="00C510B6">
        <w:rPr>
          <w:rFonts w:cstheme="majorBidi"/>
        </w:rPr>
        <w:fldChar w:fldCharType="end"/>
      </w:r>
      <w:r w:rsidRPr="00C510B6">
        <w:rPr>
          <w:rFonts w:cstheme="majorBidi"/>
        </w:rPr>
        <w:t>: Trends in current ratio, free cash flow and operating cash flow per share</w:t>
      </w:r>
    </w:p>
    <w:p w:rsidR="0050408F" w:rsidRPr="00C510B6" w:rsidRDefault="000E1D10" w:rsidP="00C510B6">
      <w:pPr>
        <w:jc w:val="both"/>
        <w:rPr>
          <w:rFonts w:cstheme="majorBidi"/>
        </w:rPr>
      </w:pPr>
      <w:r w:rsidRPr="00C510B6">
        <w:rPr>
          <w:rFonts w:cstheme="majorBidi"/>
        </w:rPr>
        <w:t xml:space="preserve">The analysis of the liquidity ratios of the organisation Marriott International </w:t>
      </w:r>
      <w:r w:rsidR="00562275" w:rsidRPr="00C510B6">
        <w:rPr>
          <w:rFonts w:cstheme="majorBidi"/>
        </w:rPr>
        <w:t>indicates that these ratios have increased between the years 2020 and 2021. Therefore, an increasing trend can be observed in this liquidity ratio of the business. However, a decreasing trend can be observed in the free cash flow per share of the organisation and its operating cash flow per share. In 2020, these two liquidity ratios reflect positive figures, which have turned out being negative in 2021. As a result, a considerable deterioration can be seen in the liquid position accomplished in Marriott International.</w:t>
      </w:r>
      <w:r w:rsidR="00A81757" w:rsidRPr="00C510B6">
        <w:rPr>
          <w:rFonts w:cstheme="majorBidi"/>
        </w:rPr>
        <w:t xml:space="preserve"> Therefore, the analysis of the trends in the liquidity ratios of Marriott International helps in concluding that the organisation has a considerably poor liquid position, which needs to be improved immediately.</w:t>
      </w:r>
    </w:p>
    <w:p w:rsidR="00AA3E8D" w:rsidRPr="00C510B6" w:rsidRDefault="00AA3E8D" w:rsidP="00C510B6">
      <w:pPr>
        <w:pStyle w:val="Titlu2"/>
        <w:rPr>
          <w:color w:val="0070C0"/>
        </w:rPr>
      </w:pPr>
      <w:bookmarkStart w:id="7" w:name="_Toc120286206"/>
      <w:r w:rsidRPr="00C510B6">
        <w:rPr>
          <w:color w:val="0070C0"/>
        </w:rPr>
        <w:t>Gearing</w:t>
      </w:r>
      <w:bookmarkEnd w:id="7"/>
    </w:p>
    <w:p w:rsidR="00B85790" w:rsidRPr="00C510B6" w:rsidRDefault="0059424C" w:rsidP="002E05F3">
      <w:pPr>
        <w:jc w:val="both"/>
        <w:rPr>
          <w:rFonts w:cstheme="majorBidi"/>
        </w:rPr>
      </w:pPr>
      <w:r w:rsidRPr="00C510B6">
        <w:rPr>
          <w:rFonts w:cstheme="majorBidi"/>
        </w:rPr>
        <w:t xml:space="preserve">According to </w:t>
      </w:r>
      <w:proofErr w:type="spellStart"/>
      <w:r w:rsidR="00C57485" w:rsidRPr="00C510B6">
        <w:rPr>
          <w:rFonts w:cstheme="majorBidi"/>
        </w:rPr>
        <w:t>Kariyawasam</w:t>
      </w:r>
      <w:proofErr w:type="spellEnd"/>
      <w:r w:rsidR="00C57485" w:rsidRPr="00C510B6">
        <w:rPr>
          <w:rFonts w:cstheme="majorBidi"/>
        </w:rPr>
        <w:t xml:space="preserve"> </w:t>
      </w:r>
      <w:r w:rsidRPr="00C510B6">
        <w:rPr>
          <w:rFonts w:cstheme="majorBidi"/>
        </w:rPr>
        <w:t>(</w:t>
      </w:r>
      <w:r w:rsidR="00C57485" w:rsidRPr="00C510B6">
        <w:rPr>
          <w:rFonts w:cstheme="majorBidi"/>
        </w:rPr>
        <w:t>2019</w:t>
      </w:r>
      <w:r w:rsidRPr="00C510B6">
        <w:rPr>
          <w:rFonts w:cstheme="majorBidi"/>
        </w:rPr>
        <w:t xml:space="preserve">), gearing ratios can be defined as the types of financial ratios that reflect the financial leverage of businesses. These ratios also reflect the capital structure of businesses while showing how their businesses are financed through debt and equity. </w:t>
      </w:r>
      <w:r w:rsidR="002E05F3" w:rsidRPr="00C510B6">
        <w:rPr>
          <w:rFonts w:cstheme="majorBidi"/>
        </w:rPr>
        <w:t>Below</w:t>
      </w:r>
      <w:r w:rsidR="00157ED0" w:rsidRPr="00C510B6">
        <w:rPr>
          <w:rFonts w:cstheme="majorBidi"/>
        </w:rPr>
        <w:t xml:space="preserve"> is a detailed analysis of the gearing ratios of Marriott International for the past two years –</w:t>
      </w:r>
    </w:p>
    <w:tbl>
      <w:tblPr>
        <w:tblStyle w:val="Tabelgril"/>
        <w:tblW w:w="5000" w:type="pct"/>
        <w:tblLook w:val="04A0" w:firstRow="1" w:lastRow="0" w:firstColumn="1" w:lastColumn="0" w:noHBand="0" w:noVBand="1"/>
      </w:tblPr>
      <w:tblGrid>
        <w:gridCol w:w="5164"/>
        <w:gridCol w:w="1805"/>
        <w:gridCol w:w="2047"/>
      </w:tblGrid>
      <w:tr w:rsidR="00E56152" w:rsidRPr="00C510B6" w:rsidTr="00DF7DCF">
        <w:trPr>
          <w:trHeight w:val="300"/>
        </w:trPr>
        <w:tc>
          <w:tcPr>
            <w:tcW w:w="2864" w:type="pct"/>
            <w:noWrap/>
            <w:hideMark/>
          </w:tcPr>
          <w:p w:rsidR="00E56152" w:rsidRPr="00C510B6" w:rsidRDefault="00E56152" w:rsidP="00C510B6">
            <w:pPr>
              <w:jc w:val="both"/>
              <w:rPr>
                <w:rFonts w:cstheme="majorBidi"/>
                <w:b/>
                <w:bCs/>
                <w:szCs w:val="24"/>
              </w:rPr>
            </w:pPr>
            <w:r w:rsidRPr="00C510B6">
              <w:rPr>
                <w:rFonts w:cstheme="majorBidi"/>
                <w:b/>
                <w:bCs/>
                <w:szCs w:val="24"/>
              </w:rPr>
              <w:t>Gearing Ratios</w:t>
            </w:r>
          </w:p>
        </w:tc>
        <w:tc>
          <w:tcPr>
            <w:tcW w:w="1001" w:type="pct"/>
            <w:noWrap/>
            <w:hideMark/>
          </w:tcPr>
          <w:p w:rsidR="00E56152" w:rsidRPr="00C510B6" w:rsidRDefault="00E56152" w:rsidP="00C510B6">
            <w:pPr>
              <w:jc w:val="center"/>
              <w:rPr>
                <w:rFonts w:cstheme="majorBidi"/>
                <w:b/>
                <w:bCs/>
                <w:szCs w:val="24"/>
              </w:rPr>
            </w:pPr>
            <w:r w:rsidRPr="00C510B6">
              <w:rPr>
                <w:rFonts w:cstheme="majorBidi"/>
                <w:b/>
                <w:bCs/>
                <w:szCs w:val="24"/>
              </w:rPr>
              <w:t>2021</w:t>
            </w:r>
          </w:p>
        </w:tc>
        <w:tc>
          <w:tcPr>
            <w:tcW w:w="1135" w:type="pct"/>
            <w:noWrap/>
            <w:hideMark/>
          </w:tcPr>
          <w:p w:rsidR="00E56152" w:rsidRPr="00C510B6" w:rsidRDefault="00E56152" w:rsidP="00C510B6">
            <w:pPr>
              <w:jc w:val="center"/>
              <w:rPr>
                <w:rFonts w:cstheme="majorBidi"/>
                <w:b/>
                <w:bCs/>
                <w:szCs w:val="24"/>
              </w:rPr>
            </w:pPr>
            <w:r w:rsidRPr="00C510B6">
              <w:rPr>
                <w:rFonts w:cstheme="majorBidi"/>
                <w:b/>
                <w:bCs/>
                <w:szCs w:val="24"/>
              </w:rPr>
              <w:t>2020</w:t>
            </w:r>
          </w:p>
        </w:tc>
      </w:tr>
      <w:tr w:rsidR="00E56152" w:rsidRPr="00C510B6" w:rsidTr="00DF7DCF">
        <w:trPr>
          <w:trHeight w:val="300"/>
        </w:trPr>
        <w:tc>
          <w:tcPr>
            <w:tcW w:w="2864" w:type="pct"/>
            <w:noWrap/>
            <w:hideMark/>
          </w:tcPr>
          <w:p w:rsidR="00E56152" w:rsidRPr="00C510B6" w:rsidRDefault="00E56152" w:rsidP="00C510B6">
            <w:pPr>
              <w:pStyle w:val="Listparagraf"/>
              <w:numPr>
                <w:ilvl w:val="0"/>
                <w:numId w:val="4"/>
              </w:numPr>
              <w:jc w:val="both"/>
              <w:rPr>
                <w:rFonts w:cstheme="majorBidi"/>
                <w:szCs w:val="24"/>
              </w:rPr>
            </w:pPr>
            <w:r w:rsidRPr="00C510B6">
              <w:rPr>
                <w:rFonts w:cstheme="majorBidi"/>
                <w:szCs w:val="24"/>
              </w:rPr>
              <w:t>Debt / equity ratio</w:t>
            </w:r>
          </w:p>
        </w:tc>
        <w:tc>
          <w:tcPr>
            <w:tcW w:w="1001" w:type="pct"/>
            <w:noWrap/>
            <w:hideMark/>
          </w:tcPr>
          <w:p w:rsidR="00E56152" w:rsidRPr="00C510B6" w:rsidRDefault="00E56152" w:rsidP="00C510B6">
            <w:pPr>
              <w:jc w:val="center"/>
              <w:rPr>
                <w:rFonts w:cstheme="majorBidi"/>
                <w:szCs w:val="24"/>
              </w:rPr>
            </w:pPr>
            <w:r w:rsidRPr="00C510B6">
              <w:rPr>
                <w:rFonts w:cstheme="majorBidi"/>
                <w:szCs w:val="24"/>
              </w:rPr>
              <w:t>7.1697</w:t>
            </w:r>
          </w:p>
        </w:tc>
        <w:tc>
          <w:tcPr>
            <w:tcW w:w="1135" w:type="pct"/>
            <w:noWrap/>
            <w:hideMark/>
          </w:tcPr>
          <w:p w:rsidR="00E56152" w:rsidRPr="00C510B6" w:rsidRDefault="00E56152" w:rsidP="00C510B6">
            <w:pPr>
              <w:jc w:val="center"/>
              <w:rPr>
                <w:rFonts w:cstheme="majorBidi"/>
                <w:szCs w:val="24"/>
              </w:rPr>
            </w:pPr>
            <w:r w:rsidRPr="00C510B6">
              <w:rPr>
                <w:rFonts w:cstheme="majorBidi"/>
                <w:szCs w:val="24"/>
              </w:rPr>
              <w:t>24.1302</w:t>
            </w:r>
          </w:p>
        </w:tc>
      </w:tr>
      <w:tr w:rsidR="00F8325E" w:rsidRPr="00C510B6" w:rsidTr="001E11D6">
        <w:trPr>
          <w:trHeight w:val="300"/>
        </w:trPr>
        <w:tc>
          <w:tcPr>
            <w:tcW w:w="2864" w:type="pct"/>
            <w:noWrap/>
            <w:hideMark/>
          </w:tcPr>
          <w:p w:rsidR="00F8325E" w:rsidRPr="00C510B6" w:rsidRDefault="00F8325E" w:rsidP="00C510B6">
            <w:pPr>
              <w:pStyle w:val="Listparagraf"/>
              <w:numPr>
                <w:ilvl w:val="0"/>
                <w:numId w:val="4"/>
              </w:numPr>
              <w:jc w:val="both"/>
              <w:rPr>
                <w:rFonts w:cstheme="majorBidi"/>
                <w:szCs w:val="24"/>
              </w:rPr>
            </w:pPr>
            <w:r w:rsidRPr="00C510B6">
              <w:rPr>
                <w:rFonts w:cstheme="majorBidi"/>
                <w:szCs w:val="24"/>
              </w:rPr>
              <w:lastRenderedPageBreak/>
              <w:t>Long- term debt / capital</w:t>
            </w:r>
          </w:p>
        </w:tc>
        <w:tc>
          <w:tcPr>
            <w:tcW w:w="1001" w:type="pct"/>
            <w:noWrap/>
            <w:hideMark/>
          </w:tcPr>
          <w:p w:rsidR="00F8325E" w:rsidRPr="00C510B6" w:rsidRDefault="00F8325E" w:rsidP="00C510B6">
            <w:pPr>
              <w:jc w:val="center"/>
              <w:rPr>
                <w:rFonts w:cstheme="majorBidi"/>
                <w:szCs w:val="24"/>
              </w:rPr>
            </w:pPr>
            <w:r w:rsidRPr="00C510B6">
              <w:rPr>
                <w:rFonts w:cstheme="majorBidi"/>
                <w:szCs w:val="24"/>
              </w:rPr>
              <w:t>0.8684</w:t>
            </w:r>
          </w:p>
        </w:tc>
        <w:tc>
          <w:tcPr>
            <w:tcW w:w="1135" w:type="pct"/>
            <w:noWrap/>
            <w:hideMark/>
          </w:tcPr>
          <w:p w:rsidR="00F8325E" w:rsidRPr="00C510B6" w:rsidRDefault="00F8325E" w:rsidP="00C510B6">
            <w:pPr>
              <w:jc w:val="center"/>
              <w:rPr>
                <w:rFonts w:cstheme="majorBidi"/>
                <w:szCs w:val="24"/>
              </w:rPr>
            </w:pPr>
            <w:r w:rsidRPr="00C510B6">
              <w:rPr>
                <w:rFonts w:cstheme="majorBidi"/>
                <w:szCs w:val="24"/>
              </w:rPr>
              <w:t>0.9554</w:t>
            </w:r>
          </w:p>
        </w:tc>
      </w:tr>
    </w:tbl>
    <w:p w:rsidR="00AA3E8D" w:rsidRPr="00C510B6" w:rsidRDefault="00AA3E8D" w:rsidP="00C510B6">
      <w:pPr>
        <w:jc w:val="both"/>
        <w:rPr>
          <w:rFonts w:cstheme="majorBidi"/>
        </w:rPr>
      </w:pPr>
    </w:p>
    <w:p w:rsidR="00AA3E8D" w:rsidRPr="00C510B6" w:rsidRDefault="00E56152" w:rsidP="00C510B6">
      <w:pPr>
        <w:jc w:val="center"/>
        <w:rPr>
          <w:rFonts w:cstheme="majorBidi"/>
        </w:rPr>
      </w:pPr>
      <w:r w:rsidRPr="00C510B6">
        <w:rPr>
          <w:rFonts w:cstheme="majorBidi"/>
          <w:noProof/>
          <w:lang w:val="en-US"/>
        </w:rPr>
        <w:drawing>
          <wp:inline distT="0" distB="0" distL="0" distR="0">
            <wp:extent cx="4572000" cy="2743200"/>
            <wp:effectExtent l="19050" t="0" r="19050" b="0"/>
            <wp:docPr id="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C182F" w:rsidRPr="00C510B6" w:rsidRDefault="00BA43AD" w:rsidP="00C510B6">
      <w:pPr>
        <w:pStyle w:val="Legend"/>
        <w:jc w:val="center"/>
        <w:rPr>
          <w:rFonts w:cstheme="majorBidi"/>
        </w:rPr>
      </w:pPr>
      <w:r w:rsidRPr="00C510B6">
        <w:rPr>
          <w:rFonts w:cstheme="majorBidi"/>
        </w:rPr>
        <w:t xml:space="preserve">Figure </w:t>
      </w:r>
      <w:r w:rsidR="007B0B26" w:rsidRPr="00C510B6">
        <w:rPr>
          <w:rFonts w:cstheme="majorBidi"/>
        </w:rPr>
        <w:fldChar w:fldCharType="begin"/>
      </w:r>
      <w:r w:rsidRPr="00C510B6">
        <w:rPr>
          <w:rFonts w:cstheme="majorBidi"/>
        </w:rPr>
        <w:instrText xml:space="preserve"> SEQ Figure \* ARABIC </w:instrText>
      </w:r>
      <w:r w:rsidR="007B0B26" w:rsidRPr="00C510B6">
        <w:rPr>
          <w:rFonts w:cstheme="majorBidi"/>
        </w:rPr>
        <w:fldChar w:fldCharType="separate"/>
      </w:r>
      <w:r w:rsidRPr="00C510B6">
        <w:rPr>
          <w:rFonts w:cstheme="majorBidi"/>
          <w:noProof/>
        </w:rPr>
        <w:t>4</w:t>
      </w:r>
      <w:r w:rsidR="007B0B26" w:rsidRPr="00C510B6">
        <w:rPr>
          <w:rFonts w:cstheme="majorBidi"/>
        </w:rPr>
        <w:fldChar w:fldCharType="end"/>
      </w:r>
      <w:r w:rsidRPr="00C510B6">
        <w:rPr>
          <w:rFonts w:cstheme="majorBidi"/>
        </w:rPr>
        <w:t>: Trends in long-term to capital and debt to equity ratios</w:t>
      </w:r>
    </w:p>
    <w:p w:rsidR="00155113" w:rsidRPr="00C510B6" w:rsidRDefault="00E90007" w:rsidP="00C510B6">
      <w:pPr>
        <w:jc w:val="both"/>
        <w:rPr>
          <w:rFonts w:cstheme="majorBidi"/>
        </w:rPr>
      </w:pPr>
      <w:r w:rsidRPr="00E90007">
        <w:rPr>
          <w:rFonts w:cstheme="majorBidi"/>
        </w:rPr>
        <w:t>The analysis of the gearing ratios of the organisation Marriott International indicates that its debt / equity ratio as well as its long-term debt / capital ratio have decreased between 2020 and 2021. This reflects a decreasing trend in the gearing ratios of this organisation. However, such a decreasing trend indicates an improvement in the solvency and financial leverage of Marriott International. It is because low gearing ratios are an indicator of the better solvency of an organisation. Therefore, it can be concluded that the organisation's gearing ratios indicate increasing trends due to which improvements in these ratios ca</w:t>
      </w:r>
      <w:r>
        <w:rPr>
          <w:rFonts w:cstheme="majorBidi"/>
        </w:rPr>
        <w:t>n be seen between 2020 and 2021</w:t>
      </w:r>
      <w:r w:rsidR="00093C32" w:rsidRPr="00C510B6">
        <w:rPr>
          <w:rFonts w:cstheme="majorBidi"/>
        </w:rPr>
        <w:t>.</w:t>
      </w:r>
    </w:p>
    <w:p w:rsidR="00AA3E8D" w:rsidRPr="00C510B6" w:rsidRDefault="00FC182F" w:rsidP="00C510B6">
      <w:pPr>
        <w:jc w:val="both"/>
        <w:rPr>
          <w:rFonts w:cstheme="majorBidi"/>
        </w:rPr>
      </w:pPr>
      <w:r w:rsidRPr="00C510B6">
        <w:rPr>
          <w:rFonts w:cstheme="majorBidi"/>
        </w:rPr>
        <w:t>Therefore, the analysis of the trends in the gearing ratios of Marriott International helps in concluding that the organisation</w:t>
      </w:r>
      <w:r w:rsidR="001E11D6" w:rsidRPr="00C510B6">
        <w:rPr>
          <w:rFonts w:cstheme="majorBidi"/>
        </w:rPr>
        <w:t xml:space="preserve"> has had considerable improvements in its profitability ratios and its current ratio. The gearing ratios also show an improvement between 2020 and 2021. However, between 2020 and 2021, extremely low and declining trends can be identified in the liquid position of the organisation. To recommend improvements in liquid position, Marriott International is recommended on managing its receivables and payables effectively, using long-term financing rather than short-term financing and cutting back on costs. Selling of unproductive and unnecessary assets, automating credit control and controlling overhead costs are also recommended for improving its liquid position.</w:t>
      </w:r>
      <w:r w:rsidR="00AA3E8D" w:rsidRPr="00C510B6">
        <w:rPr>
          <w:rFonts w:cstheme="majorBidi"/>
        </w:rPr>
        <w:br w:type="page"/>
      </w:r>
    </w:p>
    <w:p w:rsidR="00AA3E8D" w:rsidRPr="00C510B6" w:rsidRDefault="00AA3E8D" w:rsidP="00C510B6">
      <w:pPr>
        <w:pStyle w:val="Titlu1"/>
      </w:pPr>
      <w:bookmarkStart w:id="8" w:name="_Toc120286207"/>
      <w:bookmarkStart w:id="9" w:name="_Toc120971365"/>
      <w:r w:rsidRPr="00C510B6">
        <w:lastRenderedPageBreak/>
        <w:t>Knowledge from Ratio Analysis</w:t>
      </w:r>
      <w:bookmarkEnd w:id="8"/>
      <w:bookmarkEnd w:id="9"/>
    </w:p>
    <w:p w:rsidR="00E90007" w:rsidRPr="00E90007" w:rsidRDefault="00E90007" w:rsidP="00E90007">
      <w:pPr>
        <w:jc w:val="both"/>
        <w:rPr>
          <w:rFonts w:cstheme="majorBidi"/>
        </w:rPr>
      </w:pPr>
      <w:r w:rsidRPr="00E90007">
        <w:rPr>
          <w:rFonts w:cstheme="majorBidi"/>
        </w:rPr>
        <w:t>There are diverse kinds of advantages of ratios. Calculation and analysis of ratios help organisations as well as their stakeholders in several ways. As per the above discussions, it can be derived ratios help organisations considerably in terms of hotel management. Below is a detailed discussion made on the limitations present in ratio analysis –</w:t>
      </w:r>
    </w:p>
    <w:p w:rsidR="00E90007" w:rsidRPr="00E90007" w:rsidRDefault="00E90007" w:rsidP="00E90007">
      <w:pPr>
        <w:pStyle w:val="Listparagraf"/>
        <w:numPr>
          <w:ilvl w:val="0"/>
          <w:numId w:val="7"/>
        </w:numPr>
        <w:jc w:val="both"/>
        <w:rPr>
          <w:rFonts w:cstheme="majorBidi"/>
        </w:rPr>
      </w:pPr>
      <w:r w:rsidRPr="00E90007">
        <w:rPr>
          <w:rFonts w:cstheme="majorBidi"/>
          <w:b/>
          <w:bCs/>
          <w:i/>
          <w:iCs/>
        </w:rPr>
        <w:t>Inflation effects</w:t>
      </w:r>
      <w:r w:rsidRPr="00E90007">
        <w:rPr>
          <w:rFonts w:cstheme="majorBidi"/>
        </w:rPr>
        <w:t xml:space="preserve"> – The financial statements of organisations are periodically released because of which time differences exist between all financial statement releases (CFI, 2022). If there is inflation between two accounting periods, financial statements cannot indicate real prices. As a result, the numbers in several accounting periods are not comparable, which turns out to make ratio analysis incorrect.</w:t>
      </w:r>
    </w:p>
    <w:p w:rsidR="00E90007" w:rsidRPr="00E90007" w:rsidRDefault="00E90007" w:rsidP="00E90007">
      <w:pPr>
        <w:pStyle w:val="Listparagraf"/>
        <w:numPr>
          <w:ilvl w:val="0"/>
          <w:numId w:val="7"/>
        </w:numPr>
        <w:jc w:val="both"/>
        <w:rPr>
          <w:rFonts w:cstheme="majorBidi"/>
        </w:rPr>
      </w:pPr>
      <w:r w:rsidRPr="00E90007">
        <w:rPr>
          <w:rFonts w:cstheme="majorBidi"/>
          <w:b/>
          <w:bCs/>
          <w:i/>
          <w:iCs/>
        </w:rPr>
        <w:t>Manipulation of financial statements</w:t>
      </w:r>
      <w:r w:rsidRPr="00E90007">
        <w:rPr>
          <w:rFonts w:cstheme="majorBidi"/>
        </w:rPr>
        <w:t xml:space="preserve"> – The ratios of a company are computed and interpreted based on its financial statements. However, the financial statements of a company are subject towards manipulation since organisational managers often change the figures in financial statements for their own advantage. This makes ratio analysis ineffective.</w:t>
      </w:r>
    </w:p>
    <w:p w:rsidR="00E90007" w:rsidRPr="00E90007" w:rsidRDefault="00E90007" w:rsidP="00E90007">
      <w:pPr>
        <w:pStyle w:val="Listparagraf"/>
        <w:numPr>
          <w:ilvl w:val="0"/>
          <w:numId w:val="7"/>
        </w:numPr>
        <w:jc w:val="both"/>
        <w:rPr>
          <w:rFonts w:cstheme="majorBidi"/>
        </w:rPr>
      </w:pPr>
      <w:r w:rsidRPr="00E90007">
        <w:rPr>
          <w:rFonts w:cstheme="majorBidi"/>
          <w:b/>
          <w:bCs/>
          <w:i/>
          <w:iCs/>
        </w:rPr>
        <w:t>Historical information</w:t>
      </w:r>
      <w:r w:rsidRPr="00E90007">
        <w:rPr>
          <w:rFonts w:cstheme="majorBidi"/>
        </w:rPr>
        <w:t xml:space="preserve"> – The information that ratio analysis provides depends on the actual historical results that are released by a company (CFI, 2022). Due to this reason, the ratios of a company do not necessarily indicate its future performance.</w:t>
      </w:r>
    </w:p>
    <w:p w:rsidR="00DE22A5" w:rsidRPr="00E90007" w:rsidRDefault="00E90007" w:rsidP="00E90007">
      <w:pPr>
        <w:pStyle w:val="Listparagraf"/>
        <w:numPr>
          <w:ilvl w:val="0"/>
          <w:numId w:val="7"/>
        </w:numPr>
        <w:jc w:val="both"/>
        <w:rPr>
          <w:rFonts w:cstheme="majorBidi"/>
        </w:rPr>
      </w:pPr>
      <w:r w:rsidRPr="00E90007">
        <w:rPr>
          <w:rFonts w:cstheme="majorBidi"/>
          <w:b/>
          <w:bCs/>
          <w:i/>
          <w:iCs/>
        </w:rPr>
        <w:t>Non-financial performance</w:t>
      </w:r>
      <w:r w:rsidRPr="00E90007">
        <w:rPr>
          <w:rFonts w:cstheme="majorBidi"/>
        </w:rPr>
        <w:t xml:space="preserve"> – Ratios analysed for a company indicate only its financial performance. They are not advantageous for examining the non-financial performance accomplished in a company even though non-financial factors and performance affect its overall success</w:t>
      </w:r>
      <w:r w:rsidR="005C4602" w:rsidRPr="00E90007">
        <w:rPr>
          <w:rFonts w:cstheme="majorBidi"/>
        </w:rPr>
        <w:t>.</w:t>
      </w:r>
    </w:p>
    <w:p w:rsidR="006B6B0F" w:rsidRPr="00C510B6" w:rsidRDefault="005C4602" w:rsidP="00C510B6">
      <w:pPr>
        <w:jc w:val="both"/>
        <w:rPr>
          <w:rFonts w:cstheme="majorBidi"/>
        </w:rPr>
      </w:pPr>
      <w:r w:rsidRPr="00C510B6">
        <w:rPr>
          <w:rFonts w:cstheme="majorBidi"/>
        </w:rPr>
        <w:t xml:space="preserve">All these limitations of ratio analysis must be considered by the managers at Marriott International when making decisions and adopting strategies. According to </w:t>
      </w:r>
      <w:r w:rsidR="00C57485" w:rsidRPr="00C510B6">
        <w:rPr>
          <w:rFonts w:cstheme="majorBidi"/>
        </w:rPr>
        <w:t xml:space="preserve">Robinson </w:t>
      </w:r>
      <w:r w:rsidRPr="00C510B6">
        <w:rPr>
          <w:rFonts w:cstheme="majorBidi"/>
        </w:rPr>
        <w:t>(</w:t>
      </w:r>
      <w:r w:rsidR="00C57485" w:rsidRPr="00C510B6">
        <w:rPr>
          <w:rFonts w:cstheme="majorBidi"/>
        </w:rPr>
        <w:t>2020</w:t>
      </w:r>
      <w:r w:rsidRPr="00C510B6">
        <w:rPr>
          <w:rFonts w:cstheme="majorBidi"/>
        </w:rPr>
        <w:t xml:space="preserve">), understanding ratios and their fluctuations is essential for all businesses inclusive of the ones in the hotel industry. This understanding is important because it helps in analysing the information, which is present in the various financial statements published by hotels. For instance, an understanding and fluctuation of ratios of Marriott International assists the organisation’s managers to analyse the figures in the financial statements. Based on this understanding, </w:t>
      </w:r>
      <w:r w:rsidR="00FB41D0" w:rsidRPr="00C510B6">
        <w:rPr>
          <w:rFonts w:cstheme="majorBidi"/>
        </w:rPr>
        <w:t xml:space="preserve">its managers are able to examine its liquidity, profitability, gearing and other performance measures. </w:t>
      </w:r>
    </w:p>
    <w:p w:rsidR="00AA3E8D" w:rsidRPr="00C510B6" w:rsidRDefault="00FB41D0" w:rsidP="00C510B6">
      <w:pPr>
        <w:jc w:val="both"/>
        <w:rPr>
          <w:rFonts w:cstheme="majorBidi"/>
        </w:rPr>
      </w:pPr>
      <w:r w:rsidRPr="00C510B6">
        <w:rPr>
          <w:rFonts w:cstheme="majorBidi"/>
        </w:rPr>
        <w:t xml:space="preserve">Moreover, the improvements and deteriorations in its financial position and performance can be evaluated while necessary measures can be taken for ensuring the improvements needed to </w:t>
      </w:r>
      <w:r w:rsidRPr="00C510B6">
        <w:rPr>
          <w:rFonts w:cstheme="majorBidi"/>
        </w:rPr>
        <w:lastRenderedPageBreak/>
        <w:t>be made. Similarly, understanding fluctuations in ratios is beneficial for the managers working in hospitality organisations to evaluate the effectiveness of their previously made financial decisions</w:t>
      </w:r>
      <w:r w:rsidR="00C262F8" w:rsidRPr="00C510B6">
        <w:rPr>
          <w:rFonts w:cstheme="majorBidi"/>
        </w:rPr>
        <w:t xml:space="preserve"> (</w:t>
      </w:r>
      <w:proofErr w:type="spellStart"/>
      <w:r w:rsidR="00C262F8" w:rsidRPr="00C510B6">
        <w:rPr>
          <w:rFonts w:cstheme="majorBidi"/>
        </w:rPr>
        <w:t>Botta</w:t>
      </w:r>
      <w:proofErr w:type="spellEnd"/>
      <w:r w:rsidR="00C262F8" w:rsidRPr="00C510B6">
        <w:rPr>
          <w:rFonts w:cstheme="majorBidi"/>
        </w:rPr>
        <w:t>, 2019)</w:t>
      </w:r>
      <w:r w:rsidRPr="00C510B6">
        <w:rPr>
          <w:rFonts w:cstheme="majorBidi"/>
        </w:rPr>
        <w:t xml:space="preserve">. </w:t>
      </w:r>
      <w:r w:rsidR="00627AC5" w:rsidRPr="00C510B6">
        <w:rPr>
          <w:rFonts w:cstheme="majorBidi"/>
        </w:rPr>
        <w:t xml:space="preserve">While deteriorating trends indicate poor decisions, increasing trends show effective decisions made in a company. In case if poor decisions are determined, further decisions can be made in hospitality organisations such as Marriott International on improving its future performance. </w:t>
      </w:r>
      <w:r w:rsidR="00D2527C" w:rsidRPr="00C510B6">
        <w:rPr>
          <w:rFonts w:cstheme="majorBidi"/>
        </w:rPr>
        <w:t>The understanding and fluctuations of ratios are thus beneficial for ascertaining good hotel management.</w:t>
      </w:r>
      <w:r w:rsidR="00AA3E8D" w:rsidRPr="00C510B6">
        <w:rPr>
          <w:rFonts w:cstheme="majorBidi"/>
        </w:rPr>
        <w:br w:type="page"/>
      </w:r>
    </w:p>
    <w:p w:rsidR="00AA3E8D" w:rsidRPr="00C510B6" w:rsidRDefault="00AA3E8D" w:rsidP="00C510B6">
      <w:pPr>
        <w:pStyle w:val="Titlu1"/>
      </w:pPr>
      <w:bookmarkStart w:id="10" w:name="_Toc120286208"/>
      <w:bookmarkStart w:id="11" w:name="_Toc120971366"/>
      <w:r w:rsidRPr="00C510B6">
        <w:lastRenderedPageBreak/>
        <w:t>Benefits and Limitations of Ratio Analysis</w:t>
      </w:r>
      <w:bookmarkEnd w:id="10"/>
      <w:bookmarkEnd w:id="11"/>
    </w:p>
    <w:p w:rsidR="00AA3E8D" w:rsidRPr="00C510B6" w:rsidRDefault="00D2527C" w:rsidP="00C510B6">
      <w:pPr>
        <w:jc w:val="both"/>
        <w:rPr>
          <w:rFonts w:cstheme="majorBidi"/>
        </w:rPr>
      </w:pPr>
      <w:r w:rsidRPr="00C510B6">
        <w:rPr>
          <w:rFonts w:cstheme="majorBidi"/>
        </w:rPr>
        <w:t>Ratios can be defined as the metrics that are beneficial for businesses in measuring the relationship existing between two or more components of their financial statements</w:t>
      </w:r>
      <w:r w:rsidR="00C262F8" w:rsidRPr="00C510B6">
        <w:rPr>
          <w:rFonts w:cstheme="majorBidi"/>
        </w:rPr>
        <w:t xml:space="preserve"> (</w:t>
      </w:r>
      <w:proofErr w:type="spellStart"/>
      <w:r w:rsidR="00C262F8" w:rsidRPr="00C510B6">
        <w:rPr>
          <w:rFonts w:cstheme="majorBidi"/>
        </w:rPr>
        <w:t>Restianti</w:t>
      </w:r>
      <w:proofErr w:type="spellEnd"/>
      <w:r w:rsidR="00C262F8" w:rsidRPr="00C510B6">
        <w:rPr>
          <w:rFonts w:cstheme="majorBidi"/>
        </w:rPr>
        <w:t xml:space="preserve"> and </w:t>
      </w:r>
      <w:proofErr w:type="spellStart"/>
      <w:r w:rsidR="00C262F8" w:rsidRPr="00C510B6">
        <w:rPr>
          <w:rFonts w:cstheme="majorBidi"/>
        </w:rPr>
        <w:t>Agustina</w:t>
      </w:r>
      <w:proofErr w:type="spellEnd"/>
      <w:r w:rsidR="00C262F8" w:rsidRPr="00C510B6">
        <w:rPr>
          <w:rFonts w:cstheme="majorBidi"/>
        </w:rPr>
        <w:t>, 2018)</w:t>
      </w:r>
      <w:r w:rsidRPr="00C510B6">
        <w:rPr>
          <w:rFonts w:cstheme="majorBidi"/>
        </w:rPr>
        <w:t xml:space="preserve">. The ratios provide meaningful information about the financial performance and financial position of businesses. </w:t>
      </w:r>
      <w:r w:rsidR="00DE572A" w:rsidRPr="00C510B6">
        <w:rPr>
          <w:rFonts w:cstheme="majorBidi"/>
        </w:rPr>
        <w:t xml:space="preserve">Depending on ratios, the managers of businesses and its stakeholders can be evaluating its profitability, liquidity, growth, leverage, valuation, rates of returns and margins. </w:t>
      </w:r>
      <w:r w:rsidR="002A64E1" w:rsidRPr="00C510B6">
        <w:rPr>
          <w:rFonts w:cstheme="majorBidi"/>
        </w:rPr>
        <w:t>There are various types into which financial ratios can be divided, which include leverage ratios, profitability ratios, liquidity ratios, efficiency ratios and investment ratios. Levera</w:t>
      </w:r>
      <w:r w:rsidR="00EE369B" w:rsidRPr="00C510B6">
        <w:rPr>
          <w:rFonts w:cstheme="majorBidi"/>
        </w:rPr>
        <w:t>ge ratios, profitability ratios and</w:t>
      </w:r>
      <w:r w:rsidR="002A64E1" w:rsidRPr="00C510B6">
        <w:rPr>
          <w:rFonts w:cstheme="majorBidi"/>
        </w:rPr>
        <w:t xml:space="preserve"> liquidity ratios are the three most significant financial performance indicators of a company</w:t>
      </w:r>
      <w:r w:rsidR="00E32FBF" w:rsidRPr="00C510B6">
        <w:rPr>
          <w:rFonts w:cstheme="majorBidi"/>
        </w:rPr>
        <w:t xml:space="preserve"> (Jihadi </w:t>
      </w:r>
      <w:r w:rsidR="00E32FBF" w:rsidRPr="00C510B6">
        <w:rPr>
          <w:rFonts w:cstheme="majorBidi"/>
          <w:i/>
          <w:iCs/>
        </w:rPr>
        <w:t>et al</w:t>
      </w:r>
      <w:r w:rsidR="00E32FBF" w:rsidRPr="00C510B6">
        <w:rPr>
          <w:rFonts w:cstheme="majorBidi"/>
        </w:rPr>
        <w:t>., 2021)</w:t>
      </w:r>
      <w:r w:rsidR="002A64E1" w:rsidRPr="00C510B6">
        <w:rPr>
          <w:rFonts w:cstheme="majorBidi"/>
        </w:rPr>
        <w:t>. Analysing these ratios is advantageous for examining the strengths in a company’s financial performance along with the weaknesses in its performance. Ratios are also advantageous for anticipating the future performance to be achieved in a company.</w:t>
      </w:r>
    </w:p>
    <w:p w:rsidR="00AA3E8D" w:rsidRPr="00C510B6" w:rsidRDefault="002A64E1" w:rsidP="00C510B6">
      <w:pPr>
        <w:jc w:val="both"/>
        <w:rPr>
          <w:rFonts w:cstheme="majorBidi"/>
        </w:rPr>
      </w:pPr>
      <w:r w:rsidRPr="00C510B6">
        <w:rPr>
          <w:rFonts w:cstheme="majorBidi"/>
        </w:rPr>
        <w:t xml:space="preserve">The discussions made earlier indicate the limitations in ratio analysis. However, </w:t>
      </w:r>
      <w:r w:rsidR="002D5C9F" w:rsidRPr="00C510B6">
        <w:rPr>
          <w:rFonts w:cstheme="majorBidi"/>
        </w:rPr>
        <w:t xml:space="preserve">there are various importance and benefits of ratio analysis. According to </w:t>
      </w:r>
      <w:proofErr w:type="spellStart"/>
      <w:r w:rsidR="00EE369B" w:rsidRPr="00C510B6">
        <w:rPr>
          <w:rFonts w:cstheme="majorBidi"/>
        </w:rPr>
        <w:t>Pattiruhu</w:t>
      </w:r>
      <w:proofErr w:type="spellEnd"/>
      <w:r w:rsidR="00EE369B" w:rsidRPr="00C510B6">
        <w:rPr>
          <w:rFonts w:cstheme="majorBidi"/>
        </w:rPr>
        <w:t xml:space="preserve"> and </w:t>
      </w:r>
      <w:proofErr w:type="spellStart"/>
      <w:r w:rsidR="00EE369B" w:rsidRPr="00C510B6">
        <w:rPr>
          <w:rFonts w:cstheme="majorBidi"/>
        </w:rPr>
        <w:t>Paais</w:t>
      </w:r>
      <w:proofErr w:type="spellEnd"/>
      <w:r w:rsidR="00EE369B" w:rsidRPr="00C510B6">
        <w:rPr>
          <w:rFonts w:cstheme="majorBidi"/>
        </w:rPr>
        <w:t xml:space="preserve"> </w:t>
      </w:r>
      <w:r w:rsidR="002D5C9F" w:rsidRPr="00C510B6">
        <w:rPr>
          <w:rFonts w:cstheme="majorBidi"/>
        </w:rPr>
        <w:t>(</w:t>
      </w:r>
      <w:r w:rsidR="00EE369B" w:rsidRPr="00C510B6">
        <w:rPr>
          <w:rFonts w:cstheme="majorBidi"/>
        </w:rPr>
        <w:t>2020</w:t>
      </w:r>
      <w:r w:rsidR="002D5C9F" w:rsidRPr="00C510B6">
        <w:rPr>
          <w:rFonts w:cstheme="majorBidi"/>
        </w:rPr>
        <w:t xml:space="preserve">), ratios are beneficial for validating and disapproving the financing, operating and investing decisions of a company. They are beneficial for summarising a company’s financial statements in comparative figures based on which its managers can analyse and compare its financial performance. Based on this analysis and comparison, managers can be making better financing, operating and investing decisions in the future. Ratios are also beneficial and important for identifying a company’s problem areas. Such problem areas identified by the managers of a company are beneficial for resolving and improving the performance achieved in its context. Moreover, ratios allow the managers of a company, for example, Marriott International </w:t>
      </w:r>
      <w:r w:rsidR="00E22A6F" w:rsidRPr="00C510B6">
        <w:rPr>
          <w:rFonts w:cstheme="majorBidi"/>
        </w:rPr>
        <w:t>to compare and contrast its performance with industry benchmarks and averages. These comparisons also help the managers of a company in making decisions on adopting new initiatives while amending business strategy. This in turn can help in gaining competitive advantages while improving the overall financial performance accomplished. In this manner, there is a range of ways in which ratios can be beneficial for decision-making.</w:t>
      </w:r>
      <w:r w:rsidR="00AA3E8D" w:rsidRPr="00C510B6">
        <w:rPr>
          <w:rFonts w:cstheme="majorBidi"/>
        </w:rPr>
        <w:br w:type="page"/>
      </w:r>
    </w:p>
    <w:p w:rsidR="00AA3E8D" w:rsidRPr="00C510B6" w:rsidRDefault="00AA3E8D" w:rsidP="00C510B6">
      <w:pPr>
        <w:pStyle w:val="Titlu1"/>
      </w:pPr>
      <w:bookmarkStart w:id="12" w:name="_Toc120286209"/>
      <w:bookmarkStart w:id="13" w:name="_Toc120971367"/>
      <w:r w:rsidRPr="00C510B6">
        <w:lastRenderedPageBreak/>
        <w:t>Conclusion</w:t>
      </w:r>
      <w:bookmarkEnd w:id="12"/>
      <w:bookmarkEnd w:id="13"/>
    </w:p>
    <w:p w:rsidR="00AA3E8D" w:rsidRPr="00C510B6" w:rsidRDefault="001E11D6" w:rsidP="00163D01">
      <w:pPr>
        <w:jc w:val="both"/>
        <w:rPr>
          <w:rFonts w:cstheme="majorBidi"/>
        </w:rPr>
      </w:pPr>
      <w:r w:rsidRPr="00C510B6">
        <w:rPr>
          <w:rFonts w:cstheme="majorBidi"/>
        </w:rPr>
        <w:t xml:space="preserve">Hence, this study helps in concluding that financial management is of great significance in the hospitality industry similar to all other industries. The findings help in summarising that financial statement analysis performed for a hospitality organisation or hotel is beneficial for ascertaining good financial management. Besides this, the interpretation of the ratios that Marriott International has attained indicates that the organisation had an extremely poor performance in the year 2020. However, significant improvements have occurred in the financial performance of the organisation in the year 2021 in terms of its profitability as well as its gearing. </w:t>
      </w:r>
      <w:r w:rsidR="00F85F94" w:rsidRPr="00C510B6">
        <w:rPr>
          <w:rFonts w:cstheme="majorBidi"/>
        </w:rPr>
        <w:t>On the contrary, the</w:t>
      </w:r>
      <w:r w:rsidRPr="00C510B6">
        <w:rPr>
          <w:rFonts w:cstheme="majorBidi"/>
        </w:rPr>
        <w:t xml:space="preserve"> liquidity ratios of </w:t>
      </w:r>
      <w:r w:rsidR="00F85F94" w:rsidRPr="00C510B6">
        <w:rPr>
          <w:rFonts w:cstheme="majorBidi"/>
        </w:rPr>
        <w:t xml:space="preserve">Marriott International show decreasing trends between the years 2020 and 2021. These ratios </w:t>
      </w:r>
      <w:r w:rsidRPr="00C510B6">
        <w:rPr>
          <w:rFonts w:cstheme="majorBidi"/>
        </w:rPr>
        <w:t xml:space="preserve">require to be improved immediately. </w:t>
      </w:r>
      <w:r w:rsidR="00F85F94" w:rsidRPr="00C510B6">
        <w:rPr>
          <w:rFonts w:cstheme="majorBidi"/>
        </w:rPr>
        <w:t xml:space="preserve">The importance of understanding ratios to ensure good hotel management through decision-making on further improvement of performance could be determined. </w:t>
      </w:r>
      <w:r w:rsidR="005D2CB1" w:rsidRPr="00C510B6">
        <w:rPr>
          <w:rFonts w:cstheme="majorBidi"/>
        </w:rPr>
        <w:t>Besides this, several limitations present in ratio analysis such as manipulation of financial statements and others could be identified. The findings of the study also help in realising the importance of ratios in the decision-making of businesses.</w:t>
      </w:r>
      <w:r w:rsidR="00AA3E8D" w:rsidRPr="00C510B6">
        <w:rPr>
          <w:rFonts w:cstheme="majorBidi"/>
        </w:rPr>
        <w:br w:type="page"/>
      </w:r>
    </w:p>
    <w:p w:rsidR="00AA3E8D" w:rsidRPr="00C510B6" w:rsidRDefault="00AA3E8D" w:rsidP="00C510B6">
      <w:pPr>
        <w:pStyle w:val="Titlu1"/>
      </w:pPr>
      <w:bookmarkStart w:id="14" w:name="_Toc120286210"/>
      <w:bookmarkStart w:id="15" w:name="_Toc120971368"/>
      <w:r w:rsidRPr="00C510B6">
        <w:lastRenderedPageBreak/>
        <w:t>Bibliography</w:t>
      </w:r>
      <w:bookmarkEnd w:id="14"/>
      <w:bookmarkEnd w:id="15"/>
    </w:p>
    <w:p w:rsidR="004F1706" w:rsidRPr="00C510B6" w:rsidRDefault="00EB0D14" w:rsidP="00C510B6">
      <w:pPr>
        <w:jc w:val="both"/>
        <w:rPr>
          <w:rFonts w:cstheme="majorBidi"/>
        </w:rPr>
      </w:pPr>
      <w:r w:rsidRPr="00C510B6">
        <w:rPr>
          <w:rFonts w:cstheme="majorBidi"/>
        </w:rPr>
        <w:t>Amanda, R.I</w:t>
      </w:r>
      <w:r w:rsidR="000F5F0D" w:rsidRPr="00C510B6">
        <w:rPr>
          <w:rFonts w:cstheme="majorBidi"/>
        </w:rPr>
        <w:t>. (2019)</w:t>
      </w:r>
      <w:r w:rsidRPr="00C510B6">
        <w:rPr>
          <w:rFonts w:cstheme="majorBidi"/>
        </w:rPr>
        <w:t xml:space="preserve"> The Impact of Cash Turnover, Receivable Turnover, Inventory Turnover, Current Ratio and Debt to Equity Ratio on Profitability. </w:t>
      </w:r>
      <w:r w:rsidRPr="00C510B6">
        <w:rPr>
          <w:rFonts w:cstheme="majorBidi"/>
          <w:i/>
          <w:iCs/>
        </w:rPr>
        <w:t>Journal of research in management</w:t>
      </w:r>
      <w:r w:rsidRPr="00C510B6">
        <w:rPr>
          <w:rFonts w:cstheme="majorBidi"/>
        </w:rPr>
        <w:t>, </w:t>
      </w:r>
      <w:r w:rsidRPr="00C510B6">
        <w:rPr>
          <w:rFonts w:cstheme="majorBidi"/>
          <w:i/>
          <w:iCs/>
        </w:rPr>
        <w:t>2</w:t>
      </w:r>
      <w:r w:rsidRPr="00C510B6">
        <w:rPr>
          <w:rFonts w:cstheme="majorBidi"/>
        </w:rPr>
        <w:t>(2).</w:t>
      </w:r>
    </w:p>
    <w:p w:rsidR="002D7036" w:rsidRPr="00C510B6" w:rsidRDefault="00EB0D14" w:rsidP="00C510B6">
      <w:pPr>
        <w:jc w:val="both"/>
        <w:rPr>
          <w:rFonts w:cstheme="majorBidi"/>
        </w:rPr>
      </w:pPr>
      <w:proofErr w:type="spellStart"/>
      <w:r w:rsidRPr="00C510B6">
        <w:rPr>
          <w:rFonts w:cstheme="majorBidi"/>
        </w:rPr>
        <w:t>Botta</w:t>
      </w:r>
      <w:proofErr w:type="spellEnd"/>
      <w:r w:rsidRPr="00C510B6">
        <w:rPr>
          <w:rFonts w:cstheme="majorBidi"/>
        </w:rPr>
        <w:t>, M</w:t>
      </w:r>
      <w:r w:rsidR="000F5F0D" w:rsidRPr="00C510B6">
        <w:rPr>
          <w:rFonts w:cstheme="majorBidi"/>
        </w:rPr>
        <w:t>. (2019)</w:t>
      </w:r>
      <w:r w:rsidRPr="00C510B6">
        <w:rPr>
          <w:rFonts w:cstheme="majorBidi"/>
        </w:rPr>
        <w:t xml:space="preserve"> Financing decisions and performance of Italian SMEs in the hotel industry. </w:t>
      </w:r>
      <w:r w:rsidRPr="00C510B6">
        <w:rPr>
          <w:rFonts w:cstheme="majorBidi"/>
          <w:i/>
          <w:iCs/>
        </w:rPr>
        <w:t>Cornell Hospitality Quarterly</w:t>
      </w:r>
      <w:r w:rsidRPr="00C510B6">
        <w:rPr>
          <w:rFonts w:cstheme="majorBidi"/>
        </w:rPr>
        <w:t>, </w:t>
      </w:r>
      <w:r w:rsidRPr="00C510B6">
        <w:rPr>
          <w:rFonts w:cstheme="majorBidi"/>
          <w:i/>
          <w:iCs/>
        </w:rPr>
        <w:t>60</w:t>
      </w:r>
      <w:r w:rsidRPr="00C510B6">
        <w:rPr>
          <w:rFonts w:cstheme="majorBidi"/>
        </w:rPr>
        <w:t>(4), pp.335-354.</w:t>
      </w:r>
    </w:p>
    <w:p w:rsidR="00666A46" w:rsidRPr="00C510B6" w:rsidRDefault="00EB0D14" w:rsidP="00C510B6">
      <w:pPr>
        <w:jc w:val="both"/>
        <w:rPr>
          <w:rFonts w:cstheme="majorBidi"/>
        </w:rPr>
      </w:pPr>
      <w:r w:rsidRPr="00C510B6">
        <w:rPr>
          <w:rFonts w:cstheme="majorBidi"/>
        </w:rPr>
        <w:t>CFI</w:t>
      </w:r>
      <w:r w:rsidR="000F5F0D" w:rsidRPr="00C510B6">
        <w:rPr>
          <w:rFonts w:cstheme="majorBidi"/>
        </w:rPr>
        <w:t>.</w:t>
      </w:r>
      <w:r w:rsidRPr="00C510B6">
        <w:rPr>
          <w:rFonts w:cstheme="majorBidi"/>
        </w:rPr>
        <w:t xml:space="preserve"> (2022) </w:t>
      </w:r>
      <w:r w:rsidRPr="00C510B6">
        <w:rPr>
          <w:rFonts w:cstheme="majorBidi"/>
          <w:i/>
          <w:iCs/>
        </w:rPr>
        <w:t>Limitations of ratio analysis</w:t>
      </w:r>
      <w:r w:rsidRPr="00C510B6">
        <w:rPr>
          <w:rFonts w:cstheme="majorBidi"/>
        </w:rPr>
        <w:t xml:space="preserve">, </w:t>
      </w:r>
      <w:r w:rsidRPr="00C510B6">
        <w:rPr>
          <w:rFonts w:cstheme="majorBidi"/>
          <w:i/>
          <w:iCs/>
        </w:rPr>
        <w:t>Corporate Finance Institute</w:t>
      </w:r>
      <w:r w:rsidRPr="00C510B6">
        <w:rPr>
          <w:rFonts w:cstheme="majorBidi"/>
        </w:rPr>
        <w:t xml:space="preserve">. Available at: https://corporatefinanceinstitute.com/resources/accounting/limitations-ratio-analysis/ (Accessed: December 3, 2022). </w:t>
      </w:r>
    </w:p>
    <w:p w:rsidR="000F5F0D" w:rsidRPr="00C510B6" w:rsidRDefault="000F5F0D" w:rsidP="00C510B6">
      <w:pPr>
        <w:jc w:val="both"/>
        <w:rPr>
          <w:rFonts w:cstheme="majorBidi"/>
        </w:rPr>
      </w:pPr>
      <w:r w:rsidRPr="00C510B6">
        <w:rPr>
          <w:rFonts w:cstheme="majorBidi"/>
        </w:rPr>
        <w:t xml:space="preserve">Jihadi, M., VILANTIKA, E., HASHEMI, S.M., </w:t>
      </w:r>
      <w:proofErr w:type="spellStart"/>
      <w:r w:rsidRPr="00C510B6">
        <w:rPr>
          <w:rFonts w:cstheme="majorBidi"/>
        </w:rPr>
        <w:t>Arifin</w:t>
      </w:r>
      <w:proofErr w:type="spellEnd"/>
      <w:r w:rsidRPr="00C510B6">
        <w:rPr>
          <w:rFonts w:cstheme="majorBidi"/>
        </w:rPr>
        <w:t xml:space="preserve">, Z., BACHTIAR, Y. and </w:t>
      </w:r>
      <w:proofErr w:type="spellStart"/>
      <w:r w:rsidRPr="00C510B6">
        <w:rPr>
          <w:rFonts w:cstheme="majorBidi"/>
        </w:rPr>
        <w:t>Sholichah</w:t>
      </w:r>
      <w:proofErr w:type="spellEnd"/>
      <w:r w:rsidRPr="00C510B6">
        <w:rPr>
          <w:rFonts w:cstheme="majorBidi"/>
        </w:rPr>
        <w:t>, F. (2021) The effect of liquidity, leverage, and profitability on firm value: Empirical evidence from Indonesia. </w:t>
      </w:r>
      <w:r w:rsidRPr="00C510B6">
        <w:rPr>
          <w:rFonts w:cstheme="majorBidi"/>
          <w:i/>
          <w:iCs/>
        </w:rPr>
        <w:t>The Journal of Asian Finance, Economics and Business</w:t>
      </w:r>
      <w:r w:rsidRPr="00C510B6">
        <w:rPr>
          <w:rFonts w:cstheme="majorBidi"/>
        </w:rPr>
        <w:t>, </w:t>
      </w:r>
      <w:r w:rsidRPr="00C510B6">
        <w:rPr>
          <w:rFonts w:cstheme="majorBidi"/>
          <w:i/>
          <w:iCs/>
        </w:rPr>
        <w:t>8</w:t>
      </w:r>
      <w:r w:rsidRPr="00C510B6">
        <w:rPr>
          <w:rFonts w:cstheme="majorBidi"/>
        </w:rPr>
        <w:t>(3), pp.423-431.</w:t>
      </w:r>
    </w:p>
    <w:p w:rsidR="005B141E" w:rsidRPr="00C510B6" w:rsidRDefault="00EB0D14" w:rsidP="00C510B6">
      <w:pPr>
        <w:jc w:val="both"/>
        <w:rPr>
          <w:rFonts w:cstheme="majorBidi"/>
        </w:rPr>
      </w:pPr>
      <w:proofErr w:type="spellStart"/>
      <w:r w:rsidRPr="00C510B6">
        <w:rPr>
          <w:rFonts w:cstheme="majorBidi"/>
        </w:rPr>
        <w:t>Kadim</w:t>
      </w:r>
      <w:proofErr w:type="spellEnd"/>
      <w:r w:rsidRPr="00C510B6">
        <w:rPr>
          <w:rFonts w:cstheme="majorBidi"/>
        </w:rPr>
        <w:t xml:space="preserve">, A., </w:t>
      </w:r>
      <w:proofErr w:type="spellStart"/>
      <w:r w:rsidRPr="00C510B6">
        <w:rPr>
          <w:rFonts w:cstheme="majorBidi"/>
        </w:rPr>
        <w:t>Sunardi</w:t>
      </w:r>
      <w:proofErr w:type="spellEnd"/>
      <w:r w:rsidRPr="00C510B6">
        <w:rPr>
          <w:rFonts w:cstheme="majorBidi"/>
        </w:rPr>
        <w:t>, N. and Husain, T</w:t>
      </w:r>
      <w:r w:rsidR="000F5F0D" w:rsidRPr="00C510B6">
        <w:rPr>
          <w:rFonts w:cstheme="majorBidi"/>
        </w:rPr>
        <w:t>. (2020)</w:t>
      </w:r>
      <w:r w:rsidRPr="00C510B6">
        <w:rPr>
          <w:rFonts w:cstheme="majorBidi"/>
        </w:rPr>
        <w:t xml:space="preserve"> The </w:t>
      </w:r>
      <w:proofErr w:type="spellStart"/>
      <w:r w:rsidRPr="00C510B6">
        <w:rPr>
          <w:rFonts w:cstheme="majorBidi"/>
        </w:rPr>
        <w:t>modeling</w:t>
      </w:r>
      <w:proofErr w:type="spellEnd"/>
      <w:r w:rsidRPr="00C510B6">
        <w:rPr>
          <w:rFonts w:cstheme="majorBidi"/>
        </w:rPr>
        <w:t xml:space="preserve"> firm's value based on financial ratios, intellectual capital and dividend policy. </w:t>
      </w:r>
      <w:r w:rsidRPr="00C510B6">
        <w:rPr>
          <w:rFonts w:cstheme="majorBidi"/>
          <w:i/>
          <w:iCs/>
        </w:rPr>
        <w:t>Accounting</w:t>
      </w:r>
      <w:r w:rsidRPr="00C510B6">
        <w:rPr>
          <w:rFonts w:cstheme="majorBidi"/>
        </w:rPr>
        <w:t>, </w:t>
      </w:r>
      <w:r w:rsidRPr="00C510B6">
        <w:rPr>
          <w:rFonts w:cstheme="majorBidi"/>
          <w:i/>
          <w:iCs/>
        </w:rPr>
        <w:t>6</w:t>
      </w:r>
      <w:r w:rsidRPr="00C510B6">
        <w:rPr>
          <w:rFonts w:cstheme="majorBidi"/>
        </w:rPr>
        <w:t>(5), pp.859-870.</w:t>
      </w:r>
    </w:p>
    <w:p w:rsidR="00057671" w:rsidRPr="00C510B6" w:rsidRDefault="00EB0D14" w:rsidP="00C510B6">
      <w:pPr>
        <w:jc w:val="both"/>
        <w:rPr>
          <w:rFonts w:cstheme="majorBidi"/>
        </w:rPr>
      </w:pPr>
      <w:proofErr w:type="spellStart"/>
      <w:r w:rsidRPr="00C510B6">
        <w:rPr>
          <w:rFonts w:cstheme="majorBidi"/>
        </w:rPr>
        <w:t>Kariyawasam</w:t>
      </w:r>
      <w:proofErr w:type="spellEnd"/>
      <w:r w:rsidRPr="00C510B6">
        <w:rPr>
          <w:rFonts w:cstheme="majorBidi"/>
        </w:rPr>
        <w:t>, H.N</w:t>
      </w:r>
      <w:r w:rsidR="000F5F0D" w:rsidRPr="00C510B6">
        <w:rPr>
          <w:rFonts w:cstheme="majorBidi"/>
        </w:rPr>
        <w:t>. (2019)</w:t>
      </w:r>
      <w:r w:rsidRPr="00C510B6">
        <w:rPr>
          <w:rFonts w:cstheme="majorBidi"/>
        </w:rPr>
        <w:t xml:space="preserve"> Analysing the impact of financial ratios on a company’s financial performance. </w:t>
      </w:r>
      <w:r w:rsidRPr="00C510B6">
        <w:rPr>
          <w:rFonts w:cstheme="majorBidi"/>
          <w:i/>
          <w:iCs/>
        </w:rPr>
        <w:t>International Journal of Management Excellence</w:t>
      </w:r>
      <w:r w:rsidRPr="00C510B6">
        <w:rPr>
          <w:rFonts w:cstheme="majorBidi"/>
        </w:rPr>
        <w:t>, </w:t>
      </w:r>
      <w:r w:rsidRPr="00C510B6">
        <w:rPr>
          <w:rFonts w:cstheme="majorBidi"/>
          <w:i/>
          <w:iCs/>
        </w:rPr>
        <w:t>13</w:t>
      </w:r>
      <w:r w:rsidRPr="00C510B6">
        <w:rPr>
          <w:rFonts w:cstheme="majorBidi"/>
        </w:rPr>
        <w:t>(1), pp.1898-1903.</w:t>
      </w:r>
    </w:p>
    <w:p w:rsidR="00057671" w:rsidRPr="00C510B6" w:rsidRDefault="00EB0D14" w:rsidP="00C510B6">
      <w:pPr>
        <w:jc w:val="both"/>
        <w:rPr>
          <w:rFonts w:cstheme="majorBidi"/>
        </w:rPr>
      </w:pPr>
      <w:proofErr w:type="spellStart"/>
      <w:r w:rsidRPr="00C510B6">
        <w:rPr>
          <w:rFonts w:cstheme="majorBidi"/>
        </w:rPr>
        <w:t>Macrotrends</w:t>
      </w:r>
      <w:proofErr w:type="spellEnd"/>
      <w:r w:rsidR="000F5F0D" w:rsidRPr="00C510B6">
        <w:rPr>
          <w:rFonts w:cstheme="majorBidi"/>
        </w:rPr>
        <w:t>.</w:t>
      </w:r>
      <w:r w:rsidRPr="00C510B6">
        <w:rPr>
          <w:rFonts w:cstheme="majorBidi"/>
        </w:rPr>
        <w:t xml:space="preserve"> (2022) </w:t>
      </w:r>
      <w:r w:rsidRPr="00C510B6">
        <w:rPr>
          <w:rFonts w:cstheme="majorBidi"/>
          <w:i/>
          <w:iCs/>
        </w:rPr>
        <w:t>Marriott financial ratios for analysis 2009-2022: Mar</w:t>
      </w:r>
      <w:r w:rsidRPr="00C510B6">
        <w:rPr>
          <w:rFonts w:cstheme="majorBidi"/>
        </w:rPr>
        <w:t xml:space="preserve">, </w:t>
      </w:r>
      <w:proofErr w:type="spellStart"/>
      <w:r w:rsidRPr="00C510B6">
        <w:rPr>
          <w:rFonts w:cstheme="majorBidi"/>
          <w:i/>
          <w:iCs/>
        </w:rPr>
        <w:t>Macrotrends</w:t>
      </w:r>
      <w:proofErr w:type="spellEnd"/>
      <w:r w:rsidRPr="00C510B6">
        <w:rPr>
          <w:rFonts w:cstheme="majorBidi"/>
        </w:rPr>
        <w:t xml:space="preserve">. Available at: https://www.macrotrends.net/stocks/charts/MAR/marriott/financial-ratios (Accessed: December 3, 2022). </w:t>
      </w:r>
    </w:p>
    <w:p w:rsidR="00057671" w:rsidRPr="00C510B6" w:rsidRDefault="00EB0D14" w:rsidP="00C510B6">
      <w:pPr>
        <w:jc w:val="both"/>
        <w:rPr>
          <w:rFonts w:cstheme="majorBidi"/>
        </w:rPr>
      </w:pPr>
      <w:r w:rsidRPr="00C510B6">
        <w:rPr>
          <w:rFonts w:cstheme="majorBidi"/>
        </w:rPr>
        <w:t>Marriott International</w:t>
      </w:r>
      <w:r w:rsidR="000F5F0D" w:rsidRPr="00C510B6">
        <w:rPr>
          <w:rFonts w:cstheme="majorBidi"/>
        </w:rPr>
        <w:t>.</w:t>
      </w:r>
      <w:r w:rsidRPr="00C510B6">
        <w:rPr>
          <w:rFonts w:cstheme="majorBidi"/>
        </w:rPr>
        <w:t xml:space="preserve"> (2022) </w:t>
      </w:r>
      <w:r w:rsidRPr="00C510B6">
        <w:rPr>
          <w:rFonts w:cstheme="majorBidi"/>
          <w:i/>
          <w:iCs/>
        </w:rPr>
        <w:t>Marriott International, inc..</w:t>
      </w:r>
      <w:r w:rsidRPr="00C510B6">
        <w:rPr>
          <w:rFonts w:cstheme="majorBidi"/>
        </w:rPr>
        <w:t xml:space="preserve">, </w:t>
      </w:r>
      <w:r w:rsidRPr="00C510B6">
        <w:rPr>
          <w:rFonts w:cstheme="majorBidi"/>
          <w:i/>
          <w:iCs/>
        </w:rPr>
        <w:t>Marriott International</w:t>
      </w:r>
      <w:r w:rsidRPr="00C510B6">
        <w:rPr>
          <w:rFonts w:cstheme="majorBidi"/>
        </w:rPr>
        <w:t xml:space="preserve">. Available at: https://www.marriott.com/marriott/aboutmarriott.mi (Accessed: December 3, 2022). </w:t>
      </w:r>
    </w:p>
    <w:p w:rsidR="00666A46" w:rsidRPr="00C510B6" w:rsidRDefault="00EB0D14" w:rsidP="00C510B6">
      <w:pPr>
        <w:jc w:val="both"/>
        <w:rPr>
          <w:rFonts w:cstheme="majorBidi"/>
        </w:rPr>
      </w:pPr>
      <w:proofErr w:type="spellStart"/>
      <w:r w:rsidRPr="00C510B6">
        <w:rPr>
          <w:rFonts w:cstheme="majorBidi"/>
        </w:rPr>
        <w:t>Pattiruhu</w:t>
      </w:r>
      <w:proofErr w:type="spellEnd"/>
      <w:r w:rsidRPr="00C510B6">
        <w:rPr>
          <w:rFonts w:cstheme="majorBidi"/>
        </w:rPr>
        <w:t xml:space="preserve">, J.R. and </w:t>
      </w:r>
      <w:proofErr w:type="spellStart"/>
      <w:r w:rsidRPr="00C510B6">
        <w:rPr>
          <w:rFonts w:cstheme="majorBidi"/>
        </w:rPr>
        <w:t>Paais</w:t>
      </w:r>
      <w:proofErr w:type="spellEnd"/>
      <w:r w:rsidRPr="00C510B6">
        <w:rPr>
          <w:rFonts w:cstheme="majorBidi"/>
        </w:rPr>
        <w:t>, M</w:t>
      </w:r>
      <w:r w:rsidR="000F5F0D" w:rsidRPr="00C510B6">
        <w:rPr>
          <w:rFonts w:cstheme="majorBidi"/>
        </w:rPr>
        <w:t>. (2020)</w:t>
      </w:r>
      <w:r w:rsidRPr="00C510B6">
        <w:rPr>
          <w:rFonts w:cstheme="majorBidi"/>
        </w:rPr>
        <w:t xml:space="preserve"> Effect of liquidity, profitability, leverage, and firm size on dividend policy. </w:t>
      </w:r>
      <w:r w:rsidRPr="00C510B6">
        <w:rPr>
          <w:rFonts w:cstheme="majorBidi"/>
          <w:i/>
          <w:iCs/>
        </w:rPr>
        <w:t>The Journal of Asian Finance, Economics and Business</w:t>
      </w:r>
      <w:r w:rsidRPr="00C510B6">
        <w:rPr>
          <w:rFonts w:cstheme="majorBidi"/>
        </w:rPr>
        <w:t>, </w:t>
      </w:r>
      <w:r w:rsidRPr="00C510B6">
        <w:rPr>
          <w:rFonts w:cstheme="majorBidi"/>
          <w:i/>
          <w:iCs/>
        </w:rPr>
        <w:t>7</w:t>
      </w:r>
      <w:r w:rsidRPr="00C510B6">
        <w:rPr>
          <w:rFonts w:cstheme="majorBidi"/>
        </w:rPr>
        <w:t>(10), pp.35-42.</w:t>
      </w:r>
    </w:p>
    <w:p w:rsidR="00720DDE" w:rsidRPr="00C510B6" w:rsidRDefault="00EB0D14" w:rsidP="00C510B6">
      <w:pPr>
        <w:jc w:val="both"/>
        <w:rPr>
          <w:rFonts w:cstheme="majorBidi"/>
        </w:rPr>
      </w:pPr>
      <w:proofErr w:type="spellStart"/>
      <w:r w:rsidRPr="00C510B6">
        <w:rPr>
          <w:rFonts w:cstheme="majorBidi"/>
        </w:rPr>
        <w:t>Restianti</w:t>
      </w:r>
      <w:proofErr w:type="spellEnd"/>
      <w:r w:rsidRPr="00C510B6">
        <w:rPr>
          <w:rFonts w:cstheme="majorBidi"/>
        </w:rPr>
        <w:t xml:space="preserve">, T. and </w:t>
      </w:r>
      <w:proofErr w:type="spellStart"/>
      <w:r w:rsidRPr="00C510B6">
        <w:rPr>
          <w:rFonts w:cstheme="majorBidi"/>
        </w:rPr>
        <w:t>Agustina</w:t>
      </w:r>
      <w:proofErr w:type="spellEnd"/>
      <w:r w:rsidRPr="00C510B6">
        <w:rPr>
          <w:rFonts w:cstheme="majorBidi"/>
        </w:rPr>
        <w:t>, L</w:t>
      </w:r>
      <w:r w:rsidR="000F5F0D" w:rsidRPr="00C510B6">
        <w:rPr>
          <w:rFonts w:cstheme="majorBidi"/>
        </w:rPr>
        <w:t>. (2018)</w:t>
      </w:r>
      <w:r w:rsidRPr="00C510B6">
        <w:rPr>
          <w:rFonts w:cstheme="majorBidi"/>
        </w:rPr>
        <w:t xml:space="preserve"> The effect of financial ratios on financial distress conditions in sub industrial sector company. </w:t>
      </w:r>
      <w:r w:rsidRPr="00C510B6">
        <w:rPr>
          <w:rFonts w:cstheme="majorBidi"/>
          <w:i/>
          <w:iCs/>
        </w:rPr>
        <w:t>Accounting Analysis Journal</w:t>
      </w:r>
      <w:r w:rsidRPr="00C510B6">
        <w:rPr>
          <w:rFonts w:cstheme="majorBidi"/>
        </w:rPr>
        <w:t>, </w:t>
      </w:r>
      <w:r w:rsidRPr="00C510B6">
        <w:rPr>
          <w:rFonts w:cstheme="majorBidi"/>
          <w:i/>
          <w:iCs/>
        </w:rPr>
        <w:t>7</w:t>
      </w:r>
      <w:r w:rsidRPr="00C510B6">
        <w:rPr>
          <w:rFonts w:cstheme="majorBidi"/>
        </w:rPr>
        <w:t>(1), pp.25-33.</w:t>
      </w:r>
    </w:p>
    <w:p w:rsidR="000F5F0D" w:rsidRPr="00C510B6" w:rsidRDefault="00EB0D14" w:rsidP="00C510B6">
      <w:pPr>
        <w:jc w:val="both"/>
        <w:rPr>
          <w:rFonts w:cstheme="majorBidi"/>
        </w:rPr>
      </w:pPr>
      <w:r w:rsidRPr="00C510B6">
        <w:rPr>
          <w:rFonts w:cstheme="majorBidi"/>
        </w:rPr>
        <w:t>Robinson, T.R. (2020) </w:t>
      </w:r>
      <w:r w:rsidRPr="00C510B6">
        <w:rPr>
          <w:rFonts w:cstheme="majorBidi"/>
          <w:i/>
          <w:iCs/>
        </w:rPr>
        <w:t>International financial statement analysis</w:t>
      </w:r>
      <w:r w:rsidRPr="00C510B6">
        <w:rPr>
          <w:rFonts w:cstheme="majorBidi"/>
        </w:rPr>
        <w:t>. John Wiley &amp; Sons.</w:t>
      </w:r>
    </w:p>
    <w:p w:rsidR="00AA3E8D" w:rsidRPr="00C510B6" w:rsidRDefault="000F5F0D" w:rsidP="00C510B6">
      <w:pPr>
        <w:jc w:val="both"/>
        <w:rPr>
          <w:rFonts w:cstheme="majorBidi"/>
        </w:rPr>
      </w:pPr>
      <w:proofErr w:type="spellStart"/>
      <w:r w:rsidRPr="00C510B6">
        <w:rPr>
          <w:rFonts w:cstheme="majorBidi"/>
        </w:rPr>
        <w:t>Sadi’ah</w:t>
      </w:r>
      <w:proofErr w:type="spellEnd"/>
      <w:r w:rsidRPr="00C510B6">
        <w:rPr>
          <w:rFonts w:cstheme="majorBidi"/>
        </w:rPr>
        <w:t>, K. (2018) The effect of corporate financial ratio upon the company value. </w:t>
      </w:r>
      <w:r w:rsidRPr="00C510B6">
        <w:rPr>
          <w:rFonts w:cstheme="majorBidi"/>
          <w:i/>
          <w:iCs/>
        </w:rPr>
        <w:t xml:space="preserve">The Accounting Journal of </w:t>
      </w:r>
      <w:proofErr w:type="spellStart"/>
      <w:r w:rsidRPr="00C510B6">
        <w:rPr>
          <w:rFonts w:cstheme="majorBidi"/>
          <w:i/>
          <w:iCs/>
        </w:rPr>
        <w:t>Binaniaga</w:t>
      </w:r>
      <w:proofErr w:type="spellEnd"/>
      <w:r w:rsidRPr="00C510B6">
        <w:rPr>
          <w:rFonts w:cstheme="majorBidi"/>
        </w:rPr>
        <w:t>, </w:t>
      </w:r>
      <w:r w:rsidRPr="00C510B6">
        <w:rPr>
          <w:rFonts w:cstheme="majorBidi"/>
          <w:i/>
          <w:iCs/>
        </w:rPr>
        <w:t>3</w:t>
      </w:r>
      <w:r w:rsidRPr="00C510B6">
        <w:rPr>
          <w:rFonts w:cstheme="majorBidi"/>
        </w:rPr>
        <w:t>(02), pp.75-88.</w:t>
      </w:r>
    </w:p>
    <w:sectPr w:rsidR="00AA3E8D" w:rsidRPr="00C510B6" w:rsidSect="007C0E6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26D8" w:rsidRDefault="00B326D8" w:rsidP="00AA3E8D">
      <w:pPr>
        <w:spacing w:after="0" w:line="240" w:lineRule="auto"/>
      </w:pPr>
      <w:r>
        <w:separator/>
      </w:r>
    </w:p>
  </w:endnote>
  <w:endnote w:type="continuationSeparator" w:id="0">
    <w:p w:rsidR="00B326D8" w:rsidRDefault="00B326D8" w:rsidP="00AA3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562188"/>
      <w:docPartObj>
        <w:docPartGallery w:val="Page Numbers (Bottom of Page)"/>
        <w:docPartUnique/>
      </w:docPartObj>
    </w:sdtPr>
    <w:sdtEndPr/>
    <w:sdtContent>
      <w:p w:rsidR="002A64E1" w:rsidRDefault="0046218E">
        <w:pPr>
          <w:pStyle w:val="Subsol"/>
          <w:jc w:val="right"/>
        </w:pPr>
        <w:r>
          <w:fldChar w:fldCharType="begin"/>
        </w:r>
        <w:r>
          <w:instrText xml:space="preserve"> PAGE   \* MERGEFORMAT </w:instrText>
        </w:r>
        <w:r>
          <w:fldChar w:fldCharType="separate"/>
        </w:r>
        <w:r w:rsidR="001E24B1">
          <w:rPr>
            <w:noProof/>
          </w:rPr>
          <w:t>1</w:t>
        </w:r>
        <w:r>
          <w:rPr>
            <w:noProof/>
          </w:rPr>
          <w:fldChar w:fldCharType="end"/>
        </w:r>
      </w:p>
    </w:sdtContent>
  </w:sdt>
  <w:p w:rsidR="002A64E1" w:rsidRDefault="002A64E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26D8" w:rsidRDefault="00B326D8" w:rsidP="00AA3E8D">
      <w:pPr>
        <w:spacing w:after="0" w:line="240" w:lineRule="auto"/>
      </w:pPr>
      <w:r>
        <w:separator/>
      </w:r>
    </w:p>
  </w:footnote>
  <w:footnote w:type="continuationSeparator" w:id="0">
    <w:p w:rsidR="00B326D8" w:rsidRDefault="00B326D8" w:rsidP="00AA3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21C51"/>
    <w:multiLevelType w:val="hybridMultilevel"/>
    <w:tmpl w:val="F8D80A7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04781D"/>
    <w:multiLevelType w:val="hybridMultilevel"/>
    <w:tmpl w:val="9DEA85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E61E93"/>
    <w:multiLevelType w:val="hybridMultilevel"/>
    <w:tmpl w:val="86FA951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377507"/>
    <w:multiLevelType w:val="hybridMultilevel"/>
    <w:tmpl w:val="F8D80A7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B00B37"/>
    <w:multiLevelType w:val="hybridMultilevel"/>
    <w:tmpl w:val="917EFD6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9E0CC0"/>
    <w:multiLevelType w:val="hybridMultilevel"/>
    <w:tmpl w:val="BB36B0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AB4090"/>
    <w:multiLevelType w:val="hybridMultilevel"/>
    <w:tmpl w:val="285CD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5917295">
    <w:abstractNumId w:val="6"/>
  </w:num>
  <w:num w:numId="2" w16cid:durableId="2091927904">
    <w:abstractNumId w:val="0"/>
  </w:num>
  <w:num w:numId="3" w16cid:durableId="585505618">
    <w:abstractNumId w:val="4"/>
  </w:num>
  <w:num w:numId="4" w16cid:durableId="2139716487">
    <w:abstractNumId w:val="2"/>
  </w:num>
  <w:num w:numId="5" w16cid:durableId="730277336">
    <w:abstractNumId w:val="3"/>
  </w:num>
  <w:num w:numId="6" w16cid:durableId="100758216">
    <w:abstractNumId w:val="5"/>
  </w:num>
  <w:num w:numId="7" w16cid:durableId="12459165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activeWritingStyle w:appName="MSWord" w:lang="en-GB" w:vendorID="64" w:dllVersion="6" w:nlCheck="1" w:checkStyle="0"/>
  <w:activeWritingStyle w:appName="MSWord" w:lang="en-US" w:vendorID="64" w:dllVersion="6" w:nlCheck="1" w:checkStyle="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E8D"/>
    <w:rsid w:val="000055D5"/>
    <w:rsid w:val="000151B6"/>
    <w:rsid w:val="0002023A"/>
    <w:rsid w:val="000528CD"/>
    <w:rsid w:val="00093C32"/>
    <w:rsid w:val="000A776B"/>
    <w:rsid w:val="000C5A6F"/>
    <w:rsid w:val="000E1D10"/>
    <w:rsid w:val="000F5F0D"/>
    <w:rsid w:val="001279A8"/>
    <w:rsid w:val="001472A1"/>
    <w:rsid w:val="00155113"/>
    <w:rsid w:val="0015646A"/>
    <w:rsid w:val="00157ED0"/>
    <w:rsid w:val="00163D01"/>
    <w:rsid w:val="001805AF"/>
    <w:rsid w:val="00181C1F"/>
    <w:rsid w:val="001E11D6"/>
    <w:rsid w:val="001E24B1"/>
    <w:rsid w:val="00246CAC"/>
    <w:rsid w:val="002573E5"/>
    <w:rsid w:val="002827A2"/>
    <w:rsid w:val="00283BEB"/>
    <w:rsid w:val="002A503A"/>
    <w:rsid w:val="002A64E1"/>
    <w:rsid w:val="002B4A0B"/>
    <w:rsid w:val="002D5C9F"/>
    <w:rsid w:val="002E05F3"/>
    <w:rsid w:val="002E655D"/>
    <w:rsid w:val="00361DA0"/>
    <w:rsid w:val="00397BDC"/>
    <w:rsid w:val="003D5B4C"/>
    <w:rsid w:val="0041250B"/>
    <w:rsid w:val="0049418C"/>
    <w:rsid w:val="004F6E91"/>
    <w:rsid w:val="0050408F"/>
    <w:rsid w:val="00525B15"/>
    <w:rsid w:val="00527848"/>
    <w:rsid w:val="00542C33"/>
    <w:rsid w:val="00562275"/>
    <w:rsid w:val="0059424C"/>
    <w:rsid w:val="005A03D5"/>
    <w:rsid w:val="005C4602"/>
    <w:rsid w:val="005D2CB1"/>
    <w:rsid w:val="006024AC"/>
    <w:rsid w:val="00614549"/>
    <w:rsid w:val="006166B1"/>
    <w:rsid w:val="0062102C"/>
    <w:rsid w:val="00627AC5"/>
    <w:rsid w:val="00681F8C"/>
    <w:rsid w:val="006B6B0F"/>
    <w:rsid w:val="006F7B61"/>
    <w:rsid w:val="00787C38"/>
    <w:rsid w:val="007B0B26"/>
    <w:rsid w:val="007C0E6F"/>
    <w:rsid w:val="008047AE"/>
    <w:rsid w:val="00837898"/>
    <w:rsid w:val="00841EC4"/>
    <w:rsid w:val="00920F6F"/>
    <w:rsid w:val="00943149"/>
    <w:rsid w:val="0094720B"/>
    <w:rsid w:val="0098564B"/>
    <w:rsid w:val="009B0768"/>
    <w:rsid w:val="009F0E39"/>
    <w:rsid w:val="00A0724F"/>
    <w:rsid w:val="00A132CB"/>
    <w:rsid w:val="00A34110"/>
    <w:rsid w:val="00A67782"/>
    <w:rsid w:val="00A81757"/>
    <w:rsid w:val="00AA3E8D"/>
    <w:rsid w:val="00AD0BC6"/>
    <w:rsid w:val="00AE606F"/>
    <w:rsid w:val="00B01F62"/>
    <w:rsid w:val="00B326D8"/>
    <w:rsid w:val="00B652BA"/>
    <w:rsid w:val="00B85790"/>
    <w:rsid w:val="00BA121B"/>
    <w:rsid w:val="00BA43AD"/>
    <w:rsid w:val="00BA7A84"/>
    <w:rsid w:val="00BD7DB3"/>
    <w:rsid w:val="00BE735C"/>
    <w:rsid w:val="00C262F8"/>
    <w:rsid w:val="00C510B6"/>
    <w:rsid w:val="00C57485"/>
    <w:rsid w:val="00C80AB6"/>
    <w:rsid w:val="00C904A8"/>
    <w:rsid w:val="00CE73C1"/>
    <w:rsid w:val="00CF7734"/>
    <w:rsid w:val="00D2527C"/>
    <w:rsid w:val="00DA51AF"/>
    <w:rsid w:val="00DE22A5"/>
    <w:rsid w:val="00DE572A"/>
    <w:rsid w:val="00DF7DCF"/>
    <w:rsid w:val="00E22A6F"/>
    <w:rsid w:val="00E327D5"/>
    <w:rsid w:val="00E32FBF"/>
    <w:rsid w:val="00E56152"/>
    <w:rsid w:val="00E7787E"/>
    <w:rsid w:val="00E90007"/>
    <w:rsid w:val="00EB0D14"/>
    <w:rsid w:val="00EC360B"/>
    <w:rsid w:val="00EE369B"/>
    <w:rsid w:val="00F8325E"/>
    <w:rsid w:val="00F85067"/>
    <w:rsid w:val="00F85EDB"/>
    <w:rsid w:val="00F85F94"/>
    <w:rsid w:val="00FB41D0"/>
    <w:rsid w:val="00FB684D"/>
    <w:rsid w:val="00FC182F"/>
    <w:rsid w:val="00FF1D13"/>
    <w:rsid w:val="00FF60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5555065"/>
  <w15:docId w15:val="{05CEE038-C32E-9349-BA0A-06858A7F1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46A"/>
    <w:pPr>
      <w:spacing w:line="360" w:lineRule="auto"/>
    </w:pPr>
    <w:rPr>
      <w:rFonts w:asciiTheme="majorBidi" w:hAnsiTheme="majorBidi"/>
      <w:sz w:val="24"/>
    </w:rPr>
  </w:style>
  <w:style w:type="paragraph" w:styleId="Titlu1">
    <w:name w:val="heading 1"/>
    <w:basedOn w:val="Normal"/>
    <w:next w:val="Normal"/>
    <w:link w:val="Titlu1Caracter"/>
    <w:uiPriority w:val="9"/>
    <w:qFormat/>
    <w:rsid w:val="00AA3E8D"/>
    <w:pPr>
      <w:keepNext/>
      <w:keepLines/>
      <w:spacing w:before="480" w:after="0"/>
      <w:outlineLvl w:val="0"/>
    </w:pPr>
    <w:rPr>
      <w:rFonts w:eastAsiaTheme="majorEastAsia" w:cstheme="majorBidi"/>
      <w:bCs/>
      <w:color w:val="0070C0"/>
      <w:sz w:val="32"/>
      <w:szCs w:val="28"/>
    </w:rPr>
  </w:style>
  <w:style w:type="paragraph" w:styleId="Titlu2">
    <w:name w:val="heading 2"/>
    <w:basedOn w:val="Normal"/>
    <w:next w:val="Normal"/>
    <w:link w:val="Titlu2Caracter"/>
    <w:uiPriority w:val="9"/>
    <w:semiHidden/>
    <w:unhideWhenUsed/>
    <w:qFormat/>
    <w:rsid w:val="0015646A"/>
    <w:pPr>
      <w:keepNext/>
      <w:keepLines/>
      <w:spacing w:before="200" w:after="0"/>
      <w:outlineLvl w:val="1"/>
    </w:pPr>
    <w:rPr>
      <w:rFonts w:eastAsiaTheme="majorEastAsia" w:cstheme="majorBidi"/>
      <w:b/>
      <w:bCs/>
      <w:szCs w:val="26"/>
    </w:rPr>
  </w:style>
  <w:style w:type="paragraph" w:styleId="Titlu3">
    <w:name w:val="heading 3"/>
    <w:basedOn w:val="Normal"/>
    <w:next w:val="Normal"/>
    <w:link w:val="Titlu3Caracter"/>
    <w:uiPriority w:val="9"/>
    <w:unhideWhenUsed/>
    <w:qFormat/>
    <w:rsid w:val="00FF60B1"/>
    <w:pPr>
      <w:keepNext/>
      <w:keepLines/>
      <w:spacing w:before="200" w:after="0"/>
      <w:outlineLvl w:val="2"/>
    </w:pPr>
    <w:rPr>
      <w:rFonts w:eastAsiaTheme="majorEastAsia" w:cstheme="majorBidi"/>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A3E8D"/>
    <w:rPr>
      <w:rFonts w:asciiTheme="majorBidi" w:eastAsiaTheme="majorEastAsia" w:hAnsiTheme="majorBidi" w:cstheme="majorBidi"/>
      <w:bCs/>
      <w:color w:val="0070C0"/>
      <w:sz w:val="32"/>
      <w:szCs w:val="28"/>
    </w:rPr>
  </w:style>
  <w:style w:type="character" w:customStyle="1" w:styleId="Titlu2Caracter">
    <w:name w:val="Titlu 2 Caracter"/>
    <w:basedOn w:val="Fontdeparagrafimplicit"/>
    <w:link w:val="Titlu2"/>
    <w:uiPriority w:val="9"/>
    <w:semiHidden/>
    <w:rsid w:val="0015646A"/>
    <w:rPr>
      <w:rFonts w:asciiTheme="majorBidi" w:eastAsiaTheme="majorEastAsia" w:hAnsiTheme="majorBidi" w:cstheme="majorBidi"/>
      <w:b/>
      <w:bCs/>
      <w:sz w:val="24"/>
      <w:szCs w:val="26"/>
    </w:rPr>
  </w:style>
  <w:style w:type="character" w:customStyle="1" w:styleId="Titlu3Caracter">
    <w:name w:val="Titlu 3 Caracter"/>
    <w:basedOn w:val="Fontdeparagrafimplicit"/>
    <w:link w:val="Titlu3"/>
    <w:uiPriority w:val="9"/>
    <w:rsid w:val="00FF60B1"/>
    <w:rPr>
      <w:rFonts w:asciiTheme="majorBidi" w:eastAsiaTheme="majorEastAsia" w:hAnsiTheme="majorBidi" w:cstheme="majorBidi"/>
      <w:b/>
      <w:bCs/>
      <w:sz w:val="24"/>
    </w:rPr>
  </w:style>
  <w:style w:type="paragraph" w:styleId="Legend">
    <w:name w:val="caption"/>
    <w:basedOn w:val="Normal"/>
    <w:next w:val="Normal"/>
    <w:uiPriority w:val="35"/>
    <w:unhideWhenUsed/>
    <w:qFormat/>
    <w:rsid w:val="00BA121B"/>
    <w:rPr>
      <w:b/>
      <w:bCs/>
      <w:szCs w:val="18"/>
    </w:rPr>
  </w:style>
  <w:style w:type="paragraph" w:styleId="Listparagraf">
    <w:name w:val="List Paragraph"/>
    <w:basedOn w:val="Normal"/>
    <w:uiPriority w:val="34"/>
    <w:qFormat/>
    <w:rsid w:val="00525B15"/>
    <w:pPr>
      <w:ind w:left="720"/>
      <w:contextualSpacing/>
    </w:pPr>
  </w:style>
  <w:style w:type="paragraph" w:styleId="Antet">
    <w:name w:val="header"/>
    <w:basedOn w:val="Normal"/>
    <w:link w:val="AntetCaracter"/>
    <w:uiPriority w:val="99"/>
    <w:semiHidden/>
    <w:unhideWhenUsed/>
    <w:rsid w:val="00AA3E8D"/>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AA3E8D"/>
    <w:rPr>
      <w:rFonts w:asciiTheme="majorBidi" w:hAnsiTheme="majorBidi"/>
      <w:sz w:val="24"/>
    </w:rPr>
  </w:style>
  <w:style w:type="paragraph" w:styleId="Subsol">
    <w:name w:val="footer"/>
    <w:basedOn w:val="Normal"/>
    <w:link w:val="SubsolCaracter"/>
    <w:uiPriority w:val="99"/>
    <w:unhideWhenUsed/>
    <w:rsid w:val="00AA3E8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A3E8D"/>
    <w:rPr>
      <w:rFonts w:asciiTheme="majorBidi" w:hAnsiTheme="majorBidi"/>
      <w:sz w:val="24"/>
    </w:rPr>
  </w:style>
  <w:style w:type="paragraph" w:styleId="Frspaiere">
    <w:name w:val="No Spacing"/>
    <w:uiPriority w:val="1"/>
    <w:qFormat/>
    <w:rsid w:val="00AA3E8D"/>
    <w:pPr>
      <w:spacing w:after="0" w:line="240" w:lineRule="auto"/>
    </w:pPr>
    <w:rPr>
      <w:rFonts w:asciiTheme="majorBidi" w:hAnsiTheme="majorBidi"/>
      <w:sz w:val="24"/>
    </w:rPr>
  </w:style>
  <w:style w:type="paragraph" w:styleId="TextnBalon">
    <w:name w:val="Balloon Text"/>
    <w:basedOn w:val="Normal"/>
    <w:link w:val="TextnBalonCaracter"/>
    <w:uiPriority w:val="99"/>
    <w:semiHidden/>
    <w:unhideWhenUsed/>
    <w:rsid w:val="00AA3E8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A3E8D"/>
    <w:rPr>
      <w:rFonts w:ascii="Tahoma" w:hAnsi="Tahoma" w:cs="Tahoma"/>
      <w:sz w:val="16"/>
      <w:szCs w:val="16"/>
    </w:rPr>
  </w:style>
  <w:style w:type="table" w:styleId="Tabelgril">
    <w:name w:val="Table Grid"/>
    <w:basedOn w:val="TabelNormal"/>
    <w:uiPriority w:val="59"/>
    <w:rsid w:val="000151B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eldefiguri">
    <w:name w:val="table of figures"/>
    <w:basedOn w:val="Normal"/>
    <w:next w:val="Normal"/>
    <w:uiPriority w:val="99"/>
    <w:unhideWhenUsed/>
    <w:rsid w:val="000F5F0D"/>
    <w:pPr>
      <w:spacing w:after="0"/>
    </w:pPr>
  </w:style>
  <w:style w:type="character" w:styleId="Hyperlink">
    <w:name w:val="Hyperlink"/>
    <w:basedOn w:val="Fontdeparagrafimplicit"/>
    <w:uiPriority w:val="99"/>
    <w:unhideWhenUsed/>
    <w:rsid w:val="000F5F0D"/>
    <w:rPr>
      <w:color w:val="0000FF" w:themeColor="hyperlink"/>
      <w:u w:val="single"/>
    </w:rPr>
  </w:style>
  <w:style w:type="character" w:styleId="MeniuneNerezolvat">
    <w:name w:val="Unresolved Mention"/>
    <w:basedOn w:val="Fontdeparagrafimplicit"/>
    <w:uiPriority w:val="99"/>
    <w:semiHidden/>
    <w:unhideWhenUsed/>
    <w:rsid w:val="00920F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hart" Target="charts/chart4.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chart" Target="charts/chart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chart" Target="charts/chart1.xml" /><Relationship Id="rId4" Type="http://schemas.openxmlformats.org/officeDocument/2006/relationships/settings" Target="settings.xml" /><Relationship Id="rId9" Type="http://schemas.openxmlformats.org/officeDocument/2006/relationships/hyperlink" Target="mailto:2025565@student.uwtsd.ac.uk" TargetMode="External" /><Relationship Id="rId14" Type="http://schemas.openxmlformats.org/officeDocument/2006/relationships/footer" Target="footer1.xml" /></Relationships>
</file>

<file path=word/charts/_rels/chart1.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December\3rd%20Dec\OANA-BMIH5007%20FINANCIAL%20MANAGEMENT%20FOR%20THE%20HOTEL%20INDUSTRY%20A2(UOW)(C1)\Book1.xlsx"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December\3rd%20Dec\OANA-BMIH5007%20FINANCIAL%20MANAGEMENT%20FOR%20THE%20HOTEL%20INDUSTRY%20A2(UOW)(C1)\Book1.xlsx" TargetMode="External" /></Relationships>
</file>

<file path=word/charts/_rels/chart3.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December\3rd%20Dec\OANA-BMIH5007%20FINANCIAL%20MANAGEMENT%20FOR%20THE%20HOTEL%20INDUSTRY%20A2(UOW)(C1)\Book1.xlsx" TargetMode="External" /></Relationships>
</file>

<file path=word/charts/_rels/chart4.xml.rels><?xml version="1.0" encoding="UTF-8" standalone="yes"?>
<Relationships xmlns="http://schemas.openxmlformats.org/package/2006/relationships"><Relationship Id="rId1" Type="http://schemas.openxmlformats.org/officeDocument/2006/relationships/oleObject" Target="file:///C:\Users\mm081\Desktop\locus%20rags-%20work%20from%20home\Permanent%20work%20from%20home\2022\December\3rd%20Dec\OANA-BMIH5007%20FINANCIAL%20MANAGEMENT%20FOR%20THE%20HOTEL%20INDUSTRY%20A2(UOW)(C1)\Book1.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Sheet1!$B$3</c:f>
              <c:strCache>
                <c:ptCount val="1"/>
                <c:pt idx="0">
                  <c:v>2021</c:v>
                </c:pt>
              </c:strCache>
            </c:strRef>
          </c:tx>
          <c:spPr>
            <a:solidFill>
              <a:schemeClr val="accent4">
                <a:lumMod val="75000"/>
              </a:schemeClr>
            </a:solidFill>
          </c:spPr>
          <c:invertIfNegative val="0"/>
          <c:cat>
            <c:strRef>
              <c:f>Sheet1!$A$4:$A$6</c:f>
              <c:strCache>
                <c:ptCount val="3"/>
                <c:pt idx="0">
                  <c:v>Gross margin</c:v>
                </c:pt>
                <c:pt idx="1">
                  <c:v>Operating margin</c:v>
                </c:pt>
                <c:pt idx="2">
                  <c:v>Net profit margin</c:v>
                </c:pt>
              </c:strCache>
            </c:strRef>
          </c:cat>
          <c:val>
            <c:numRef>
              <c:f>Sheet1!$B$4:$B$6</c:f>
              <c:numCache>
                <c:formatCode>General</c:formatCode>
                <c:ptCount val="3"/>
                <c:pt idx="0">
                  <c:v>20.2136</c:v>
                </c:pt>
                <c:pt idx="1">
                  <c:v>12.629</c:v>
                </c:pt>
                <c:pt idx="2">
                  <c:v>7.9310000000000027</c:v>
                </c:pt>
              </c:numCache>
            </c:numRef>
          </c:val>
          <c:extLst>
            <c:ext xmlns:c16="http://schemas.microsoft.com/office/drawing/2014/chart" uri="{C3380CC4-5D6E-409C-BE32-E72D297353CC}">
              <c16:uniqueId val="{00000000-8940-5B4E-AABB-73C46DF11017}"/>
            </c:ext>
          </c:extLst>
        </c:ser>
        <c:ser>
          <c:idx val="1"/>
          <c:order val="1"/>
          <c:tx>
            <c:strRef>
              <c:f>Sheet1!$C$3</c:f>
              <c:strCache>
                <c:ptCount val="1"/>
                <c:pt idx="0">
                  <c:v>2020</c:v>
                </c:pt>
              </c:strCache>
            </c:strRef>
          </c:tx>
          <c:spPr>
            <a:solidFill>
              <a:srgbClr val="92D050"/>
            </a:solidFill>
          </c:spPr>
          <c:invertIfNegative val="0"/>
          <c:cat>
            <c:strRef>
              <c:f>Sheet1!$A$4:$A$6</c:f>
              <c:strCache>
                <c:ptCount val="3"/>
                <c:pt idx="0">
                  <c:v>Gross margin</c:v>
                </c:pt>
                <c:pt idx="1">
                  <c:v>Operating margin</c:v>
                </c:pt>
                <c:pt idx="2">
                  <c:v>Net profit margin</c:v>
                </c:pt>
              </c:strCache>
            </c:strRef>
          </c:cat>
          <c:val>
            <c:numRef>
              <c:f>Sheet1!$C$4:$C$6</c:f>
              <c:numCache>
                <c:formatCode>General</c:formatCode>
                <c:ptCount val="3"/>
                <c:pt idx="0">
                  <c:v>13.8019</c:v>
                </c:pt>
                <c:pt idx="1">
                  <c:v>0.79459999999999997</c:v>
                </c:pt>
                <c:pt idx="2">
                  <c:v>-2.5257999999999998</c:v>
                </c:pt>
              </c:numCache>
            </c:numRef>
          </c:val>
          <c:extLst>
            <c:ext xmlns:c16="http://schemas.microsoft.com/office/drawing/2014/chart" uri="{C3380CC4-5D6E-409C-BE32-E72D297353CC}">
              <c16:uniqueId val="{00000001-8940-5B4E-AABB-73C46DF11017}"/>
            </c:ext>
          </c:extLst>
        </c:ser>
        <c:dLbls>
          <c:showLegendKey val="0"/>
          <c:showVal val="0"/>
          <c:showCatName val="0"/>
          <c:showSerName val="0"/>
          <c:showPercent val="0"/>
          <c:showBubbleSize val="0"/>
        </c:dLbls>
        <c:gapWidth val="150"/>
        <c:shape val="box"/>
        <c:axId val="86112512"/>
        <c:axId val="93455488"/>
        <c:axId val="0"/>
      </c:bar3DChart>
      <c:catAx>
        <c:axId val="86112512"/>
        <c:scaling>
          <c:orientation val="minMax"/>
        </c:scaling>
        <c:delete val="0"/>
        <c:axPos val="b"/>
        <c:numFmt formatCode="General" sourceLinked="0"/>
        <c:majorTickMark val="out"/>
        <c:minorTickMark val="none"/>
        <c:tickLblPos val="nextTo"/>
        <c:crossAx val="93455488"/>
        <c:crosses val="autoZero"/>
        <c:auto val="1"/>
        <c:lblAlgn val="ctr"/>
        <c:lblOffset val="100"/>
        <c:noMultiLvlLbl val="0"/>
      </c:catAx>
      <c:valAx>
        <c:axId val="93455488"/>
        <c:scaling>
          <c:orientation val="minMax"/>
        </c:scaling>
        <c:delete val="0"/>
        <c:axPos val="l"/>
        <c:numFmt formatCode="General" sourceLinked="1"/>
        <c:majorTickMark val="out"/>
        <c:minorTickMark val="none"/>
        <c:tickLblPos val="nextTo"/>
        <c:crossAx val="8611251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Sheet1!$B$3</c:f>
              <c:strCache>
                <c:ptCount val="1"/>
                <c:pt idx="0">
                  <c:v>2021</c:v>
                </c:pt>
              </c:strCache>
            </c:strRef>
          </c:tx>
          <c:invertIfNegative val="0"/>
          <c:cat>
            <c:strRef>
              <c:f>Sheet1!$A$7:$A$9</c:f>
              <c:strCache>
                <c:ptCount val="3"/>
                <c:pt idx="0">
                  <c:v>Return on equity (ROE)</c:v>
                </c:pt>
                <c:pt idx="1">
                  <c:v>Return on assets (ROA)</c:v>
                </c:pt>
                <c:pt idx="2">
                  <c:v>Return on investment (ROI)</c:v>
                </c:pt>
              </c:strCache>
            </c:strRef>
          </c:cat>
          <c:val>
            <c:numRef>
              <c:f>Sheet1!$B$7:$B$9</c:f>
              <c:numCache>
                <c:formatCode>General</c:formatCode>
                <c:ptCount val="3"/>
                <c:pt idx="0">
                  <c:v>77.722799999999978</c:v>
                </c:pt>
                <c:pt idx="1">
                  <c:v>4.3008999999999995</c:v>
                </c:pt>
                <c:pt idx="2">
                  <c:v>10.226100000000001</c:v>
                </c:pt>
              </c:numCache>
            </c:numRef>
          </c:val>
          <c:extLst>
            <c:ext xmlns:c16="http://schemas.microsoft.com/office/drawing/2014/chart" uri="{C3380CC4-5D6E-409C-BE32-E72D297353CC}">
              <c16:uniqueId val="{00000000-0368-5944-9511-C6334DAE5B49}"/>
            </c:ext>
          </c:extLst>
        </c:ser>
        <c:ser>
          <c:idx val="1"/>
          <c:order val="1"/>
          <c:tx>
            <c:strRef>
              <c:f>Sheet1!$C$3</c:f>
              <c:strCache>
                <c:ptCount val="1"/>
                <c:pt idx="0">
                  <c:v>2020</c:v>
                </c:pt>
              </c:strCache>
            </c:strRef>
          </c:tx>
          <c:invertIfNegative val="0"/>
          <c:cat>
            <c:strRef>
              <c:f>Sheet1!$A$7:$A$9</c:f>
              <c:strCache>
                <c:ptCount val="3"/>
                <c:pt idx="0">
                  <c:v>Return on equity (ROE)</c:v>
                </c:pt>
                <c:pt idx="1">
                  <c:v>Return on assets (ROA)</c:v>
                </c:pt>
                <c:pt idx="2">
                  <c:v>Return on investment (ROI)</c:v>
                </c:pt>
              </c:strCache>
            </c:strRef>
          </c:cat>
          <c:val>
            <c:numRef>
              <c:f>Sheet1!$C$7:$C$9</c:f>
              <c:numCache>
                <c:formatCode>General</c:formatCode>
                <c:ptCount val="3"/>
                <c:pt idx="0">
                  <c:v>-62.093000000000011</c:v>
                </c:pt>
                <c:pt idx="1">
                  <c:v>-1.0809</c:v>
                </c:pt>
                <c:pt idx="2">
                  <c:v>-2.7717000000000001</c:v>
                </c:pt>
              </c:numCache>
            </c:numRef>
          </c:val>
          <c:extLst>
            <c:ext xmlns:c16="http://schemas.microsoft.com/office/drawing/2014/chart" uri="{C3380CC4-5D6E-409C-BE32-E72D297353CC}">
              <c16:uniqueId val="{00000001-0368-5944-9511-C6334DAE5B49}"/>
            </c:ext>
          </c:extLst>
        </c:ser>
        <c:dLbls>
          <c:showLegendKey val="0"/>
          <c:showVal val="0"/>
          <c:showCatName val="0"/>
          <c:showSerName val="0"/>
          <c:showPercent val="0"/>
          <c:showBubbleSize val="0"/>
        </c:dLbls>
        <c:gapWidth val="150"/>
        <c:shape val="box"/>
        <c:axId val="96095616"/>
        <c:axId val="96589312"/>
        <c:axId val="0"/>
      </c:bar3DChart>
      <c:catAx>
        <c:axId val="96095616"/>
        <c:scaling>
          <c:orientation val="minMax"/>
        </c:scaling>
        <c:delete val="0"/>
        <c:axPos val="b"/>
        <c:numFmt formatCode="General" sourceLinked="0"/>
        <c:majorTickMark val="out"/>
        <c:minorTickMark val="none"/>
        <c:tickLblPos val="nextTo"/>
        <c:crossAx val="96589312"/>
        <c:crosses val="autoZero"/>
        <c:auto val="1"/>
        <c:lblAlgn val="ctr"/>
        <c:lblOffset val="100"/>
        <c:noMultiLvlLbl val="0"/>
      </c:catAx>
      <c:valAx>
        <c:axId val="96589312"/>
        <c:scaling>
          <c:orientation val="minMax"/>
        </c:scaling>
        <c:delete val="0"/>
        <c:axPos val="l"/>
        <c:numFmt formatCode="General" sourceLinked="1"/>
        <c:majorTickMark val="out"/>
        <c:minorTickMark val="none"/>
        <c:tickLblPos val="nextTo"/>
        <c:crossAx val="9609561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Sheet1!$B$12</c:f>
              <c:strCache>
                <c:ptCount val="1"/>
                <c:pt idx="0">
                  <c:v>2021</c:v>
                </c:pt>
              </c:strCache>
            </c:strRef>
          </c:tx>
          <c:spPr>
            <a:solidFill>
              <a:schemeClr val="accent6">
                <a:lumMod val="75000"/>
              </a:schemeClr>
            </a:solidFill>
          </c:spPr>
          <c:invertIfNegative val="0"/>
          <c:cat>
            <c:strRef>
              <c:f>Sheet1!$A$13:$A$15</c:f>
              <c:strCache>
                <c:ptCount val="3"/>
                <c:pt idx="0">
                  <c:v>Current ratio</c:v>
                </c:pt>
                <c:pt idx="1">
                  <c:v>Operating cash flow per share</c:v>
                </c:pt>
                <c:pt idx="2">
                  <c:v>Free cash flow per share</c:v>
                </c:pt>
              </c:strCache>
            </c:strRef>
          </c:cat>
          <c:val>
            <c:numRef>
              <c:f>Sheet1!$B$13:$B$15</c:f>
              <c:numCache>
                <c:formatCode>General</c:formatCode>
                <c:ptCount val="3"/>
                <c:pt idx="0">
                  <c:v>0.56590000000000029</c:v>
                </c:pt>
                <c:pt idx="1">
                  <c:v>-1.4564999999999992</c:v>
                </c:pt>
                <c:pt idx="2">
                  <c:v>-2.3593999999999986</c:v>
                </c:pt>
              </c:numCache>
            </c:numRef>
          </c:val>
          <c:extLst>
            <c:ext xmlns:c16="http://schemas.microsoft.com/office/drawing/2014/chart" uri="{C3380CC4-5D6E-409C-BE32-E72D297353CC}">
              <c16:uniqueId val="{00000000-E2B0-2845-AD01-A0324475635B}"/>
            </c:ext>
          </c:extLst>
        </c:ser>
        <c:ser>
          <c:idx val="1"/>
          <c:order val="1"/>
          <c:tx>
            <c:strRef>
              <c:f>Sheet1!$C$12</c:f>
              <c:strCache>
                <c:ptCount val="1"/>
                <c:pt idx="0">
                  <c:v>2020</c:v>
                </c:pt>
              </c:strCache>
            </c:strRef>
          </c:tx>
          <c:spPr>
            <a:solidFill>
              <a:schemeClr val="accent5"/>
            </a:solidFill>
          </c:spPr>
          <c:invertIfNegative val="0"/>
          <c:cat>
            <c:strRef>
              <c:f>Sheet1!$A$13:$A$15</c:f>
              <c:strCache>
                <c:ptCount val="3"/>
                <c:pt idx="0">
                  <c:v>Current ratio</c:v>
                </c:pt>
                <c:pt idx="1">
                  <c:v>Operating cash flow per share</c:v>
                </c:pt>
                <c:pt idx="2">
                  <c:v>Free cash flow per share</c:v>
                </c:pt>
              </c:strCache>
            </c:strRef>
          </c:cat>
          <c:val>
            <c:numRef>
              <c:f>Sheet1!$C$13:$C$15</c:f>
              <c:numCache>
                <c:formatCode>General</c:formatCode>
                <c:ptCount val="3"/>
                <c:pt idx="0">
                  <c:v>0.49110000000000015</c:v>
                </c:pt>
                <c:pt idx="1">
                  <c:v>8.3000000000000053E-3</c:v>
                </c:pt>
                <c:pt idx="2">
                  <c:v>1.161</c:v>
                </c:pt>
              </c:numCache>
            </c:numRef>
          </c:val>
          <c:extLst>
            <c:ext xmlns:c16="http://schemas.microsoft.com/office/drawing/2014/chart" uri="{C3380CC4-5D6E-409C-BE32-E72D297353CC}">
              <c16:uniqueId val="{00000001-E2B0-2845-AD01-A0324475635B}"/>
            </c:ext>
          </c:extLst>
        </c:ser>
        <c:dLbls>
          <c:showLegendKey val="0"/>
          <c:showVal val="0"/>
          <c:showCatName val="0"/>
          <c:showSerName val="0"/>
          <c:showPercent val="0"/>
          <c:showBubbleSize val="0"/>
        </c:dLbls>
        <c:gapWidth val="150"/>
        <c:shape val="box"/>
        <c:axId val="105427328"/>
        <c:axId val="105428864"/>
        <c:axId val="0"/>
      </c:bar3DChart>
      <c:catAx>
        <c:axId val="105427328"/>
        <c:scaling>
          <c:orientation val="minMax"/>
        </c:scaling>
        <c:delete val="0"/>
        <c:axPos val="b"/>
        <c:numFmt formatCode="General" sourceLinked="0"/>
        <c:majorTickMark val="out"/>
        <c:minorTickMark val="none"/>
        <c:tickLblPos val="nextTo"/>
        <c:crossAx val="105428864"/>
        <c:crosses val="autoZero"/>
        <c:auto val="1"/>
        <c:lblAlgn val="ctr"/>
        <c:lblOffset val="100"/>
        <c:noMultiLvlLbl val="0"/>
      </c:catAx>
      <c:valAx>
        <c:axId val="105428864"/>
        <c:scaling>
          <c:orientation val="minMax"/>
        </c:scaling>
        <c:delete val="0"/>
        <c:axPos val="l"/>
        <c:numFmt formatCode="General" sourceLinked="1"/>
        <c:majorTickMark val="out"/>
        <c:minorTickMark val="none"/>
        <c:tickLblPos val="nextTo"/>
        <c:crossAx val="10542732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Sheet1!$A$19</c:f>
              <c:strCache>
                <c:ptCount val="1"/>
                <c:pt idx="0">
                  <c:v>Long-term debt / capital</c:v>
                </c:pt>
              </c:strCache>
            </c:strRef>
          </c:tx>
          <c:spPr>
            <a:solidFill>
              <a:schemeClr val="tx2">
                <a:lumMod val="75000"/>
              </a:schemeClr>
            </a:solidFill>
          </c:spPr>
          <c:invertIfNegative val="0"/>
          <c:cat>
            <c:numRef>
              <c:f>Sheet1!$B$18:$C$18</c:f>
              <c:numCache>
                <c:formatCode>General</c:formatCode>
                <c:ptCount val="2"/>
                <c:pt idx="0">
                  <c:v>2021</c:v>
                </c:pt>
                <c:pt idx="1">
                  <c:v>2020</c:v>
                </c:pt>
              </c:numCache>
            </c:numRef>
          </c:cat>
          <c:val>
            <c:numRef>
              <c:f>Sheet1!$B$19:$C$19</c:f>
              <c:numCache>
                <c:formatCode>General</c:formatCode>
                <c:ptCount val="2"/>
                <c:pt idx="0">
                  <c:v>0.86839999999999995</c:v>
                </c:pt>
                <c:pt idx="1">
                  <c:v>0.95540000000000003</c:v>
                </c:pt>
              </c:numCache>
            </c:numRef>
          </c:val>
          <c:extLst>
            <c:ext xmlns:c16="http://schemas.microsoft.com/office/drawing/2014/chart" uri="{C3380CC4-5D6E-409C-BE32-E72D297353CC}">
              <c16:uniqueId val="{00000000-E532-FC45-B94A-82B640D493A5}"/>
            </c:ext>
          </c:extLst>
        </c:ser>
        <c:ser>
          <c:idx val="1"/>
          <c:order val="1"/>
          <c:tx>
            <c:strRef>
              <c:f>Sheet1!$A$20</c:f>
              <c:strCache>
                <c:ptCount val="1"/>
                <c:pt idx="0">
                  <c:v>Debt / equity ratio</c:v>
                </c:pt>
              </c:strCache>
            </c:strRef>
          </c:tx>
          <c:spPr>
            <a:solidFill>
              <a:srgbClr val="00B0F0"/>
            </a:solidFill>
          </c:spPr>
          <c:invertIfNegative val="0"/>
          <c:cat>
            <c:numRef>
              <c:f>Sheet1!$B$18:$C$18</c:f>
              <c:numCache>
                <c:formatCode>General</c:formatCode>
                <c:ptCount val="2"/>
                <c:pt idx="0">
                  <c:v>2021</c:v>
                </c:pt>
                <c:pt idx="1">
                  <c:v>2020</c:v>
                </c:pt>
              </c:numCache>
            </c:numRef>
          </c:cat>
          <c:val>
            <c:numRef>
              <c:f>Sheet1!$B$20:$C$20</c:f>
              <c:numCache>
                <c:formatCode>General</c:formatCode>
                <c:ptCount val="2"/>
                <c:pt idx="0">
                  <c:v>7.1696999999999997</c:v>
                </c:pt>
                <c:pt idx="1">
                  <c:v>24.130199999999999</c:v>
                </c:pt>
              </c:numCache>
            </c:numRef>
          </c:val>
          <c:extLst>
            <c:ext xmlns:c16="http://schemas.microsoft.com/office/drawing/2014/chart" uri="{C3380CC4-5D6E-409C-BE32-E72D297353CC}">
              <c16:uniqueId val="{00000001-E532-FC45-B94A-82B640D493A5}"/>
            </c:ext>
          </c:extLst>
        </c:ser>
        <c:dLbls>
          <c:showLegendKey val="0"/>
          <c:showVal val="0"/>
          <c:showCatName val="0"/>
          <c:showSerName val="0"/>
          <c:showPercent val="0"/>
          <c:showBubbleSize val="0"/>
        </c:dLbls>
        <c:gapWidth val="150"/>
        <c:shape val="box"/>
        <c:axId val="110494848"/>
        <c:axId val="110559232"/>
        <c:axId val="0"/>
      </c:bar3DChart>
      <c:catAx>
        <c:axId val="110494848"/>
        <c:scaling>
          <c:orientation val="minMax"/>
        </c:scaling>
        <c:delete val="0"/>
        <c:axPos val="b"/>
        <c:numFmt formatCode="General" sourceLinked="1"/>
        <c:majorTickMark val="out"/>
        <c:minorTickMark val="none"/>
        <c:tickLblPos val="nextTo"/>
        <c:crossAx val="110559232"/>
        <c:crosses val="autoZero"/>
        <c:auto val="1"/>
        <c:lblAlgn val="ctr"/>
        <c:lblOffset val="100"/>
        <c:noMultiLvlLbl val="0"/>
      </c:catAx>
      <c:valAx>
        <c:axId val="110559232"/>
        <c:scaling>
          <c:orientation val="minMax"/>
        </c:scaling>
        <c:delete val="0"/>
        <c:axPos val="l"/>
        <c:numFmt formatCode="General" sourceLinked="1"/>
        <c:majorTickMark val="out"/>
        <c:minorTickMark val="none"/>
        <c:tickLblPos val="nextTo"/>
        <c:crossAx val="11049484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B1C20B-94A0-4C96-990D-FE8510E217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2596</Words>
  <Characters>15059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cp:lastModifiedBy>Oana Akbiyik</cp:lastModifiedBy>
  <cp:revision>2</cp:revision>
  <dcterms:created xsi:type="dcterms:W3CDTF">2022-12-09T01:46:00Z</dcterms:created>
  <dcterms:modified xsi:type="dcterms:W3CDTF">2022-12-09T01:46:00Z</dcterms:modified>
</cp:coreProperties>
</file>