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7131916"/>
        <w:docPartObj>
          <w:docPartGallery w:val="Cover Pages"/>
          <w:docPartUnique/>
        </w:docPartObj>
      </w:sdtPr>
      <w:sdtEndPr>
        <w:rPr>
          <w:rFonts w:ascii="Times New Roman" w:hAnsi="Times New Roman" w:cs="Times New Roman"/>
          <w:b/>
          <w:bCs/>
        </w:rPr>
      </w:sdtEndPr>
      <w:sdtContent>
        <w:p w14:paraId="6E4C2082" w14:textId="4DCAF9FC" w:rsidR="00023011" w:rsidRDefault="00023011"/>
        <w:p w14:paraId="6213559F" w14:textId="77F01EAD" w:rsidR="00023011" w:rsidRDefault="00023011">
          <w:pPr>
            <w:rPr>
              <w:rFonts w:ascii="Times New Roman" w:hAnsi="Times New Roman" w:cs="Times New Roman"/>
              <w:b/>
              <w:bCs/>
            </w:rPr>
          </w:pPr>
          <w:r>
            <w:rPr>
              <w:noProof/>
            </w:rPr>
            <mc:AlternateContent>
              <mc:Choice Requires="wps">
                <w:drawing>
                  <wp:anchor distT="0" distB="0" distL="182880" distR="182880" simplePos="0" relativeHeight="251660288" behindDoc="0" locked="0" layoutInCell="1" allowOverlap="1" wp14:anchorId="7504431E" wp14:editId="1FFDC055">
                    <wp:simplePos x="0" y="0"/>
                    <wp:positionH relativeFrom="margin">
                      <wp:align>right</wp:align>
                    </wp:positionH>
                    <wp:positionV relativeFrom="page">
                      <wp:posOffset>3760746</wp:posOffset>
                    </wp:positionV>
                    <wp:extent cx="5581015" cy="6720840"/>
                    <wp:effectExtent l="0" t="0" r="635" b="8255"/>
                    <wp:wrapSquare wrapText="bothSides"/>
                    <wp:docPr id="131" name="Text Box 131"/>
                    <wp:cNvGraphicFramePr/>
                    <a:graphic xmlns:a="http://schemas.openxmlformats.org/drawingml/2006/main">
                      <a:graphicData uri="http://schemas.microsoft.com/office/word/2010/wordprocessingShape">
                        <wps:wsp>
                          <wps:cNvSpPr txBox="1"/>
                          <wps:spPr>
                            <a:xfrm>
                              <a:off x="0" y="0"/>
                              <a:ext cx="558101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86DA61" w14:textId="2AEA3305" w:rsidR="00023011" w:rsidRPr="00AF7BCC" w:rsidRDefault="00023011" w:rsidP="00AF7BCC">
                                <w:pPr>
                                  <w:pStyle w:val="NoSpacing"/>
                                  <w:spacing w:before="40" w:after="560" w:line="216" w:lineRule="auto"/>
                                  <w:jc w:val="center"/>
                                  <w:rPr>
                                    <w:rFonts w:ascii="Times New Roman" w:hAnsi="Times New Roman" w:cs="Times New Roman"/>
                                    <w:b/>
                                    <w:bCs/>
                                    <w:color w:val="156082" w:themeColor="accent1"/>
                                    <w:sz w:val="96"/>
                                    <w:szCs w:val="96"/>
                                  </w:rPr>
                                </w:pPr>
                                <w:sdt>
                                  <w:sdtPr>
                                    <w:rPr>
                                      <w:rFonts w:ascii="Times New Roman" w:hAnsi="Times New Roman" w:cs="Times New Roman"/>
                                      <w:b/>
                                      <w:bCs/>
                                      <w:color w:val="000000" w:themeColor="text1"/>
                                      <w:sz w:val="96"/>
                                      <w:szCs w:val="9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AF7BCC" w:rsidRPr="00AF7BCC">
                                      <w:rPr>
                                        <w:rFonts w:ascii="Times New Roman" w:hAnsi="Times New Roman" w:cs="Times New Roman"/>
                                        <w:b/>
                                        <w:bCs/>
                                        <w:color w:val="000000" w:themeColor="text1"/>
                                        <w:sz w:val="96"/>
                                        <w:szCs w:val="96"/>
                                      </w:rPr>
                                      <w:t>Financial Analysis of Tesco Plc</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7504431E" id="_x0000_t202" coordsize="21600,21600" o:spt="202" path="m,l,21600r21600,l21600,xe">
                    <v:stroke joinstyle="miter"/>
                    <v:path gradientshapeok="t" o:connecttype="rect"/>
                  </v:shapetype>
                  <v:shape id="Text Box 131" o:spid="_x0000_s1026" type="#_x0000_t202" style="position:absolute;margin-left:388.25pt;margin-top:296.1pt;width:439.45pt;height:529.2pt;z-index:251660288;visibility:visible;mso-wrap-style:square;mso-width-percent:0;mso-height-percent:350;mso-wrap-distance-left:14.4pt;mso-wrap-distance-top:0;mso-wrap-distance-right:14.4pt;mso-wrap-distance-bottom:0;mso-position-horizontal:right;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" filled="f" stroked="f" strokeweight=".5pt">
                    <v:textbox style="mso-fit-shape-to-text:t" inset="0,0,0,0">
                      <w:txbxContent>
                        <w:p w14:paraId="3F86DA61" w14:textId="2AEA3305" w:rsidR="00023011" w:rsidRPr="00AF7BCC" w:rsidRDefault="00023011" w:rsidP="00AF7BCC">
                          <w:pPr>
                            <w:pStyle w:val="NoSpacing"/>
                            <w:spacing w:before="40" w:after="560" w:line="216" w:lineRule="auto"/>
                            <w:jc w:val="center"/>
                            <w:rPr>
                              <w:rFonts w:ascii="Times New Roman" w:hAnsi="Times New Roman" w:cs="Times New Roman"/>
                              <w:b/>
                              <w:bCs/>
                              <w:color w:val="156082" w:themeColor="accent1"/>
                              <w:sz w:val="96"/>
                              <w:szCs w:val="96"/>
                            </w:rPr>
                          </w:pPr>
                          <w:sdt>
                            <w:sdtPr>
                              <w:rPr>
                                <w:rFonts w:ascii="Times New Roman" w:hAnsi="Times New Roman" w:cs="Times New Roman"/>
                                <w:b/>
                                <w:bCs/>
                                <w:color w:val="000000" w:themeColor="text1"/>
                                <w:sz w:val="96"/>
                                <w:szCs w:val="9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AF7BCC" w:rsidRPr="00AF7BCC">
                                <w:rPr>
                                  <w:rFonts w:ascii="Times New Roman" w:hAnsi="Times New Roman" w:cs="Times New Roman"/>
                                  <w:b/>
                                  <w:bCs/>
                                  <w:color w:val="000000" w:themeColor="text1"/>
                                  <w:sz w:val="96"/>
                                  <w:szCs w:val="96"/>
                                </w:rPr>
                                <w:t>Financial Analysis of Tesco Plc</w:t>
                              </w:r>
                            </w:sdtContent>
                          </w:sdt>
                        </w:p>
                      </w:txbxContent>
                    </v:textbox>
                    <w10:wrap type="square" anchorx="margin" anchory="page"/>
                  </v:shape>
                </w:pict>
              </mc:Fallback>
            </mc:AlternateContent>
          </w:r>
          <w:r>
            <w:rPr>
              <w:rFonts w:ascii="Times New Roman" w:hAnsi="Times New Roman" w:cs="Times New Roman"/>
              <w:b/>
              <w:bCs/>
            </w:rPr>
            <w:br w:type="page"/>
          </w:r>
        </w:p>
      </w:sdtContent>
    </w:sdt>
    <w:p w14:paraId="5F42A21C" w14:textId="4800CF09" w:rsidR="000F4066" w:rsidRPr="000F4066" w:rsidRDefault="000F4066" w:rsidP="000F4066">
      <w:pPr>
        <w:pStyle w:val="ListParagraph"/>
        <w:numPr>
          <w:ilvl w:val="0"/>
          <w:numId w:val="1"/>
        </w:numPr>
        <w:spacing w:line="480" w:lineRule="auto"/>
        <w:jc w:val="both"/>
        <w:rPr>
          <w:rFonts w:ascii="Times New Roman" w:hAnsi="Times New Roman" w:cs="Times New Roman"/>
          <w:b/>
          <w:bCs/>
        </w:rPr>
      </w:pPr>
      <w:r w:rsidRPr="000F4066">
        <w:rPr>
          <w:rFonts w:ascii="Times New Roman" w:hAnsi="Times New Roman" w:cs="Times New Roman"/>
          <w:b/>
          <w:bCs/>
        </w:rPr>
        <w:lastRenderedPageBreak/>
        <w:t xml:space="preserve">Introduction </w:t>
      </w:r>
    </w:p>
    <w:p w14:paraId="1A51F9CB" w14:textId="52E55B70"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Financial statements have significance when it comes to understanding a company’s profit, cash flow, financial obligations, and overall financial situation. The process of ratio analysis helps take the information provided by financial statements a step further by making it easier to compare figures from financial statements of various periods and determining if the company has improved or declined in terms of performance. The actual trustworthy results of the financial analysis depend on the appropriate interpretation of the accounting information coming from the income statement, balance sheet, and cash flow statement rather than on relying on a single measure only (Needles &amp; Powers, 2026). The advances in the analysis of financial data help companies and investors analy</w:t>
      </w:r>
      <w:r>
        <w:rPr>
          <w:rFonts w:ascii="Times New Roman" w:hAnsi="Times New Roman" w:cs="Times New Roman"/>
        </w:rPr>
        <w:t>s</w:t>
      </w:r>
      <w:r w:rsidRPr="000F4066">
        <w:rPr>
          <w:rFonts w:ascii="Times New Roman" w:hAnsi="Times New Roman" w:cs="Times New Roman"/>
        </w:rPr>
        <w:t>e larger volumes of financial information and discover trends in the work of organi</w:t>
      </w:r>
      <w:r>
        <w:rPr>
          <w:rFonts w:ascii="Times New Roman" w:hAnsi="Times New Roman" w:cs="Times New Roman"/>
        </w:rPr>
        <w:t>s</w:t>
      </w:r>
      <w:r w:rsidRPr="000F4066">
        <w:rPr>
          <w:rFonts w:ascii="Times New Roman" w:hAnsi="Times New Roman" w:cs="Times New Roman"/>
        </w:rPr>
        <w:t>ations (Asare, n.d.; Du et al., 2024).</w:t>
      </w:r>
    </w:p>
    <w:p w14:paraId="2C3402B2" w14:textId="77777777" w:rsid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Financing analysis focuses on evaluating the financial results of Tesco PLC for the years 2024 and 2025 by using some financial ratios such as sales growth, profit before tax ratio, EBITDA ratio, fixed charge coverage ratio, free cash flow conversion ratio, and capital expenditure ratio. Tesco PLC reports that its sales increased from £61,477 million in 2024 to £63,636 million in 2025 and the adjusted operating profit also grew from £2830 million to £3130 million (Tesco PLC, 2024; Tesco PLC, 2025).</w:t>
      </w:r>
    </w:p>
    <w:p w14:paraId="5ACC8F5D" w14:textId="0A58F869" w:rsidR="000F4066" w:rsidRPr="000F4066" w:rsidRDefault="000F4066" w:rsidP="000F4066">
      <w:pPr>
        <w:pStyle w:val="ListParagraph"/>
        <w:numPr>
          <w:ilvl w:val="0"/>
          <w:numId w:val="1"/>
        </w:numPr>
        <w:spacing w:line="480" w:lineRule="auto"/>
        <w:jc w:val="both"/>
        <w:rPr>
          <w:rFonts w:ascii="Times New Roman" w:hAnsi="Times New Roman" w:cs="Times New Roman"/>
          <w:b/>
          <w:bCs/>
        </w:rPr>
      </w:pPr>
      <w:r w:rsidRPr="000F4066">
        <w:rPr>
          <w:rFonts w:ascii="Times New Roman" w:hAnsi="Times New Roman" w:cs="Times New Roman"/>
          <w:b/>
          <w:bCs/>
        </w:rPr>
        <w:t>Ratio Evaluation</w:t>
      </w:r>
    </w:p>
    <w:p w14:paraId="248E6328" w14:textId="77777777" w:rsidR="000F4066" w:rsidRPr="000F4066" w:rsidRDefault="000F4066" w:rsidP="000F4066">
      <w:pPr>
        <w:pStyle w:val="ListParagraph"/>
        <w:numPr>
          <w:ilvl w:val="0"/>
          <w:numId w:val="2"/>
        </w:numPr>
        <w:spacing w:line="480" w:lineRule="auto"/>
        <w:jc w:val="both"/>
        <w:rPr>
          <w:rFonts w:ascii="Times New Roman" w:hAnsi="Times New Roman" w:cs="Times New Roman"/>
        </w:rPr>
      </w:pPr>
      <w:r w:rsidRPr="000F4066">
        <w:rPr>
          <w:rFonts w:ascii="Times New Roman" w:hAnsi="Times New Roman" w:cs="Times New Roman"/>
        </w:rPr>
        <w:t>Group sales growth: 2024 – N/A; 2025 – 3.51%</w:t>
      </w:r>
    </w:p>
    <w:p w14:paraId="6A459F72" w14:textId="77777777" w:rsidR="000F4066" w:rsidRPr="000F4066" w:rsidRDefault="000F4066" w:rsidP="000F4066">
      <w:pPr>
        <w:pStyle w:val="ListParagraph"/>
        <w:numPr>
          <w:ilvl w:val="0"/>
          <w:numId w:val="2"/>
        </w:numPr>
        <w:spacing w:line="480" w:lineRule="auto"/>
        <w:jc w:val="both"/>
        <w:rPr>
          <w:rFonts w:ascii="Times New Roman" w:hAnsi="Times New Roman" w:cs="Times New Roman"/>
        </w:rPr>
      </w:pPr>
      <w:r w:rsidRPr="000F4066">
        <w:rPr>
          <w:rFonts w:ascii="Times New Roman" w:hAnsi="Times New Roman" w:cs="Times New Roman"/>
        </w:rPr>
        <w:t>Profit before tax margin: 2024 – 3.36%; 2025 – 3.17%</w:t>
      </w:r>
    </w:p>
    <w:p w14:paraId="1EB66B55" w14:textId="77777777" w:rsidR="000F4066" w:rsidRPr="000F4066" w:rsidRDefault="000F4066" w:rsidP="000F4066">
      <w:pPr>
        <w:pStyle w:val="ListParagraph"/>
        <w:numPr>
          <w:ilvl w:val="0"/>
          <w:numId w:val="2"/>
        </w:numPr>
        <w:spacing w:line="480" w:lineRule="auto"/>
        <w:jc w:val="both"/>
        <w:rPr>
          <w:rFonts w:ascii="Times New Roman" w:hAnsi="Times New Roman" w:cs="Times New Roman"/>
        </w:rPr>
      </w:pPr>
      <w:r w:rsidRPr="000F4066">
        <w:rPr>
          <w:rFonts w:ascii="Times New Roman" w:hAnsi="Times New Roman" w:cs="Times New Roman"/>
        </w:rPr>
        <w:t>EBITDA margin: 2024 – 6.52%; 2025 – 6.90%</w:t>
      </w:r>
    </w:p>
    <w:p w14:paraId="78248BD8" w14:textId="4DA06E5B" w:rsidR="000F4066" w:rsidRPr="000F4066" w:rsidRDefault="000F4066" w:rsidP="000F4066">
      <w:pPr>
        <w:pStyle w:val="ListParagraph"/>
        <w:numPr>
          <w:ilvl w:val="0"/>
          <w:numId w:val="2"/>
        </w:numPr>
        <w:spacing w:line="480" w:lineRule="auto"/>
        <w:jc w:val="both"/>
        <w:rPr>
          <w:rFonts w:ascii="Times New Roman" w:hAnsi="Times New Roman" w:cs="Times New Roman"/>
        </w:rPr>
      </w:pPr>
      <w:r w:rsidRPr="000F4066">
        <w:rPr>
          <w:rFonts w:ascii="Times New Roman" w:hAnsi="Times New Roman" w:cs="Times New Roman"/>
        </w:rPr>
        <w:t>Fixed charge cover: 2024 – 3.8 times; 2025 – 4.2 times</w:t>
      </w:r>
    </w:p>
    <w:p w14:paraId="39817145" w14:textId="77777777" w:rsidR="000F4066" w:rsidRPr="000F4066" w:rsidRDefault="000F4066" w:rsidP="000F4066">
      <w:pPr>
        <w:pStyle w:val="ListParagraph"/>
        <w:numPr>
          <w:ilvl w:val="0"/>
          <w:numId w:val="2"/>
        </w:numPr>
        <w:spacing w:line="480" w:lineRule="auto"/>
        <w:jc w:val="both"/>
        <w:rPr>
          <w:rFonts w:ascii="Times New Roman" w:hAnsi="Times New Roman" w:cs="Times New Roman"/>
        </w:rPr>
      </w:pPr>
      <w:r w:rsidRPr="000F4066">
        <w:rPr>
          <w:rFonts w:ascii="Times New Roman" w:hAnsi="Times New Roman" w:cs="Times New Roman"/>
        </w:rPr>
        <w:lastRenderedPageBreak/>
        <w:t>Free cash flow conversion: 2024 – 46.38%; 2025 – 36.27%</w:t>
      </w:r>
    </w:p>
    <w:p w14:paraId="66DC80B5" w14:textId="77777777" w:rsidR="000F4066" w:rsidRPr="000F4066" w:rsidRDefault="000F4066" w:rsidP="000F4066">
      <w:pPr>
        <w:pStyle w:val="ListParagraph"/>
        <w:numPr>
          <w:ilvl w:val="0"/>
          <w:numId w:val="2"/>
        </w:numPr>
        <w:spacing w:line="480" w:lineRule="auto"/>
        <w:jc w:val="both"/>
        <w:rPr>
          <w:rFonts w:ascii="Times New Roman" w:hAnsi="Times New Roman" w:cs="Times New Roman"/>
        </w:rPr>
      </w:pPr>
      <w:r w:rsidRPr="000F4066">
        <w:rPr>
          <w:rFonts w:ascii="Times New Roman" w:hAnsi="Times New Roman" w:cs="Times New Roman"/>
        </w:rPr>
        <w:t>Capital expenditure intensity: 2024 – 1.93%; 2025 – 2.08%</w:t>
      </w:r>
    </w:p>
    <w:p w14:paraId="6B11F99A" w14:textId="7564EC35" w:rsidR="000F4066" w:rsidRPr="000F4066" w:rsidRDefault="000F4066" w:rsidP="000F4066">
      <w:pPr>
        <w:pStyle w:val="ListParagraph"/>
        <w:numPr>
          <w:ilvl w:val="0"/>
          <w:numId w:val="2"/>
        </w:numPr>
        <w:spacing w:line="480" w:lineRule="auto"/>
        <w:jc w:val="both"/>
        <w:rPr>
          <w:rFonts w:ascii="Times New Roman" w:hAnsi="Times New Roman" w:cs="Times New Roman"/>
        </w:rPr>
      </w:pPr>
      <w:r w:rsidRPr="000F4066">
        <w:rPr>
          <w:rFonts w:ascii="Times New Roman" w:hAnsi="Times New Roman" w:cs="Times New Roman"/>
        </w:rPr>
        <w:t>Shareholder distribution coverage: 2024 – 1.35 times; 2025 – 0.93 times</w:t>
      </w:r>
    </w:p>
    <w:p w14:paraId="6CF5211F" w14:textId="4BB988B2"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 xml:space="preserve">The above ratios have shown different aspects of the performance of Tesco in light of the preceding analysis and have provided the opportunity of evaluating the performance even further considering the aspects of operational growth, profitability, obligations of the company financially, and investment position of the company </w:t>
      </w:r>
      <w:r w:rsidRPr="000F4066">
        <w:rPr>
          <w:rFonts w:ascii="Times New Roman" w:hAnsi="Times New Roman" w:cs="Times New Roman"/>
        </w:rPr>
        <w:t>(</w:t>
      </w:r>
      <w:proofErr w:type="spellStart"/>
      <w:r w:rsidRPr="000F4066">
        <w:rPr>
          <w:rFonts w:ascii="Times New Roman" w:hAnsi="Times New Roman" w:cs="Times New Roman"/>
        </w:rPr>
        <w:t>Faccia</w:t>
      </w:r>
      <w:proofErr w:type="spellEnd"/>
      <w:r w:rsidRPr="000F4066">
        <w:rPr>
          <w:rFonts w:ascii="Times New Roman" w:hAnsi="Times New Roman" w:cs="Times New Roman"/>
        </w:rPr>
        <w:t xml:space="preserve"> et al., 2023; Oyewole et al., 2024).</w:t>
      </w:r>
    </w:p>
    <w:p w14:paraId="1D1008D1" w14:textId="26C4D0DE" w:rsidR="000F4066" w:rsidRPr="000F4066" w:rsidRDefault="000F4066" w:rsidP="000F4066">
      <w:pPr>
        <w:pStyle w:val="ListParagraph"/>
        <w:numPr>
          <w:ilvl w:val="0"/>
          <w:numId w:val="1"/>
        </w:numPr>
        <w:spacing w:line="480" w:lineRule="auto"/>
        <w:jc w:val="both"/>
        <w:rPr>
          <w:rFonts w:ascii="Times New Roman" w:hAnsi="Times New Roman" w:cs="Times New Roman"/>
          <w:b/>
          <w:bCs/>
        </w:rPr>
      </w:pPr>
      <w:r w:rsidRPr="000F4066">
        <w:rPr>
          <w:rFonts w:ascii="Times New Roman" w:hAnsi="Times New Roman" w:cs="Times New Roman"/>
          <w:b/>
          <w:bCs/>
        </w:rPr>
        <w:t>Sales and Operational Performance</w:t>
      </w:r>
    </w:p>
    <w:p w14:paraId="0B2F0455" w14:textId="55505EDF"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 xml:space="preserve">Tesco’s Group sales ratio has </w:t>
      </w:r>
      <w:r w:rsidRPr="000F4066">
        <w:rPr>
          <w:rFonts w:ascii="Times New Roman" w:hAnsi="Times New Roman" w:cs="Times New Roman"/>
        </w:rPr>
        <w:t>grown</w:t>
      </w:r>
      <w:r w:rsidRPr="000F4066">
        <w:rPr>
          <w:rFonts w:ascii="Times New Roman" w:hAnsi="Times New Roman" w:cs="Times New Roman"/>
        </w:rPr>
        <w:t xml:space="preserve"> from £61477 million in 2024 to £63636 million in 2025.</w:t>
      </w:r>
    </w:p>
    <w:p w14:paraId="17C9FFB4" w14:textId="3D53D273"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Sales growth = (£63636m − £61477m) ÷ £61477m × 100</w:t>
      </w:r>
      <w:r>
        <w:rPr>
          <w:rFonts w:ascii="Times New Roman" w:hAnsi="Times New Roman" w:cs="Times New Roman"/>
        </w:rPr>
        <w:t xml:space="preserve"> </w:t>
      </w:r>
      <w:r w:rsidRPr="000F4066">
        <w:rPr>
          <w:rFonts w:ascii="Times New Roman" w:hAnsi="Times New Roman" w:cs="Times New Roman"/>
        </w:rPr>
        <w:t>= 3.51%</w:t>
      </w:r>
    </w:p>
    <w:p w14:paraId="2B492254" w14:textId="7632B37E"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 xml:space="preserve">As seen from the above calculations, Tesco has been able to show </w:t>
      </w:r>
      <w:r w:rsidRPr="000F4066">
        <w:rPr>
          <w:rFonts w:ascii="Times New Roman" w:hAnsi="Times New Roman" w:cs="Times New Roman"/>
        </w:rPr>
        <w:t>a growth</w:t>
      </w:r>
      <w:r w:rsidRPr="000F4066">
        <w:rPr>
          <w:rFonts w:ascii="Times New Roman" w:hAnsi="Times New Roman" w:cs="Times New Roman"/>
        </w:rPr>
        <w:t xml:space="preserve"> in its sales activity, </w:t>
      </w:r>
      <w:r w:rsidR="00023011" w:rsidRPr="000F4066">
        <w:rPr>
          <w:rFonts w:ascii="Times New Roman" w:hAnsi="Times New Roman" w:cs="Times New Roman"/>
        </w:rPr>
        <w:t>as</w:t>
      </w:r>
      <w:r w:rsidRPr="000F4066">
        <w:rPr>
          <w:rFonts w:ascii="Times New Roman" w:hAnsi="Times New Roman" w:cs="Times New Roman"/>
        </w:rPr>
        <w:t xml:space="preserve"> can be seen from the figures. The increase has been made possible through the successful operations of the company both in the UK and the Republic of Ireland, where similar like-for-like volume growth was achieved during the operation throughout the end of the current period. Alongside, Tesco’s market share of sales in the UK has increased from 27.6% to 28.3%, which is the highest figure the company has achieved in the past years. Through the company’s value strategy realization, including special prices within the framework of Clubcard Prices, Aldi Price Match, and Low Prices All </w:t>
      </w:r>
      <w:r w:rsidRPr="000F4066">
        <w:rPr>
          <w:rFonts w:ascii="Times New Roman" w:hAnsi="Times New Roman" w:cs="Times New Roman"/>
        </w:rPr>
        <w:t>the</w:t>
      </w:r>
      <w:r w:rsidRPr="000F4066">
        <w:rPr>
          <w:rFonts w:ascii="Times New Roman" w:hAnsi="Times New Roman" w:cs="Times New Roman"/>
        </w:rPr>
        <w:t xml:space="preserve"> Time, it has been able to stay competitive on the market, retaining the loyalty of the customers towards the </w:t>
      </w:r>
      <w:r w:rsidRPr="000F4066">
        <w:rPr>
          <w:rFonts w:ascii="Times New Roman" w:hAnsi="Times New Roman" w:cs="Times New Roman"/>
        </w:rPr>
        <w:t>company (</w:t>
      </w:r>
      <w:r w:rsidRPr="000F4066">
        <w:rPr>
          <w:rFonts w:ascii="Times New Roman" w:hAnsi="Times New Roman" w:cs="Times New Roman"/>
        </w:rPr>
        <w:t>Tesco PLC, 2025).</w:t>
      </w:r>
    </w:p>
    <w:p w14:paraId="4C50A6BE" w14:textId="6EFB9EEC"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 xml:space="preserve">The performance of Tesco was linked to the improvement </w:t>
      </w:r>
      <w:r w:rsidRPr="000F4066">
        <w:rPr>
          <w:rFonts w:ascii="Times New Roman" w:hAnsi="Times New Roman" w:cs="Times New Roman"/>
        </w:rPr>
        <w:t>in</w:t>
      </w:r>
      <w:r w:rsidRPr="000F4066">
        <w:rPr>
          <w:rFonts w:ascii="Times New Roman" w:hAnsi="Times New Roman" w:cs="Times New Roman"/>
        </w:rPr>
        <w:t xml:space="preserve"> the quality of products. The company has indicated a 15% growth in sales of Tesco’s Finest in the UK, while the overall perception of the company’s quality on the customer side has increased by 153 basis </w:t>
      </w:r>
      <w:r w:rsidRPr="000F4066">
        <w:rPr>
          <w:rFonts w:ascii="Times New Roman" w:hAnsi="Times New Roman" w:cs="Times New Roman"/>
        </w:rPr>
        <w:t>points. Operational</w:t>
      </w:r>
      <w:r w:rsidRPr="000F4066">
        <w:rPr>
          <w:rFonts w:ascii="Times New Roman" w:hAnsi="Times New Roman" w:cs="Times New Roman"/>
        </w:rPr>
        <w:t xml:space="preserve"> </w:t>
      </w:r>
      <w:r w:rsidRPr="000F4066">
        <w:rPr>
          <w:rFonts w:ascii="Times New Roman" w:hAnsi="Times New Roman" w:cs="Times New Roman"/>
        </w:rPr>
        <w:lastRenderedPageBreak/>
        <w:t xml:space="preserve">management is vital in grocery retail since the factors affecting prices, availability, supply chains and inventory decisions will impact the customer satisfaction and financial results (Meng, 2024). Tesco has combined competitive prices with product availability and quality to boost its sales. </w:t>
      </w:r>
    </w:p>
    <w:p w14:paraId="6CDDDD34" w14:textId="66B0CDA0" w:rsidR="000F4066" w:rsidRPr="000F4066" w:rsidRDefault="000F4066" w:rsidP="000F4066">
      <w:pPr>
        <w:pStyle w:val="ListParagraph"/>
        <w:numPr>
          <w:ilvl w:val="0"/>
          <w:numId w:val="1"/>
        </w:numPr>
        <w:spacing w:line="480" w:lineRule="auto"/>
        <w:jc w:val="both"/>
        <w:rPr>
          <w:rFonts w:ascii="Times New Roman" w:hAnsi="Times New Roman" w:cs="Times New Roman"/>
          <w:b/>
          <w:bCs/>
        </w:rPr>
      </w:pPr>
      <w:r w:rsidRPr="000F4066">
        <w:rPr>
          <w:rFonts w:ascii="Times New Roman" w:hAnsi="Times New Roman" w:cs="Times New Roman"/>
          <w:b/>
          <w:bCs/>
        </w:rPr>
        <w:t xml:space="preserve">Profitability analysis </w:t>
      </w:r>
    </w:p>
    <w:p w14:paraId="2DBA7578" w14:textId="77777777"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 xml:space="preserve">The sales grew; however, Tesco has experienced a decrease in the statutory profit before tax, which saw a decline from £2,289 million in 2024 to £2,215 million in 2025. </w:t>
      </w:r>
    </w:p>
    <w:p w14:paraId="7A51331F" w14:textId="293D2918"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Profit before tax margin in 2024</w:t>
      </w:r>
      <w:r w:rsidRPr="000F4066">
        <w:rPr>
          <w:rFonts w:ascii="Times New Roman" w:hAnsi="Times New Roman" w:cs="Times New Roman"/>
        </w:rPr>
        <w:t xml:space="preserve">: </w:t>
      </w:r>
      <w:r>
        <w:rPr>
          <w:rFonts w:ascii="Times New Roman" w:hAnsi="Times New Roman" w:cs="Times New Roman"/>
        </w:rPr>
        <w:t>£</w:t>
      </w:r>
      <w:r w:rsidRPr="000F4066">
        <w:rPr>
          <w:rFonts w:ascii="Times New Roman" w:hAnsi="Times New Roman" w:cs="Times New Roman"/>
        </w:rPr>
        <w:t xml:space="preserve">2,289m </w:t>
      </w:r>
      <w:r>
        <w:rPr>
          <w:rFonts w:ascii="Times New Roman" w:hAnsi="Times New Roman" w:cs="Times New Roman"/>
        </w:rPr>
        <w:t>/</w:t>
      </w:r>
      <w:r w:rsidRPr="000F4066">
        <w:rPr>
          <w:rFonts w:ascii="Times New Roman" w:hAnsi="Times New Roman" w:cs="Times New Roman"/>
        </w:rPr>
        <w:t xml:space="preserve"> £68,187m × 100 = 3.36%</w:t>
      </w:r>
    </w:p>
    <w:p w14:paraId="14877EFD" w14:textId="6B9F2063"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 xml:space="preserve">Profit before tax margin in 2025: </w:t>
      </w:r>
      <w:r w:rsidRPr="000F4066">
        <w:rPr>
          <w:rFonts w:ascii="Times New Roman" w:hAnsi="Times New Roman" w:cs="Times New Roman" w:hint="eastAsia"/>
        </w:rPr>
        <w:t>£</w:t>
      </w:r>
      <w:r w:rsidRPr="000F4066">
        <w:rPr>
          <w:rFonts w:ascii="Times New Roman" w:hAnsi="Times New Roman" w:cs="Times New Roman"/>
        </w:rPr>
        <w:t xml:space="preserve">2,215m </w:t>
      </w:r>
      <w:r>
        <w:rPr>
          <w:rFonts w:ascii="Times New Roman" w:hAnsi="Times New Roman" w:cs="Times New Roman"/>
        </w:rPr>
        <w:t>/</w:t>
      </w:r>
      <w:r w:rsidRPr="000F4066">
        <w:rPr>
          <w:rFonts w:ascii="Times New Roman" w:hAnsi="Times New Roman" w:cs="Times New Roman"/>
        </w:rPr>
        <w:t xml:space="preserve"> £69,916m × 100 = 3.17% </w:t>
      </w:r>
    </w:p>
    <w:p w14:paraId="293FF29C" w14:textId="56093009"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 xml:space="preserve">The decrease from 3.36% in 2024 to 3.17% in 2025 indicates that Tesco earned marginally lower profit before tax for each earned pound of revenue in 2025. Such decrease seems to be negative when </w:t>
      </w:r>
      <w:r w:rsidRPr="000F4066">
        <w:rPr>
          <w:rFonts w:ascii="Times New Roman" w:hAnsi="Times New Roman" w:cs="Times New Roman"/>
        </w:rPr>
        <w:t>viewed as</w:t>
      </w:r>
      <w:r w:rsidRPr="000F4066">
        <w:rPr>
          <w:rFonts w:ascii="Times New Roman" w:hAnsi="Times New Roman" w:cs="Times New Roman"/>
        </w:rPr>
        <w:t xml:space="preserve"> isolated; nevertheless, Tesco recorded an increase </w:t>
      </w:r>
      <w:r w:rsidRPr="000F4066">
        <w:rPr>
          <w:rFonts w:ascii="Times New Roman" w:hAnsi="Times New Roman" w:cs="Times New Roman"/>
        </w:rPr>
        <w:t>in</w:t>
      </w:r>
      <w:r w:rsidRPr="000F4066">
        <w:rPr>
          <w:rFonts w:ascii="Times New Roman" w:hAnsi="Times New Roman" w:cs="Times New Roman"/>
        </w:rPr>
        <w:t xml:space="preserve"> adjusted operating profit of approximately: </w:t>
      </w:r>
    </w:p>
    <w:p w14:paraId="7EC1A763" w14:textId="06824C17"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 xml:space="preserve">(£3,128m − £2,829m) </w:t>
      </w:r>
      <w:r>
        <w:rPr>
          <w:rFonts w:ascii="Times New Roman" w:hAnsi="Times New Roman" w:cs="Times New Roman"/>
        </w:rPr>
        <w:t>/</w:t>
      </w:r>
      <w:r w:rsidRPr="000F4066">
        <w:rPr>
          <w:rFonts w:ascii="Times New Roman" w:hAnsi="Times New Roman" w:cs="Times New Roman"/>
        </w:rPr>
        <w:t xml:space="preserve"> £2,829m × 100 = 10.57% </w:t>
      </w:r>
    </w:p>
    <w:p w14:paraId="2DD7F9F5" w14:textId="31E22A4B"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Difference between improved underlying profitability and lower statutory profit is explained partly by adjusting items. Tesco recorded £417 million of adjusting items in 2025. Evidently, this indicates the need to analy</w:t>
      </w:r>
      <w:r>
        <w:rPr>
          <w:rFonts w:ascii="Times New Roman" w:hAnsi="Times New Roman" w:cs="Times New Roman"/>
        </w:rPr>
        <w:t>s</w:t>
      </w:r>
      <w:r w:rsidRPr="000F4066">
        <w:rPr>
          <w:rFonts w:ascii="Times New Roman" w:hAnsi="Times New Roman" w:cs="Times New Roman"/>
        </w:rPr>
        <w:t xml:space="preserve">e financial statements carefully and accurately instead of solely depending on the results of profit reports. Financial reporting language and sentiment analysis distinguishes between data obtained, possible risks, and management explanations (Soong &amp; Tan, 2021). </w:t>
      </w:r>
    </w:p>
    <w:p w14:paraId="0E60B361" w14:textId="4C7D3BDD"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 xml:space="preserve">Tesco’s efficiency in operations has been one of the elements of its financial strategy since it continuously tries to implement programs that facilitate cost reduction in operating costs (Thomas, </w:t>
      </w:r>
      <w:r w:rsidRPr="000F4066">
        <w:rPr>
          <w:rFonts w:ascii="Times New Roman" w:hAnsi="Times New Roman" w:cs="Times New Roman"/>
        </w:rPr>
        <w:lastRenderedPageBreak/>
        <w:t>2026).</w:t>
      </w:r>
      <w:r>
        <w:rPr>
          <w:rFonts w:ascii="Times New Roman" w:hAnsi="Times New Roman" w:cs="Times New Roman"/>
        </w:rPr>
        <w:t xml:space="preserve"> </w:t>
      </w:r>
      <w:r w:rsidRPr="000F4066">
        <w:rPr>
          <w:rFonts w:ascii="Times New Roman" w:hAnsi="Times New Roman" w:cs="Times New Roman"/>
        </w:rPr>
        <w:t>Nonetheless, supermarket companies still face challenges such as inflation, supplier expenses, rivalry among sellers, and shifts in consumer expenditures. Hence, financial risk management is still of paramount importance (Woods, 2022).</w:t>
      </w:r>
    </w:p>
    <w:p w14:paraId="2ECE48E3" w14:textId="77777777"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Tesco's EBITDA increased from £4,448 million in 2024 to £4,825 million in 2025.</w:t>
      </w:r>
    </w:p>
    <w:p w14:paraId="3ACEEC3B" w14:textId="77777777"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2024 EBITDA margin:</w:t>
      </w:r>
    </w:p>
    <w:p w14:paraId="2F495D04" w14:textId="55296BCA"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hint="eastAsia"/>
        </w:rPr>
        <w:t>£</w:t>
      </w:r>
      <w:r w:rsidRPr="000F4066">
        <w:rPr>
          <w:rFonts w:ascii="Times New Roman" w:hAnsi="Times New Roman" w:cs="Times New Roman"/>
        </w:rPr>
        <w:t xml:space="preserve">4,448 million </w:t>
      </w:r>
      <w:r>
        <w:rPr>
          <w:rFonts w:ascii="Times New Roman" w:hAnsi="Times New Roman" w:cs="Times New Roman"/>
        </w:rPr>
        <w:t>/</w:t>
      </w:r>
      <w:r w:rsidRPr="000F4066">
        <w:rPr>
          <w:rFonts w:ascii="Times New Roman" w:hAnsi="Times New Roman" w:cs="Times New Roman"/>
        </w:rPr>
        <w:t xml:space="preserve"> £68,187 million x 100 = 6.52%</w:t>
      </w:r>
    </w:p>
    <w:p w14:paraId="2C82242B" w14:textId="77777777"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2025 EBITDA margin:</w:t>
      </w:r>
    </w:p>
    <w:p w14:paraId="17B24490" w14:textId="263CA99F"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hint="eastAsia"/>
        </w:rPr>
        <w:t>£</w:t>
      </w:r>
      <w:r w:rsidRPr="000F4066">
        <w:rPr>
          <w:rFonts w:ascii="Times New Roman" w:hAnsi="Times New Roman" w:cs="Times New Roman"/>
        </w:rPr>
        <w:t xml:space="preserve">4,825 million </w:t>
      </w:r>
      <w:r>
        <w:rPr>
          <w:rFonts w:ascii="Times New Roman" w:hAnsi="Times New Roman" w:cs="Times New Roman"/>
        </w:rPr>
        <w:t>/</w:t>
      </w:r>
      <w:r w:rsidRPr="000F4066">
        <w:rPr>
          <w:rFonts w:ascii="Times New Roman" w:hAnsi="Times New Roman" w:cs="Times New Roman"/>
        </w:rPr>
        <w:t xml:space="preserve"> £69,916 million x 100 = 6.90%</w:t>
      </w:r>
    </w:p>
    <w:p w14:paraId="2CFD11F8" w14:textId="77777777"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The improvement implies better underlying cash-based operating performance prior to interest, taxes, depreciation, and amortisation.</w:t>
      </w:r>
    </w:p>
    <w:p w14:paraId="03A71FC7" w14:textId="5B0D0A55"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 xml:space="preserve">Tesco's fixed </w:t>
      </w:r>
      <w:r w:rsidRPr="000F4066">
        <w:rPr>
          <w:rFonts w:ascii="Times New Roman" w:hAnsi="Times New Roman" w:cs="Times New Roman"/>
        </w:rPr>
        <w:t>charges</w:t>
      </w:r>
      <w:r w:rsidRPr="000F4066">
        <w:rPr>
          <w:rFonts w:ascii="Times New Roman" w:hAnsi="Times New Roman" w:cs="Times New Roman"/>
        </w:rPr>
        <w:t xml:space="preserve"> also improved. If we measure EBITDA against adjusted financial charges and lease obligations:</w:t>
      </w:r>
    </w:p>
    <w:p w14:paraId="3D7AD01D" w14:textId="238260E9"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 xml:space="preserve">2024 fixed charge cover = £4,448 million </w:t>
      </w:r>
      <w:r>
        <w:rPr>
          <w:rFonts w:ascii="Times New Roman" w:hAnsi="Times New Roman" w:cs="Times New Roman"/>
        </w:rPr>
        <w:t>/</w:t>
      </w:r>
      <w:r w:rsidRPr="000F4066">
        <w:rPr>
          <w:rFonts w:ascii="Times New Roman" w:hAnsi="Times New Roman" w:cs="Times New Roman"/>
        </w:rPr>
        <w:t xml:space="preserve"> £1,182 million = 3.76 times, approximately 3.8 times</w:t>
      </w:r>
    </w:p>
    <w:p w14:paraId="2B8EB291" w14:textId="51CF7D3F"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 xml:space="preserve">2025 fixed charge cover = £4,825 million </w:t>
      </w:r>
      <w:r>
        <w:rPr>
          <w:rFonts w:ascii="Times New Roman" w:hAnsi="Times New Roman" w:cs="Times New Roman"/>
        </w:rPr>
        <w:t>/</w:t>
      </w:r>
      <w:r w:rsidRPr="000F4066">
        <w:rPr>
          <w:rFonts w:ascii="Times New Roman" w:hAnsi="Times New Roman" w:cs="Times New Roman"/>
        </w:rPr>
        <w:t xml:space="preserve"> £1,136 million = 4.25 times, approximately 4.2 times</w:t>
      </w:r>
    </w:p>
    <w:p w14:paraId="1C6529D6" w14:textId="77777777"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This improvement implies that Tesco had a better ability to meet fixed financing and lease obligations covered by profits in 2025. According to Tesco's annual report, fixed charge cover improved from 3.8 to 4.2 times (Tesco PLC, 2025).</w:t>
      </w:r>
    </w:p>
    <w:p w14:paraId="350BECB1" w14:textId="683B83C8" w:rsidR="000F4066" w:rsidRPr="000F4066" w:rsidRDefault="000F4066" w:rsidP="000F4066">
      <w:pPr>
        <w:pStyle w:val="ListParagraph"/>
        <w:numPr>
          <w:ilvl w:val="0"/>
          <w:numId w:val="1"/>
        </w:numPr>
        <w:spacing w:line="480" w:lineRule="auto"/>
        <w:jc w:val="both"/>
        <w:rPr>
          <w:rFonts w:ascii="Times New Roman" w:hAnsi="Times New Roman" w:cs="Times New Roman"/>
          <w:b/>
          <w:bCs/>
        </w:rPr>
      </w:pPr>
      <w:r w:rsidRPr="000F4066">
        <w:rPr>
          <w:rFonts w:ascii="Times New Roman" w:hAnsi="Times New Roman" w:cs="Times New Roman"/>
          <w:b/>
          <w:bCs/>
        </w:rPr>
        <w:t>Cash Flow and Investment</w:t>
      </w:r>
    </w:p>
    <w:p w14:paraId="694EE491" w14:textId="77777777" w:rsid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 xml:space="preserve">While EBITDA improved, free cash flow dropped from £2,063 million to £1,750 </w:t>
      </w:r>
      <w:r w:rsidRPr="000F4066">
        <w:rPr>
          <w:rFonts w:ascii="Times New Roman" w:hAnsi="Times New Roman" w:cs="Times New Roman"/>
        </w:rPr>
        <w:t>million. The</w:t>
      </w:r>
      <w:r w:rsidRPr="000F4066">
        <w:rPr>
          <w:rFonts w:ascii="Times New Roman" w:hAnsi="Times New Roman" w:cs="Times New Roman"/>
        </w:rPr>
        <w:t xml:space="preserve"> free cash flow conversion for the year 2024 is calculated as follows:</w:t>
      </w:r>
    </w:p>
    <w:p w14:paraId="300288B6" w14:textId="1CD2C1DB"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lang w:val="fr-FR"/>
        </w:rPr>
        <w:lastRenderedPageBreak/>
        <w:t>C</w:t>
      </w:r>
      <w:r w:rsidRPr="000F4066">
        <w:rPr>
          <w:rFonts w:ascii="Times New Roman" w:hAnsi="Times New Roman" w:cs="Times New Roman"/>
          <w:lang w:val="fr-FR"/>
        </w:rPr>
        <w:t xml:space="preserve">onversion ratio </w:t>
      </w:r>
      <w:r w:rsidRPr="000F4066">
        <w:rPr>
          <w:rFonts w:ascii="Times New Roman" w:hAnsi="Times New Roman" w:cs="Times New Roman"/>
          <w:lang w:val="fr-FR"/>
        </w:rPr>
        <w:t xml:space="preserve">= </w:t>
      </w:r>
      <w:r w:rsidRPr="000F4066">
        <w:rPr>
          <w:rFonts w:ascii="Times New Roman" w:hAnsi="Times New Roman" w:cs="Times New Roman"/>
          <w:lang w:val="fr-FR"/>
        </w:rPr>
        <w:t xml:space="preserve">£2,063 </w:t>
      </w:r>
      <w:r w:rsidRPr="000F4066">
        <w:rPr>
          <w:rFonts w:ascii="Times New Roman" w:hAnsi="Times New Roman" w:cs="Times New Roman"/>
          <w:lang w:val="fr-FR"/>
        </w:rPr>
        <w:t>millions</w:t>
      </w:r>
      <w:r w:rsidRPr="000F4066">
        <w:rPr>
          <w:rFonts w:ascii="Times New Roman" w:hAnsi="Times New Roman" w:cs="Times New Roman"/>
          <w:lang w:val="fr-FR"/>
        </w:rPr>
        <w:t xml:space="preserve"> </w:t>
      </w:r>
      <w:r w:rsidRPr="000F4066">
        <w:rPr>
          <w:rFonts w:ascii="Times New Roman" w:hAnsi="Times New Roman" w:cs="Times New Roman"/>
          <w:lang w:val="fr-FR"/>
        </w:rPr>
        <w:t xml:space="preserve">/ </w:t>
      </w:r>
      <w:r w:rsidRPr="000F4066">
        <w:rPr>
          <w:rFonts w:ascii="Times New Roman" w:hAnsi="Times New Roman" w:cs="Times New Roman"/>
          <w:lang w:val="fr-FR"/>
        </w:rPr>
        <w:t xml:space="preserve">£4,448 </w:t>
      </w:r>
      <w:r w:rsidRPr="000F4066">
        <w:rPr>
          <w:rFonts w:ascii="Times New Roman" w:hAnsi="Times New Roman" w:cs="Times New Roman"/>
          <w:lang w:val="fr-FR"/>
        </w:rPr>
        <w:t>millions</w:t>
      </w:r>
      <w:r w:rsidRPr="000F4066">
        <w:rPr>
          <w:rFonts w:ascii="Times New Roman" w:hAnsi="Times New Roman" w:cs="Times New Roman"/>
        </w:rPr>
        <w:t xml:space="preserve"> </w:t>
      </w:r>
      <w:r w:rsidRPr="000F4066">
        <w:rPr>
          <w:rFonts w:ascii="Times New Roman" w:hAnsi="Times New Roman" w:cs="Times New Roman"/>
        </w:rPr>
        <w:t xml:space="preserve">x </w:t>
      </w:r>
      <w:r w:rsidRPr="000F4066">
        <w:rPr>
          <w:rFonts w:ascii="Times New Roman" w:hAnsi="Times New Roman" w:cs="Times New Roman"/>
        </w:rPr>
        <w:t xml:space="preserve">100 </w:t>
      </w:r>
      <w:r w:rsidRPr="000F4066">
        <w:rPr>
          <w:rFonts w:ascii="Times New Roman" w:hAnsi="Times New Roman" w:cs="Times New Roman"/>
        </w:rPr>
        <w:t xml:space="preserve">= </w:t>
      </w:r>
      <w:r w:rsidRPr="000F4066">
        <w:rPr>
          <w:rFonts w:ascii="Times New Roman" w:hAnsi="Times New Roman" w:cs="Times New Roman"/>
        </w:rPr>
        <w:t>46.38</w:t>
      </w:r>
      <w:r w:rsidRPr="000F4066">
        <w:rPr>
          <w:rFonts w:ascii="Times New Roman" w:hAnsi="Times New Roman" w:cs="Times New Roman"/>
        </w:rPr>
        <w:t>%</w:t>
      </w:r>
      <w:r w:rsidRPr="000F4066">
        <w:rPr>
          <w:rFonts w:ascii="Times New Roman" w:hAnsi="Times New Roman" w:cs="Times New Roman"/>
        </w:rPr>
        <w:t>.</w:t>
      </w:r>
    </w:p>
    <w:p w14:paraId="71748811" w14:textId="77777777"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Similarly, free cash flow conversion for the year 2025 is calculated as follows:</w:t>
      </w:r>
    </w:p>
    <w:p w14:paraId="7AE254F6" w14:textId="67B61216" w:rsidR="000F4066" w:rsidRPr="000F4066" w:rsidRDefault="000F4066" w:rsidP="000F4066">
      <w:pPr>
        <w:spacing w:line="480" w:lineRule="auto"/>
        <w:jc w:val="both"/>
        <w:rPr>
          <w:rFonts w:ascii="Times New Roman" w:hAnsi="Times New Roman" w:cs="Times New Roman"/>
          <w:lang w:val="fr-FR"/>
        </w:rPr>
      </w:pPr>
      <w:r w:rsidRPr="000F4066">
        <w:rPr>
          <w:rFonts w:ascii="Times New Roman" w:hAnsi="Times New Roman" w:cs="Times New Roman"/>
          <w:lang w:val="fr-FR"/>
        </w:rPr>
        <w:t>C</w:t>
      </w:r>
      <w:r w:rsidRPr="000F4066">
        <w:rPr>
          <w:rFonts w:ascii="Times New Roman" w:hAnsi="Times New Roman" w:cs="Times New Roman"/>
          <w:lang w:val="fr-FR"/>
        </w:rPr>
        <w:t xml:space="preserve">onversion ratio </w:t>
      </w:r>
      <w:r w:rsidRPr="000F4066">
        <w:rPr>
          <w:rFonts w:ascii="Times New Roman" w:hAnsi="Times New Roman" w:cs="Times New Roman"/>
          <w:lang w:val="fr-FR"/>
        </w:rPr>
        <w:t xml:space="preserve">= </w:t>
      </w:r>
      <w:r w:rsidRPr="000F4066">
        <w:rPr>
          <w:rFonts w:ascii="Times New Roman" w:hAnsi="Times New Roman" w:cs="Times New Roman"/>
          <w:lang w:val="fr-FR"/>
        </w:rPr>
        <w:t>£1,750 million</w:t>
      </w:r>
      <w:r w:rsidRPr="000F4066">
        <w:rPr>
          <w:rFonts w:ascii="Times New Roman" w:hAnsi="Times New Roman" w:cs="Times New Roman"/>
          <w:lang w:val="fr-FR"/>
        </w:rPr>
        <w:t xml:space="preserve">s / </w:t>
      </w:r>
      <w:r w:rsidRPr="000F4066">
        <w:rPr>
          <w:rFonts w:ascii="Times New Roman" w:hAnsi="Times New Roman" w:cs="Times New Roman"/>
          <w:lang w:val="fr-FR"/>
        </w:rPr>
        <w:t>£4,825 million</w:t>
      </w:r>
      <w:r w:rsidRPr="000F4066">
        <w:rPr>
          <w:rFonts w:ascii="Times New Roman" w:hAnsi="Times New Roman" w:cs="Times New Roman"/>
          <w:lang w:val="fr-FR"/>
        </w:rPr>
        <w:t xml:space="preserve">s x </w:t>
      </w:r>
      <w:r w:rsidRPr="000F4066">
        <w:rPr>
          <w:rFonts w:ascii="Times New Roman" w:hAnsi="Times New Roman" w:cs="Times New Roman"/>
          <w:lang w:val="fr-FR"/>
        </w:rPr>
        <w:t xml:space="preserve">100 </w:t>
      </w:r>
      <w:r w:rsidRPr="000F4066">
        <w:rPr>
          <w:rFonts w:ascii="Times New Roman" w:hAnsi="Times New Roman" w:cs="Times New Roman"/>
          <w:lang w:val="fr-FR"/>
        </w:rPr>
        <w:t>=</w:t>
      </w:r>
      <w:r>
        <w:rPr>
          <w:rFonts w:ascii="Times New Roman" w:hAnsi="Times New Roman" w:cs="Times New Roman"/>
          <w:lang w:val="fr-FR"/>
        </w:rPr>
        <w:t xml:space="preserve"> </w:t>
      </w:r>
      <w:r w:rsidRPr="000F4066">
        <w:rPr>
          <w:rFonts w:ascii="Times New Roman" w:hAnsi="Times New Roman" w:cs="Times New Roman"/>
          <w:lang w:val="fr-FR"/>
        </w:rPr>
        <w:t>36.27</w:t>
      </w:r>
      <w:r>
        <w:rPr>
          <w:rFonts w:ascii="Times New Roman" w:hAnsi="Times New Roman" w:cs="Times New Roman"/>
          <w:lang w:val="fr-FR"/>
        </w:rPr>
        <w:t>%</w:t>
      </w:r>
      <w:r w:rsidRPr="000F4066">
        <w:rPr>
          <w:rFonts w:ascii="Times New Roman" w:hAnsi="Times New Roman" w:cs="Times New Roman"/>
          <w:lang w:val="fr-FR"/>
        </w:rPr>
        <w:t>.</w:t>
      </w:r>
    </w:p>
    <w:p w14:paraId="671BD4AA" w14:textId="77777777"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The decrease in the conversion ratio is indicative of the fact that lesser portion of EBITDA was translated into free cash flows. Tesco gave at least three reasons for the decline including the changes in working capital, increase in taxes paid and more capital investments made. Cash capital expenditure increased by £103 million during the year as Tesco invested in technology platforms, distribution automation, and improvements of its stores in the UK (Tesco PLC, 2025).</w:t>
      </w:r>
    </w:p>
    <w:p w14:paraId="2B61A4EE" w14:textId="7D3BDC16" w:rsidR="00603785" w:rsidRPr="00023011" w:rsidRDefault="00603785" w:rsidP="00023011">
      <w:pPr>
        <w:pStyle w:val="ListParagraph"/>
        <w:numPr>
          <w:ilvl w:val="0"/>
          <w:numId w:val="1"/>
        </w:numPr>
        <w:spacing w:line="480" w:lineRule="auto"/>
        <w:jc w:val="both"/>
        <w:rPr>
          <w:rFonts w:ascii="Times New Roman" w:hAnsi="Times New Roman" w:cs="Times New Roman"/>
          <w:b/>
          <w:bCs/>
        </w:rPr>
      </w:pPr>
      <w:r w:rsidRPr="00023011">
        <w:rPr>
          <w:rFonts w:ascii="Times New Roman" w:hAnsi="Times New Roman" w:cs="Times New Roman"/>
          <w:b/>
          <w:bCs/>
        </w:rPr>
        <w:t xml:space="preserve">Recommendation and conclusion </w:t>
      </w:r>
    </w:p>
    <w:p w14:paraId="2AB55642" w14:textId="21AC82D5"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 xml:space="preserve">Tesco </w:t>
      </w:r>
      <w:r w:rsidR="00603785" w:rsidRPr="000F4066">
        <w:rPr>
          <w:rFonts w:ascii="Times New Roman" w:hAnsi="Times New Roman" w:cs="Times New Roman"/>
        </w:rPr>
        <w:t>advised</w:t>
      </w:r>
      <w:r w:rsidRPr="000F4066">
        <w:rPr>
          <w:rFonts w:ascii="Times New Roman" w:hAnsi="Times New Roman" w:cs="Times New Roman"/>
        </w:rPr>
        <w:t xml:space="preserve"> </w:t>
      </w:r>
      <w:r w:rsidR="00603785" w:rsidRPr="000F4066">
        <w:rPr>
          <w:rFonts w:ascii="Times New Roman" w:hAnsi="Times New Roman" w:cs="Times New Roman"/>
        </w:rPr>
        <w:t>investing</w:t>
      </w:r>
      <w:r w:rsidRPr="000F4066">
        <w:rPr>
          <w:rFonts w:ascii="Times New Roman" w:hAnsi="Times New Roman" w:cs="Times New Roman"/>
        </w:rPr>
        <w:t xml:space="preserve"> in digital forecasting and automation to allow it to manage inventory and reduce costs in the supply chain better. Technology-based analysis will also assist managers in making the right and immediate decisions as long as proper techniques are used. </w:t>
      </w:r>
    </w:p>
    <w:p w14:paraId="09BADDEC" w14:textId="77777777"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In addition, Tesco is to focus on increasing free cash flow conversion. It should from one hand be noted that investing extra capital may be helpful on a long-term basis, but quick decline from 46.38 to 36.27 % should be observed. Better management of working capital and capacitating capital expenditures may substantially boost cash flow before paying any debts.</w:t>
      </w:r>
    </w:p>
    <w:p w14:paraId="1BBD8699" w14:textId="704803FD"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 xml:space="preserve">Additionally, Tesco should ensure that dividends and </w:t>
      </w:r>
      <w:r w:rsidR="00603785" w:rsidRPr="000F4066">
        <w:rPr>
          <w:rFonts w:ascii="Times New Roman" w:hAnsi="Times New Roman" w:cs="Times New Roman"/>
        </w:rPr>
        <w:t>buybacks</w:t>
      </w:r>
      <w:r w:rsidRPr="000F4066">
        <w:rPr>
          <w:rFonts w:ascii="Times New Roman" w:hAnsi="Times New Roman" w:cs="Times New Roman"/>
        </w:rPr>
        <w:t xml:space="preserve"> correspond to sustainable cash flow generation. While it may be reasonable to return even more cash to shareholders than annual cash flows for a short certain </w:t>
      </w:r>
      <w:r w:rsidR="00603785" w:rsidRPr="000F4066">
        <w:rPr>
          <w:rFonts w:ascii="Times New Roman" w:hAnsi="Times New Roman" w:cs="Times New Roman"/>
        </w:rPr>
        <w:t>period</w:t>
      </w:r>
      <w:r w:rsidRPr="000F4066">
        <w:rPr>
          <w:rFonts w:ascii="Times New Roman" w:hAnsi="Times New Roman" w:cs="Times New Roman"/>
        </w:rPr>
        <w:t>, this should not be done consistently as it may hinder financial flexibility.</w:t>
      </w:r>
      <w:r w:rsidR="00603785">
        <w:rPr>
          <w:rFonts w:ascii="Times New Roman" w:hAnsi="Times New Roman" w:cs="Times New Roman"/>
        </w:rPr>
        <w:t xml:space="preserve"> </w:t>
      </w:r>
      <w:r w:rsidRPr="000F4066">
        <w:rPr>
          <w:rFonts w:ascii="Times New Roman" w:hAnsi="Times New Roman" w:cs="Times New Roman"/>
        </w:rPr>
        <w:t xml:space="preserve">Finally, Tesco is advised to continue investing in green energy, low-carbon transportation systems and efficient supply chains. It has already started its railway transport </w:t>
      </w:r>
      <w:r w:rsidRPr="000F4066">
        <w:rPr>
          <w:rFonts w:ascii="Times New Roman" w:hAnsi="Times New Roman" w:cs="Times New Roman"/>
        </w:rPr>
        <w:lastRenderedPageBreak/>
        <w:t xml:space="preserve">projects and secured agreements for green </w:t>
      </w:r>
      <w:r w:rsidR="00603785" w:rsidRPr="000F4066">
        <w:rPr>
          <w:rFonts w:ascii="Times New Roman" w:hAnsi="Times New Roman" w:cs="Times New Roman"/>
        </w:rPr>
        <w:t>electricity and</w:t>
      </w:r>
      <w:r w:rsidRPr="000F4066">
        <w:rPr>
          <w:rFonts w:ascii="Times New Roman" w:hAnsi="Times New Roman" w:cs="Times New Roman"/>
        </w:rPr>
        <w:t xml:space="preserve"> thus is going to reduce long-term influence of the energy prices and save on maintenance costs. </w:t>
      </w:r>
    </w:p>
    <w:p w14:paraId="50E16DC7" w14:textId="577A4569" w:rsidR="000F4066" w:rsidRPr="000F4066" w:rsidRDefault="000F4066" w:rsidP="000F4066">
      <w:pPr>
        <w:spacing w:line="480" w:lineRule="auto"/>
        <w:jc w:val="both"/>
        <w:rPr>
          <w:rFonts w:ascii="Times New Roman" w:hAnsi="Times New Roman" w:cs="Times New Roman"/>
        </w:rPr>
      </w:pPr>
      <w:r w:rsidRPr="000F4066">
        <w:rPr>
          <w:rFonts w:ascii="Times New Roman" w:hAnsi="Times New Roman" w:cs="Times New Roman"/>
        </w:rPr>
        <w:t xml:space="preserve">In conclusion it can be stated that performance in 2025 turned out to be rather mixed but mainly positive sound from financial point of view. </w:t>
      </w:r>
      <w:r w:rsidR="00603785" w:rsidRPr="000F4066">
        <w:rPr>
          <w:rFonts w:ascii="Times New Roman" w:hAnsi="Times New Roman" w:cs="Times New Roman"/>
        </w:rPr>
        <w:t>Increase</w:t>
      </w:r>
      <w:r w:rsidRPr="000F4066">
        <w:rPr>
          <w:rFonts w:ascii="Times New Roman" w:hAnsi="Times New Roman" w:cs="Times New Roman"/>
        </w:rPr>
        <w:t xml:space="preserve"> of total revenue </w:t>
      </w:r>
      <w:r w:rsidR="00603785" w:rsidRPr="000F4066">
        <w:rPr>
          <w:rFonts w:ascii="Times New Roman" w:hAnsi="Times New Roman" w:cs="Times New Roman"/>
        </w:rPr>
        <w:t>to</w:t>
      </w:r>
      <w:r w:rsidRPr="000F4066">
        <w:rPr>
          <w:rFonts w:ascii="Times New Roman" w:hAnsi="Times New Roman" w:cs="Times New Roman"/>
        </w:rPr>
        <w:t xml:space="preserve"> 3.51%, growth of adjusted operating profit </w:t>
      </w:r>
      <w:r w:rsidR="00603785" w:rsidRPr="000F4066">
        <w:rPr>
          <w:rFonts w:ascii="Times New Roman" w:hAnsi="Times New Roman" w:cs="Times New Roman"/>
        </w:rPr>
        <w:t>to</w:t>
      </w:r>
      <w:r w:rsidRPr="000F4066">
        <w:rPr>
          <w:rFonts w:ascii="Times New Roman" w:hAnsi="Times New Roman" w:cs="Times New Roman"/>
        </w:rPr>
        <w:t xml:space="preserve"> 10.57%, further increase of EBITDA margin from 6.52 to 6.90 and strengthening of fixed charge coverage ratio from approximately 3.8 to 4.2 should be highlighted. At the same </w:t>
      </w:r>
      <w:r w:rsidR="00603785" w:rsidRPr="000F4066">
        <w:rPr>
          <w:rFonts w:ascii="Times New Roman" w:hAnsi="Times New Roman" w:cs="Times New Roman"/>
        </w:rPr>
        <w:t>time,</w:t>
      </w:r>
      <w:r w:rsidRPr="000F4066">
        <w:rPr>
          <w:rFonts w:ascii="Times New Roman" w:hAnsi="Times New Roman" w:cs="Times New Roman"/>
        </w:rPr>
        <w:t xml:space="preserve"> it is important to mention that profit before tax margin has decreased from 3.36% to 3.17% and free cash flow conversion rate has dropped drastically from 46.38 to 36.27%. </w:t>
      </w:r>
    </w:p>
    <w:p w14:paraId="4119107B" w14:textId="57CDD3BA" w:rsidR="00325E28" w:rsidRDefault="000F4066" w:rsidP="000F4066">
      <w:pPr>
        <w:spacing w:line="480" w:lineRule="auto"/>
        <w:jc w:val="both"/>
        <w:rPr>
          <w:rFonts w:ascii="Times New Roman" w:hAnsi="Times New Roman" w:cs="Times New Roman"/>
        </w:rPr>
      </w:pPr>
      <w:r w:rsidRPr="000F4066">
        <w:rPr>
          <w:rFonts w:ascii="Times New Roman" w:hAnsi="Times New Roman" w:cs="Times New Roman"/>
        </w:rPr>
        <w:t xml:space="preserve">Therefore, ratio analysis makes it clear that while higher sales and better operating performance contributed to company’s financial position, it could not help </w:t>
      </w:r>
      <w:r w:rsidR="00603785" w:rsidRPr="000F4066">
        <w:rPr>
          <w:rFonts w:ascii="Times New Roman" w:hAnsi="Times New Roman" w:cs="Times New Roman"/>
        </w:rPr>
        <w:t>achieving</w:t>
      </w:r>
      <w:r w:rsidRPr="000F4066">
        <w:rPr>
          <w:rFonts w:ascii="Times New Roman" w:hAnsi="Times New Roman" w:cs="Times New Roman"/>
        </w:rPr>
        <w:t xml:space="preserve"> good results in all financial measurements. Investing additional amounts of money, changes in working capital and adjusting items have badly affected statutory profits and cash generation by the company. The main conclusion is that Tesco should preserve growth in its operations and enhance cash flow conversions while at the same time making sure that returns to shareholders are reasonable and investments into tech and sustainability projects continue.</w:t>
      </w:r>
    </w:p>
    <w:p w14:paraId="1256E276" w14:textId="77777777" w:rsidR="00603785" w:rsidRDefault="00603785" w:rsidP="000F4066">
      <w:pPr>
        <w:spacing w:line="480" w:lineRule="auto"/>
        <w:jc w:val="both"/>
        <w:rPr>
          <w:rFonts w:ascii="Times New Roman" w:hAnsi="Times New Roman" w:cs="Times New Roman"/>
        </w:rPr>
      </w:pPr>
    </w:p>
    <w:p w14:paraId="2125A91E" w14:textId="77777777" w:rsidR="00603785" w:rsidRDefault="00603785" w:rsidP="000F4066">
      <w:pPr>
        <w:spacing w:line="480" w:lineRule="auto"/>
        <w:jc w:val="both"/>
        <w:rPr>
          <w:rFonts w:ascii="Times New Roman" w:hAnsi="Times New Roman" w:cs="Times New Roman"/>
        </w:rPr>
      </w:pPr>
    </w:p>
    <w:p w14:paraId="6A6D606A" w14:textId="77777777" w:rsidR="00603785" w:rsidRDefault="00603785" w:rsidP="000F4066">
      <w:pPr>
        <w:spacing w:line="480" w:lineRule="auto"/>
        <w:jc w:val="both"/>
        <w:rPr>
          <w:rFonts w:ascii="Times New Roman" w:hAnsi="Times New Roman" w:cs="Times New Roman"/>
        </w:rPr>
      </w:pPr>
    </w:p>
    <w:p w14:paraId="2A9CD833" w14:textId="77777777" w:rsidR="00603785" w:rsidRDefault="00603785" w:rsidP="000F4066">
      <w:pPr>
        <w:spacing w:line="480" w:lineRule="auto"/>
        <w:jc w:val="both"/>
        <w:rPr>
          <w:rFonts w:ascii="Times New Roman" w:hAnsi="Times New Roman" w:cs="Times New Roman"/>
        </w:rPr>
      </w:pPr>
    </w:p>
    <w:p w14:paraId="6440386F" w14:textId="77777777" w:rsidR="00603785" w:rsidRDefault="00603785" w:rsidP="000F4066">
      <w:pPr>
        <w:spacing w:line="480" w:lineRule="auto"/>
        <w:jc w:val="both"/>
        <w:rPr>
          <w:rFonts w:ascii="Times New Roman" w:hAnsi="Times New Roman" w:cs="Times New Roman"/>
        </w:rPr>
      </w:pPr>
    </w:p>
    <w:p w14:paraId="2E479783" w14:textId="77777777" w:rsidR="00603785" w:rsidRDefault="00603785" w:rsidP="000F4066">
      <w:pPr>
        <w:spacing w:line="480" w:lineRule="auto"/>
        <w:jc w:val="both"/>
        <w:rPr>
          <w:rFonts w:ascii="Times New Roman" w:hAnsi="Times New Roman" w:cs="Times New Roman"/>
        </w:rPr>
      </w:pPr>
    </w:p>
    <w:p w14:paraId="1D1122DB" w14:textId="67DBF239" w:rsidR="00603785" w:rsidRPr="00023011" w:rsidRDefault="00603785" w:rsidP="000F4066">
      <w:pPr>
        <w:spacing w:line="480" w:lineRule="auto"/>
        <w:jc w:val="both"/>
        <w:rPr>
          <w:rFonts w:ascii="Times New Roman" w:hAnsi="Times New Roman" w:cs="Times New Roman"/>
          <w:b/>
          <w:bCs/>
        </w:rPr>
      </w:pPr>
      <w:r w:rsidRPr="00023011">
        <w:rPr>
          <w:rFonts w:ascii="Times New Roman" w:hAnsi="Times New Roman" w:cs="Times New Roman"/>
          <w:b/>
          <w:bCs/>
        </w:rPr>
        <w:lastRenderedPageBreak/>
        <w:t xml:space="preserve">References </w:t>
      </w:r>
    </w:p>
    <w:p w14:paraId="0BF322FB" w14:textId="77777777" w:rsidR="00023011" w:rsidRPr="00023011" w:rsidRDefault="00023011" w:rsidP="00023011">
      <w:pPr>
        <w:spacing w:line="480" w:lineRule="auto"/>
        <w:ind w:left="720" w:hanging="720"/>
        <w:rPr>
          <w:rFonts w:ascii="Times New Roman" w:hAnsi="Times New Roman" w:cs="Times New Roman"/>
        </w:rPr>
      </w:pPr>
      <w:r w:rsidRPr="00023011">
        <w:rPr>
          <w:rFonts w:ascii="Times New Roman" w:hAnsi="Times New Roman" w:cs="Times New Roman"/>
        </w:rPr>
        <w:t xml:space="preserve">Asare, P. Y. (n.d.). </w:t>
      </w:r>
      <w:r w:rsidRPr="00023011">
        <w:rPr>
          <w:rFonts w:ascii="Times New Roman" w:hAnsi="Times New Roman" w:cs="Times New Roman"/>
          <w:i/>
          <w:iCs/>
        </w:rPr>
        <w:t>Advanced NLP for financial document analysis: Tools and techniques. In Foundations of artificial intelligence in finance</w:t>
      </w:r>
      <w:r w:rsidRPr="00023011">
        <w:rPr>
          <w:rFonts w:ascii="Times New Roman" w:hAnsi="Times New Roman" w:cs="Times New Roman"/>
        </w:rPr>
        <w:t xml:space="preserve"> (pp. 50–58). Chapman and Hall/CRC.</w:t>
      </w:r>
    </w:p>
    <w:p w14:paraId="37242659" w14:textId="1EA17E5F" w:rsidR="00023011" w:rsidRPr="00023011" w:rsidRDefault="00023011" w:rsidP="00023011">
      <w:pPr>
        <w:spacing w:line="480" w:lineRule="auto"/>
        <w:ind w:left="720" w:hanging="720"/>
        <w:rPr>
          <w:rFonts w:ascii="Times New Roman" w:hAnsi="Times New Roman" w:cs="Times New Roman"/>
        </w:rPr>
      </w:pPr>
      <w:r w:rsidRPr="00023011">
        <w:rPr>
          <w:rFonts w:ascii="Times New Roman" w:hAnsi="Times New Roman" w:cs="Times New Roman"/>
          <w:lang w:val="fr-FR"/>
        </w:rPr>
        <w:t xml:space="preserve">Du, K., Xing, F., Mao, R., &amp; Cambria, E. (2024). Financial sentiment </w:t>
      </w:r>
      <w:r w:rsidRPr="00023011">
        <w:rPr>
          <w:rFonts w:ascii="Times New Roman" w:hAnsi="Times New Roman" w:cs="Times New Roman"/>
          <w:lang w:val="fr-FR"/>
        </w:rPr>
        <w:t>analyses :</w:t>
      </w:r>
      <w:r w:rsidRPr="00023011">
        <w:rPr>
          <w:rFonts w:ascii="Times New Roman" w:hAnsi="Times New Roman" w:cs="Times New Roman"/>
          <w:lang w:val="fr-FR"/>
        </w:rPr>
        <w:t xml:space="preserve"> Techniques and applications. </w:t>
      </w:r>
      <w:r w:rsidRPr="00023011">
        <w:rPr>
          <w:rFonts w:ascii="Times New Roman" w:hAnsi="Times New Roman" w:cs="Times New Roman"/>
          <w:i/>
          <w:iCs/>
        </w:rPr>
        <w:t>ACM Computing Surveys, 56</w:t>
      </w:r>
      <w:r w:rsidRPr="00023011">
        <w:rPr>
          <w:rFonts w:ascii="Times New Roman" w:hAnsi="Times New Roman" w:cs="Times New Roman"/>
        </w:rPr>
        <w:t>(9), 1–42.</w:t>
      </w:r>
    </w:p>
    <w:p w14:paraId="2B0FDC34" w14:textId="77777777" w:rsidR="00023011" w:rsidRPr="00023011" w:rsidRDefault="00023011" w:rsidP="00023011">
      <w:pPr>
        <w:spacing w:line="480" w:lineRule="auto"/>
        <w:ind w:left="720" w:hanging="720"/>
        <w:rPr>
          <w:rFonts w:ascii="Times New Roman" w:hAnsi="Times New Roman" w:cs="Times New Roman"/>
        </w:rPr>
      </w:pPr>
      <w:r w:rsidRPr="00023011">
        <w:rPr>
          <w:rFonts w:ascii="Times New Roman" w:hAnsi="Times New Roman" w:cs="Times New Roman"/>
          <w:lang w:val="it-IT"/>
        </w:rPr>
        <w:t xml:space="preserve">Faccia, A., McDonald, J., &amp; George, B. (2023). </w:t>
      </w:r>
      <w:r w:rsidRPr="00023011">
        <w:rPr>
          <w:rFonts w:ascii="Times New Roman" w:hAnsi="Times New Roman" w:cs="Times New Roman"/>
        </w:rPr>
        <w:t>NLP sentiment analysis and accounting transparency: A new era of financial record keeping</w:t>
      </w:r>
      <w:r w:rsidRPr="00023011">
        <w:rPr>
          <w:rFonts w:ascii="Times New Roman" w:hAnsi="Times New Roman" w:cs="Times New Roman"/>
          <w:i/>
          <w:iCs/>
        </w:rPr>
        <w:t>. Computers, 13</w:t>
      </w:r>
      <w:r w:rsidRPr="00023011">
        <w:rPr>
          <w:rFonts w:ascii="Times New Roman" w:hAnsi="Times New Roman" w:cs="Times New Roman"/>
        </w:rPr>
        <w:t>(1), 5.</w:t>
      </w:r>
    </w:p>
    <w:p w14:paraId="27793A4B" w14:textId="77777777" w:rsidR="00023011" w:rsidRPr="00023011" w:rsidRDefault="00023011" w:rsidP="00023011">
      <w:pPr>
        <w:spacing w:line="480" w:lineRule="auto"/>
        <w:ind w:left="720" w:hanging="720"/>
        <w:rPr>
          <w:rFonts w:ascii="Times New Roman" w:hAnsi="Times New Roman" w:cs="Times New Roman"/>
        </w:rPr>
      </w:pPr>
      <w:r w:rsidRPr="00023011">
        <w:rPr>
          <w:rFonts w:ascii="Times New Roman" w:hAnsi="Times New Roman" w:cs="Times New Roman"/>
        </w:rPr>
        <w:t xml:space="preserve">Huang, C. K., &amp; Lin, J. S. (2025). Firm performance on artificial intelligence implementation. </w:t>
      </w:r>
      <w:r w:rsidRPr="00023011">
        <w:rPr>
          <w:rFonts w:ascii="Times New Roman" w:hAnsi="Times New Roman" w:cs="Times New Roman"/>
          <w:i/>
          <w:iCs/>
        </w:rPr>
        <w:t>Managerial and Decision Economics, 46</w:t>
      </w:r>
      <w:r w:rsidRPr="00023011">
        <w:rPr>
          <w:rFonts w:ascii="Times New Roman" w:hAnsi="Times New Roman" w:cs="Times New Roman"/>
        </w:rPr>
        <w:t>(3), 1856–1870.</w:t>
      </w:r>
    </w:p>
    <w:p w14:paraId="49C3B808" w14:textId="77777777" w:rsidR="00023011" w:rsidRPr="00023011" w:rsidRDefault="00023011" w:rsidP="00023011">
      <w:pPr>
        <w:spacing w:line="480" w:lineRule="auto"/>
        <w:ind w:left="720" w:hanging="720"/>
        <w:rPr>
          <w:rFonts w:ascii="Times New Roman" w:hAnsi="Times New Roman" w:cs="Times New Roman"/>
        </w:rPr>
      </w:pPr>
      <w:proofErr w:type="spellStart"/>
      <w:r w:rsidRPr="00023011">
        <w:rPr>
          <w:rFonts w:ascii="Times New Roman" w:hAnsi="Times New Roman" w:cs="Times New Roman"/>
        </w:rPr>
        <w:t>Kuizinienė</w:t>
      </w:r>
      <w:proofErr w:type="spellEnd"/>
      <w:r w:rsidRPr="00023011">
        <w:rPr>
          <w:rFonts w:ascii="Times New Roman" w:hAnsi="Times New Roman" w:cs="Times New Roman"/>
        </w:rPr>
        <w:t xml:space="preserve">, D., Krilavičius, T., </w:t>
      </w:r>
      <w:proofErr w:type="spellStart"/>
      <w:r w:rsidRPr="00023011">
        <w:rPr>
          <w:rFonts w:ascii="Times New Roman" w:hAnsi="Times New Roman" w:cs="Times New Roman"/>
        </w:rPr>
        <w:t>Damaševičius</w:t>
      </w:r>
      <w:proofErr w:type="spellEnd"/>
      <w:r w:rsidRPr="00023011">
        <w:rPr>
          <w:rFonts w:ascii="Times New Roman" w:hAnsi="Times New Roman" w:cs="Times New Roman"/>
        </w:rPr>
        <w:t xml:space="preserve">, R., &amp; </w:t>
      </w:r>
      <w:proofErr w:type="spellStart"/>
      <w:r w:rsidRPr="00023011">
        <w:rPr>
          <w:rFonts w:ascii="Times New Roman" w:hAnsi="Times New Roman" w:cs="Times New Roman"/>
        </w:rPr>
        <w:t>Maskeliūnas</w:t>
      </w:r>
      <w:proofErr w:type="spellEnd"/>
      <w:r w:rsidRPr="00023011">
        <w:rPr>
          <w:rFonts w:ascii="Times New Roman" w:hAnsi="Times New Roman" w:cs="Times New Roman"/>
        </w:rPr>
        <w:t xml:space="preserve">, R. (2022). Systematic review of financial distress identification using artificial intelligence methods. </w:t>
      </w:r>
      <w:r w:rsidRPr="00023011">
        <w:rPr>
          <w:rFonts w:ascii="Times New Roman" w:hAnsi="Times New Roman" w:cs="Times New Roman"/>
          <w:i/>
          <w:iCs/>
        </w:rPr>
        <w:t>Applied Artificial Intelligence, 36</w:t>
      </w:r>
      <w:r w:rsidRPr="00023011">
        <w:rPr>
          <w:rFonts w:ascii="Times New Roman" w:hAnsi="Times New Roman" w:cs="Times New Roman"/>
        </w:rPr>
        <w:t>(1), 2138124.</w:t>
      </w:r>
    </w:p>
    <w:p w14:paraId="3644886C" w14:textId="77777777" w:rsidR="00023011" w:rsidRPr="00023011" w:rsidRDefault="00023011" w:rsidP="00023011">
      <w:pPr>
        <w:spacing w:line="480" w:lineRule="auto"/>
        <w:ind w:left="720" w:hanging="720"/>
        <w:rPr>
          <w:rFonts w:ascii="Times New Roman" w:hAnsi="Times New Roman" w:cs="Times New Roman"/>
        </w:rPr>
      </w:pPr>
      <w:r w:rsidRPr="00023011">
        <w:rPr>
          <w:rFonts w:ascii="Times New Roman" w:hAnsi="Times New Roman" w:cs="Times New Roman"/>
        </w:rPr>
        <w:t xml:space="preserve">Meng, S. (2024). Operation management of grocery retailer in the UK: A case of Tesco. </w:t>
      </w:r>
      <w:r w:rsidRPr="00023011">
        <w:rPr>
          <w:rFonts w:ascii="Times New Roman" w:hAnsi="Times New Roman" w:cs="Times New Roman"/>
          <w:i/>
          <w:iCs/>
        </w:rPr>
        <w:t>Pacific International Journal, 7</w:t>
      </w:r>
      <w:r w:rsidRPr="00023011">
        <w:rPr>
          <w:rFonts w:ascii="Times New Roman" w:hAnsi="Times New Roman" w:cs="Times New Roman"/>
        </w:rPr>
        <w:t>(2), 136–142.</w:t>
      </w:r>
    </w:p>
    <w:p w14:paraId="6EE6C60E" w14:textId="77777777" w:rsidR="00023011" w:rsidRPr="00023011" w:rsidRDefault="00023011" w:rsidP="00023011">
      <w:pPr>
        <w:spacing w:line="480" w:lineRule="auto"/>
        <w:ind w:left="720" w:hanging="720"/>
        <w:rPr>
          <w:rFonts w:ascii="Times New Roman" w:hAnsi="Times New Roman" w:cs="Times New Roman"/>
        </w:rPr>
      </w:pPr>
      <w:r w:rsidRPr="00023011">
        <w:rPr>
          <w:rFonts w:ascii="Times New Roman" w:hAnsi="Times New Roman" w:cs="Times New Roman"/>
        </w:rPr>
        <w:t xml:space="preserve">Needles, B. E., Jr., &amp; Powers, M. (2026). </w:t>
      </w:r>
      <w:r w:rsidRPr="00023011">
        <w:rPr>
          <w:rFonts w:ascii="Times New Roman" w:hAnsi="Times New Roman" w:cs="Times New Roman"/>
          <w:i/>
          <w:iCs/>
        </w:rPr>
        <w:t>Principle of accounting</w:t>
      </w:r>
      <w:r w:rsidRPr="00023011">
        <w:rPr>
          <w:rFonts w:ascii="Times New Roman" w:hAnsi="Times New Roman" w:cs="Times New Roman"/>
        </w:rPr>
        <w:t xml:space="preserve">. </w:t>
      </w:r>
      <w:proofErr w:type="spellStart"/>
      <w:r w:rsidRPr="00023011">
        <w:rPr>
          <w:rFonts w:ascii="Times New Roman" w:hAnsi="Times New Roman" w:cs="Times New Roman"/>
        </w:rPr>
        <w:t>Zhafran</w:t>
      </w:r>
      <w:proofErr w:type="spellEnd"/>
      <w:r w:rsidRPr="00023011">
        <w:rPr>
          <w:rFonts w:ascii="Times New Roman" w:hAnsi="Times New Roman" w:cs="Times New Roman"/>
        </w:rPr>
        <w:t xml:space="preserve"> Habi.</w:t>
      </w:r>
    </w:p>
    <w:p w14:paraId="5ACBF214" w14:textId="414F42A5" w:rsidR="00023011" w:rsidRPr="00023011" w:rsidRDefault="00023011" w:rsidP="00023011">
      <w:pPr>
        <w:spacing w:line="480" w:lineRule="auto"/>
        <w:ind w:left="720" w:hanging="720"/>
        <w:rPr>
          <w:rFonts w:ascii="Times New Roman" w:hAnsi="Times New Roman" w:cs="Times New Roman"/>
        </w:rPr>
      </w:pPr>
      <w:r w:rsidRPr="00023011">
        <w:rPr>
          <w:rFonts w:ascii="Times New Roman" w:hAnsi="Times New Roman" w:cs="Times New Roman"/>
        </w:rPr>
        <w:t>Oyewole, A. T., Adeoye, O. B., Addy, W. A., Okoye</w:t>
      </w:r>
      <w:r w:rsidRPr="00023011">
        <w:rPr>
          <w:rFonts w:ascii="Times New Roman" w:hAnsi="Times New Roman" w:cs="Times New Roman"/>
        </w:rPr>
        <w:t>,</w:t>
      </w:r>
      <w:r w:rsidRPr="00023011">
        <w:rPr>
          <w:rFonts w:ascii="Times New Roman" w:hAnsi="Times New Roman" w:cs="Times New Roman"/>
        </w:rPr>
        <w:t xml:space="preserve"> C., </w:t>
      </w:r>
      <w:proofErr w:type="spellStart"/>
      <w:r w:rsidRPr="00023011">
        <w:rPr>
          <w:rFonts w:ascii="Times New Roman" w:hAnsi="Times New Roman" w:cs="Times New Roman"/>
        </w:rPr>
        <w:t>Ofodile</w:t>
      </w:r>
      <w:proofErr w:type="spellEnd"/>
      <w:r w:rsidRPr="00023011">
        <w:rPr>
          <w:rFonts w:ascii="Times New Roman" w:hAnsi="Times New Roman" w:cs="Times New Roman"/>
        </w:rPr>
        <w:t xml:space="preserve">, O. C., &amp; Ugochukwu, C. E. (2024). Automating financial reporting with natural language processing: A review and case analysis. </w:t>
      </w:r>
      <w:r w:rsidRPr="00023011">
        <w:rPr>
          <w:rFonts w:ascii="Times New Roman" w:hAnsi="Times New Roman" w:cs="Times New Roman"/>
          <w:i/>
          <w:iCs/>
        </w:rPr>
        <w:t>World Journal of Advanced Research and Reviews, 21</w:t>
      </w:r>
      <w:r w:rsidRPr="00023011">
        <w:rPr>
          <w:rFonts w:ascii="Times New Roman" w:hAnsi="Times New Roman" w:cs="Times New Roman"/>
        </w:rPr>
        <w:t>(3), 575–589.</w:t>
      </w:r>
    </w:p>
    <w:p w14:paraId="7F83928E" w14:textId="77777777" w:rsidR="00023011" w:rsidRDefault="00023011" w:rsidP="00023011">
      <w:pPr>
        <w:spacing w:line="480" w:lineRule="auto"/>
        <w:ind w:left="720" w:hanging="720"/>
        <w:rPr>
          <w:rFonts w:ascii="Times New Roman" w:hAnsi="Times New Roman" w:cs="Times New Roman"/>
          <w:i/>
          <w:iCs/>
        </w:rPr>
      </w:pPr>
      <w:r w:rsidRPr="00023011">
        <w:rPr>
          <w:rFonts w:ascii="Times New Roman" w:hAnsi="Times New Roman" w:cs="Times New Roman"/>
        </w:rPr>
        <w:t xml:space="preserve">Roy, B. A. S. I. L. (2024). </w:t>
      </w:r>
      <w:r w:rsidRPr="00023011">
        <w:rPr>
          <w:rFonts w:ascii="Times New Roman" w:hAnsi="Times New Roman" w:cs="Times New Roman"/>
          <w:i/>
          <w:iCs/>
        </w:rPr>
        <w:t>Digital transformation strategies in traditional retail industries: A case of Tesco PLC.</w:t>
      </w:r>
    </w:p>
    <w:p w14:paraId="1A0A06C3" w14:textId="13CECC62" w:rsidR="00023011" w:rsidRPr="00023011" w:rsidRDefault="00023011" w:rsidP="00023011">
      <w:pPr>
        <w:spacing w:line="480" w:lineRule="auto"/>
        <w:ind w:left="720" w:hanging="720"/>
        <w:rPr>
          <w:rFonts w:ascii="Times New Roman" w:hAnsi="Times New Roman" w:cs="Times New Roman"/>
          <w:i/>
          <w:iCs/>
        </w:rPr>
      </w:pPr>
      <w:r w:rsidRPr="00023011">
        <w:rPr>
          <w:rFonts w:ascii="Times New Roman" w:hAnsi="Times New Roman" w:cs="Times New Roman"/>
        </w:rPr>
        <w:lastRenderedPageBreak/>
        <w:t xml:space="preserve">Soong, G. H., &amp; Tan, C. C. (2021). Sentiment analysis on 10-K financial reports using machine learning approaches. In </w:t>
      </w:r>
      <w:r w:rsidRPr="00023011">
        <w:rPr>
          <w:rFonts w:ascii="Times New Roman" w:hAnsi="Times New Roman" w:cs="Times New Roman"/>
          <w:i/>
          <w:iCs/>
        </w:rPr>
        <w:t xml:space="preserve">2021 IEEE 11th International Conference on System Engineering and Technology </w:t>
      </w:r>
      <w:r w:rsidRPr="00023011">
        <w:rPr>
          <w:rFonts w:ascii="Times New Roman" w:hAnsi="Times New Roman" w:cs="Times New Roman"/>
        </w:rPr>
        <w:t>(ICSET) (pp. 124–129). IEEE.</w:t>
      </w:r>
    </w:p>
    <w:p w14:paraId="05FE77B6" w14:textId="371D98CE" w:rsidR="00023011" w:rsidRDefault="00023011" w:rsidP="00023011">
      <w:pPr>
        <w:spacing w:line="480" w:lineRule="auto"/>
        <w:ind w:left="720" w:hanging="720"/>
        <w:rPr>
          <w:rFonts w:ascii="Times New Roman" w:hAnsi="Times New Roman" w:cs="Times New Roman"/>
        </w:rPr>
      </w:pPr>
      <w:r w:rsidRPr="00023011">
        <w:rPr>
          <w:rFonts w:ascii="Times New Roman" w:hAnsi="Times New Roman" w:cs="Times New Roman"/>
        </w:rPr>
        <w:t xml:space="preserve">Thomas, P. (2026). </w:t>
      </w:r>
      <w:r w:rsidRPr="00023011">
        <w:rPr>
          <w:rFonts w:ascii="Times New Roman" w:hAnsi="Times New Roman" w:cs="Times New Roman"/>
          <w:i/>
          <w:iCs/>
        </w:rPr>
        <w:t>An empirical analysis of transaction costs and operational efficiency in Tesco supermarkets.</w:t>
      </w:r>
      <w:r>
        <w:rPr>
          <w:rFonts w:ascii="Times New Roman" w:hAnsi="Times New Roman" w:cs="Times New Roman"/>
          <w:i/>
          <w:iCs/>
        </w:rPr>
        <w:t xml:space="preserve"> </w:t>
      </w:r>
      <w:r w:rsidRPr="00023011">
        <w:rPr>
          <w:rFonts w:ascii="Times New Roman" w:hAnsi="Times New Roman" w:cs="Times New Roman"/>
        </w:rPr>
        <w:t xml:space="preserve">Retrieved from: </w:t>
      </w:r>
      <w:hyperlink r:id="rId7" w:history="1">
        <w:r w:rsidRPr="000B2733">
          <w:rPr>
            <w:rStyle w:val="Hyperlink"/>
            <w:rFonts w:ascii="Times New Roman" w:hAnsi="Times New Roman" w:cs="Times New Roman"/>
          </w:rPr>
          <w:t>https://www.researchgate.net/publication/404688679_An_Analysis_of_Transaction_Costs_and_Profitability_in_Retail_Supermarkets_A_Case_Study_of_Tesco</w:t>
        </w:r>
      </w:hyperlink>
    </w:p>
    <w:p w14:paraId="2A34927E" w14:textId="5222F76E" w:rsidR="00023011" w:rsidRPr="00023011" w:rsidRDefault="00023011" w:rsidP="00023011">
      <w:pPr>
        <w:spacing w:line="480" w:lineRule="auto"/>
        <w:ind w:left="720" w:hanging="720"/>
        <w:rPr>
          <w:rFonts w:ascii="Times New Roman" w:hAnsi="Times New Roman" w:cs="Times New Roman"/>
        </w:rPr>
      </w:pPr>
      <w:r w:rsidRPr="00023011">
        <w:rPr>
          <w:rFonts w:ascii="Times New Roman" w:hAnsi="Times New Roman" w:cs="Times New Roman"/>
        </w:rPr>
        <w:t>Tesco PLC. (2024). Annual report and financial statements 2024.</w:t>
      </w:r>
      <w:r>
        <w:rPr>
          <w:rFonts w:ascii="Times New Roman" w:hAnsi="Times New Roman" w:cs="Times New Roman"/>
        </w:rPr>
        <w:t xml:space="preserve"> Retrieved from: </w:t>
      </w:r>
      <w:hyperlink r:id="rId8" w:history="1">
        <w:r w:rsidRPr="000B2733">
          <w:rPr>
            <w:rStyle w:val="Hyperlink"/>
            <w:rFonts w:ascii="Times New Roman" w:hAnsi="Times New Roman" w:cs="Times New Roman"/>
          </w:rPr>
          <w:t>https://www.tescoplc.com/investors/reports-results-and-presentations/annual-report-2024</w:t>
        </w:r>
      </w:hyperlink>
      <w:r>
        <w:rPr>
          <w:rFonts w:ascii="Times New Roman" w:hAnsi="Times New Roman" w:cs="Times New Roman"/>
        </w:rPr>
        <w:t xml:space="preserve"> </w:t>
      </w:r>
    </w:p>
    <w:p w14:paraId="44778A95" w14:textId="5227EDD9" w:rsidR="00023011" w:rsidRPr="00023011" w:rsidRDefault="00023011" w:rsidP="00023011">
      <w:pPr>
        <w:spacing w:line="480" w:lineRule="auto"/>
        <w:ind w:left="720" w:hanging="720"/>
        <w:rPr>
          <w:rFonts w:ascii="Times New Roman" w:hAnsi="Times New Roman" w:cs="Times New Roman"/>
        </w:rPr>
      </w:pPr>
      <w:r w:rsidRPr="00023011">
        <w:rPr>
          <w:rFonts w:ascii="Times New Roman" w:hAnsi="Times New Roman" w:cs="Times New Roman"/>
        </w:rPr>
        <w:t>Tesco PLC. (2025). Annual report and financial statements 2025.</w:t>
      </w:r>
      <w:r>
        <w:rPr>
          <w:rFonts w:ascii="Times New Roman" w:hAnsi="Times New Roman" w:cs="Times New Roman"/>
        </w:rPr>
        <w:t xml:space="preserve"> Retrieved from: </w:t>
      </w:r>
      <w:hyperlink r:id="rId9" w:history="1">
        <w:r w:rsidRPr="000B2733">
          <w:rPr>
            <w:rStyle w:val="Hyperlink"/>
            <w:rFonts w:ascii="Times New Roman" w:hAnsi="Times New Roman" w:cs="Times New Roman"/>
          </w:rPr>
          <w:t>https://www.tescoplc.com/investors/reports-results-and-presentations/annual-report-2025</w:t>
        </w:r>
      </w:hyperlink>
      <w:r>
        <w:rPr>
          <w:rFonts w:ascii="Times New Roman" w:hAnsi="Times New Roman" w:cs="Times New Roman"/>
        </w:rPr>
        <w:t xml:space="preserve"> </w:t>
      </w:r>
    </w:p>
    <w:p w14:paraId="44734F50" w14:textId="77777777" w:rsidR="00023011" w:rsidRPr="00023011" w:rsidRDefault="00023011" w:rsidP="00023011">
      <w:pPr>
        <w:spacing w:line="480" w:lineRule="auto"/>
        <w:ind w:left="720" w:hanging="720"/>
        <w:rPr>
          <w:rFonts w:ascii="Times New Roman" w:hAnsi="Times New Roman" w:cs="Times New Roman"/>
        </w:rPr>
      </w:pPr>
      <w:r w:rsidRPr="00023011">
        <w:rPr>
          <w:rFonts w:ascii="Times New Roman" w:hAnsi="Times New Roman" w:cs="Times New Roman"/>
        </w:rPr>
        <w:t xml:space="preserve">Woods, M. (2022). Risk management in retail: Tesco PLC (2004–2019). In </w:t>
      </w:r>
      <w:r w:rsidRPr="00023011">
        <w:rPr>
          <w:rFonts w:ascii="Times New Roman" w:hAnsi="Times New Roman" w:cs="Times New Roman"/>
          <w:i/>
          <w:iCs/>
        </w:rPr>
        <w:t>Risk management in organisations</w:t>
      </w:r>
      <w:r w:rsidRPr="00023011">
        <w:rPr>
          <w:rFonts w:ascii="Times New Roman" w:hAnsi="Times New Roman" w:cs="Times New Roman"/>
        </w:rPr>
        <w:t xml:space="preserve"> (pp. 109–156). Routledge.</w:t>
      </w:r>
    </w:p>
    <w:p w14:paraId="1C4209B4" w14:textId="5091D348" w:rsidR="00603785" w:rsidRPr="000F4066" w:rsidRDefault="00603785" w:rsidP="00023011">
      <w:pPr>
        <w:spacing w:line="480" w:lineRule="auto"/>
        <w:ind w:left="720" w:hanging="720"/>
        <w:rPr>
          <w:rFonts w:ascii="Times New Roman" w:hAnsi="Times New Roman" w:cs="Times New Roman"/>
        </w:rPr>
      </w:pPr>
    </w:p>
    <w:sectPr w:rsidR="00603785" w:rsidRPr="000F4066" w:rsidSect="00023011">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D2972" w14:textId="77777777" w:rsidR="005E6E18" w:rsidRDefault="005E6E18" w:rsidP="00023011">
      <w:pPr>
        <w:spacing w:after="0" w:line="240" w:lineRule="auto"/>
      </w:pPr>
      <w:r>
        <w:separator/>
      </w:r>
    </w:p>
  </w:endnote>
  <w:endnote w:type="continuationSeparator" w:id="0">
    <w:p w14:paraId="3CA62793" w14:textId="77777777" w:rsidR="005E6E18" w:rsidRDefault="005E6E18" w:rsidP="00023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980861"/>
      <w:docPartObj>
        <w:docPartGallery w:val="Page Numbers (Bottom of Page)"/>
        <w:docPartUnique/>
      </w:docPartObj>
    </w:sdtPr>
    <w:sdtEndPr>
      <w:rPr>
        <w:noProof/>
      </w:rPr>
    </w:sdtEndPr>
    <w:sdtContent>
      <w:p w14:paraId="2A7A16CF" w14:textId="5F75759A" w:rsidR="00023011" w:rsidRDefault="000230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8ED76F" w14:textId="77777777" w:rsidR="00023011" w:rsidRDefault="000230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71612" w14:textId="77777777" w:rsidR="005E6E18" w:rsidRDefault="005E6E18" w:rsidP="00023011">
      <w:pPr>
        <w:spacing w:after="0" w:line="240" w:lineRule="auto"/>
      </w:pPr>
      <w:r>
        <w:separator/>
      </w:r>
    </w:p>
  </w:footnote>
  <w:footnote w:type="continuationSeparator" w:id="0">
    <w:p w14:paraId="227405B5" w14:textId="77777777" w:rsidR="005E6E18" w:rsidRDefault="005E6E18" w:rsidP="000230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A0534C"/>
    <w:multiLevelType w:val="hybridMultilevel"/>
    <w:tmpl w:val="B058B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84765F6"/>
    <w:multiLevelType w:val="hybridMultilevel"/>
    <w:tmpl w:val="FABA4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89174734">
    <w:abstractNumId w:val="1"/>
  </w:num>
  <w:num w:numId="2" w16cid:durableId="670522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066"/>
    <w:rsid w:val="00023011"/>
    <w:rsid w:val="000F4066"/>
    <w:rsid w:val="001057C2"/>
    <w:rsid w:val="00325E28"/>
    <w:rsid w:val="005E6E18"/>
    <w:rsid w:val="00603785"/>
    <w:rsid w:val="00AF7BCC"/>
    <w:rsid w:val="00F808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3FF08"/>
  <w15:chartTrackingRefBased/>
  <w15:docId w15:val="{46C7A31F-787E-4F9D-BB72-95365EFA2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40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40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40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40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40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40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40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40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40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40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40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40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40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40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40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40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40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4066"/>
    <w:rPr>
      <w:rFonts w:eastAsiaTheme="majorEastAsia" w:cstheme="majorBidi"/>
      <w:color w:val="272727" w:themeColor="text1" w:themeTint="D8"/>
    </w:rPr>
  </w:style>
  <w:style w:type="paragraph" w:styleId="Title">
    <w:name w:val="Title"/>
    <w:basedOn w:val="Normal"/>
    <w:next w:val="Normal"/>
    <w:link w:val="TitleChar"/>
    <w:uiPriority w:val="10"/>
    <w:qFormat/>
    <w:rsid w:val="000F40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40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40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40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4066"/>
    <w:pPr>
      <w:spacing w:before="160"/>
      <w:jc w:val="center"/>
    </w:pPr>
    <w:rPr>
      <w:i/>
      <w:iCs/>
      <w:color w:val="404040" w:themeColor="text1" w:themeTint="BF"/>
    </w:rPr>
  </w:style>
  <w:style w:type="character" w:customStyle="1" w:styleId="QuoteChar">
    <w:name w:val="Quote Char"/>
    <w:basedOn w:val="DefaultParagraphFont"/>
    <w:link w:val="Quote"/>
    <w:uiPriority w:val="29"/>
    <w:rsid w:val="000F4066"/>
    <w:rPr>
      <w:i/>
      <w:iCs/>
      <w:color w:val="404040" w:themeColor="text1" w:themeTint="BF"/>
    </w:rPr>
  </w:style>
  <w:style w:type="paragraph" w:styleId="ListParagraph">
    <w:name w:val="List Paragraph"/>
    <w:basedOn w:val="Normal"/>
    <w:uiPriority w:val="34"/>
    <w:qFormat/>
    <w:rsid w:val="000F4066"/>
    <w:pPr>
      <w:ind w:left="720"/>
      <w:contextualSpacing/>
    </w:pPr>
  </w:style>
  <w:style w:type="character" w:styleId="IntenseEmphasis">
    <w:name w:val="Intense Emphasis"/>
    <w:basedOn w:val="DefaultParagraphFont"/>
    <w:uiPriority w:val="21"/>
    <w:qFormat/>
    <w:rsid w:val="000F4066"/>
    <w:rPr>
      <w:i/>
      <w:iCs/>
      <w:color w:val="0F4761" w:themeColor="accent1" w:themeShade="BF"/>
    </w:rPr>
  </w:style>
  <w:style w:type="paragraph" w:styleId="IntenseQuote">
    <w:name w:val="Intense Quote"/>
    <w:basedOn w:val="Normal"/>
    <w:next w:val="Normal"/>
    <w:link w:val="IntenseQuoteChar"/>
    <w:uiPriority w:val="30"/>
    <w:qFormat/>
    <w:rsid w:val="000F40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4066"/>
    <w:rPr>
      <w:i/>
      <w:iCs/>
      <w:color w:val="0F4761" w:themeColor="accent1" w:themeShade="BF"/>
    </w:rPr>
  </w:style>
  <w:style w:type="character" w:styleId="IntenseReference">
    <w:name w:val="Intense Reference"/>
    <w:basedOn w:val="DefaultParagraphFont"/>
    <w:uiPriority w:val="32"/>
    <w:qFormat/>
    <w:rsid w:val="000F4066"/>
    <w:rPr>
      <w:b/>
      <w:bCs/>
      <w:smallCaps/>
      <w:color w:val="0F4761" w:themeColor="accent1" w:themeShade="BF"/>
      <w:spacing w:val="5"/>
    </w:rPr>
  </w:style>
  <w:style w:type="character" w:styleId="Hyperlink">
    <w:name w:val="Hyperlink"/>
    <w:basedOn w:val="DefaultParagraphFont"/>
    <w:uiPriority w:val="99"/>
    <w:unhideWhenUsed/>
    <w:rsid w:val="00023011"/>
    <w:rPr>
      <w:color w:val="467886" w:themeColor="hyperlink"/>
      <w:u w:val="single"/>
    </w:rPr>
  </w:style>
  <w:style w:type="character" w:styleId="UnresolvedMention">
    <w:name w:val="Unresolved Mention"/>
    <w:basedOn w:val="DefaultParagraphFont"/>
    <w:uiPriority w:val="99"/>
    <w:semiHidden/>
    <w:unhideWhenUsed/>
    <w:rsid w:val="00023011"/>
    <w:rPr>
      <w:color w:val="605E5C"/>
      <w:shd w:val="clear" w:color="auto" w:fill="E1DFDD"/>
    </w:rPr>
  </w:style>
  <w:style w:type="paragraph" w:styleId="Header">
    <w:name w:val="header"/>
    <w:basedOn w:val="Normal"/>
    <w:link w:val="HeaderChar"/>
    <w:uiPriority w:val="99"/>
    <w:unhideWhenUsed/>
    <w:rsid w:val="000230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3011"/>
  </w:style>
  <w:style w:type="paragraph" w:styleId="Footer">
    <w:name w:val="footer"/>
    <w:basedOn w:val="Normal"/>
    <w:link w:val="FooterChar"/>
    <w:uiPriority w:val="99"/>
    <w:unhideWhenUsed/>
    <w:rsid w:val="000230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3011"/>
  </w:style>
  <w:style w:type="paragraph" w:styleId="NoSpacing">
    <w:name w:val="No Spacing"/>
    <w:link w:val="NoSpacingChar"/>
    <w:uiPriority w:val="1"/>
    <w:qFormat/>
    <w:rsid w:val="00023011"/>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023011"/>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coplc.com/investors/reports-results-and-presentations/annual-report-2024" TargetMode="External"/><Relationship Id="rId3" Type="http://schemas.openxmlformats.org/officeDocument/2006/relationships/settings" Target="settings.xml"/><Relationship Id="rId7" Type="http://schemas.openxmlformats.org/officeDocument/2006/relationships/hyperlink" Target="https://www.researchgate.net/publication/404688679_An_Analysis_of_Transaction_Costs_and_Profitability_in_Retail_Supermarkets_A_Case_Study_of_Tes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tescoplc.com/investors/reports-results-and-presentations/annual-report-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1858</Words>
  <Characters>10593</Characters>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Analysis of Tesco Plc</dc:title>
  <dc:subject/>
  <dc:creator>Catalin Stan</dc:creator>
  <cp:keywords/>
  <dc:description/>
  <dcterms:created xsi:type="dcterms:W3CDTF">2026-07-18T08:07:00Z</dcterms:created>
  <dcterms:modified xsi:type="dcterms:W3CDTF">2026-07-18T08:43:00Z</dcterms:modified>
</cp:coreProperties>
</file>