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auto"/>
          <w:sz w:val="22"/>
          <w:szCs w:val="22"/>
          <w:lang w:val="en-GB"/>
        </w:rPr>
        <w:id w:val="1440871994"/>
        <w:docPartObj>
          <w:docPartGallery w:val="Table of Contents"/>
          <w:docPartUnique/>
        </w:docPartObj>
      </w:sdtPr>
      <w:sdtEndPr>
        <w:rPr>
          <w:b/>
          <w:bCs/>
          <w:noProof/>
        </w:rPr>
      </w:sdtEndPr>
      <w:sdtContent>
        <w:p w14:paraId="28805538" w14:textId="77777777" w:rsidR="009C111F" w:rsidRDefault="009C111F">
          <w:pPr>
            <w:pStyle w:val="TOCHeading"/>
          </w:pPr>
          <w:r>
            <w:t>Contents</w:t>
          </w:r>
        </w:p>
        <w:p w14:paraId="5E521358" w14:textId="77777777" w:rsidR="009C111F" w:rsidRDefault="009C111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2588013" w:history="1">
            <w:r w:rsidRPr="0054540D">
              <w:rPr>
                <w:rStyle w:val="Hyperlink"/>
                <w:noProof/>
              </w:rPr>
              <w:t>Aims of Research</w:t>
            </w:r>
            <w:r>
              <w:rPr>
                <w:noProof/>
                <w:webHidden/>
              </w:rPr>
              <w:tab/>
            </w:r>
            <w:r>
              <w:rPr>
                <w:noProof/>
                <w:webHidden/>
              </w:rPr>
              <w:fldChar w:fldCharType="begin"/>
            </w:r>
            <w:r>
              <w:rPr>
                <w:noProof/>
                <w:webHidden/>
              </w:rPr>
              <w:instrText xml:space="preserve"> PAGEREF _Toc2588013 \h </w:instrText>
            </w:r>
            <w:r>
              <w:rPr>
                <w:noProof/>
                <w:webHidden/>
              </w:rPr>
            </w:r>
            <w:r>
              <w:rPr>
                <w:noProof/>
                <w:webHidden/>
              </w:rPr>
              <w:fldChar w:fldCharType="separate"/>
            </w:r>
            <w:r>
              <w:rPr>
                <w:noProof/>
                <w:webHidden/>
              </w:rPr>
              <w:t>2</w:t>
            </w:r>
            <w:r>
              <w:rPr>
                <w:noProof/>
                <w:webHidden/>
              </w:rPr>
              <w:fldChar w:fldCharType="end"/>
            </w:r>
          </w:hyperlink>
        </w:p>
        <w:p w14:paraId="0DBCF42F" w14:textId="77777777" w:rsidR="009C111F" w:rsidRDefault="00EB178F">
          <w:pPr>
            <w:pStyle w:val="TOC1"/>
            <w:tabs>
              <w:tab w:val="right" w:leader="dot" w:pos="9016"/>
            </w:tabs>
            <w:rPr>
              <w:noProof/>
            </w:rPr>
          </w:pPr>
          <w:hyperlink w:anchor="_Toc2588014" w:history="1">
            <w:r w:rsidR="009C111F" w:rsidRPr="0054540D">
              <w:rPr>
                <w:rStyle w:val="Hyperlink"/>
                <w:noProof/>
              </w:rPr>
              <w:t>Research Context</w:t>
            </w:r>
            <w:r w:rsidR="009C111F">
              <w:rPr>
                <w:noProof/>
                <w:webHidden/>
              </w:rPr>
              <w:tab/>
            </w:r>
            <w:r w:rsidR="009C111F">
              <w:rPr>
                <w:noProof/>
                <w:webHidden/>
              </w:rPr>
              <w:fldChar w:fldCharType="begin"/>
            </w:r>
            <w:r w:rsidR="009C111F">
              <w:rPr>
                <w:noProof/>
                <w:webHidden/>
              </w:rPr>
              <w:instrText xml:space="preserve"> PAGEREF _Toc2588014 \h </w:instrText>
            </w:r>
            <w:r w:rsidR="009C111F">
              <w:rPr>
                <w:noProof/>
                <w:webHidden/>
              </w:rPr>
            </w:r>
            <w:r w:rsidR="009C111F">
              <w:rPr>
                <w:noProof/>
                <w:webHidden/>
              </w:rPr>
              <w:fldChar w:fldCharType="separate"/>
            </w:r>
            <w:r w:rsidR="009C111F">
              <w:rPr>
                <w:noProof/>
                <w:webHidden/>
              </w:rPr>
              <w:t>2</w:t>
            </w:r>
            <w:r w:rsidR="009C111F">
              <w:rPr>
                <w:noProof/>
                <w:webHidden/>
              </w:rPr>
              <w:fldChar w:fldCharType="end"/>
            </w:r>
          </w:hyperlink>
        </w:p>
        <w:p w14:paraId="24F0610E" w14:textId="77777777" w:rsidR="009C111F" w:rsidRDefault="00EB178F">
          <w:pPr>
            <w:pStyle w:val="TOC1"/>
            <w:tabs>
              <w:tab w:val="right" w:leader="dot" w:pos="9016"/>
            </w:tabs>
            <w:rPr>
              <w:noProof/>
            </w:rPr>
          </w:pPr>
          <w:hyperlink w:anchor="_Toc2588015" w:history="1">
            <w:r w:rsidR="009C111F" w:rsidRPr="0054540D">
              <w:rPr>
                <w:rStyle w:val="Hyperlink"/>
                <w:noProof/>
              </w:rPr>
              <w:t>Literature Review</w:t>
            </w:r>
            <w:r w:rsidR="009C111F">
              <w:rPr>
                <w:noProof/>
                <w:webHidden/>
              </w:rPr>
              <w:tab/>
            </w:r>
            <w:r w:rsidR="009C111F">
              <w:rPr>
                <w:noProof/>
                <w:webHidden/>
              </w:rPr>
              <w:fldChar w:fldCharType="begin"/>
            </w:r>
            <w:r w:rsidR="009C111F">
              <w:rPr>
                <w:noProof/>
                <w:webHidden/>
              </w:rPr>
              <w:instrText xml:space="preserve"> PAGEREF _Toc2588015 \h </w:instrText>
            </w:r>
            <w:r w:rsidR="009C111F">
              <w:rPr>
                <w:noProof/>
                <w:webHidden/>
              </w:rPr>
            </w:r>
            <w:r w:rsidR="009C111F">
              <w:rPr>
                <w:noProof/>
                <w:webHidden/>
              </w:rPr>
              <w:fldChar w:fldCharType="separate"/>
            </w:r>
            <w:r w:rsidR="009C111F">
              <w:rPr>
                <w:noProof/>
                <w:webHidden/>
              </w:rPr>
              <w:t>3</w:t>
            </w:r>
            <w:r w:rsidR="009C111F">
              <w:rPr>
                <w:noProof/>
                <w:webHidden/>
              </w:rPr>
              <w:fldChar w:fldCharType="end"/>
            </w:r>
          </w:hyperlink>
        </w:p>
        <w:p w14:paraId="34C80F7B" w14:textId="77777777" w:rsidR="009C111F" w:rsidRDefault="00EB178F">
          <w:pPr>
            <w:pStyle w:val="TOC1"/>
            <w:tabs>
              <w:tab w:val="right" w:leader="dot" w:pos="9016"/>
            </w:tabs>
            <w:rPr>
              <w:noProof/>
            </w:rPr>
          </w:pPr>
          <w:hyperlink w:anchor="_Toc2588016" w:history="1">
            <w:r w:rsidR="009C111F" w:rsidRPr="0054540D">
              <w:rPr>
                <w:rStyle w:val="Hyperlink"/>
                <w:noProof/>
              </w:rPr>
              <w:t>Lesson Study Methodology</w:t>
            </w:r>
            <w:r w:rsidR="009C111F">
              <w:rPr>
                <w:noProof/>
                <w:webHidden/>
              </w:rPr>
              <w:tab/>
            </w:r>
            <w:r w:rsidR="009C111F">
              <w:rPr>
                <w:noProof/>
                <w:webHidden/>
              </w:rPr>
              <w:fldChar w:fldCharType="begin"/>
            </w:r>
            <w:r w:rsidR="009C111F">
              <w:rPr>
                <w:noProof/>
                <w:webHidden/>
              </w:rPr>
              <w:instrText xml:space="preserve"> PAGEREF _Toc2588016 \h </w:instrText>
            </w:r>
            <w:r w:rsidR="009C111F">
              <w:rPr>
                <w:noProof/>
                <w:webHidden/>
              </w:rPr>
            </w:r>
            <w:r w:rsidR="009C111F">
              <w:rPr>
                <w:noProof/>
                <w:webHidden/>
              </w:rPr>
              <w:fldChar w:fldCharType="separate"/>
            </w:r>
            <w:r w:rsidR="009C111F">
              <w:rPr>
                <w:noProof/>
                <w:webHidden/>
              </w:rPr>
              <w:t>5</w:t>
            </w:r>
            <w:r w:rsidR="009C111F">
              <w:rPr>
                <w:noProof/>
                <w:webHidden/>
              </w:rPr>
              <w:fldChar w:fldCharType="end"/>
            </w:r>
          </w:hyperlink>
        </w:p>
        <w:p w14:paraId="7A06C0C4" w14:textId="77777777" w:rsidR="009C111F" w:rsidRDefault="00EB178F">
          <w:pPr>
            <w:pStyle w:val="TOC1"/>
            <w:tabs>
              <w:tab w:val="right" w:leader="dot" w:pos="9016"/>
            </w:tabs>
            <w:rPr>
              <w:noProof/>
            </w:rPr>
          </w:pPr>
          <w:hyperlink w:anchor="_Toc2588017" w:history="1">
            <w:r w:rsidR="009C111F" w:rsidRPr="0054540D">
              <w:rPr>
                <w:rStyle w:val="Hyperlink"/>
                <w:noProof/>
                <w:shd w:val="clear" w:color="auto" w:fill="FFFFFF"/>
              </w:rPr>
              <w:t>Ethical Considerations</w:t>
            </w:r>
            <w:r w:rsidR="009C111F">
              <w:rPr>
                <w:noProof/>
                <w:webHidden/>
              </w:rPr>
              <w:tab/>
            </w:r>
            <w:r w:rsidR="009C111F">
              <w:rPr>
                <w:noProof/>
                <w:webHidden/>
              </w:rPr>
              <w:fldChar w:fldCharType="begin"/>
            </w:r>
            <w:r w:rsidR="009C111F">
              <w:rPr>
                <w:noProof/>
                <w:webHidden/>
              </w:rPr>
              <w:instrText xml:space="preserve"> PAGEREF _Toc2588017 \h </w:instrText>
            </w:r>
            <w:r w:rsidR="009C111F">
              <w:rPr>
                <w:noProof/>
                <w:webHidden/>
              </w:rPr>
            </w:r>
            <w:r w:rsidR="009C111F">
              <w:rPr>
                <w:noProof/>
                <w:webHidden/>
              </w:rPr>
              <w:fldChar w:fldCharType="separate"/>
            </w:r>
            <w:r w:rsidR="009C111F">
              <w:rPr>
                <w:noProof/>
                <w:webHidden/>
              </w:rPr>
              <w:t>7</w:t>
            </w:r>
            <w:r w:rsidR="009C111F">
              <w:rPr>
                <w:noProof/>
                <w:webHidden/>
              </w:rPr>
              <w:fldChar w:fldCharType="end"/>
            </w:r>
          </w:hyperlink>
        </w:p>
        <w:p w14:paraId="701E0C4C" w14:textId="77777777" w:rsidR="009C111F" w:rsidRDefault="00EB178F">
          <w:pPr>
            <w:pStyle w:val="TOC1"/>
            <w:tabs>
              <w:tab w:val="right" w:leader="dot" w:pos="9016"/>
            </w:tabs>
            <w:rPr>
              <w:noProof/>
            </w:rPr>
          </w:pPr>
          <w:hyperlink w:anchor="_Toc2588018" w:history="1">
            <w:r w:rsidR="009C111F" w:rsidRPr="0054540D">
              <w:rPr>
                <w:rStyle w:val="Hyperlink"/>
                <w:noProof/>
                <w:shd w:val="clear" w:color="auto" w:fill="FFFFFF"/>
              </w:rPr>
              <w:t>Lesson Study</w:t>
            </w:r>
            <w:r w:rsidR="009C111F">
              <w:rPr>
                <w:noProof/>
                <w:webHidden/>
              </w:rPr>
              <w:tab/>
            </w:r>
            <w:r w:rsidR="009C111F">
              <w:rPr>
                <w:noProof/>
                <w:webHidden/>
              </w:rPr>
              <w:fldChar w:fldCharType="begin"/>
            </w:r>
            <w:r w:rsidR="009C111F">
              <w:rPr>
                <w:noProof/>
                <w:webHidden/>
              </w:rPr>
              <w:instrText xml:space="preserve"> PAGEREF _Toc2588018 \h </w:instrText>
            </w:r>
            <w:r w:rsidR="009C111F">
              <w:rPr>
                <w:noProof/>
                <w:webHidden/>
              </w:rPr>
            </w:r>
            <w:r w:rsidR="009C111F">
              <w:rPr>
                <w:noProof/>
                <w:webHidden/>
              </w:rPr>
              <w:fldChar w:fldCharType="separate"/>
            </w:r>
            <w:r w:rsidR="009C111F">
              <w:rPr>
                <w:noProof/>
                <w:webHidden/>
              </w:rPr>
              <w:t>8</w:t>
            </w:r>
            <w:r w:rsidR="009C111F">
              <w:rPr>
                <w:noProof/>
                <w:webHidden/>
              </w:rPr>
              <w:fldChar w:fldCharType="end"/>
            </w:r>
          </w:hyperlink>
        </w:p>
        <w:p w14:paraId="4BCAAB6E" w14:textId="77777777" w:rsidR="009C111F" w:rsidRDefault="00EB178F">
          <w:pPr>
            <w:pStyle w:val="TOC1"/>
            <w:tabs>
              <w:tab w:val="right" w:leader="dot" w:pos="9016"/>
            </w:tabs>
            <w:rPr>
              <w:noProof/>
            </w:rPr>
          </w:pPr>
          <w:hyperlink w:anchor="_Toc2588019" w:history="1">
            <w:r w:rsidR="009C111F" w:rsidRPr="0054540D">
              <w:rPr>
                <w:rStyle w:val="Hyperlink"/>
                <w:noProof/>
              </w:rPr>
              <w:t>Findings</w:t>
            </w:r>
            <w:r w:rsidR="009C111F">
              <w:rPr>
                <w:noProof/>
                <w:webHidden/>
              </w:rPr>
              <w:tab/>
            </w:r>
            <w:r w:rsidR="009C111F">
              <w:rPr>
                <w:noProof/>
                <w:webHidden/>
              </w:rPr>
              <w:fldChar w:fldCharType="begin"/>
            </w:r>
            <w:r w:rsidR="009C111F">
              <w:rPr>
                <w:noProof/>
                <w:webHidden/>
              </w:rPr>
              <w:instrText xml:space="preserve"> PAGEREF _Toc2588019 \h </w:instrText>
            </w:r>
            <w:r w:rsidR="009C111F">
              <w:rPr>
                <w:noProof/>
                <w:webHidden/>
              </w:rPr>
            </w:r>
            <w:r w:rsidR="009C111F">
              <w:rPr>
                <w:noProof/>
                <w:webHidden/>
              </w:rPr>
              <w:fldChar w:fldCharType="separate"/>
            </w:r>
            <w:r w:rsidR="009C111F">
              <w:rPr>
                <w:noProof/>
                <w:webHidden/>
              </w:rPr>
              <w:t>12</w:t>
            </w:r>
            <w:r w:rsidR="009C111F">
              <w:rPr>
                <w:noProof/>
                <w:webHidden/>
              </w:rPr>
              <w:fldChar w:fldCharType="end"/>
            </w:r>
          </w:hyperlink>
        </w:p>
        <w:p w14:paraId="391F837D" w14:textId="77777777" w:rsidR="009C111F" w:rsidRDefault="00EB178F">
          <w:pPr>
            <w:pStyle w:val="TOC1"/>
            <w:tabs>
              <w:tab w:val="right" w:leader="dot" w:pos="9016"/>
            </w:tabs>
            <w:rPr>
              <w:noProof/>
            </w:rPr>
          </w:pPr>
          <w:hyperlink w:anchor="_Toc2588020" w:history="1">
            <w:r w:rsidR="009C111F" w:rsidRPr="0054540D">
              <w:rPr>
                <w:rStyle w:val="Hyperlink"/>
                <w:noProof/>
              </w:rPr>
              <w:t>Conclusion</w:t>
            </w:r>
            <w:r w:rsidR="009C111F">
              <w:rPr>
                <w:noProof/>
                <w:webHidden/>
              </w:rPr>
              <w:tab/>
            </w:r>
            <w:r w:rsidR="009C111F">
              <w:rPr>
                <w:noProof/>
                <w:webHidden/>
              </w:rPr>
              <w:fldChar w:fldCharType="begin"/>
            </w:r>
            <w:r w:rsidR="009C111F">
              <w:rPr>
                <w:noProof/>
                <w:webHidden/>
              </w:rPr>
              <w:instrText xml:space="preserve"> PAGEREF _Toc2588020 \h </w:instrText>
            </w:r>
            <w:r w:rsidR="009C111F">
              <w:rPr>
                <w:noProof/>
                <w:webHidden/>
              </w:rPr>
            </w:r>
            <w:r w:rsidR="009C111F">
              <w:rPr>
                <w:noProof/>
                <w:webHidden/>
              </w:rPr>
              <w:fldChar w:fldCharType="separate"/>
            </w:r>
            <w:r w:rsidR="009C111F">
              <w:rPr>
                <w:noProof/>
                <w:webHidden/>
              </w:rPr>
              <w:t>13</w:t>
            </w:r>
            <w:r w:rsidR="009C111F">
              <w:rPr>
                <w:noProof/>
                <w:webHidden/>
              </w:rPr>
              <w:fldChar w:fldCharType="end"/>
            </w:r>
          </w:hyperlink>
        </w:p>
        <w:p w14:paraId="090414CD" w14:textId="77777777" w:rsidR="009C111F" w:rsidRDefault="00EB178F">
          <w:pPr>
            <w:pStyle w:val="TOC1"/>
            <w:tabs>
              <w:tab w:val="right" w:leader="dot" w:pos="9016"/>
            </w:tabs>
            <w:rPr>
              <w:noProof/>
            </w:rPr>
          </w:pPr>
          <w:hyperlink w:anchor="_Toc2588021" w:history="1">
            <w:r w:rsidR="009C111F" w:rsidRPr="0054540D">
              <w:rPr>
                <w:rStyle w:val="Hyperlink"/>
                <w:noProof/>
              </w:rPr>
              <w:t>Conclusion</w:t>
            </w:r>
            <w:r w:rsidR="009C111F">
              <w:rPr>
                <w:noProof/>
                <w:webHidden/>
              </w:rPr>
              <w:tab/>
            </w:r>
            <w:r w:rsidR="009C111F">
              <w:rPr>
                <w:noProof/>
                <w:webHidden/>
              </w:rPr>
              <w:fldChar w:fldCharType="begin"/>
            </w:r>
            <w:r w:rsidR="009C111F">
              <w:rPr>
                <w:noProof/>
                <w:webHidden/>
              </w:rPr>
              <w:instrText xml:space="preserve"> PAGEREF _Toc2588021 \h </w:instrText>
            </w:r>
            <w:r w:rsidR="009C111F">
              <w:rPr>
                <w:noProof/>
                <w:webHidden/>
              </w:rPr>
            </w:r>
            <w:r w:rsidR="009C111F">
              <w:rPr>
                <w:noProof/>
                <w:webHidden/>
              </w:rPr>
              <w:fldChar w:fldCharType="separate"/>
            </w:r>
            <w:r w:rsidR="009C111F">
              <w:rPr>
                <w:noProof/>
                <w:webHidden/>
              </w:rPr>
              <w:t>15</w:t>
            </w:r>
            <w:r w:rsidR="009C111F">
              <w:rPr>
                <w:noProof/>
                <w:webHidden/>
              </w:rPr>
              <w:fldChar w:fldCharType="end"/>
            </w:r>
          </w:hyperlink>
        </w:p>
        <w:p w14:paraId="7C9EAD66" w14:textId="77777777" w:rsidR="009C111F" w:rsidRDefault="00EB178F">
          <w:pPr>
            <w:pStyle w:val="TOC1"/>
            <w:tabs>
              <w:tab w:val="right" w:leader="dot" w:pos="9016"/>
            </w:tabs>
            <w:rPr>
              <w:noProof/>
            </w:rPr>
          </w:pPr>
          <w:hyperlink w:anchor="_Toc2588022" w:history="1">
            <w:r w:rsidR="009C111F" w:rsidRPr="0054540D">
              <w:rPr>
                <w:rStyle w:val="Hyperlink"/>
                <w:noProof/>
              </w:rPr>
              <w:t>References</w:t>
            </w:r>
            <w:r w:rsidR="009C111F">
              <w:rPr>
                <w:noProof/>
                <w:webHidden/>
              </w:rPr>
              <w:tab/>
            </w:r>
            <w:r w:rsidR="009C111F">
              <w:rPr>
                <w:noProof/>
                <w:webHidden/>
              </w:rPr>
              <w:fldChar w:fldCharType="begin"/>
            </w:r>
            <w:r w:rsidR="009C111F">
              <w:rPr>
                <w:noProof/>
                <w:webHidden/>
              </w:rPr>
              <w:instrText xml:space="preserve"> PAGEREF _Toc2588022 \h </w:instrText>
            </w:r>
            <w:r w:rsidR="009C111F">
              <w:rPr>
                <w:noProof/>
                <w:webHidden/>
              </w:rPr>
            </w:r>
            <w:r w:rsidR="009C111F">
              <w:rPr>
                <w:noProof/>
                <w:webHidden/>
              </w:rPr>
              <w:fldChar w:fldCharType="separate"/>
            </w:r>
            <w:r w:rsidR="009C111F">
              <w:rPr>
                <w:noProof/>
                <w:webHidden/>
              </w:rPr>
              <w:t>16</w:t>
            </w:r>
            <w:r w:rsidR="009C111F">
              <w:rPr>
                <w:noProof/>
                <w:webHidden/>
              </w:rPr>
              <w:fldChar w:fldCharType="end"/>
            </w:r>
          </w:hyperlink>
        </w:p>
        <w:p w14:paraId="6E6F1358" w14:textId="77777777" w:rsidR="009C111F" w:rsidRDefault="009C111F">
          <w:r>
            <w:rPr>
              <w:b/>
              <w:bCs/>
              <w:noProof/>
            </w:rPr>
            <w:fldChar w:fldCharType="end"/>
          </w:r>
        </w:p>
      </w:sdtContent>
    </w:sdt>
    <w:p w14:paraId="36460963" w14:textId="77777777" w:rsidR="009C111F" w:rsidRDefault="009C111F" w:rsidP="00A2141D">
      <w:pPr>
        <w:pStyle w:val="Heading1"/>
      </w:pPr>
    </w:p>
    <w:p w14:paraId="37E2DC87" w14:textId="77777777" w:rsidR="009C111F" w:rsidRDefault="009C111F" w:rsidP="009C111F">
      <w:pPr>
        <w:rPr>
          <w:rFonts w:asciiTheme="majorHAnsi" w:eastAsiaTheme="majorEastAsia" w:hAnsiTheme="majorHAnsi" w:cstheme="majorBidi"/>
          <w:color w:val="2F5496" w:themeColor="accent1" w:themeShade="BF"/>
          <w:sz w:val="32"/>
          <w:szCs w:val="32"/>
        </w:rPr>
      </w:pPr>
      <w:r>
        <w:br w:type="page"/>
      </w:r>
    </w:p>
    <w:p w14:paraId="1532FE6A" w14:textId="77777777" w:rsidR="00C511E4" w:rsidRDefault="00A2141D" w:rsidP="00A2141D">
      <w:pPr>
        <w:pStyle w:val="Heading1"/>
      </w:pPr>
      <w:bookmarkStart w:id="0" w:name="_Toc2588013"/>
      <w:r>
        <w:lastRenderedPageBreak/>
        <w:t>Aims of Research</w:t>
      </w:r>
      <w:bookmarkEnd w:id="0"/>
    </w:p>
    <w:p w14:paraId="6056D40A" w14:textId="77777777" w:rsidR="00A2141D" w:rsidRDefault="00A2141D" w:rsidP="00A2141D"/>
    <w:p w14:paraId="7E1171EC" w14:textId="4679131F" w:rsidR="00A2141D" w:rsidRDefault="00A2141D" w:rsidP="00A2141D">
      <w:pPr>
        <w:spacing w:line="360" w:lineRule="auto"/>
      </w:pPr>
      <w:r>
        <w:t>The use of a success criteria</w:t>
      </w:r>
      <w:r w:rsidR="00DC71AC">
        <w:t xml:space="preserve"> (SC)</w:t>
      </w:r>
      <w:r>
        <w:t xml:space="preserve"> can be seen in classrooms across Britain, if not worldwide, with its purpose being to ensure that pupils know what they are expected to achieve during the course of a lesson. A consolidation of what has been learned and achieved – a plenary – tends to be carried out at the end of the lesson in order to inform teachers of the next stages of learning.  However, there is much discussion into the effectiveness of both success criterion and plenaries as assessment for learning strategies. After examining the relevant literature and pairing it with observations and lessons taught in the Foundation Phase, my research partner and I believed that there was scope to improve the use of success criterion and plenaries in this area.</w:t>
      </w:r>
    </w:p>
    <w:p w14:paraId="7E4C7952" w14:textId="77777777" w:rsidR="00A2141D" w:rsidRDefault="00A2141D" w:rsidP="00A2141D">
      <w:pPr>
        <w:spacing w:line="360" w:lineRule="auto"/>
      </w:pPr>
    </w:p>
    <w:p w14:paraId="56D7321A" w14:textId="77777777" w:rsidR="00A2141D" w:rsidRDefault="00A2141D" w:rsidP="00A2141D">
      <w:pPr>
        <w:pStyle w:val="Heading1"/>
      </w:pPr>
      <w:bookmarkStart w:id="1" w:name="_Toc2588014"/>
      <w:r>
        <w:t>Research Context</w:t>
      </w:r>
      <w:bookmarkEnd w:id="1"/>
    </w:p>
    <w:p w14:paraId="18A9FE44" w14:textId="77777777" w:rsidR="00A2141D" w:rsidRDefault="00A2141D" w:rsidP="00A2141D"/>
    <w:p w14:paraId="4C8C42FB" w14:textId="5D7228BD" w:rsidR="00A2141D" w:rsidRDefault="00A2141D" w:rsidP="00A2141D">
      <w:pPr>
        <w:spacing w:line="360" w:lineRule="auto"/>
      </w:pPr>
      <w:r>
        <w:t>For the purposes of this study, my research partner’s school will be referred to as School A, and my school as School B. School A is a small village school in West Wales, with 153 pupils on roll aged three to eleven (Appendix 1). The school is made up of six mixed-age classes, with the study being carried out in a mixed Reception/Year One Class. School B is a community school situated within the Rhondda Cynon Taff local authority, with 424 pupils on roll between the ages of three and eleven (Appendix 2). School B is made up of thirteen single-age and one mixed-age class, with the study being carried out in a straight Year One class made up of the older cohort of the year’s intake. Based on observations undertaken prior to teaching these classes, School A consistently displayed a success criterion relating to how work was presented in their books, but a lesson-specific success criterion was rarely disclosed nor discussed, nor was a plenary actively carried out. School B on the other hand had a “Lucy Ladybird” (Appendix 3) that was used across the phase. Lucy Ladybird would display the lesson objective and a three-part success criterion written in three different</w:t>
      </w:r>
      <w:r w:rsidR="0051167E">
        <w:t xml:space="preserve"> colours</w:t>
      </w:r>
      <w:r>
        <w:t xml:space="preserve">, with pupils colouring in dots on the ladybird to highlight the parts of the success criteria they felt they had achieved. However, upon observation it was found that the pupils couldn’t independently complete it accurately. As well as this, a lot of adult prompting was needed during plenary sessions to encourage pupils to explain what had been learned during the lesson, rather than pupils freely explaining their interpretation of what had been done. After discussing these observations with my research partner, we decided to explore how success criteria could be better understood by children, with a particular interest in the use of a child-led plenary. </w:t>
      </w:r>
    </w:p>
    <w:p w14:paraId="3BF26D94" w14:textId="77777777" w:rsidR="00A2141D" w:rsidRPr="00A2141D" w:rsidRDefault="00A2141D" w:rsidP="00A2141D">
      <w:pPr>
        <w:pStyle w:val="Heading1"/>
      </w:pPr>
      <w:bookmarkStart w:id="2" w:name="_Toc2588015"/>
      <w:r>
        <w:lastRenderedPageBreak/>
        <w:t>Literature Review</w:t>
      </w:r>
      <w:bookmarkEnd w:id="2"/>
    </w:p>
    <w:p w14:paraId="5E628ACD" w14:textId="77777777" w:rsidR="00A2141D" w:rsidRDefault="00A2141D" w:rsidP="00A2141D"/>
    <w:p w14:paraId="0573B19E" w14:textId="77777777" w:rsidR="00A2141D" w:rsidRDefault="00A2141D" w:rsidP="00A2141D">
      <w:pPr>
        <w:spacing w:line="360" w:lineRule="auto"/>
      </w:pPr>
      <w:r>
        <w:t xml:space="preserve">In 2016, Crichton and McDaid wrote about assessment for learning strategies - such as formative feedback, self and peer assessment and the discussion of learning intentions (LI) and success criteria (SC) - being generally considered effective in teaching and learning, with the Scottish government actively promoting its use within its curriculum, Curriculum for Excellence. This may appear as irrelevant to a study about success criteria in Welsh classrooms, however they are linked by Professor Graham Donaldson. Donaldson, who was prominent in the development of Curriculum of Excellence, has also played a central role in creating the new Welsh curriculum. In his </w:t>
      </w:r>
      <w:r>
        <w:rPr>
          <w:i/>
        </w:rPr>
        <w:t>Successful Futures</w:t>
      </w:r>
      <w:r>
        <w:t xml:space="preserve"> report, he recommends that self-assessment and peer assessment should be developed as ways of encouraging children and young people to take greater responsibility for their own learning (Donaldson, 2015), with success criteria and child-friendly language playing a prominent long-term role.</w:t>
      </w:r>
    </w:p>
    <w:p w14:paraId="4271B764" w14:textId="77777777" w:rsidR="00A2141D" w:rsidRDefault="00A2141D" w:rsidP="00A2141D">
      <w:pPr>
        <w:spacing w:line="360" w:lineRule="auto"/>
      </w:pPr>
      <w:r>
        <w:t xml:space="preserve">However, despite Crichton and McDaid’s declaration that success criteria and other forms of assessment are effective, it appears that there are conditions that need to be reached in order for them to be valuable. </w:t>
      </w:r>
    </w:p>
    <w:p w14:paraId="1F954BA0" w14:textId="520B9407" w:rsidR="00A2141D" w:rsidRDefault="00A2141D" w:rsidP="00A2141D">
      <w:pPr>
        <w:spacing w:line="360" w:lineRule="auto"/>
      </w:pPr>
      <w:r>
        <w:t xml:space="preserve">In their study of the views and effectiveness of learning intentions and success criteria, Crichton and McDaid found that the pupils questioned knew why they were used and that a </w:t>
      </w:r>
      <w:proofErr w:type="gramStart"/>
      <w:r>
        <w:t>success criteria</w:t>
      </w:r>
      <w:proofErr w:type="gramEnd"/>
      <w:r>
        <w:t xml:space="preserve"> is </w:t>
      </w:r>
      <w:r>
        <w:rPr>
          <w:i/>
        </w:rPr>
        <w:t>“what you should be able to do at the end of the class”</w:t>
      </w:r>
      <w:r>
        <w:t xml:space="preserve">. However, it was revealed that there was very little discussion between staff and pupils of how the </w:t>
      </w:r>
      <w:r w:rsidR="00FE1D9B">
        <w:t>learning intention</w:t>
      </w:r>
      <w:r>
        <w:t xml:space="preserve"> and </w:t>
      </w:r>
      <w:r w:rsidR="00FE1D9B">
        <w:t>success criteria</w:t>
      </w:r>
      <w:r>
        <w:t xml:space="preserve"> were created, and that the pupils </w:t>
      </w:r>
      <w:r>
        <w:rPr>
          <w:i/>
        </w:rPr>
        <w:t xml:space="preserve">“just get told and that’s it” </w:t>
      </w:r>
      <w:r>
        <w:t>(p197). The pupils went on to say that they wished they wished that more time was spent discussing them in order to make better sense of their learning, and enable them to ensure that they’re heading in the right direction when it comes to exam study.</w:t>
      </w:r>
    </w:p>
    <w:p w14:paraId="3D82F9DD" w14:textId="2CDAFC4F" w:rsidR="00A2141D" w:rsidRDefault="00A2141D" w:rsidP="00A2141D">
      <w:pPr>
        <w:spacing w:line="360" w:lineRule="auto"/>
      </w:pPr>
      <w:r>
        <w:t xml:space="preserve">When Crichton and McDaid interviewed the teachers to gain their perspective on </w:t>
      </w:r>
      <w:r w:rsidR="00FE1D9B">
        <w:t>learning intentions</w:t>
      </w:r>
      <w:r>
        <w:t xml:space="preserve"> and </w:t>
      </w:r>
      <w:r w:rsidR="00FE1D9B">
        <w:t>success criteria</w:t>
      </w:r>
      <w:r>
        <w:t xml:space="preserve">, it was found that they were generally approving of their use, citing that </w:t>
      </w:r>
      <w:r>
        <w:rPr>
          <w:i/>
        </w:rPr>
        <w:t xml:space="preserve">“you can’t plan a lesson without them”. </w:t>
      </w:r>
      <w:r>
        <w:t xml:space="preserve">In spite of this, it was found that teachers were not overly confident in creating them due to a lack of training on the subject, and there were varying definitions of the terms given when asked. It was also disclosed to Crichton and McDaid that </w:t>
      </w:r>
      <w:r w:rsidR="00B3098F">
        <w:t>success criteria</w:t>
      </w:r>
      <w:r>
        <w:t xml:space="preserve"> were not seen as a priority and teachers would rather spend the time teaching the lesson content than discussing the </w:t>
      </w:r>
      <w:r w:rsidR="00B3098F">
        <w:t>success criteria</w:t>
      </w:r>
      <w:r>
        <w:t xml:space="preserve"> to develop pupils learning. Read and </w:t>
      </w:r>
      <w:proofErr w:type="spellStart"/>
      <w:r>
        <w:t>Hurford</w:t>
      </w:r>
      <w:proofErr w:type="spellEnd"/>
      <w:r>
        <w:t xml:space="preserve"> (2010) achieved similar findings in their 2010 study, finding that due to time constraints and the packed nature of the National Curriculum, teachers aren’t willing to spend time facilitating pupils’ </w:t>
      </w:r>
      <w:r>
        <w:lastRenderedPageBreak/>
        <w:t xml:space="preserve">independent generation of a success criteria. As a result, teachers were using </w:t>
      </w:r>
      <w:proofErr w:type="spellStart"/>
      <w:r>
        <w:t>AfL</w:t>
      </w:r>
      <w:proofErr w:type="spellEnd"/>
      <w:r>
        <w:t xml:space="preserve"> strategies as a “bolt-on” (Read and </w:t>
      </w:r>
      <w:proofErr w:type="spellStart"/>
      <w:r>
        <w:t>Hurford</w:t>
      </w:r>
      <w:proofErr w:type="spellEnd"/>
      <w:r>
        <w:t xml:space="preserve">, 2010, p89) rather than consistently.  </w:t>
      </w:r>
    </w:p>
    <w:p w14:paraId="64B86AB9" w14:textId="643F0B60" w:rsidR="00A2141D" w:rsidRDefault="00A2141D" w:rsidP="00A2141D">
      <w:pPr>
        <w:spacing w:line="360" w:lineRule="auto"/>
      </w:pPr>
      <w:r>
        <w:t xml:space="preserve">Read and </w:t>
      </w:r>
      <w:proofErr w:type="spellStart"/>
      <w:r>
        <w:t>Hurford</w:t>
      </w:r>
      <w:proofErr w:type="spellEnd"/>
      <w:r>
        <w:t xml:space="preserve"> argue that </w:t>
      </w:r>
      <w:r w:rsidR="00B3098F">
        <w:t>success criteria</w:t>
      </w:r>
      <w:r>
        <w:t xml:space="preserve"> must be generated by pupils or they have little meaning and less impact on learning (p99). This view is supported by the Welsh Assembly Government (2010), who say that learners must have an understanding and involvement in the creation of success criteria as otherwise, they have no frame of reference to assess against and feedback is meaningless and low level. Hall and Burke (2003, p55) backs this notion further by stating that in order for feedback to be beneficial, </w:t>
      </w:r>
      <w:r>
        <w:rPr>
          <w:i/>
        </w:rPr>
        <w:t xml:space="preserve">“the learner must know what to do and how to do it” </w:t>
      </w:r>
      <w:r>
        <w:t xml:space="preserve">in order to identify what they know already and what they need to know. Hall and Burke recognise that learners don’t always possess the skills to actively engage in self and peer assessment, and argues that it is down to the teacher to equip pupils with the skills for taking the next steps in their learning. In order to take these next steps, Hall and Burke claims that pupils need to develop the same ideas of quality as their teacher. Clarke (2008) agrees with this and says that despite pupil-led success criteria being created, it needs the input of a teacher as it’s </w:t>
      </w:r>
      <w:r>
        <w:rPr>
          <w:i/>
        </w:rPr>
        <w:t>“likely to be in tune with institutional norms”</w:t>
      </w:r>
      <w:r>
        <w:t>.</w:t>
      </w:r>
      <w:r>
        <w:br/>
      </w:r>
    </w:p>
    <w:p w14:paraId="11E33A70" w14:textId="77777777" w:rsidR="00A2141D" w:rsidRDefault="00A2141D" w:rsidP="00A2141D">
      <w:pPr>
        <w:spacing w:line="360" w:lineRule="auto"/>
      </w:pPr>
      <w:r>
        <w:t xml:space="preserve">In order to accomplish a higher level of understanding of a success criteria, Hall and Burke suggests that a more dialogic classroom setting needs to be created, where power and opportunities are more equitably shared between teachers and pupils. They believe that teachers are unaware of </w:t>
      </w:r>
      <w:r>
        <w:rPr>
          <w:i/>
        </w:rPr>
        <w:t xml:space="preserve">“the power of language” </w:t>
      </w:r>
      <w:r>
        <w:t xml:space="preserve">as a method of learning and undervalue exploratory talk, where pupils and adults engage critically but constructively with each other’s ideas, with statements and suggestions sought after and offered for joint consideration (Mercer, </w:t>
      </w:r>
      <w:proofErr w:type="spellStart"/>
      <w:r>
        <w:t>Wegerif</w:t>
      </w:r>
      <w:proofErr w:type="spellEnd"/>
      <w:r>
        <w:t xml:space="preserve"> and Dawes, 1999). </w:t>
      </w:r>
    </w:p>
    <w:p w14:paraId="55459E7F" w14:textId="77777777" w:rsidR="00A2141D" w:rsidRDefault="00A2141D" w:rsidP="00A2141D">
      <w:pPr>
        <w:spacing w:line="360" w:lineRule="auto"/>
      </w:pPr>
      <w:r>
        <w:t xml:space="preserve">Whilst it was found that teachers had different views on implementing pupil-led success criteria, with some believing that their pupils were not ready to take steps towards becoming independent learners (Read and </w:t>
      </w:r>
      <w:proofErr w:type="spellStart"/>
      <w:r>
        <w:t>Hurford</w:t>
      </w:r>
      <w:proofErr w:type="spellEnd"/>
      <w:r>
        <w:t xml:space="preserve">, 2010, p89), Read and </w:t>
      </w:r>
      <w:proofErr w:type="spellStart"/>
      <w:r>
        <w:t>Hurford’s</w:t>
      </w:r>
      <w:proofErr w:type="spellEnd"/>
      <w:r>
        <w:t xml:space="preserve"> pilot study found that primary-age pupils are capable of identifying and creating their own success criteria. This conclusion was approached with a nod to the fact that a participatory approach, using the example of hot-seating, made the process more accessible to pupils.</w:t>
      </w:r>
    </w:p>
    <w:p w14:paraId="6ADE56BC" w14:textId="77777777" w:rsidR="00A2141D" w:rsidRDefault="00A2141D" w:rsidP="00A2141D">
      <w:pPr>
        <w:spacing w:line="360" w:lineRule="auto"/>
        <w:rPr>
          <w:rFonts w:cstheme="minorHAnsi"/>
        </w:rPr>
      </w:pPr>
      <w:r>
        <w:t xml:space="preserve">The discussion of whether a </w:t>
      </w:r>
      <w:proofErr w:type="gramStart"/>
      <w:r>
        <w:t>success criteria</w:t>
      </w:r>
      <w:proofErr w:type="gramEnd"/>
      <w:r>
        <w:t xml:space="preserve"> has been achieved usually takes place in the form of a mini-plenary or full plenary. </w:t>
      </w:r>
      <w:proofErr w:type="gramStart"/>
      <w:r>
        <w:t>Similarly</w:t>
      </w:r>
      <w:proofErr w:type="gramEnd"/>
      <w:r>
        <w:t xml:space="preserve"> to the discussion of a success criteria, the importance of a plenary is recognised by Swain (2017) but is often not used during a lesson due to time constraints or not knowing how to implement it. Swain, an EYFS leader, goes on to say that in that setting, plenaries are avoided due to a lack of attention span. As the children in this study of Foundation Phase study range from four to six years old and EYFS </w:t>
      </w:r>
      <w:r>
        <w:rPr>
          <w:rFonts w:cstheme="minorHAnsi"/>
          <w:color w:val="0B0C0C"/>
          <w:shd w:val="clear" w:color="auto" w:fill="FFFFFF"/>
        </w:rPr>
        <w:t xml:space="preserve">sets standards for the learning, development </w:t>
      </w:r>
      <w:r>
        <w:rPr>
          <w:rFonts w:cstheme="minorHAnsi"/>
          <w:color w:val="0B0C0C"/>
          <w:shd w:val="clear" w:color="auto" w:fill="FFFFFF"/>
        </w:rPr>
        <w:lastRenderedPageBreak/>
        <w:t xml:space="preserve">and care of children from birth to 5 years old (Gov.uk, n.d.) in England, it would be considered a relevant piece of literature. Swain went on to research the best type of plenary for EYFS pupils, and found that </w:t>
      </w:r>
      <w:r>
        <w:rPr>
          <w:rFonts w:cstheme="minorHAnsi"/>
        </w:rPr>
        <w:t>child-led plenaries were more effective than teacher-led plenaries in order to secure new learning, and deemed the use of the plenary successful enough to apply what they had learnt into their play following the session.</w:t>
      </w:r>
    </w:p>
    <w:p w14:paraId="6EB25A03" w14:textId="77777777" w:rsidR="00A2141D" w:rsidRDefault="00A2141D" w:rsidP="00A2141D">
      <w:pPr>
        <w:spacing w:line="360" w:lineRule="auto"/>
      </w:pPr>
    </w:p>
    <w:p w14:paraId="4B341EB3" w14:textId="77777777" w:rsidR="00A2141D" w:rsidRDefault="00A2141D" w:rsidP="00A2141D">
      <w:pPr>
        <w:pStyle w:val="Heading1"/>
      </w:pPr>
      <w:bookmarkStart w:id="3" w:name="_Toc2588016"/>
      <w:r>
        <w:t>Lesson Study Methodology</w:t>
      </w:r>
      <w:bookmarkEnd w:id="3"/>
    </w:p>
    <w:p w14:paraId="298A8B60" w14:textId="77777777" w:rsidR="00A2141D" w:rsidRDefault="00A2141D" w:rsidP="00A2141D"/>
    <w:p w14:paraId="4311AD41" w14:textId="22420364" w:rsidR="00A2141D" w:rsidRDefault="00A2141D" w:rsidP="00A2141D">
      <w:pPr>
        <w:spacing w:line="360" w:lineRule="auto"/>
        <w:rPr>
          <w:rFonts w:cstheme="minorHAnsi"/>
          <w:color w:val="000000"/>
          <w:shd w:val="clear" w:color="auto" w:fill="FFFFFF"/>
        </w:rPr>
      </w:pPr>
      <w:r>
        <w:rPr>
          <w:rFonts w:cstheme="minorHAnsi"/>
        </w:rPr>
        <w:t>The research method my research partner and I decided to use was a lesson study. Defined by Norwich and Dudley (2016) as a p</w:t>
      </w:r>
      <w:r>
        <w:rPr>
          <w:rFonts w:cstheme="minorHAnsi"/>
          <w:color w:val="222222"/>
          <w:shd w:val="clear" w:color="auto" w:fill="FFFFFF"/>
        </w:rPr>
        <w:t xml:space="preserve">rofessional development strategy that originated in Japan and China more than 100 years ago, it was introduced to Britain in 2001 by Pete Dudley and has since grown in popularity. The aim of a lesson study is to encourage teacher collaboration by developing a lesson plan, then teach and observe the lesson to collect data on student learning (Stepanek et al., 2007). By doing this, teachers get to learn more about effective practice that will improve learner outcomes, and change their teaching to support learning as a result </w:t>
      </w:r>
      <w:r>
        <w:rPr>
          <w:rFonts w:cstheme="minorHAnsi"/>
          <w:color w:val="222222"/>
        </w:rPr>
        <w:t>(Dudley, 2014)</w:t>
      </w:r>
      <w:r>
        <w:rPr>
          <w:rFonts w:cstheme="minorHAnsi"/>
          <w:color w:val="222222"/>
          <w:shd w:val="clear" w:color="auto" w:fill="FFFFFF"/>
        </w:rPr>
        <w:t xml:space="preserve">. According to Dudley, lesson study has been used successfully in Britain to </w:t>
      </w:r>
      <w:r>
        <w:rPr>
          <w:rFonts w:cstheme="minorHAnsi"/>
          <w:i/>
          <w:color w:val="222222"/>
          <w:shd w:val="clear" w:color="auto" w:fill="FFFFFF"/>
        </w:rPr>
        <w:t>“improve teaching techniques in core subjects”</w:t>
      </w:r>
      <w:r>
        <w:rPr>
          <w:rFonts w:cstheme="minorHAnsi"/>
          <w:color w:val="222222"/>
          <w:shd w:val="clear" w:color="auto" w:fill="FFFFFF"/>
        </w:rPr>
        <w:t xml:space="preserve"> across primary and secondary schools, and has allowed for the opportunity to develop broader approaches to assessment for learning as teachers can see </w:t>
      </w:r>
      <w:r>
        <w:rPr>
          <w:rFonts w:cstheme="minorHAnsi"/>
        </w:rPr>
        <w:t>the gaps between what they had assumed was happening when pupils learned and what it is actually happening. Despite Dudley’s claims of success using lesson study, the EEF – a British education charity working in close proximity to the Department for Education – found that in their study on the subject that it didn’t provide evidence of improvement in maths and reading attainment in Key Stage 2 (n.d.), it was approved my teachers as a form of professional development and could change their practice as a result. As this is a small-scale study being carried out at the end of our PTE placement, the lesson study may not have a great impact on learning outcomes on the pupils in our classes, but as a form of professional development it will be beneficial as we prepare to move onto a new placement.</w:t>
      </w:r>
      <w:r>
        <w:rPr>
          <w:rFonts w:cstheme="minorHAnsi"/>
        </w:rPr>
        <w:br/>
      </w:r>
      <w:r>
        <w:rPr>
          <w:rFonts w:cstheme="minorHAnsi"/>
        </w:rPr>
        <w:br/>
        <w:t xml:space="preserve">Whilst myself of my research partner would be introducing the lesson or completing a plenary activity with the pupil, the other would be observing the children. Throughout the main part of the activity, we would both observe the children completing the focus task. This is known as a participant observation, as it </w:t>
      </w:r>
      <w:r>
        <w:rPr>
          <w:rFonts w:cstheme="minorHAnsi"/>
          <w:color w:val="000000"/>
          <w:shd w:val="clear" w:color="auto" w:fill="FFFFFF"/>
        </w:rPr>
        <w:t>enables researchers to learn about the activities of the people under study in the natural setting through observing and participating in those activities (</w:t>
      </w:r>
      <w:proofErr w:type="spellStart"/>
      <w:r>
        <w:rPr>
          <w:rFonts w:cstheme="minorHAnsi"/>
          <w:color w:val="000000"/>
          <w:shd w:val="clear" w:color="auto" w:fill="FFFFFF"/>
        </w:rPr>
        <w:t>Kawulich</w:t>
      </w:r>
      <w:proofErr w:type="spellEnd"/>
      <w:r>
        <w:rPr>
          <w:rFonts w:cstheme="minorHAnsi"/>
          <w:color w:val="000000"/>
          <w:shd w:val="clear" w:color="auto" w:fill="FFFFFF"/>
        </w:rPr>
        <w:t xml:space="preserve">, 2005). By using this form of observation, DeWalt and DeWalt, cited by </w:t>
      </w:r>
      <w:proofErr w:type="spellStart"/>
      <w:r>
        <w:rPr>
          <w:rFonts w:cstheme="minorHAnsi"/>
          <w:color w:val="000000"/>
          <w:shd w:val="clear" w:color="auto" w:fill="FFFFFF"/>
        </w:rPr>
        <w:t>Kawulich</w:t>
      </w:r>
      <w:proofErr w:type="spellEnd"/>
      <w:r>
        <w:rPr>
          <w:rFonts w:cstheme="minorHAnsi"/>
          <w:color w:val="000000"/>
          <w:shd w:val="clear" w:color="auto" w:fill="FFFFFF"/>
        </w:rPr>
        <w:t xml:space="preserve"> (2005), say that the quality </w:t>
      </w:r>
      <w:r>
        <w:rPr>
          <w:rFonts w:cstheme="minorHAnsi"/>
          <w:color w:val="000000"/>
          <w:shd w:val="clear" w:color="auto" w:fill="FFFFFF"/>
        </w:rPr>
        <w:lastRenderedPageBreak/>
        <w:t>of data collection is improved and facilitates the development of new research questions or hypotheses. This method however could be deemed unrepresentative of the culture of the classroom, as Johnson and Sackett (1998) argue that the data collected is based on my research partner and I’s individual interest in a particular setting or behaviour, rather than the general day-to-day happenings in a classroom. Alongside these observations, we would write some fieldnotes</w:t>
      </w:r>
      <w:r w:rsidR="00733FEE">
        <w:rPr>
          <w:rFonts w:cstheme="minorHAnsi"/>
          <w:color w:val="000000"/>
          <w:shd w:val="clear" w:color="auto" w:fill="FFFFFF"/>
        </w:rPr>
        <w:t xml:space="preserve"> about our chosen participants</w:t>
      </w:r>
      <w:r>
        <w:rPr>
          <w:rFonts w:cstheme="minorHAnsi"/>
          <w:color w:val="000000"/>
          <w:shd w:val="clear" w:color="auto" w:fill="FFFFFF"/>
        </w:rPr>
        <w:t xml:space="preserve"> if we felt it would be necessary. By writing fieldnotes, we would be able to recall any qualitative feedback with regards to behaviours, activities and events related to our study throughout the lesson.</w:t>
      </w:r>
      <w:r w:rsidR="00733FEE">
        <w:rPr>
          <w:rFonts w:cstheme="minorHAnsi"/>
          <w:color w:val="000000"/>
          <w:shd w:val="clear" w:color="auto" w:fill="FFFFFF"/>
        </w:rPr>
        <w:t xml:space="preserve"> </w:t>
      </w:r>
      <w:r w:rsidR="00E86101">
        <w:rPr>
          <w:rFonts w:cstheme="minorHAnsi"/>
          <w:color w:val="000000"/>
          <w:shd w:val="clear" w:color="auto" w:fill="FFFFFF"/>
        </w:rPr>
        <w:t xml:space="preserve">These notes would be written using the Leuven scale as a baseline </w:t>
      </w:r>
      <w:r w:rsidR="00E86101" w:rsidRPr="007168C4">
        <w:rPr>
          <w:rFonts w:cstheme="minorHAnsi"/>
          <w:color w:val="000000"/>
          <w:shd w:val="clear" w:color="auto" w:fill="FFFFFF"/>
        </w:rPr>
        <w:t>(Appendix</w:t>
      </w:r>
      <w:r w:rsidR="007168C4" w:rsidRPr="007168C4">
        <w:rPr>
          <w:rFonts w:cstheme="minorHAnsi"/>
          <w:color w:val="000000"/>
          <w:shd w:val="clear" w:color="auto" w:fill="FFFFFF"/>
        </w:rPr>
        <w:t xml:space="preserve"> 5</w:t>
      </w:r>
      <w:r w:rsidR="00E86101" w:rsidRPr="007168C4">
        <w:rPr>
          <w:rFonts w:cstheme="minorHAnsi"/>
          <w:color w:val="000000"/>
          <w:shd w:val="clear" w:color="auto" w:fill="FFFFFF"/>
        </w:rPr>
        <w:t>)</w:t>
      </w:r>
      <w:r w:rsidR="00630C34">
        <w:rPr>
          <w:rFonts w:cstheme="minorHAnsi"/>
          <w:color w:val="000000"/>
          <w:shd w:val="clear" w:color="auto" w:fill="FFFFFF"/>
        </w:rPr>
        <w:t xml:space="preserve">. </w:t>
      </w:r>
    </w:p>
    <w:p w14:paraId="1830661D" w14:textId="6ABB2A38" w:rsidR="00A2141D" w:rsidRDefault="00A2141D" w:rsidP="00A2141D">
      <w:pPr>
        <w:spacing w:line="360" w:lineRule="auto"/>
        <w:rPr>
          <w:color w:val="222222"/>
          <w:shd w:val="clear" w:color="auto" w:fill="FFFFFF"/>
        </w:rPr>
      </w:pPr>
      <w:r>
        <w:rPr>
          <w:rFonts w:cstheme="minorHAnsi"/>
          <w:color w:val="000000"/>
          <w:shd w:val="clear" w:color="auto" w:fill="FFFFFF"/>
        </w:rPr>
        <w:t xml:space="preserve">Following the lesson, three pupils will be taken out to take part in a focus group to evaluate the lesson, particularly the use of a success criteria and a plenary. </w:t>
      </w:r>
      <w:proofErr w:type="spellStart"/>
      <w:r>
        <w:rPr>
          <w:rFonts w:cstheme="minorHAnsi"/>
          <w:color w:val="000000"/>
          <w:shd w:val="clear" w:color="auto" w:fill="FFFFFF"/>
        </w:rPr>
        <w:t>Marczac</w:t>
      </w:r>
      <w:proofErr w:type="spellEnd"/>
      <w:r>
        <w:rPr>
          <w:rFonts w:cstheme="minorHAnsi"/>
          <w:color w:val="000000"/>
          <w:shd w:val="clear" w:color="auto" w:fill="FFFFFF"/>
        </w:rPr>
        <w:t xml:space="preserve"> and Sewell (n.d.) define a focus group as </w:t>
      </w:r>
      <w:r>
        <w:rPr>
          <w:color w:val="000000"/>
          <w:shd w:val="clear" w:color="auto" w:fill="FFFFFF"/>
        </w:rPr>
        <w:t xml:space="preserve">a group of interacting individuals having some common interest or characteristics. This group is brought together by a moderator, who uses the group and any comments made as a way to gain information about a specific or focused issue. The ideal number of pupils in a focus group varies depending on opinion, with Greig and Taylor (1999) suggesting that five or six members being ‘optimal’ with a small age range, whereas Scott (2008) suggests that there should be no more than eight in a group and interviewed in a restrictive age range. Based on this knowledge, it could be argued that this method would not be suitable for my research partner’s class. However, as she knew her children well, she made the decision that it was appropriate to use.  My research partner and I decided to pick a mixed ability focus group as it enables us to gage the viewpoints of pupils across the academic spectrum, and (Santos, 2017) states that using a heterogeneous group decreases the chance of feeling stigmatised for low ability pupils and enables academic benefits from verbally reinforcing material. Greig and Taylor argue that focus groups can be unsuitable as it can be difficult to transcribe who is saying what, and as a group some voices may be more difficult to recognise than others. However, </w:t>
      </w:r>
      <w:proofErr w:type="spellStart"/>
      <w:r>
        <w:rPr>
          <w:color w:val="000000"/>
          <w:shd w:val="clear" w:color="auto" w:fill="FFFFFF"/>
        </w:rPr>
        <w:t>Acocella</w:t>
      </w:r>
      <w:proofErr w:type="spellEnd"/>
      <w:r>
        <w:rPr>
          <w:color w:val="000000"/>
          <w:shd w:val="clear" w:color="auto" w:fill="FFFFFF"/>
        </w:rPr>
        <w:t xml:space="preserve"> (2011) argues that focus groups enable researchers to obtain </w:t>
      </w:r>
      <w:r>
        <w:t>sufficiently detailed information in a short amount of time</w:t>
      </w:r>
      <w:r>
        <w:rPr>
          <w:color w:val="000000"/>
          <w:shd w:val="clear" w:color="auto" w:fill="FFFFFF"/>
        </w:rPr>
        <w:t>, and for this reason my research partner and I chose this method.</w:t>
      </w:r>
      <w:r>
        <w:rPr>
          <w:color w:val="000000"/>
          <w:shd w:val="clear" w:color="auto" w:fill="FFFFFF"/>
        </w:rPr>
        <w:br/>
      </w:r>
      <w:r>
        <w:rPr>
          <w:color w:val="000000"/>
          <w:shd w:val="clear" w:color="auto" w:fill="FFFFFF"/>
        </w:rPr>
        <w:br/>
        <w:t>During our time with the focus groups, we would carry out a semi-structured interview. My research partner and decided on this as it can</w:t>
      </w:r>
      <w:r>
        <w:rPr>
          <w:color w:val="222222"/>
          <w:shd w:val="clear" w:color="auto" w:fill="FFFFFF"/>
        </w:rPr>
        <w:t xml:space="preserve"> provide reliable, comparable qualitative data (Keller and </w:t>
      </w:r>
      <w:proofErr w:type="spellStart"/>
      <w:r>
        <w:rPr>
          <w:color w:val="222222"/>
          <w:shd w:val="clear" w:color="auto" w:fill="FFFFFF"/>
        </w:rPr>
        <w:t>Conradin</w:t>
      </w:r>
      <w:proofErr w:type="spellEnd"/>
      <w:r>
        <w:rPr>
          <w:color w:val="222222"/>
          <w:shd w:val="clear" w:color="auto" w:fill="FFFFFF"/>
        </w:rPr>
        <w:t xml:space="preserve">, 2018) and allow participants some freedom to express their opinions in their own way. As well as this, a semi-structured interview allows for extra discussion or questions to be asked as the conversation progresses, if necessary. We used a combination of open and closed questions </w:t>
      </w:r>
      <w:r w:rsidRPr="008B5FC8">
        <w:rPr>
          <w:color w:val="222222"/>
          <w:shd w:val="clear" w:color="auto" w:fill="FFFFFF"/>
        </w:rPr>
        <w:t>(Appendix</w:t>
      </w:r>
      <w:r w:rsidR="008B5FC8" w:rsidRPr="008B5FC8">
        <w:rPr>
          <w:color w:val="222222"/>
          <w:shd w:val="clear" w:color="auto" w:fill="FFFFFF"/>
        </w:rPr>
        <w:t xml:space="preserve"> 4</w:t>
      </w:r>
      <w:r w:rsidRPr="008B5FC8">
        <w:rPr>
          <w:color w:val="222222"/>
          <w:shd w:val="clear" w:color="auto" w:fill="FFFFFF"/>
        </w:rPr>
        <w:t>)</w:t>
      </w:r>
      <w:r>
        <w:rPr>
          <w:color w:val="222222"/>
          <w:shd w:val="clear" w:color="auto" w:fill="FFFFFF"/>
        </w:rPr>
        <w:t xml:space="preserve"> as it was necessary to include them both – some questions required a simple yes or no </w:t>
      </w:r>
      <w:r>
        <w:rPr>
          <w:color w:val="222222"/>
          <w:shd w:val="clear" w:color="auto" w:fill="FFFFFF"/>
        </w:rPr>
        <w:lastRenderedPageBreak/>
        <w:t xml:space="preserve">answer, whereas other questions required a more elaborate answer. </w:t>
      </w:r>
      <w:r>
        <w:rPr>
          <w:color w:val="222222"/>
          <w:shd w:val="clear" w:color="auto" w:fill="FFFFFF"/>
        </w:rPr>
        <w:br/>
      </w:r>
      <w:r>
        <w:rPr>
          <w:color w:val="222222"/>
          <w:shd w:val="clear" w:color="auto" w:fill="FFFFFF"/>
        </w:rPr>
        <w:br/>
        <w:t xml:space="preserve">Following the semi-structured interview with the focus group, and using any observational notes we have made, we will complete a reflection sheet in order to find aspects of the lesson that went well, and what could be improved for the next lesson. My research partner and I decided to use Brookfield’s four lenses model, which comprises of looking at the lesson from four separate points of view. The first lens comprises of self-review – enabling us to see our practice as if we were a student. It is considered a logical first step (Brookfield, 1995) as it allows us to reflect on previously untested assumptions that can be looked into further. The second step would be a student-style review, allowing us to receive feedback from the students in order to move forward. Thirdly, a peer review would be conducted, allowing us to “break down the shroud of silence in which our practice is wrapped” (Brookfield, 1995) and discovering new ways of perceiving our practice. Lastly, we would consult literature related to what we had discovered as part of our lesson study. Brookfield believes this is beneficial as it allows </w:t>
      </w:r>
      <w:r>
        <w:rPr>
          <w:i/>
          <w:color w:val="222222"/>
          <w:shd w:val="clear" w:color="auto" w:fill="FFFFFF"/>
        </w:rPr>
        <w:t>“</w:t>
      </w:r>
      <w:r>
        <w:rPr>
          <w:i/>
        </w:rPr>
        <w:t xml:space="preserve">teachers to understand the link between their private troubles and broader political processes‟. </w:t>
      </w:r>
      <w:r>
        <w:t xml:space="preserve"> This process would then be repeated for the second research partner, and enable us to discuss the findings of our research and outline any limitations or ways forward as a result.</w:t>
      </w:r>
      <w:r>
        <w:rPr>
          <w:color w:val="222222"/>
          <w:shd w:val="clear" w:color="auto" w:fill="FFFFFF"/>
        </w:rPr>
        <w:br/>
      </w:r>
      <w:r>
        <w:rPr>
          <w:color w:val="222222"/>
          <w:shd w:val="clear" w:color="auto" w:fill="FFFFFF"/>
        </w:rPr>
        <w:br/>
      </w:r>
    </w:p>
    <w:p w14:paraId="13CA35AA" w14:textId="77777777" w:rsidR="00A2141D" w:rsidRDefault="00A2141D" w:rsidP="00A2141D">
      <w:pPr>
        <w:spacing w:line="360" w:lineRule="auto"/>
        <w:rPr>
          <w:color w:val="222222"/>
          <w:shd w:val="clear" w:color="auto" w:fill="FFFFFF"/>
        </w:rPr>
      </w:pPr>
    </w:p>
    <w:p w14:paraId="4F79670A" w14:textId="77777777" w:rsidR="00A2141D" w:rsidRDefault="00A2141D" w:rsidP="00A2141D">
      <w:pPr>
        <w:pStyle w:val="Heading1"/>
        <w:rPr>
          <w:shd w:val="clear" w:color="auto" w:fill="FFFFFF"/>
        </w:rPr>
      </w:pPr>
      <w:bookmarkStart w:id="4" w:name="_Toc2588017"/>
      <w:r>
        <w:rPr>
          <w:shd w:val="clear" w:color="auto" w:fill="FFFFFF"/>
        </w:rPr>
        <w:t>Ethical Considerations</w:t>
      </w:r>
      <w:bookmarkEnd w:id="4"/>
    </w:p>
    <w:p w14:paraId="7F72D1E1" w14:textId="77777777" w:rsidR="00A2141D" w:rsidRDefault="00A2141D" w:rsidP="00A2141D"/>
    <w:p w14:paraId="72EAB07A" w14:textId="6A635579" w:rsidR="00A2141D" w:rsidRDefault="00A2141D" w:rsidP="00A2141D">
      <w:pPr>
        <w:spacing w:line="360" w:lineRule="auto"/>
      </w:pPr>
      <w:r>
        <w:t xml:space="preserve">There are ethical considerations that have to be respected when undertaking classroom studies. An ethics form had to be produced prior to the investigation, lining out the procedures that would take place throughout the lesson study taking into consideration the British Educational Research Association Guidelines (BERA), UWTSD Research Ethics &amp; Integrity Code of Practice and the Code of Professional Conduct and Practice for Registrants with the Education Workforce Council. This then had to be sent to the UWTSD Ethics committee for approval. Following that, senior members of staff from both schools were made aware that the lesson studies would be happening and gave permission for them to do so, under the conditions of the ethics form. </w:t>
      </w:r>
      <w:r>
        <w:br/>
      </w:r>
      <w:r>
        <w:br/>
        <w:t xml:space="preserve">As mentioned previously, the participants were students from a small village school in West Wales and a large community school in the Rhondda Cynon </w:t>
      </w:r>
      <w:proofErr w:type="spellStart"/>
      <w:r>
        <w:t>Taf</w:t>
      </w:r>
      <w:proofErr w:type="spellEnd"/>
      <w:r>
        <w:t xml:space="preserve"> local authority. BERA (2018) state that </w:t>
      </w:r>
      <w:r>
        <w:rPr>
          <w:i/>
        </w:rPr>
        <w:lastRenderedPageBreak/>
        <w:t xml:space="preserve">“researchers should do everything they can to ensure that all potential participants understand, as well as they can, what is involved in a study”, </w:t>
      </w:r>
      <w:r>
        <w:t xml:space="preserve">therefore in order to gain consent from the pupils’ parents, letters were sent to the pupils’ parents explaining what would happen during the lesson study </w:t>
      </w:r>
      <w:r w:rsidRPr="007168C4">
        <w:t>(</w:t>
      </w:r>
      <w:r w:rsidR="007168C4" w:rsidRPr="007168C4">
        <w:t>A</w:t>
      </w:r>
      <w:r w:rsidRPr="007168C4">
        <w:t>ppendix</w:t>
      </w:r>
      <w:r w:rsidR="007168C4" w:rsidRPr="007168C4">
        <w:t xml:space="preserve"> 6</w:t>
      </w:r>
      <w:r w:rsidRPr="007168C4">
        <w:t>)</w:t>
      </w:r>
      <w:r>
        <w:t xml:space="preserve">. My research partner and I followed Article 13 of the UN Convention Rights of the Child, which states that pupils </w:t>
      </w:r>
      <w:r>
        <w:rPr>
          <w:i/>
        </w:rPr>
        <w:t>“have the right to give your opinion, and for adults to listen and take it seriously”</w:t>
      </w:r>
      <w:r>
        <w:t xml:space="preserve"> - as a result we obtained assent from the pupils by sitting them on the carpet and explaining what would be happening and that they would be able to withdraw as soon as they felt uncomfortable.</w:t>
      </w:r>
    </w:p>
    <w:p w14:paraId="30812F62" w14:textId="77777777" w:rsidR="00A2141D" w:rsidRDefault="00A2141D" w:rsidP="00A2141D">
      <w:pPr>
        <w:spacing w:line="360" w:lineRule="auto"/>
      </w:pPr>
      <w:r>
        <w:t>On completion of the research, myself and my research partner have followed UWTSD Research Ethics &amp; Integrity Code of Practice by ensuring that</w:t>
      </w:r>
      <w:r>
        <w:br/>
      </w:r>
      <w:r>
        <w:br/>
      </w:r>
      <w:r>
        <w:rPr>
          <w:i/>
        </w:rPr>
        <w:t>“research data is held in a secure manner consonant with the requirements of the Data Protection Act and that it is archived in such a way that it will be accessible for future audit purposes</w:t>
      </w:r>
      <w:r>
        <w:t>.</w:t>
      </w:r>
      <w:r>
        <w:rPr>
          <w:i/>
        </w:rPr>
        <w:t>”</w:t>
      </w:r>
    </w:p>
    <w:p w14:paraId="67038E34" w14:textId="77777777" w:rsidR="00A2141D" w:rsidRDefault="00A2141D" w:rsidP="00A2141D">
      <w:pPr>
        <w:spacing w:line="360" w:lineRule="auto"/>
      </w:pPr>
      <w:r>
        <w:t xml:space="preserve">                                                                     (</w:t>
      </w:r>
      <w:r>
        <w:rPr>
          <w:rFonts w:ascii="Arial" w:hAnsi="Arial" w:cs="Arial"/>
          <w:color w:val="000000"/>
          <w:sz w:val="20"/>
          <w:szCs w:val="20"/>
        </w:rPr>
        <w:t>UWTSD Research Ethics &amp; Integrity Code of Practice, 2019)</w:t>
      </w:r>
    </w:p>
    <w:p w14:paraId="0E73454C" w14:textId="77777777" w:rsidR="00A2141D" w:rsidRPr="00A2141D" w:rsidRDefault="00A2141D" w:rsidP="00A2141D">
      <w:pPr>
        <w:spacing w:line="360" w:lineRule="auto"/>
      </w:pPr>
    </w:p>
    <w:p w14:paraId="7736375E" w14:textId="77777777" w:rsidR="00A2141D" w:rsidRDefault="00A2141D" w:rsidP="00A2141D">
      <w:pPr>
        <w:pStyle w:val="Heading1"/>
        <w:spacing w:line="360" w:lineRule="auto"/>
        <w:rPr>
          <w:shd w:val="clear" w:color="auto" w:fill="FFFFFF"/>
        </w:rPr>
      </w:pPr>
      <w:bookmarkStart w:id="5" w:name="_Toc2588018"/>
      <w:r>
        <w:rPr>
          <w:shd w:val="clear" w:color="auto" w:fill="FFFFFF"/>
        </w:rPr>
        <w:t>Lesson Study</w:t>
      </w:r>
      <w:bookmarkEnd w:id="5"/>
    </w:p>
    <w:p w14:paraId="75F70B47" w14:textId="77777777" w:rsidR="00A2141D" w:rsidRDefault="00A2141D" w:rsidP="00A2141D">
      <w:pPr>
        <w:spacing w:line="360" w:lineRule="auto"/>
      </w:pPr>
    </w:p>
    <w:p w14:paraId="2178A5FF" w14:textId="39855858" w:rsidR="00A2141D" w:rsidRDefault="00A2141D" w:rsidP="00A2141D">
      <w:pPr>
        <w:spacing w:line="360" w:lineRule="auto"/>
      </w:pPr>
      <w:r>
        <w:t xml:space="preserve">The participants in this study were from Foundation Phase classes in two schools partnered with </w:t>
      </w:r>
      <w:proofErr w:type="spellStart"/>
      <w:r>
        <w:t>Yr</w:t>
      </w:r>
      <w:proofErr w:type="spellEnd"/>
      <w:r>
        <w:t xml:space="preserve"> </w:t>
      </w:r>
      <w:proofErr w:type="spellStart"/>
      <w:r>
        <w:t>Athrofa</w:t>
      </w:r>
      <w:proofErr w:type="spellEnd"/>
      <w:r>
        <w:t xml:space="preserve">, with School A’s participants being pupils from a mixed Reception/Year 1 class, and School A’s participants coming from a Year 1 class. Assent was gained in the form of a conversation with the pupils explaining what would happen throughout the lesson and that they were able to object to participating at any time </w:t>
      </w:r>
      <w:r w:rsidRPr="008C6D23">
        <w:t>(Appendix</w:t>
      </w:r>
      <w:r w:rsidR="00C16459" w:rsidRPr="008C6D23">
        <w:t xml:space="preserve"> </w:t>
      </w:r>
      <w:r w:rsidR="008C6D23" w:rsidRPr="008C6D23">
        <w:t>6</w:t>
      </w:r>
      <w:r w:rsidRPr="008C6D23">
        <w:t>)</w:t>
      </w:r>
      <w:r>
        <w:t xml:space="preserve"> and that it would not affect their relationship with myself or other staff members if they decided to do so. As well as this, myself and my research partner gained parental consent in the form of a letter. Those pupils who did not return a parental consent letter were not eligible to participate in the lesson study and instead completed a separate activity. In both cases any ineligible pupils completed the task at a later date without being observed.</w:t>
      </w:r>
      <w:r>
        <w:br/>
      </w:r>
      <w:r>
        <w:br/>
        <w:t xml:space="preserve">The first part of the lesson study was conducted in School A. Prior to the lesson starting, parental consent had been gained, assent had been obtained from the pupils and they had been made aware that I would be in class for their lesson.  The lesson in question was a continuation of a previous lesson learning Welsh sentence patterns and using the names of animals in Welsh, with the introduction of adding Welsh colours. The lesson started by recapping what the pupils had learnt </w:t>
      </w:r>
      <w:r>
        <w:lastRenderedPageBreak/>
        <w:t xml:space="preserve">previously – e.g. “Mae </w:t>
      </w:r>
      <w:proofErr w:type="spellStart"/>
      <w:r>
        <w:t>ceffyl</w:t>
      </w:r>
      <w:proofErr w:type="spellEnd"/>
      <w:r>
        <w:t xml:space="preserve"> </w:t>
      </w:r>
      <w:proofErr w:type="spellStart"/>
      <w:r>
        <w:t>ar</w:t>
      </w:r>
      <w:proofErr w:type="spellEnd"/>
      <w:r>
        <w:t xml:space="preserve"> y </w:t>
      </w:r>
      <w:proofErr w:type="spellStart"/>
      <w:r>
        <w:t>fferm</w:t>
      </w:r>
      <w:proofErr w:type="spellEnd"/>
      <w:r>
        <w:t xml:space="preserve">” </w:t>
      </w:r>
      <w:r w:rsidRPr="008C6D23">
        <w:t>(Appendix</w:t>
      </w:r>
      <w:r w:rsidR="008C6D23" w:rsidRPr="008C6D23">
        <w:t xml:space="preserve"> 7</w:t>
      </w:r>
      <w:r w:rsidRPr="008C6D23">
        <w:t>)</w:t>
      </w:r>
      <w:r>
        <w:t xml:space="preserve"> – and a general recap of Welsh colours. My research partner went on to introduce the colour into the sentence and ask the pupils to attempt to create their own sentences in a ‘think pair share’ activity. Following this, my research partner explained to the pupils what they were going to do during the session, including the adult-led activity, at which point the pupils had the success criteria (Appendix) explained to them prior to being sent to the provision areas.</w:t>
      </w:r>
    </w:p>
    <w:p w14:paraId="2C84DD36" w14:textId="77777777" w:rsidR="00A2141D" w:rsidRDefault="00A2141D" w:rsidP="00A2141D">
      <w:pPr>
        <w:spacing w:line="360" w:lineRule="auto"/>
      </w:pPr>
      <w:r>
        <w:t xml:space="preserve">The adult-led activity involved pupils colouring in farmyard animals. The pupils were told that they could choose from a variety of animals and colours, as long as they were able to use the right sentence patterns and recognise what colour they used using the correct Welsh vocabulary. Once the pupils had coloured in their animals, they would need to cut out them out and write an accompanying sentence into their book. Before the pupils reached this point, my research partner would ask them to create a sentence to describe their picture e.g. “Mae </w:t>
      </w:r>
      <w:proofErr w:type="spellStart"/>
      <w:r>
        <w:t>mochyn</w:t>
      </w:r>
      <w:proofErr w:type="spellEnd"/>
      <w:r>
        <w:t xml:space="preserve"> pin car y </w:t>
      </w:r>
      <w:proofErr w:type="spellStart"/>
      <w:r>
        <w:t>fferm</w:t>
      </w:r>
      <w:proofErr w:type="spellEnd"/>
      <w:r>
        <w:t>”. By doing this, it was as if it was a mini-plenary exercise to ensure the pupils had achieved the success criteria. (include what I did)</w:t>
      </w:r>
    </w:p>
    <w:p w14:paraId="00273597" w14:textId="77777777" w:rsidR="00A2141D" w:rsidRDefault="00A2141D" w:rsidP="00A2141D">
      <w:pPr>
        <w:spacing w:line="360" w:lineRule="auto"/>
      </w:pPr>
      <w:r>
        <w:t xml:space="preserve">The plenary activity consisted of a show-and-tell session. My research partner and I decided on this method of plenary </w:t>
      </w:r>
      <w:r w:rsidRPr="0047479A">
        <w:t>as Dailey (1997)</w:t>
      </w:r>
      <w:r>
        <w:t xml:space="preserve"> states that it allows for children to learn new knowledge, and by sharing items and ideas it extends their learning. It also allows for pupils to develop questioning skills by asking their peers about the work that they have done. Pupils took it in turns to display their work, and took opportunities to choose peers to ask questions about their work. By being able to ask and answer questions and consistently hear the sentence pattern being spoken, it enabled language development and develop confidence for them to use the language during other areas of provision. Whilst the plenary was mainly pupil-led, my research partner was on hand to keep the session on track, correct any mispronunciations and clear any queries, as well as encourage and model questioning styles for the pupils to follow. By making the session pupil-led, it allowed my research partner to make mental observations about how the class has followed the success criteria in order to achieve the learning objective in order to take the learning forward.</w:t>
      </w:r>
    </w:p>
    <w:p w14:paraId="7B3F9494" w14:textId="17376537" w:rsidR="00A2141D" w:rsidRDefault="00A2141D" w:rsidP="00A2141D">
      <w:pPr>
        <w:spacing w:line="360" w:lineRule="auto"/>
      </w:pPr>
      <w:r>
        <w:t xml:space="preserve">Following this, the focus group interview was carried out. The three participants of this focus group were taken out to a separate room in order to not be distracted when answering the questions that had been prepared. The pupils were able to explain the task they had done and that they had enjoyed the lesson, however struggled to answer the rest of the questions </w:t>
      </w:r>
      <w:r w:rsidRPr="00DF39E5">
        <w:t>(Appendix</w:t>
      </w:r>
      <w:r w:rsidR="00DF39E5" w:rsidRPr="00DF39E5">
        <w:t xml:space="preserve"> 4</w:t>
      </w:r>
      <w:r w:rsidRPr="00DF39E5">
        <w:t>)</w:t>
      </w:r>
      <w:r>
        <w:t xml:space="preserve">, including what a success </w:t>
      </w:r>
      <w:proofErr w:type="gramStart"/>
      <w:r>
        <w:t>criteria</w:t>
      </w:r>
      <w:proofErr w:type="gramEnd"/>
      <w:r>
        <w:t xml:space="preserve"> was. The participants struggled to sit still and actively participate in the focus group, needing constant prompting to behave appropriately and answer the questions rather than talk about something else.</w:t>
      </w:r>
      <w:r>
        <w:br/>
      </w:r>
      <w:r>
        <w:lastRenderedPageBreak/>
        <w:br/>
        <w:t xml:space="preserve">As a result of the lesson, my research partner and I completed a reflection form to identify the successful aspects of the lesson, as well as what could be improved for the next lesson. This process was beneficial as it allowed for us to think about ourselves as evaluators and consider the impact of our interventions </w:t>
      </w:r>
      <w:r w:rsidRPr="00C75932">
        <w:t>(Hattie</w:t>
      </w:r>
      <w:r w:rsidR="00CD5117" w:rsidRPr="00C75932">
        <w:t xml:space="preserve">, </w:t>
      </w:r>
      <w:r w:rsidR="00C75932" w:rsidRPr="00C75932">
        <w:t>2015</w:t>
      </w:r>
      <w:r w:rsidRPr="00C75932">
        <w:t>)</w:t>
      </w:r>
      <w:r>
        <w:t xml:space="preserve">. We decided that whilst the students were able to follow the success criteria, more importance needed to be placed on the fact that a </w:t>
      </w:r>
      <w:proofErr w:type="gramStart"/>
      <w:r>
        <w:t>success criteria</w:t>
      </w:r>
      <w:proofErr w:type="gramEnd"/>
      <w:r>
        <w:t xml:space="preserve"> was actually being used and what it was being used for. It was also decided that whilst the activity was successful and the students achieved the success criteria, for the second lesson the class from School B would benefit from a more structured lesson style with a more challenging success </w:t>
      </w:r>
      <w:proofErr w:type="gramStart"/>
      <w:r>
        <w:t>criteria</w:t>
      </w:r>
      <w:proofErr w:type="gramEnd"/>
      <w:r>
        <w:t xml:space="preserve">. The reason we chose this was because School A’s participants were a mixed year class, therefore the lesson needed to be simplified to suit the needs of the younger learners, whereas School B’s participants were a straight Year 1 class. As the older pupils of the cohort were deemed to be more academically capable by school staff, they would benefit from a more structured lesson with a more difficult success </w:t>
      </w:r>
      <w:proofErr w:type="gramStart"/>
      <w:r>
        <w:t>criteria</w:t>
      </w:r>
      <w:proofErr w:type="gramEnd"/>
      <w:r>
        <w:t xml:space="preserve">. As well as this, the participants from School B were already partially accustomed to using a </w:t>
      </w:r>
      <w:proofErr w:type="gramStart"/>
      <w:r>
        <w:t>success criteria</w:t>
      </w:r>
      <w:proofErr w:type="gramEnd"/>
      <w:r>
        <w:t xml:space="preserve"> so it wouldn’t have been considered unusual to have one integrated into the lesson. Finally, whilst the focus group didn’t go as well as anticipated, my research partner and I decided that we would use this method in the second lesson study to ensure continuity of data collection.</w:t>
      </w:r>
    </w:p>
    <w:p w14:paraId="5133F0D8" w14:textId="77777777" w:rsidR="00A2141D" w:rsidRDefault="00A2141D" w:rsidP="00A2141D">
      <w:pPr>
        <w:spacing w:line="360" w:lineRule="auto"/>
      </w:pPr>
    </w:p>
    <w:p w14:paraId="50AB7917" w14:textId="741CDF26" w:rsidR="00A2141D" w:rsidRDefault="00A2141D" w:rsidP="00A2141D">
      <w:pPr>
        <w:spacing w:line="360" w:lineRule="auto"/>
      </w:pPr>
      <w:r>
        <w:t xml:space="preserve">The second lesson study was carried out in School B the following afternoon. Again, as was the case in School A, parental consent had been gained, assent had been obtained from the pupils and they had been made aware that my research partner would be in class for their lesson. Both classes were studying animal-based topics but were unable to teach the same content. This lesson was part of a series of lessons on the subject of animal habitats. The lesson started by recapping a story that they had read the day before and what activity they had done in relation to it. The introduction then moved on to review the new vocabulary that had been learned over the course of the week, as some children were still struggling to remember the word ‘habitat’ and other associated terms. I then went on to introduce the learning objective and success criteria, making a point of using the phrase ‘success criteria’ for the reasons discussed the day before. I used the format of ‘Lucy Ladybird’ </w:t>
      </w:r>
      <w:r w:rsidRPr="00C75932">
        <w:t>(Appendix</w:t>
      </w:r>
      <w:r w:rsidR="00C75932" w:rsidRPr="00C75932">
        <w:t xml:space="preserve"> 3</w:t>
      </w:r>
      <w:r w:rsidRPr="00C75932">
        <w:t>)</w:t>
      </w:r>
      <w:r>
        <w:t xml:space="preserve"> as this is what the pupils were accustomed to using, and didn’t see the point of changing it. I discussed the different aspects of the success criteria with the pupils, and used a “thumbs up, middle and down”</w:t>
      </w:r>
      <w:r w:rsidR="00C75932">
        <w:t xml:space="preserve"> assessment for learning</w:t>
      </w:r>
      <w:r>
        <w:t xml:space="preserve"> </w:t>
      </w:r>
      <w:r w:rsidR="00C75932">
        <w:t>(</w:t>
      </w:r>
      <w:proofErr w:type="spellStart"/>
      <w:r>
        <w:t>AfL</w:t>
      </w:r>
      <w:proofErr w:type="spellEnd"/>
      <w:r w:rsidR="00C75932">
        <w:t>)</w:t>
      </w:r>
      <w:r>
        <w:t xml:space="preserve"> strategy to how the pupils felt about them prior to the main activity. Following this, the pupils were sent off to the provision areas, with a group of children who had parental consent and assent called over by myself to complete the task. </w:t>
      </w:r>
      <w:r>
        <w:br/>
      </w:r>
      <w:r>
        <w:lastRenderedPageBreak/>
        <w:br/>
        <w:t xml:space="preserve">The adult-led activity involved following a set of instructions </w:t>
      </w:r>
      <w:r w:rsidRPr="0036314D">
        <w:t>(Appendix</w:t>
      </w:r>
      <w:r w:rsidR="00C75932" w:rsidRPr="0036314D">
        <w:t xml:space="preserve"> </w:t>
      </w:r>
      <w:r w:rsidR="0036314D" w:rsidRPr="0036314D">
        <w:t>9</w:t>
      </w:r>
      <w:r w:rsidRPr="0036314D">
        <w:t>)</w:t>
      </w:r>
      <w:r>
        <w:t xml:space="preserve"> in order to design a habitat for a newly discovered animal, a ‘Beaky Bird’. In order for the task to be completed successfully, the pupils had to show that they understood the instructions and had to be able to explain why they had designed their habitat in a particular way. During the activity, my research partner and I asked the pupils to explain their designs as they were drawing them in order to ensure they were following the success criteria. As they were completing an instruction, I was giving them a ‘teacher tick’ – a Read Write Inc marking strategy – which spurred them on to complete the rest of them successfully.</w:t>
      </w:r>
    </w:p>
    <w:p w14:paraId="5D515367" w14:textId="77777777" w:rsidR="00A2141D" w:rsidRDefault="00A2141D" w:rsidP="00A2141D">
      <w:pPr>
        <w:spacing w:line="360" w:lineRule="auto"/>
      </w:pPr>
      <w:r>
        <w:t>At the end of the lesson, the pupils completed a show-and-tell plenary. It was decided to keep the same style of plenary as it had proven to be successful during the first lesson study, and the participants in School B have a weekly show-and-tell session so were already familiar with the structure. As was the case in School A, participants were invited to display their work to their peers and explain their designs for Beaky Bird’s habitat. Again, this style of activity proved successful, as pupils showed that they achieved the success criteria through using vocabulary they had learned from previous lessons to describe their habitat designs and show how they had followed the instructions they had been given. Once pupils had the opportunity to do this, I repeated the ‘thumbs up-middle-down’ strategy to assess how the students felt about the different aspects of the success criteria.</w:t>
      </w:r>
    </w:p>
    <w:p w14:paraId="13F96D6A" w14:textId="77777777" w:rsidR="00A2141D" w:rsidRDefault="00A2141D" w:rsidP="00A2141D">
      <w:pPr>
        <w:spacing w:line="360" w:lineRule="auto"/>
      </w:pPr>
      <w:r>
        <w:t xml:space="preserve">Three of the participants were then selected to take part in the focus group interview. During this focus group, the pupils did prove to be fussy when questions were being asked, but generally coped better during the process overall. The participants were more capable of answering the </w:t>
      </w:r>
      <w:proofErr w:type="gramStart"/>
      <w:r>
        <w:t>questions</w:t>
      </w:r>
      <w:proofErr w:type="gramEnd"/>
      <w:r>
        <w:t xml:space="preserve"> but it could be argued that as we were asking questions about the success criteria – a concept that they were already aware of – they were more capable to answer the questions, and with some detail.</w:t>
      </w:r>
    </w:p>
    <w:p w14:paraId="62E72A90" w14:textId="77777777" w:rsidR="00A2141D" w:rsidRPr="00A2141D" w:rsidRDefault="00A2141D" w:rsidP="00A2141D">
      <w:pPr>
        <w:spacing w:line="360" w:lineRule="auto"/>
      </w:pPr>
      <w:r>
        <w:t xml:space="preserve">Finally, my research partner and I completed a second reflection form to identify the positive and negative aspects of the lesson.  We agreed that the students took a lot from the lesson as it provided a good opportunity to recap vocabulary and use it in a contextual situation. By making it a practical lesson in the form of drawing or designing a habitat, the learners felt as though it wasn’t a ‘learning’ activity they were more willing to discuss what they were doing. We believe that if it had been a writing task, they’d have been less willing to discuss what they were doing, but obviously realise that not every lesson can be practical. It was a good way of observing the learners to ensure that they were meeting aspects of the success criteria and will take it forward into our future teaching </w:t>
      </w:r>
      <w:r>
        <w:lastRenderedPageBreak/>
        <w:t xml:space="preserve">practice. </w:t>
      </w:r>
      <w:r>
        <w:br/>
        <w:t xml:space="preserve">Overall </w:t>
      </w:r>
      <w:proofErr w:type="gramStart"/>
      <w:r>
        <w:t>in regards to</w:t>
      </w:r>
      <w:proofErr w:type="gramEnd"/>
      <w:r>
        <w:t xml:space="preserve"> research methods, we decided that the method of observation in the class was successful, mainly because of the type of the lesson that we did. As letter formation and the use of sounds is still developing in the Foundation Phase classroom, my research partner and I </w:t>
      </w:r>
      <w:proofErr w:type="gramStart"/>
      <w:r>
        <w:t>came to the conclusion</w:t>
      </w:r>
      <w:proofErr w:type="gramEnd"/>
      <w:r>
        <w:t xml:space="preserve"> that if we planned a more writing-based lesson, we would not have been able to have had such relaxed but detailed conversations with the pupils about their work that we could then use to make observational notes. However, the format of a focus group interview at the end proved to be make data collection difficult. Despite trying to make it a relaxed conversation similar to those carried out in the classroom, the participants found it difficult to stay engaged and both their answers and behaviour started to decline as a result. My research partner agreed that in hindsight as we wanted the pupils to give explanations as well as a yes or no </w:t>
      </w:r>
      <w:proofErr w:type="gramStart"/>
      <w:r>
        <w:t>answer</w:t>
      </w:r>
      <w:proofErr w:type="gramEnd"/>
      <w:r>
        <w:t xml:space="preserve"> we thought a focus group interview would have sufficed, but that if we were to do a similar study again, we would devise a more simple method to try and achieve the desired answers.</w:t>
      </w:r>
    </w:p>
    <w:p w14:paraId="5958B2D9" w14:textId="77777777" w:rsidR="00A2141D" w:rsidRDefault="00A2141D" w:rsidP="00A2141D">
      <w:pPr>
        <w:pStyle w:val="Heading1"/>
      </w:pPr>
      <w:bookmarkStart w:id="6" w:name="_Toc2588019"/>
      <w:r>
        <w:t>Findings</w:t>
      </w:r>
      <w:bookmarkEnd w:id="6"/>
    </w:p>
    <w:p w14:paraId="3AD2152F" w14:textId="77777777" w:rsidR="00A2141D" w:rsidRDefault="00A2141D" w:rsidP="00A2141D"/>
    <w:p w14:paraId="28838A90" w14:textId="77777777" w:rsidR="00A2141D" w:rsidRPr="003458D5" w:rsidRDefault="00A2141D" w:rsidP="00A2141D">
      <w:pPr>
        <w:spacing w:line="360" w:lineRule="auto"/>
        <w:rPr>
          <w:rFonts w:cstheme="minorHAnsi"/>
        </w:rPr>
      </w:pPr>
      <w:r w:rsidRPr="003458D5">
        <w:rPr>
          <w:rFonts w:cstheme="minorHAnsi"/>
        </w:rPr>
        <w:t>As a result of participating in a lesson study to investigate how improvements could be made to the understanding of an age-appropriate success criteria using a child-led plenary in a Foundation Phase classroom, and reading the relevant accompanying literature, these are the findings that I found.</w:t>
      </w:r>
    </w:p>
    <w:p w14:paraId="59676BA9" w14:textId="2E5ACFB5" w:rsidR="00A2141D" w:rsidRDefault="00A2141D" w:rsidP="00A2141D">
      <w:pPr>
        <w:spacing w:line="360" w:lineRule="auto"/>
      </w:pPr>
      <w:r w:rsidRPr="003458D5">
        <w:t xml:space="preserve">Despite explaining the success criteria to the children, and modifying the second lesson as a result of the findings of the first lesson, it was found that some pupils still didn’t know what a </w:t>
      </w:r>
      <w:proofErr w:type="gramStart"/>
      <w:r w:rsidRPr="003458D5">
        <w:t>success criteria</w:t>
      </w:r>
      <w:proofErr w:type="gramEnd"/>
      <w:r w:rsidRPr="003458D5">
        <w:t xml:space="preserve"> was when asked. On the other hand, the pupils that did know what a </w:t>
      </w:r>
      <w:proofErr w:type="gramStart"/>
      <w:r w:rsidRPr="003458D5">
        <w:t>success criteria</w:t>
      </w:r>
      <w:proofErr w:type="gramEnd"/>
      <w:r w:rsidRPr="003458D5">
        <w:t xml:space="preserve"> was were able to give a simple explanation as to what its purpose was and why it was used. In the case of the pupils from School B, when asked if they were able to explain vaguely what Lucy Ladybird was used for in terms of a success criteria but couldn’t actually use it for its intended purpose. Pupils thought that the dots of Lucy Ladybird were coloured in purely so that she could be coloured in </w:t>
      </w:r>
      <w:r w:rsidRPr="003751E3">
        <w:t>(</w:t>
      </w:r>
      <w:r w:rsidR="003751E3" w:rsidRPr="003751E3">
        <w:t>A</w:t>
      </w:r>
      <w:r w:rsidRPr="003751E3">
        <w:t>ppendix</w:t>
      </w:r>
      <w:r w:rsidR="003751E3" w:rsidRPr="003751E3">
        <w:t xml:space="preserve"> 10</w:t>
      </w:r>
      <w:r w:rsidRPr="003751E3">
        <w:t>)</w:t>
      </w:r>
      <w:r w:rsidRPr="003458D5">
        <w:t xml:space="preserve">. School A’s pupils didn’t understand what a </w:t>
      </w:r>
      <w:proofErr w:type="gramStart"/>
      <w:r w:rsidRPr="003458D5">
        <w:t>success criteria</w:t>
      </w:r>
      <w:proofErr w:type="gramEnd"/>
      <w:r w:rsidRPr="003458D5">
        <w:t xml:space="preserve"> was at all, despite there being a success criteria placed on the table during writing activities. As well as this, they were unaware that they had been told the lesson’s success criteria during the introduction of the session. This contradicts the recommendations of the Welsh Assembly Government (2010) detailed earlier stating that </w:t>
      </w:r>
      <w:r w:rsidRPr="003458D5">
        <w:rPr>
          <w:i/>
        </w:rPr>
        <w:t>“learners must have an understanding and involvement in the creation of a success criteria”</w:t>
      </w:r>
      <w:r w:rsidRPr="003458D5">
        <w:t xml:space="preserve">. As a result of the pupils not </w:t>
      </w:r>
      <w:proofErr w:type="gramStart"/>
      <w:r w:rsidRPr="003458D5">
        <w:t>having an understanding of</w:t>
      </w:r>
      <w:proofErr w:type="gramEnd"/>
      <w:r w:rsidRPr="003458D5">
        <w:t xml:space="preserve"> the success criteria, their ability to understand what they’re learning and assess the steps they’ve taken towards achieving the learning is meaningless. This </w:t>
      </w:r>
      <w:r w:rsidRPr="003458D5">
        <w:lastRenderedPageBreak/>
        <w:t>finding was disappointing, as their ability to talk about what they’d done through questioning and show-and-tell plenaries was pleasing.</w:t>
      </w:r>
    </w:p>
    <w:p w14:paraId="6F9A18D2" w14:textId="77777777" w:rsidR="00A2141D" w:rsidRDefault="00A2141D" w:rsidP="00A2141D">
      <w:pPr>
        <w:spacing w:line="360" w:lineRule="auto"/>
      </w:pPr>
      <w:r w:rsidRPr="003458D5">
        <w:t>When the use of a plenary was discussed, School B participants said that the use of a plenary did help them remember what they had done during the lesson. This opinion confirms the views of Swain (2017), who stated that pupil-led plenaries are more effective than teacher-led plenaries and helps to secure new learning.</w:t>
      </w:r>
      <w:r>
        <w:t xml:space="preserve"> The participants later stated that they believed that they wouldn’t forget the things they had learned if they hadn’t done a plenary, however this is difficult to prove without completing a further lesson study confirming this.</w:t>
      </w:r>
    </w:p>
    <w:p w14:paraId="05B715BF" w14:textId="77777777" w:rsidR="00A2141D" w:rsidRDefault="00A2141D" w:rsidP="00A2141D">
      <w:pPr>
        <w:spacing w:line="360" w:lineRule="auto"/>
      </w:pPr>
      <w:r>
        <w:t xml:space="preserve">My research partner and I consequently believe that as a result of the findings, as well as previous observations, the comments made during the focus group interviews were as a result of success criteria not being used consistently, instead being used as a ‘bolt-on’ as suggested by Read and </w:t>
      </w:r>
      <w:proofErr w:type="spellStart"/>
      <w:r>
        <w:t>Hurford</w:t>
      </w:r>
      <w:proofErr w:type="spellEnd"/>
      <w:r>
        <w:t xml:space="preserve"> (2010). The same could be suggested for the use of plenaries. As participants from School B suggested that they would not forget the new information they had learned if a plenary didn’t take place, a plenary may not currently be happening on a regular basis.</w:t>
      </w:r>
    </w:p>
    <w:p w14:paraId="5BC9F1C3" w14:textId="77777777" w:rsidR="00A2141D" w:rsidRDefault="00A2141D" w:rsidP="00A2141D"/>
    <w:p w14:paraId="6D4CBA93" w14:textId="77777777" w:rsidR="00A2141D" w:rsidRDefault="00A2141D" w:rsidP="00A2141D">
      <w:pPr>
        <w:pStyle w:val="Heading1"/>
      </w:pPr>
      <w:bookmarkStart w:id="7" w:name="_Toc2588020"/>
      <w:r>
        <w:t>Conclusion</w:t>
      </w:r>
      <w:bookmarkEnd w:id="7"/>
    </w:p>
    <w:p w14:paraId="339E9975" w14:textId="77777777" w:rsidR="00A2141D" w:rsidRDefault="00A2141D" w:rsidP="00A2141D"/>
    <w:p w14:paraId="6671E150" w14:textId="77777777" w:rsidR="00A2141D" w:rsidRDefault="00A2141D" w:rsidP="00A2141D">
      <w:pPr>
        <w:spacing w:line="360" w:lineRule="auto"/>
        <w:rPr>
          <w:rFonts w:cstheme="minorHAnsi"/>
        </w:rPr>
      </w:pPr>
      <w:r>
        <w:rPr>
          <w:rFonts w:cstheme="minorHAnsi"/>
        </w:rPr>
        <w:t>I have reason to believe that the findings of this research study could be generalised. The fact that the two lessons observed as part of this study happened in two separate schools in two vastly different regions of Wales leans towards the opinion that success criteria and/or plenaries are not being used efficiently or consistently across many schools. This could be considered a cause for concern with the new curriculum for Wales being rolled out across the country in the near future, with one of the recommendations suggested by Donaldson being:</w:t>
      </w:r>
      <w:r>
        <w:rPr>
          <w:rFonts w:cstheme="minorHAnsi"/>
        </w:rPr>
        <w:br/>
      </w:r>
      <w:r>
        <w:rPr>
          <w:rFonts w:cstheme="minorHAnsi"/>
        </w:rPr>
        <w:br/>
      </w:r>
      <w:r>
        <w:rPr>
          <w:rFonts w:cstheme="minorHAnsi"/>
          <w:i/>
        </w:rPr>
        <w:t>“Both self-assessment and peer assessment should be developed as ways of encouraging children and young people to take greater responsibility for their own learning”</w:t>
      </w:r>
      <w:r>
        <w:rPr>
          <w:rFonts w:cstheme="minorHAnsi"/>
          <w:i/>
        </w:rPr>
        <w:br/>
      </w:r>
      <w:r>
        <w:rPr>
          <w:rFonts w:cstheme="minorHAnsi"/>
          <w:i/>
        </w:rPr>
        <w:br/>
      </w:r>
      <w:r>
        <w:rPr>
          <w:rFonts w:cstheme="minorHAnsi"/>
        </w:rPr>
        <w:t xml:space="preserve">                                                                                                                                                   (Donaldson, 2015)</w:t>
      </w:r>
    </w:p>
    <w:p w14:paraId="39DDA2AA" w14:textId="168AD006" w:rsidR="00A2141D" w:rsidRDefault="00A2141D" w:rsidP="00A2141D">
      <w:pPr>
        <w:spacing w:line="360" w:lineRule="auto"/>
        <w:rPr>
          <w:rFonts w:cstheme="minorHAnsi"/>
        </w:rPr>
      </w:pPr>
      <w:r>
        <w:rPr>
          <w:rFonts w:cstheme="minorHAnsi"/>
          <w:i/>
        </w:rPr>
        <w:t xml:space="preserve"> </w:t>
      </w:r>
      <w:r>
        <w:rPr>
          <w:rFonts w:cstheme="minorHAnsi"/>
        </w:rPr>
        <w:t xml:space="preserve">As well as this, the fact that </w:t>
      </w:r>
      <w:r w:rsidRPr="00E81793">
        <w:rPr>
          <w:rFonts w:cstheme="minorHAnsi"/>
        </w:rPr>
        <w:t>Ofsted</w:t>
      </w:r>
      <w:r>
        <w:rPr>
          <w:rFonts w:cstheme="minorHAnsi"/>
        </w:rPr>
        <w:t xml:space="preserve"> </w:t>
      </w:r>
      <w:r w:rsidR="00D632AF">
        <w:rPr>
          <w:rFonts w:cstheme="minorHAnsi"/>
        </w:rPr>
        <w:t>(</w:t>
      </w:r>
      <w:r w:rsidR="00E81793">
        <w:rPr>
          <w:rFonts w:cstheme="minorHAnsi"/>
        </w:rPr>
        <w:t xml:space="preserve">2011) </w:t>
      </w:r>
      <w:r>
        <w:rPr>
          <w:rFonts w:cstheme="minorHAnsi"/>
        </w:rPr>
        <w:t xml:space="preserve">have carried out their own initiative to assess pupil progress stating that assessment practice was at its greatest when it was carried out as a </w:t>
      </w:r>
      <w:r>
        <w:rPr>
          <w:rFonts w:cstheme="minorHAnsi"/>
          <w:i/>
        </w:rPr>
        <w:t>“part of a strongly led, clear, whole-school vision of teaching, learning and assessment”</w:t>
      </w:r>
      <w:r>
        <w:rPr>
          <w:rFonts w:cstheme="minorHAnsi"/>
        </w:rPr>
        <w:t xml:space="preserve"> implies that some </w:t>
      </w:r>
      <w:r>
        <w:rPr>
          <w:rFonts w:cstheme="minorHAnsi"/>
        </w:rPr>
        <w:lastRenderedPageBreak/>
        <w:t xml:space="preserve">English schools were not using </w:t>
      </w:r>
      <w:proofErr w:type="spellStart"/>
      <w:r>
        <w:rPr>
          <w:rFonts w:cstheme="minorHAnsi"/>
        </w:rPr>
        <w:t>AfL</w:t>
      </w:r>
      <w:proofErr w:type="spellEnd"/>
      <w:r>
        <w:rPr>
          <w:rFonts w:cstheme="minorHAnsi"/>
        </w:rPr>
        <w:t xml:space="preserve"> strategies as effectively as hoped, and could suggest that it could be a national issue.</w:t>
      </w:r>
    </w:p>
    <w:p w14:paraId="06B61D1E" w14:textId="77777777" w:rsidR="00A2141D" w:rsidRDefault="00A2141D" w:rsidP="00A2141D">
      <w:pPr>
        <w:spacing w:line="360" w:lineRule="auto"/>
        <w:rPr>
          <w:rFonts w:cstheme="minorHAnsi"/>
        </w:rPr>
      </w:pPr>
      <w:r>
        <w:rPr>
          <w:rFonts w:cstheme="minorHAnsi"/>
        </w:rPr>
        <w:t>Using lesson study as a research method was a positive experience, and a method I would consider using in future. By having a professional colleague or peer observing the lesson allows for other opinions to be considered in order to move the learning forward. However, in order for a lesson study to be more successful, I believe that there should be more than one person observing the lesson. Whilst it’s a daunting processed being observed by multiple people, I believe that one person trying to study different aspects of a lesson, as well as make notes, is difficult.</w:t>
      </w:r>
    </w:p>
    <w:p w14:paraId="1387B4B5" w14:textId="77777777" w:rsidR="00A2141D" w:rsidRDefault="00A2141D" w:rsidP="00A2141D">
      <w:pPr>
        <w:spacing w:line="360" w:lineRule="auto"/>
        <w:rPr>
          <w:rFonts w:cstheme="minorHAnsi"/>
        </w:rPr>
      </w:pPr>
      <w:r>
        <w:rPr>
          <w:rFonts w:cstheme="minorHAnsi"/>
        </w:rPr>
        <w:t>One method of research I would change if I were to do this investigation again would be the focus group element. As mentioned previously, focus groups are great ways of collection a lot of information in a short amount of time, which was the case for my research partner and I as our findings had to be collected over the course of two lessons. However, as we found with both classes that they struggled to cope with the structure of the focus group and behaviour started to wane, which potentially could have had an effect on the quality of answers that had been provided. If I were to do a similar study again, I would undertake further research into data collection methods suitable for younger children.</w:t>
      </w:r>
    </w:p>
    <w:p w14:paraId="582C4F0E" w14:textId="6B28CFA4" w:rsidR="00A2141D" w:rsidRDefault="00A2141D" w:rsidP="00A2141D">
      <w:pPr>
        <w:spacing w:line="360" w:lineRule="auto"/>
        <w:rPr>
          <w:rFonts w:cstheme="minorHAnsi"/>
        </w:rPr>
      </w:pPr>
      <w:r>
        <w:rPr>
          <w:rFonts w:cstheme="minorHAnsi"/>
        </w:rPr>
        <w:t xml:space="preserve">Due to time constraints, there was not an opportunity for this lesson to be piloted. As mentioned in </w:t>
      </w:r>
      <w:r w:rsidRPr="00F671A4">
        <w:rPr>
          <w:rFonts w:cstheme="minorHAnsi"/>
        </w:rPr>
        <w:t>Appendix</w:t>
      </w:r>
      <w:r w:rsidR="00F671A4">
        <w:rPr>
          <w:rFonts w:cstheme="minorHAnsi"/>
        </w:rPr>
        <w:t xml:space="preserve"> 12</w:t>
      </w:r>
      <w:r>
        <w:rPr>
          <w:rFonts w:cstheme="minorHAnsi"/>
        </w:rPr>
        <w:t>, the participants in School B tended to display different behaviour when a new adult is in the class, so I don’t believe a pilot run of this lesson would have been beneficial as it is highly likely the class would not have displayed the same behaviour, therefore any changes made as a result of a pilot lesson may have caused a different outcome overall.</w:t>
      </w:r>
    </w:p>
    <w:p w14:paraId="36E1BAFB" w14:textId="77777777" w:rsidR="00A2141D" w:rsidRDefault="00A2141D" w:rsidP="00A2141D">
      <w:pPr>
        <w:spacing w:line="360" w:lineRule="auto"/>
        <w:rPr>
          <w:rFonts w:cstheme="minorHAnsi"/>
        </w:rPr>
      </w:pPr>
      <w:r>
        <w:rPr>
          <w:rFonts w:cstheme="minorHAnsi"/>
        </w:rPr>
        <w:t xml:space="preserve">Completing this research project has been very beneficial to myself on a personal level. Throughout my current school experience, my target has been to improve the use of success criteria in the classroom, and it has been something I have found difficult as the children struggled to understand its purpose. As a result of carrying out this investigation, and reading the relevant literature to accompany the study, I feel more confident about approaching the subject in future. I feel that I would be able to go into my next school subject, where there may be a different attitude towards success criteria, with the ability to integrate or develop methods of confidently using it within my teaching. Going forward, I will also work on improving the inclusion of the pupils to create the success criteria. Read and </w:t>
      </w:r>
      <w:proofErr w:type="spellStart"/>
      <w:r>
        <w:rPr>
          <w:rFonts w:cstheme="minorHAnsi"/>
        </w:rPr>
        <w:t>Hurford</w:t>
      </w:r>
      <w:proofErr w:type="spellEnd"/>
      <w:r>
        <w:rPr>
          <w:rFonts w:cstheme="minorHAnsi"/>
        </w:rPr>
        <w:t xml:space="preserve"> (2010), as previously mentioned, say that some teachers are of the opinion that children were not capable of developing a </w:t>
      </w:r>
      <w:proofErr w:type="gramStart"/>
      <w:r>
        <w:rPr>
          <w:rFonts w:cstheme="minorHAnsi"/>
        </w:rPr>
        <w:t>success criteria</w:t>
      </w:r>
      <w:proofErr w:type="gramEnd"/>
      <w:r>
        <w:rPr>
          <w:rFonts w:cstheme="minorHAnsi"/>
        </w:rPr>
        <w:t xml:space="preserve">, and the decision was taken when undertaking the lesson study that the success criteria was pre-made as myself and my research partner knew that they had not created their own success criteria previously. </w:t>
      </w:r>
    </w:p>
    <w:p w14:paraId="0CCF026F" w14:textId="77777777" w:rsidR="00A2141D" w:rsidRDefault="00A2141D" w:rsidP="00A2141D">
      <w:pPr>
        <w:spacing w:line="360" w:lineRule="auto"/>
        <w:rPr>
          <w:rFonts w:cstheme="minorHAnsi"/>
        </w:rPr>
      </w:pPr>
      <w:r>
        <w:rPr>
          <w:rFonts w:cstheme="minorHAnsi"/>
        </w:rPr>
        <w:lastRenderedPageBreak/>
        <w:t xml:space="preserve">The same positive attitude will be undertaken with regards to plenaries. After reading Swain’s work and hearing the opinions of the participants in the Lesson Study, I will make a more considerable effort to have a plenary at the end of the session so that children can have the opportunity to develop vocabulary and make the knowledge that they have gained throughout the lesson more solid. </w:t>
      </w:r>
    </w:p>
    <w:p w14:paraId="7C9D083B" w14:textId="77777777" w:rsidR="00A2141D" w:rsidRDefault="009C111F" w:rsidP="009C111F">
      <w:pPr>
        <w:pStyle w:val="Heading1"/>
      </w:pPr>
      <w:bookmarkStart w:id="8" w:name="_Toc2588021"/>
      <w:r>
        <w:t>Conclusion</w:t>
      </w:r>
      <w:bookmarkEnd w:id="8"/>
    </w:p>
    <w:p w14:paraId="2F51AA35" w14:textId="77777777" w:rsidR="009C111F" w:rsidRDefault="009C111F" w:rsidP="009C111F"/>
    <w:p w14:paraId="6AFB86F2" w14:textId="77777777" w:rsidR="009C111F" w:rsidRDefault="009C111F" w:rsidP="009C111F">
      <w:pPr>
        <w:spacing w:line="360" w:lineRule="auto"/>
      </w:pPr>
      <w:r>
        <w:t xml:space="preserve">If I did lesson study research again, I would realign my overall focus to look into the creation of a success criteria as well as its use within the classroom. When finding research to accompany this study, I was made aware of all the studies and theories surrounding the reasoning of including the children in the creation of a success criteria, and the ways that the pupils would develop as a result. </w:t>
      </w:r>
    </w:p>
    <w:p w14:paraId="4E74EDFF" w14:textId="77777777" w:rsidR="009C111F" w:rsidRDefault="009C111F" w:rsidP="009C111F">
      <w:pPr>
        <w:spacing w:line="360" w:lineRule="auto"/>
      </w:pPr>
      <w:r>
        <w:t xml:space="preserve">Moving forward, I will ensure to use a </w:t>
      </w:r>
      <w:proofErr w:type="gramStart"/>
      <w:r>
        <w:t>success criteria</w:t>
      </w:r>
      <w:proofErr w:type="gramEnd"/>
      <w:r>
        <w:t xml:space="preserve">, whether it be in the form of a Lucy Ladybird or something different, consistently throughout my school experience and into future teaching generally. When looking back on previous observations whilst working in schools, the lack of use of a </w:t>
      </w:r>
      <w:proofErr w:type="gramStart"/>
      <w:r>
        <w:t>success criteria</w:t>
      </w:r>
      <w:proofErr w:type="gramEnd"/>
      <w:r>
        <w:t xml:space="preserve"> within lessons was apparent. I believe that this may have been a reason why I struggled with using it within my own lessons, but now that I know how to use them effectively, I strongly feel that I have a skill that will be beneficial throughout my teaching career. </w:t>
      </w:r>
      <w:r>
        <w:br/>
      </w:r>
      <w:r>
        <w:br/>
        <w:t xml:space="preserve">Plenaries also need to have a stronger position within a lesson. They are regularly dropped from a general lesson structure for reasons such as time constraints, and even more so in early years classes as </w:t>
      </w:r>
      <w:proofErr w:type="gramStart"/>
      <w:r>
        <w:t>its</w:t>
      </w:r>
      <w:proofErr w:type="gramEnd"/>
      <w:r>
        <w:t xml:space="preserve"> believed that children won’t be able to focus efficiently enough to participate. However, I now believe that if you a tailor a plenary to suit the needs of a group of children, a plenary can become fully accessible and useful as a consolidation of learning activity. </w:t>
      </w:r>
    </w:p>
    <w:p w14:paraId="76DB21AE" w14:textId="77777777" w:rsidR="009C111F" w:rsidRDefault="009C111F" w:rsidP="009C111F">
      <w:pPr>
        <w:spacing w:line="360" w:lineRule="auto"/>
      </w:pPr>
    </w:p>
    <w:p w14:paraId="4FA80C71" w14:textId="77777777" w:rsidR="009C111F" w:rsidRDefault="009C111F" w:rsidP="009C111F">
      <w:pPr>
        <w:spacing w:line="360" w:lineRule="auto"/>
      </w:pPr>
    </w:p>
    <w:p w14:paraId="7CF22B2E" w14:textId="77777777" w:rsidR="009C111F" w:rsidRDefault="009C111F" w:rsidP="009C111F">
      <w:pPr>
        <w:spacing w:line="360" w:lineRule="auto"/>
      </w:pPr>
    </w:p>
    <w:p w14:paraId="716F85A2" w14:textId="77777777" w:rsidR="009C111F" w:rsidRDefault="009C111F" w:rsidP="009C111F">
      <w:pPr>
        <w:spacing w:line="360" w:lineRule="auto"/>
      </w:pPr>
    </w:p>
    <w:p w14:paraId="5E6696DA" w14:textId="77777777" w:rsidR="009C111F" w:rsidRDefault="009C111F" w:rsidP="009C111F">
      <w:pPr>
        <w:spacing w:line="360" w:lineRule="auto"/>
      </w:pPr>
    </w:p>
    <w:p w14:paraId="20B624E7" w14:textId="77777777" w:rsidR="009C111F" w:rsidRDefault="009C111F" w:rsidP="009C111F">
      <w:pPr>
        <w:spacing w:line="360" w:lineRule="auto"/>
      </w:pPr>
    </w:p>
    <w:p w14:paraId="06B2877D" w14:textId="77777777" w:rsidR="009C111F" w:rsidRDefault="009C111F" w:rsidP="009C111F">
      <w:pPr>
        <w:spacing w:line="360" w:lineRule="auto"/>
      </w:pPr>
    </w:p>
    <w:p w14:paraId="5063C9D0" w14:textId="77777777" w:rsidR="009C111F" w:rsidRDefault="009C111F" w:rsidP="009C111F">
      <w:pPr>
        <w:pStyle w:val="Heading1"/>
      </w:pPr>
      <w:bookmarkStart w:id="9" w:name="_Toc2588022"/>
      <w:r>
        <w:lastRenderedPageBreak/>
        <w:t>References</w:t>
      </w:r>
      <w:bookmarkEnd w:id="9"/>
    </w:p>
    <w:p w14:paraId="1F42065C" w14:textId="77777777" w:rsidR="009C111F" w:rsidRDefault="009C111F" w:rsidP="009C111F"/>
    <w:p w14:paraId="42FAAA13"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proofErr w:type="spellStart"/>
      <w:r>
        <w:rPr>
          <w:rFonts w:asciiTheme="minorHAnsi" w:hAnsiTheme="minorHAnsi" w:cstheme="minorHAnsi"/>
          <w:color w:val="000000"/>
          <w:sz w:val="22"/>
          <w:szCs w:val="22"/>
        </w:rPr>
        <w:t>Acocella</w:t>
      </w:r>
      <w:proofErr w:type="spellEnd"/>
      <w:r>
        <w:rPr>
          <w:rFonts w:asciiTheme="minorHAnsi" w:hAnsiTheme="minorHAnsi" w:cstheme="minorHAnsi"/>
          <w:color w:val="000000"/>
          <w:sz w:val="22"/>
          <w:szCs w:val="22"/>
        </w:rPr>
        <w:t xml:space="preserve">, I. (2011). The focus groups in social research: advantages and disadvantages. </w:t>
      </w:r>
      <w:r>
        <w:rPr>
          <w:rFonts w:asciiTheme="minorHAnsi" w:hAnsiTheme="minorHAnsi" w:cstheme="minorHAnsi"/>
          <w:i/>
          <w:iCs/>
          <w:color w:val="000000"/>
          <w:sz w:val="22"/>
          <w:szCs w:val="22"/>
        </w:rPr>
        <w:t>Quality &amp; Quantity</w:t>
      </w:r>
      <w:r>
        <w:rPr>
          <w:rFonts w:asciiTheme="minorHAnsi" w:hAnsiTheme="minorHAnsi" w:cstheme="minorHAnsi"/>
          <w:color w:val="000000"/>
          <w:sz w:val="22"/>
          <w:szCs w:val="22"/>
        </w:rPr>
        <w:t>, [online] 46(4), pp.1125-1136. Available at: https://link.springer.com/article/10.1007/s11135-011-9600-4.</w:t>
      </w:r>
    </w:p>
    <w:p w14:paraId="255B6CA7" w14:textId="77777777" w:rsidR="009C111F" w:rsidRDefault="009C111F" w:rsidP="009C111F">
      <w:pPr>
        <w:rPr>
          <w:rFonts w:cstheme="minorHAnsi"/>
        </w:rPr>
      </w:pPr>
      <w:r>
        <w:rPr>
          <w:rFonts w:cstheme="minorHAnsi"/>
        </w:rPr>
        <w:t xml:space="preserve">British Educational Research Association [BERA] (2018) Ethical Guidelines for Educational Research, fourth edition, London. </w:t>
      </w:r>
      <w:hyperlink r:id="rId7" w:history="1">
        <w:r>
          <w:rPr>
            <w:rStyle w:val="Hyperlink"/>
            <w:rFonts w:cstheme="minorHAnsi"/>
          </w:rPr>
          <w:t>https://www.bera.ac.uk/researchers-resources/publications/ethicalguidelines-for-educational-research-2018</w:t>
        </w:r>
      </w:hyperlink>
    </w:p>
    <w:p w14:paraId="3F63FCAA"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 xml:space="preserve">Brookfield, S. (1995). </w:t>
      </w:r>
      <w:r>
        <w:rPr>
          <w:rFonts w:asciiTheme="minorHAnsi" w:hAnsiTheme="minorHAnsi" w:cstheme="minorHAnsi"/>
          <w:i/>
          <w:iCs/>
          <w:color w:val="000000"/>
          <w:sz w:val="22"/>
          <w:szCs w:val="22"/>
        </w:rPr>
        <w:t>Becoming a critically reflective teacher</w:t>
      </w:r>
      <w:r>
        <w:rPr>
          <w:rFonts w:asciiTheme="minorHAnsi" w:hAnsiTheme="minorHAnsi" w:cstheme="minorHAnsi"/>
          <w:color w:val="000000"/>
          <w:sz w:val="22"/>
          <w:szCs w:val="22"/>
        </w:rPr>
        <w:t>. San Francisco: Jossey-Bass.</w:t>
      </w:r>
    </w:p>
    <w:p w14:paraId="79E0CFDC"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Clarke, S. (2008). </w:t>
      </w:r>
      <w:r>
        <w:rPr>
          <w:rFonts w:eastAsia="Times New Roman" w:cstheme="minorHAnsi"/>
          <w:i/>
          <w:iCs/>
          <w:color w:val="000000"/>
          <w:lang w:eastAsia="en-GB"/>
        </w:rPr>
        <w:t>Active learning through formative assessment</w:t>
      </w:r>
      <w:r>
        <w:rPr>
          <w:rFonts w:eastAsia="Times New Roman" w:cstheme="minorHAnsi"/>
          <w:color w:val="000000"/>
          <w:lang w:eastAsia="en-GB"/>
        </w:rPr>
        <w:t>. London: Hodder Murray.</w:t>
      </w:r>
    </w:p>
    <w:p w14:paraId="40931D6A" w14:textId="2AA85DD5"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Crichton, H. and McDaid, A. (2016). Learning intentions and success criteria: learners' and teachers' views. </w:t>
      </w:r>
      <w:r>
        <w:rPr>
          <w:rFonts w:eastAsia="Times New Roman" w:cstheme="minorHAnsi"/>
          <w:i/>
          <w:iCs/>
          <w:color w:val="000000"/>
          <w:lang w:eastAsia="en-GB"/>
        </w:rPr>
        <w:t>The Curriculum Journal</w:t>
      </w:r>
      <w:r>
        <w:rPr>
          <w:rFonts w:eastAsia="Times New Roman" w:cstheme="minorHAnsi"/>
          <w:color w:val="000000"/>
          <w:lang w:eastAsia="en-GB"/>
        </w:rPr>
        <w:t>, [online] 27(2), pp.190-203. Available at: http://eprints.gla.ac.uk/112329/7/112329.pdf [Accessed 4 Feb. 2019].</w:t>
      </w:r>
    </w:p>
    <w:p w14:paraId="182471E6" w14:textId="0166B155" w:rsidR="0047479A" w:rsidRPr="007B6C79" w:rsidRDefault="0047479A" w:rsidP="009C111F">
      <w:pPr>
        <w:spacing w:after="180" w:line="240" w:lineRule="auto"/>
        <w:ind w:left="450" w:hanging="450"/>
        <w:rPr>
          <w:rFonts w:eastAsia="Times New Roman" w:cstheme="minorHAnsi"/>
          <w:color w:val="000000"/>
          <w:sz w:val="24"/>
          <w:lang w:eastAsia="en-GB"/>
        </w:rPr>
      </w:pPr>
      <w:r w:rsidRPr="007B6C79">
        <w:rPr>
          <w:rFonts w:cstheme="minorHAnsi"/>
          <w:color w:val="000000"/>
          <w:szCs w:val="20"/>
        </w:rPr>
        <w:t xml:space="preserve">Dailey, K. (1997). Sharing </w:t>
      </w:r>
      <w:proofErr w:type="spellStart"/>
      <w:r w:rsidRPr="007B6C79">
        <w:rPr>
          <w:rFonts w:cstheme="minorHAnsi"/>
          <w:color w:val="000000"/>
          <w:szCs w:val="20"/>
        </w:rPr>
        <w:t>centers</w:t>
      </w:r>
      <w:proofErr w:type="spellEnd"/>
      <w:r w:rsidRPr="007B6C79">
        <w:rPr>
          <w:rFonts w:cstheme="minorHAnsi"/>
          <w:color w:val="000000"/>
          <w:szCs w:val="20"/>
        </w:rPr>
        <w:t xml:space="preserve">: An alternative approach to show and tell. </w:t>
      </w:r>
      <w:r w:rsidRPr="007B6C79">
        <w:rPr>
          <w:rFonts w:cstheme="minorHAnsi"/>
          <w:i/>
          <w:iCs/>
          <w:color w:val="000000"/>
          <w:szCs w:val="20"/>
        </w:rPr>
        <w:t>Early Childhood Education Journal</w:t>
      </w:r>
      <w:r w:rsidRPr="007B6C79">
        <w:rPr>
          <w:rFonts w:cstheme="minorHAnsi"/>
          <w:color w:val="000000"/>
          <w:szCs w:val="20"/>
        </w:rPr>
        <w:t>, [online] 24(4), pp.223-227. Available at: http://www.iowaaeyc.org/Article-Sharing%20Centers.pdf [Accessed 11 Feb. 2019].</w:t>
      </w:r>
    </w:p>
    <w:p w14:paraId="66DC33F6"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Donaldson, G. (2015). </w:t>
      </w:r>
      <w:r>
        <w:rPr>
          <w:rFonts w:eastAsia="Times New Roman" w:cstheme="minorHAnsi"/>
          <w:i/>
          <w:iCs/>
          <w:color w:val="000000"/>
          <w:lang w:eastAsia="en-GB"/>
        </w:rPr>
        <w:t>Successful Futures Independent Review of Curriculum and Assessment Arrangements in Wales</w:t>
      </w:r>
      <w:r>
        <w:rPr>
          <w:rFonts w:eastAsia="Times New Roman" w:cstheme="minorHAnsi"/>
          <w:color w:val="000000"/>
          <w:lang w:eastAsia="en-GB"/>
        </w:rPr>
        <w:t>. Cardiff: Welsh Assembly Government, p.81.</w:t>
      </w:r>
    </w:p>
    <w:p w14:paraId="28C25702"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Dudley, P. (2014). </w:t>
      </w:r>
      <w:r>
        <w:rPr>
          <w:rFonts w:eastAsia="Times New Roman" w:cstheme="minorHAnsi"/>
          <w:i/>
          <w:iCs/>
          <w:color w:val="000000"/>
          <w:lang w:eastAsia="en-GB"/>
        </w:rPr>
        <w:t>Lesson Study: A Handbook</w:t>
      </w:r>
      <w:r>
        <w:rPr>
          <w:rFonts w:eastAsia="Times New Roman" w:cstheme="minorHAnsi"/>
          <w:color w:val="000000"/>
          <w:lang w:eastAsia="en-GB"/>
        </w:rPr>
        <w:t>. [</w:t>
      </w:r>
      <w:proofErr w:type="spellStart"/>
      <w:r>
        <w:rPr>
          <w:rFonts w:eastAsia="Times New Roman" w:cstheme="minorHAnsi"/>
          <w:color w:val="000000"/>
          <w:lang w:eastAsia="en-GB"/>
        </w:rPr>
        <w:t>ebook</w:t>
      </w:r>
      <w:proofErr w:type="spellEnd"/>
      <w:r>
        <w:rPr>
          <w:rFonts w:eastAsia="Times New Roman" w:cstheme="minorHAnsi"/>
          <w:color w:val="000000"/>
          <w:lang w:eastAsia="en-GB"/>
        </w:rPr>
        <w:t>] p.1. Available at: http://www.lessonstudy.co.uk [Accessed 14 Feb. 2019].</w:t>
      </w:r>
    </w:p>
    <w:p w14:paraId="4290BE1E"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Education Endowment Foundation. (n.d.). </w:t>
      </w:r>
      <w:r>
        <w:rPr>
          <w:rFonts w:eastAsia="Times New Roman" w:cstheme="minorHAnsi"/>
          <w:i/>
          <w:iCs/>
          <w:color w:val="000000"/>
          <w:lang w:eastAsia="en-GB"/>
        </w:rPr>
        <w:t>Lesson Study | Projects</w:t>
      </w:r>
      <w:r>
        <w:rPr>
          <w:rFonts w:eastAsia="Times New Roman" w:cstheme="minorHAnsi"/>
          <w:color w:val="000000"/>
          <w:lang w:eastAsia="en-GB"/>
        </w:rPr>
        <w:t>. [online] Available at: https://educationendowmentfoundation.org.uk/projects-and-evaluation/projects/lesson-study/ [Accessed 5 Feb. 2019].</w:t>
      </w:r>
    </w:p>
    <w:p w14:paraId="45DA6F4C"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Estyn. (2019). </w:t>
      </w:r>
      <w:r>
        <w:rPr>
          <w:rFonts w:eastAsia="Times New Roman" w:cstheme="minorHAnsi"/>
          <w:i/>
          <w:iCs/>
          <w:color w:val="000000"/>
          <w:lang w:eastAsia="en-GB"/>
        </w:rPr>
        <w:t>Inspection report search</w:t>
      </w:r>
      <w:r>
        <w:rPr>
          <w:rFonts w:eastAsia="Times New Roman" w:cstheme="minorHAnsi"/>
          <w:color w:val="000000"/>
          <w:lang w:eastAsia="en-GB"/>
        </w:rPr>
        <w:t>. [online] Available at: https://www.estyn.gov.wales/inspection/search [Accessed 2 Feb. 2019].</w:t>
      </w:r>
    </w:p>
    <w:p w14:paraId="67EC8DC0"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GOV.UK. (n.d.). </w:t>
      </w:r>
      <w:r>
        <w:rPr>
          <w:rFonts w:eastAsia="Times New Roman" w:cstheme="minorHAnsi"/>
          <w:i/>
          <w:iCs/>
          <w:color w:val="000000"/>
          <w:lang w:eastAsia="en-GB"/>
        </w:rPr>
        <w:t>Early years Foundation Stage</w:t>
      </w:r>
      <w:r>
        <w:rPr>
          <w:rFonts w:eastAsia="Times New Roman" w:cstheme="minorHAnsi"/>
          <w:color w:val="000000"/>
          <w:lang w:eastAsia="en-GB"/>
        </w:rPr>
        <w:t>. [online] Available at: https://www.gov.uk/early-years-foundation-stage [Accessed 9 Feb. 2019].</w:t>
      </w:r>
    </w:p>
    <w:p w14:paraId="7906E21A"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 xml:space="preserve">Greig, A. and Taylor, J. (1999). </w:t>
      </w:r>
      <w:r>
        <w:rPr>
          <w:rFonts w:asciiTheme="minorHAnsi" w:hAnsiTheme="minorHAnsi" w:cstheme="minorHAnsi"/>
          <w:i/>
          <w:iCs/>
          <w:color w:val="000000"/>
          <w:sz w:val="22"/>
          <w:szCs w:val="22"/>
        </w:rPr>
        <w:t>Doing Research with Children</w:t>
      </w:r>
      <w:r>
        <w:rPr>
          <w:rFonts w:asciiTheme="minorHAnsi" w:hAnsiTheme="minorHAnsi" w:cstheme="minorHAnsi"/>
          <w:color w:val="000000"/>
          <w:sz w:val="22"/>
          <w:szCs w:val="22"/>
        </w:rPr>
        <w:t>. London: Sage, p.132.</w:t>
      </w:r>
    </w:p>
    <w:p w14:paraId="181CFA1B" w14:textId="0C58DD20" w:rsidR="009C111F" w:rsidRPr="00CD5117"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Hall, K. and Burke, W. (2003). </w:t>
      </w:r>
      <w:r>
        <w:rPr>
          <w:rFonts w:eastAsia="Times New Roman" w:cstheme="minorHAnsi"/>
          <w:i/>
          <w:iCs/>
          <w:color w:val="000000"/>
          <w:lang w:eastAsia="en-GB"/>
        </w:rPr>
        <w:t>Making Formative Assessment Work</w:t>
      </w:r>
      <w:r>
        <w:rPr>
          <w:rFonts w:eastAsia="Times New Roman" w:cstheme="minorHAnsi"/>
          <w:color w:val="000000"/>
          <w:lang w:eastAsia="en-GB"/>
        </w:rPr>
        <w:t>. Maidenhead, England: Open University Press.</w:t>
      </w:r>
    </w:p>
    <w:p w14:paraId="4827D4EA" w14:textId="666EFF42" w:rsidR="00AF3CBB" w:rsidRPr="00CD5117" w:rsidRDefault="00AF3CBB" w:rsidP="009C111F">
      <w:pPr>
        <w:spacing w:after="180" w:line="240" w:lineRule="auto"/>
        <w:ind w:left="450" w:hanging="450"/>
        <w:rPr>
          <w:rFonts w:eastAsia="Times New Roman" w:cstheme="minorHAnsi"/>
          <w:color w:val="000000"/>
          <w:lang w:eastAsia="en-GB"/>
        </w:rPr>
      </w:pPr>
      <w:r w:rsidRPr="00CD5117">
        <w:rPr>
          <w:rFonts w:cstheme="minorHAnsi"/>
          <w:color w:val="000000"/>
        </w:rPr>
        <w:t xml:space="preserve">Hattie, J. (2015). The applicability of Visible Learning to higher education. </w:t>
      </w:r>
      <w:r w:rsidRPr="00CD5117">
        <w:rPr>
          <w:rFonts w:cstheme="minorHAnsi"/>
          <w:i/>
          <w:iCs/>
          <w:color w:val="000000"/>
        </w:rPr>
        <w:t>Scholarship of Teaching and Learning in Psychology</w:t>
      </w:r>
      <w:r w:rsidRPr="00CD5117">
        <w:rPr>
          <w:rFonts w:cstheme="minorHAnsi"/>
          <w:color w:val="000000"/>
        </w:rPr>
        <w:t>, [online] 1(1), pp.79-91. Available at: http://result.uit.no/basiskompetanse/wp-content/uploads/sites/29/2016/07/Hattie.pdf.</w:t>
      </w:r>
    </w:p>
    <w:p w14:paraId="2AB39EA0" w14:textId="77777777" w:rsidR="009C111F" w:rsidRDefault="009C111F" w:rsidP="009C111F">
      <w:pPr>
        <w:spacing w:after="180" w:line="240" w:lineRule="auto"/>
        <w:ind w:left="450" w:hanging="450"/>
        <w:rPr>
          <w:rFonts w:eastAsia="Times New Roman" w:cstheme="minorHAnsi"/>
          <w:color w:val="000000"/>
          <w:lang w:eastAsia="en-GB"/>
        </w:rPr>
      </w:pPr>
      <w:proofErr w:type="spellStart"/>
      <w:r>
        <w:rPr>
          <w:rFonts w:eastAsia="Times New Roman" w:cstheme="minorHAnsi"/>
          <w:color w:val="000000"/>
          <w:lang w:eastAsia="en-GB"/>
        </w:rPr>
        <w:t>Kawulich</w:t>
      </w:r>
      <w:proofErr w:type="spellEnd"/>
      <w:r>
        <w:rPr>
          <w:rFonts w:eastAsia="Times New Roman" w:cstheme="minorHAnsi"/>
          <w:color w:val="000000"/>
          <w:lang w:eastAsia="en-GB"/>
        </w:rPr>
        <w:t>, B. (2005). Participant Observation as a Data Collection Method. </w:t>
      </w:r>
      <w:r>
        <w:rPr>
          <w:rFonts w:eastAsia="Times New Roman" w:cstheme="minorHAnsi"/>
          <w:i/>
          <w:iCs/>
          <w:color w:val="000000"/>
          <w:lang w:eastAsia="en-GB"/>
        </w:rPr>
        <w:t>Forum: Qualitative Social Research</w:t>
      </w:r>
      <w:r>
        <w:rPr>
          <w:rFonts w:eastAsia="Times New Roman" w:cstheme="minorHAnsi"/>
          <w:color w:val="000000"/>
          <w:lang w:eastAsia="en-GB"/>
        </w:rPr>
        <w:t>, 6(2).</w:t>
      </w:r>
    </w:p>
    <w:p w14:paraId="47D9182C"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 xml:space="preserve">Keller, S. and </w:t>
      </w:r>
      <w:proofErr w:type="spellStart"/>
      <w:r>
        <w:rPr>
          <w:rFonts w:asciiTheme="minorHAnsi" w:hAnsiTheme="minorHAnsi" w:cstheme="minorHAnsi"/>
          <w:color w:val="000000"/>
          <w:sz w:val="22"/>
          <w:szCs w:val="22"/>
        </w:rPr>
        <w:t>Conradin</w:t>
      </w:r>
      <w:proofErr w:type="spellEnd"/>
      <w:r>
        <w:rPr>
          <w:rFonts w:asciiTheme="minorHAnsi" w:hAnsiTheme="minorHAnsi" w:cstheme="minorHAnsi"/>
          <w:color w:val="000000"/>
          <w:sz w:val="22"/>
          <w:szCs w:val="22"/>
        </w:rPr>
        <w:t xml:space="preserve">, K. (2018). </w:t>
      </w:r>
      <w:r>
        <w:rPr>
          <w:rFonts w:asciiTheme="minorHAnsi" w:hAnsiTheme="minorHAnsi" w:cstheme="minorHAnsi"/>
          <w:i/>
          <w:iCs/>
          <w:color w:val="000000"/>
          <w:sz w:val="22"/>
          <w:szCs w:val="22"/>
        </w:rPr>
        <w:t>Semi-Structured Interviews</w:t>
      </w:r>
      <w:r>
        <w:rPr>
          <w:rFonts w:asciiTheme="minorHAnsi" w:hAnsiTheme="minorHAnsi" w:cstheme="minorHAnsi"/>
          <w:color w:val="000000"/>
          <w:sz w:val="22"/>
          <w:szCs w:val="22"/>
        </w:rPr>
        <w:t xml:space="preserve">. [online] </w:t>
      </w:r>
      <w:proofErr w:type="spellStart"/>
      <w:r>
        <w:rPr>
          <w:rFonts w:asciiTheme="minorHAnsi" w:hAnsiTheme="minorHAnsi" w:cstheme="minorHAnsi"/>
          <w:color w:val="000000"/>
          <w:sz w:val="22"/>
          <w:szCs w:val="22"/>
        </w:rPr>
        <w:t>Sswm</w:t>
      </w:r>
      <w:proofErr w:type="spellEnd"/>
      <w:r>
        <w:rPr>
          <w:rFonts w:asciiTheme="minorHAnsi" w:hAnsiTheme="minorHAnsi" w:cstheme="minorHAnsi"/>
          <w:color w:val="000000"/>
          <w:sz w:val="22"/>
          <w:szCs w:val="22"/>
        </w:rPr>
        <w:t>. Available at: https://sswm.info/planning-and-programming/decision-making/gathering-ideas/semi-structured-interviews [Accessed 10 Feb. 2019].</w:t>
      </w:r>
    </w:p>
    <w:p w14:paraId="6E8124BA"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lastRenderedPageBreak/>
        <w:t xml:space="preserve">Marczak, M. and Sewell, M. (n.d.). </w:t>
      </w:r>
      <w:r>
        <w:rPr>
          <w:rFonts w:asciiTheme="minorHAnsi" w:hAnsiTheme="minorHAnsi" w:cstheme="minorHAnsi"/>
          <w:i/>
          <w:iCs/>
          <w:color w:val="000000"/>
          <w:sz w:val="22"/>
          <w:szCs w:val="22"/>
        </w:rPr>
        <w:t>Focus Groups</w:t>
      </w:r>
      <w:r>
        <w:rPr>
          <w:rFonts w:asciiTheme="minorHAnsi" w:hAnsiTheme="minorHAnsi" w:cstheme="minorHAnsi"/>
          <w:color w:val="000000"/>
          <w:sz w:val="22"/>
          <w:szCs w:val="22"/>
        </w:rPr>
        <w:t>. [online] Cals.arizona.edu. Available at: https://cals.arizona.edu/sfcs/cyfernet/cyfar/focus.htm [Accessed 10 Feb. 2019].</w:t>
      </w:r>
    </w:p>
    <w:p w14:paraId="6B6ADE1E"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 xml:space="preserve">Mercer, N., </w:t>
      </w:r>
      <w:proofErr w:type="spellStart"/>
      <w:r>
        <w:rPr>
          <w:rFonts w:eastAsia="Times New Roman" w:cstheme="minorHAnsi"/>
          <w:color w:val="000000"/>
          <w:lang w:eastAsia="en-GB"/>
        </w:rPr>
        <w:t>Wegerif</w:t>
      </w:r>
      <w:proofErr w:type="spellEnd"/>
      <w:r>
        <w:rPr>
          <w:rFonts w:eastAsia="Times New Roman" w:cstheme="minorHAnsi"/>
          <w:color w:val="000000"/>
          <w:lang w:eastAsia="en-GB"/>
        </w:rPr>
        <w:t>, R. and Dawes, L. (1999). Children's Talk and the Development of Reasoning in the Classroom. </w:t>
      </w:r>
      <w:r>
        <w:rPr>
          <w:rFonts w:eastAsia="Times New Roman" w:cstheme="minorHAnsi"/>
          <w:i/>
          <w:iCs/>
          <w:color w:val="000000"/>
          <w:lang w:eastAsia="en-GB"/>
        </w:rPr>
        <w:t>British Educational Research Journal</w:t>
      </w:r>
      <w:r>
        <w:rPr>
          <w:rFonts w:eastAsia="Times New Roman" w:cstheme="minorHAnsi"/>
          <w:color w:val="000000"/>
          <w:lang w:eastAsia="en-GB"/>
        </w:rPr>
        <w:t>, 25(1), pp.95-111.</w:t>
      </w:r>
    </w:p>
    <w:p w14:paraId="7DD80A20"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Norwich, B. and Dudley, P. (2016). </w:t>
      </w:r>
      <w:r>
        <w:rPr>
          <w:rFonts w:eastAsia="Times New Roman" w:cstheme="minorHAnsi"/>
          <w:i/>
          <w:iCs/>
          <w:color w:val="000000"/>
          <w:lang w:eastAsia="en-GB"/>
        </w:rPr>
        <w:t xml:space="preserve">Lesson study: are you doing it </w:t>
      </w:r>
      <w:proofErr w:type="gramStart"/>
      <w:r>
        <w:rPr>
          <w:rFonts w:eastAsia="Times New Roman" w:cstheme="minorHAnsi"/>
          <w:i/>
          <w:iCs/>
          <w:color w:val="000000"/>
          <w:lang w:eastAsia="en-GB"/>
        </w:rPr>
        <w:t>right?</w:t>
      </w:r>
      <w:r>
        <w:rPr>
          <w:rFonts w:eastAsia="Times New Roman" w:cstheme="minorHAnsi"/>
          <w:color w:val="000000"/>
          <w:lang w:eastAsia="en-GB"/>
        </w:rPr>
        <w:t>.</w:t>
      </w:r>
      <w:proofErr w:type="gramEnd"/>
      <w:r>
        <w:rPr>
          <w:rFonts w:eastAsia="Times New Roman" w:cstheme="minorHAnsi"/>
          <w:color w:val="000000"/>
          <w:lang w:eastAsia="en-GB"/>
        </w:rPr>
        <w:t xml:space="preserve"> [online] </w:t>
      </w:r>
      <w:proofErr w:type="spellStart"/>
      <w:r>
        <w:rPr>
          <w:rFonts w:eastAsia="Times New Roman" w:cstheme="minorHAnsi"/>
          <w:color w:val="000000"/>
          <w:lang w:eastAsia="en-GB"/>
        </w:rPr>
        <w:t>Tes</w:t>
      </w:r>
      <w:proofErr w:type="spellEnd"/>
      <w:r>
        <w:rPr>
          <w:rFonts w:eastAsia="Times New Roman" w:cstheme="minorHAnsi"/>
          <w:color w:val="000000"/>
          <w:lang w:eastAsia="en-GB"/>
        </w:rPr>
        <w:t>. Available at: https://www.tes.com/news/lesson-study-are-you-doing-it-right [Accessed 11 Feb. 2019].</w:t>
      </w:r>
    </w:p>
    <w:p w14:paraId="640956BF"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 xml:space="preserve">Read, A. and </w:t>
      </w:r>
      <w:proofErr w:type="spellStart"/>
      <w:r>
        <w:rPr>
          <w:rFonts w:eastAsia="Times New Roman" w:cstheme="minorHAnsi"/>
          <w:color w:val="000000"/>
          <w:lang w:eastAsia="en-GB"/>
        </w:rPr>
        <w:t>Hurford</w:t>
      </w:r>
      <w:proofErr w:type="spellEnd"/>
      <w:r>
        <w:rPr>
          <w:rFonts w:eastAsia="Times New Roman" w:cstheme="minorHAnsi"/>
          <w:color w:val="000000"/>
          <w:lang w:eastAsia="en-GB"/>
        </w:rPr>
        <w:t>, D. (2010). ‘I know how to read longer novels’ – developing pupils' success criteria in the classroom. </w:t>
      </w:r>
      <w:r>
        <w:rPr>
          <w:rFonts w:eastAsia="Times New Roman" w:cstheme="minorHAnsi"/>
          <w:i/>
          <w:iCs/>
          <w:color w:val="000000"/>
          <w:lang w:eastAsia="en-GB"/>
        </w:rPr>
        <w:t>Education 3-13</w:t>
      </w:r>
      <w:r>
        <w:rPr>
          <w:rFonts w:eastAsia="Times New Roman" w:cstheme="minorHAnsi"/>
          <w:color w:val="000000"/>
          <w:lang w:eastAsia="en-GB"/>
        </w:rPr>
        <w:t>, [online] 38(1), pp.87-100. Available at: https://www.tandfonline.com/doi/full/10.1080/03004270903099843?scroll=top&amp;needAccess=true [Accessed 4 Feb. 2019].</w:t>
      </w:r>
    </w:p>
    <w:p w14:paraId="5551D798"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 xml:space="preserve">Santos, J. (2017). </w:t>
      </w:r>
      <w:r>
        <w:rPr>
          <w:rFonts w:asciiTheme="minorHAnsi" w:hAnsiTheme="minorHAnsi" w:cstheme="minorHAnsi"/>
          <w:i/>
          <w:iCs/>
          <w:color w:val="000000"/>
          <w:sz w:val="22"/>
          <w:szCs w:val="22"/>
        </w:rPr>
        <w:t>Advantages of mixed-ability grouping (heterogeneous)</w:t>
      </w:r>
      <w:r>
        <w:rPr>
          <w:rFonts w:asciiTheme="minorHAnsi" w:hAnsiTheme="minorHAnsi" w:cstheme="minorHAnsi"/>
          <w:color w:val="000000"/>
          <w:sz w:val="22"/>
          <w:szCs w:val="22"/>
        </w:rPr>
        <w:t>. [online] Prezi. Available at: https://prezi.com/r2yopulx06va/advantages-of-mixed-ability-grouping-heterogeneous-specifi/ [Accessed 7 Feb. 2019].</w:t>
      </w:r>
    </w:p>
    <w:p w14:paraId="3FC8C5E0"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 xml:space="preserve">Scott, J. (2008). Children as Respondents: </w:t>
      </w:r>
      <w:proofErr w:type="gramStart"/>
      <w:r>
        <w:rPr>
          <w:rFonts w:asciiTheme="minorHAnsi" w:hAnsiTheme="minorHAnsi" w:cstheme="minorHAnsi"/>
          <w:color w:val="000000"/>
          <w:sz w:val="22"/>
          <w:szCs w:val="22"/>
        </w:rPr>
        <w:t>the</w:t>
      </w:r>
      <w:proofErr w:type="gramEnd"/>
      <w:r>
        <w:rPr>
          <w:rFonts w:asciiTheme="minorHAnsi" w:hAnsiTheme="minorHAnsi" w:cstheme="minorHAnsi"/>
          <w:color w:val="000000"/>
          <w:sz w:val="22"/>
          <w:szCs w:val="22"/>
        </w:rPr>
        <w:t xml:space="preserve"> Challenge for Quantitative Methods. In: P. Christensen and A. Lane, ed., </w:t>
      </w:r>
      <w:r>
        <w:rPr>
          <w:rFonts w:asciiTheme="minorHAnsi" w:hAnsiTheme="minorHAnsi" w:cstheme="minorHAnsi"/>
          <w:i/>
          <w:iCs/>
          <w:color w:val="000000"/>
          <w:sz w:val="22"/>
          <w:szCs w:val="22"/>
        </w:rPr>
        <w:t xml:space="preserve">Research </w:t>
      </w:r>
      <w:proofErr w:type="gramStart"/>
      <w:r>
        <w:rPr>
          <w:rFonts w:asciiTheme="minorHAnsi" w:hAnsiTheme="minorHAnsi" w:cstheme="minorHAnsi"/>
          <w:i/>
          <w:iCs/>
          <w:color w:val="000000"/>
          <w:sz w:val="22"/>
          <w:szCs w:val="22"/>
        </w:rPr>
        <w:t>With</w:t>
      </w:r>
      <w:proofErr w:type="gramEnd"/>
      <w:r>
        <w:rPr>
          <w:rFonts w:asciiTheme="minorHAnsi" w:hAnsiTheme="minorHAnsi" w:cstheme="minorHAnsi"/>
          <w:i/>
          <w:iCs/>
          <w:color w:val="000000"/>
          <w:sz w:val="22"/>
          <w:szCs w:val="22"/>
        </w:rPr>
        <w:t xml:space="preserve"> Children - Perspectives and Practices</w:t>
      </w:r>
      <w:r>
        <w:rPr>
          <w:rFonts w:asciiTheme="minorHAnsi" w:hAnsiTheme="minorHAnsi" w:cstheme="minorHAnsi"/>
          <w:color w:val="000000"/>
          <w:sz w:val="22"/>
          <w:szCs w:val="22"/>
        </w:rPr>
        <w:t>, 2nd ed. Abingdon: Routledge, p.100.</w:t>
      </w:r>
    </w:p>
    <w:p w14:paraId="145BEC2F"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Stepanek, J., Appel, G., Leong, M., Turner Mangan, M. and Mitchell, M. (2007). </w:t>
      </w:r>
      <w:r>
        <w:rPr>
          <w:rFonts w:eastAsia="Times New Roman" w:cstheme="minorHAnsi"/>
          <w:i/>
          <w:iCs/>
          <w:color w:val="000000"/>
          <w:lang w:eastAsia="en-GB"/>
        </w:rPr>
        <w:t>Leading Lesson Study: A Practical Guide for Teachers and Facilitators</w:t>
      </w:r>
      <w:r>
        <w:rPr>
          <w:rFonts w:eastAsia="Times New Roman" w:cstheme="minorHAnsi"/>
          <w:color w:val="000000"/>
          <w:lang w:eastAsia="en-GB"/>
        </w:rPr>
        <w:t>. Thousand Oaks, CA: Corwin Press.</w:t>
      </w:r>
    </w:p>
    <w:p w14:paraId="25807754"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Swain, H. (2017). </w:t>
      </w:r>
      <w:r>
        <w:rPr>
          <w:rFonts w:eastAsia="Times New Roman" w:cstheme="minorHAnsi"/>
          <w:i/>
          <w:iCs/>
          <w:color w:val="000000"/>
          <w:lang w:eastAsia="en-GB"/>
        </w:rPr>
        <w:t xml:space="preserve">What is Most Effective Form of Plenary in Early Years </w:t>
      </w:r>
      <w:proofErr w:type="gramStart"/>
      <w:r>
        <w:rPr>
          <w:rFonts w:eastAsia="Times New Roman" w:cstheme="minorHAnsi"/>
          <w:i/>
          <w:iCs/>
          <w:color w:val="000000"/>
          <w:lang w:eastAsia="en-GB"/>
        </w:rPr>
        <w:t>Teaching?</w:t>
      </w:r>
      <w:r>
        <w:rPr>
          <w:rFonts w:eastAsia="Times New Roman" w:cstheme="minorHAnsi"/>
          <w:color w:val="000000"/>
          <w:lang w:eastAsia="en-GB"/>
        </w:rPr>
        <w:t>.</w:t>
      </w:r>
      <w:proofErr w:type="gramEnd"/>
      <w:r>
        <w:rPr>
          <w:rFonts w:eastAsia="Times New Roman" w:cstheme="minorHAnsi"/>
          <w:color w:val="000000"/>
          <w:lang w:eastAsia="en-GB"/>
        </w:rPr>
        <w:t xml:space="preserve"> [online] </w:t>
      </w:r>
      <w:proofErr w:type="spellStart"/>
      <w:r>
        <w:rPr>
          <w:rFonts w:eastAsia="Times New Roman" w:cstheme="minorHAnsi"/>
          <w:color w:val="000000"/>
          <w:lang w:eastAsia="en-GB"/>
        </w:rPr>
        <w:t>Issuu</w:t>
      </w:r>
      <w:proofErr w:type="spellEnd"/>
      <w:r>
        <w:rPr>
          <w:rFonts w:eastAsia="Times New Roman" w:cstheme="minorHAnsi"/>
          <w:color w:val="000000"/>
          <w:lang w:eastAsia="en-GB"/>
        </w:rPr>
        <w:t>. Available at: https://issuu.com/wycombehighsch/docs/what_is_most_effective_form_of_plen [Accessed 1 Feb. 2019].</w:t>
      </w:r>
    </w:p>
    <w:p w14:paraId="4C6EAA74"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The impact of the ‘Assessing pupils’ progress’ initiative. (2011). [</w:t>
      </w:r>
      <w:proofErr w:type="spellStart"/>
      <w:r>
        <w:rPr>
          <w:rFonts w:asciiTheme="minorHAnsi" w:hAnsiTheme="minorHAnsi" w:cstheme="minorHAnsi"/>
          <w:color w:val="000000"/>
          <w:sz w:val="22"/>
          <w:szCs w:val="22"/>
        </w:rPr>
        <w:t>ebook</w:t>
      </w:r>
      <w:proofErr w:type="spellEnd"/>
      <w:r>
        <w:rPr>
          <w:rFonts w:asciiTheme="minorHAnsi" w:hAnsiTheme="minorHAnsi" w:cstheme="minorHAnsi"/>
          <w:color w:val="000000"/>
          <w:sz w:val="22"/>
          <w:szCs w:val="22"/>
        </w:rPr>
        <w:t>] Manchester: Ofsted, p.5. Available at: https://assets.publishing.service.gov.uk/government/uploads/system/uploads/attachment_data/file/379101/The_20impact_20of_20the_20Assessing_20pupils_20progress_20initiative.pdfhttps://assets.publishing.service.gov.uk/government/uploads/system/uploads/attachment_data/file/379101/The_20impact_20of_20the_20Assessing_20pupils_20progress_20initiative.pdf [Accessed 1 Mar. 2019].</w:t>
      </w:r>
    </w:p>
    <w:p w14:paraId="4C8E1548" w14:textId="17B2B77F"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UN Convention on the</w:t>
      </w:r>
      <w:r w:rsidR="00F671A4">
        <w:rPr>
          <w:rFonts w:asciiTheme="minorHAnsi" w:hAnsiTheme="minorHAnsi" w:cstheme="minorHAnsi"/>
          <w:color w:val="000000"/>
          <w:sz w:val="22"/>
          <w:szCs w:val="22"/>
        </w:rPr>
        <w:t xml:space="preserve"> </w:t>
      </w:r>
      <w:bookmarkStart w:id="10" w:name="_GoBack"/>
      <w:bookmarkEnd w:id="10"/>
      <w:r>
        <w:rPr>
          <w:rFonts w:asciiTheme="minorHAnsi" w:hAnsiTheme="minorHAnsi" w:cstheme="minorHAnsi"/>
          <w:color w:val="000000"/>
          <w:sz w:val="22"/>
          <w:szCs w:val="22"/>
        </w:rPr>
        <w:t xml:space="preserve">Rights of the Child </w:t>
      </w:r>
      <w:proofErr w:type="gramStart"/>
      <w:r>
        <w:rPr>
          <w:rFonts w:asciiTheme="minorHAnsi" w:hAnsiTheme="minorHAnsi" w:cstheme="minorHAnsi"/>
          <w:color w:val="000000"/>
          <w:sz w:val="22"/>
          <w:szCs w:val="22"/>
        </w:rPr>
        <w:t>In</w:t>
      </w:r>
      <w:proofErr w:type="gramEnd"/>
      <w:r>
        <w:rPr>
          <w:rFonts w:asciiTheme="minorHAnsi" w:hAnsiTheme="minorHAnsi" w:cstheme="minorHAnsi"/>
          <w:color w:val="000000"/>
          <w:sz w:val="22"/>
          <w:szCs w:val="22"/>
        </w:rPr>
        <w:t xml:space="preserve"> Child Friendly Language. (n.d.). [</w:t>
      </w:r>
      <w:proofErr w:type="spellStart"/>
      <w:r>
        <w:rPr>
          <w:rFonts w:asciiTheme="minorHAnsi" w:hAnsiTheme="minorHAnsi" w:cstheme="minorHAnsi"/>
          <w:color w:val="000000"/>
          <w:sz w:val="22"/>
          <w:szCs w:val="22"/>
        </w:rPr>
        <w:t>ebook</w:t>
      </w:r>
      <w:proofErr w:type="spellEnd"/>
      <w:r>
        <w:rPr>
          <w:rFonts w:asciiTheme="minorHAnsi" w:hAnsiTheme="minorHAnsi" w:cstheme="minorHAnsi"/>
          <w:color w:val="000000"/>
          <w:sz w:val="22"/>
          <w:szCs w:val="22"/>
        </w:rPr>
        <w:t xml:space="preserve">] </w:t>
      </w:r>
      <w:proofErr w:type="spellStart"/>
      <w:r>
        <w:rPr>
          <w:rFonts w:asciiTheme="minorHAnsi" w:hAnsiTheme="minorHAnsi" w:cstheme="minorHAnsi"/>
          <w:color w:val="000000"/>
          <w:sz w:val="22"/>
          <w:szCs w:val="22"/>
        </w:rPr>
        <w:t>Unicef</w:t>
      </w:r>
      <w:proofErr w:type="spellEnd"/>
      <w:r>
        <w:rPr>
          <w:rFonts w:asciiTheme="minorHAnsi" w:hAnsiTheme="minorHAnsi" w:cstheme="minorHAnsi"/>
          <w:color w:val="000000"/>
          <w:sz w:val="22"/>
          <w:szCs w:val="22"/>
        </w:rPr>
        <w:t>. Available at: https://www.unicef.org/rightsite/files/uncrcchilldfriendlylanguage.pdf [Accessed 10 Feb. 2019].</w:t>
      </w:r>
    </w:p>
    <w:p w14:paraId="01D34FA4" w14:textId="77777777" w:rsidR="009C111F" w:rsidRDefault="009C111F" w:rsidP="009C111F">
      <w:pPr>
        <w:pStyle w:val="NormalWeb"/>
        <w:spacing w:before="0" w:beforeAutospacing="0" w:after="180" w:afterAutospacing="0"/>
        <w:ind w:left="450" w:hanging="450"/>
        <w:rPr>
          <w:rFonts w:asciiTheme="minorHAnsi" w:hAnsiTheme="minorHAnsi" w:cstheme="minorHAnsi"/>
          <w:color w:val="000000"/>
          <w:sz w:val="22"/>
          <w:szCs w:val="22"/>
        </w:rPr>
      </w:pPr>
      <w:r>
        <w:rPr>
          <w:rFonts w:asciiTheme="minorHAnsi" w:hAnsiTheme="minorHAnsi" w:cstheme="minorHAnsi"/>
          <w:color w:val="000000"/>
          <w:sz w:val="22"/>
          <w:szCs w:val="22"/>
        </w:rPr>
        <w:t>UWTSD Research Ethics &amp; Integrity Code of Practice. (2019). [</w:t>
      </w:r>
      <w:proofErr w:type="spellStart"/>
      <w:r>
        <w:rPr>
          <w:rFonts w:asciiTheme="minorHAnsi" w:hAnsiTheme="minorHAnsi" w:cstheme="minorHAnsi"/>
          <w:color w:val="000000"/>
          <w:sz w:val="22"/>
          <w:szCs w:val="22"/>
        </w:rPr>
        <w:t>ebook</w:t>
      </w:r>
      <w:proofErr w:type="spellEnd"/>
      <w:r>
        <w:rPr>
          <w:rFonts w:asciiTheme="minorHAnsi" w:hAnsiTheme="minorHAnsi" w:cstheme="minorHAnsi"/>
          <w:color w:val="000000"/>
          <w:sz w:val="22"/>
          <w:szCs w:val="22"/>
        </w:rPr>
        <w:t>] UWTSD, p.4. Available at: https://www.uwtsd.ac.uk/media/uwtsd-website/content-assets/documents/research/research-ethics-integrity-code-practice.pdf [Accessed 13 Feb. 2019].</w:t>
      </w:r>
    </w:p>
    <w:p w14:paraId="22A2E9F2" w14:textId="77777777" w:rsidR="009C111F" w:rsidRDefault="009C111F" w:rsidP="009C111F">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t>Welsh Assembly Government (2010). </w:t>
      </w:r>
      <w:r>
        <w:rPr>
          <w:rFonts w:eastAsia="Times New Roman" w:cstheme="minorHAnsi"/>
          <w:i/>
          <w:iCs/>
          <w:color w:val="000000"/>
          <w:lang w:eastAsia="en-GB"/>
        </w:rPr>
        <w:t>How to develop thinking and assessment for learning in the classroom</w:t>
      </w:r>
      <w:r>
        <w:rPr>
          <w:rFonts w:eastAsia="Times New Roman" w:cstheme="minorHAnsi"/>
          <w:color w:val="000000"/>
          <w:lang w:eastAsia="en-GB"/>
        </w:rPr>
        <w:t>. Cardiff: Welsh Assembly Government, p.27.</w:t>
      </w:r>
    </w:p>
    <w:p w14:paraId="5EF5B890" w14:textId="77777777" w:rsidR="009C111F" w:rsidRDefault="009C111F" w:rsidP="009C111F">
      <w:pPr>
        <w:rPr>
          <w:rFonts w:cstheme="minorHAnsi"/>
        </w:rPr>
      </w:pPr>
    </w:p>
    <w:p w14:paraId="13B66061" w14:textId="77777777" w:rsidR="009C111F" w:rsidRPr="009C111F" w:rsidRDefault="009C111F" w:rsidP="009C111F"/>
    <w:sectPr w:rsidR="009C111F" w:rsidRPr="009C111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59728B" w14:textId="77777777" w:rsidR="00EB178F" w:rsidRDefault="00EB178F" w:rsidP="009C111F">
      <w:pPr>
        <w:spacing w:after="0" w:line="240" w:lineRule="auto"/>
      </w:pPr>
      <w:r>
        <w:separator/>
      </w:r>
    </w:p>
  </w:endnote>
  <w:endnote w:type="continuationSeparator" w:id="0">
    <w:p w14:paraId="71A8F9CA" w14:textId="77777777" w:rsidR="00EB178F" w:rsidRDefault="00EB178F" w:rsidP="009C1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6876926"/>
      <w:docPartObj>
        <w:docPartGallery w:val="Page Numbers (Bottom of Page)"/>
        <w:docPartUnique/>
      </w:docPartObj>
    </w:sdtPr>
    <w:sdtEndPr>
      <w:rPr>
        <w:noProof/>
      </w:rPr>
    </w:sdtEndPr>
    <w:sdtContent>
      <w:p w14:paraId="685D5682" w14:textId="77777777" w:rsidR="004E11ED" w:rsidRDefault="004E11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CAE7D" w14:textId="77777777" w:rsidR="004E11ED" w:rsidRDefault="004E11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8927A8" w14:textId="77777777" w:rsidR="00EB178F" w:rsidRDefault="00EB178F" w:rsidP="009C111F">
      <w:pPr>
        <w:spacing w:after="0" w:line="240" w:lineRule="auto"/>
      </w:pPr>
      <w:r>
        <w:separator/>
      </w:r>
    </w:p>
  </w:footnote>
  <w:footnote w:type="continuationSeparator" w:id="0">
    <w:p w14:paraId="143E1926" w14:textId="77777777" w:rsidR="00EB178F" w:rsidRDefault="00EB178F" w:rsidP="009C1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978B32" w14:textId="77777777" w:rsidR="009C111F" w:rsidRDefault="009C111F">
    <w:pPr>
      <w:pStyle w:val="Header"/>
    </w:pPr>
    <w:r>
      <w:t>1200779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1E4"/>
    <w:rsid w:val="00090094"/>
    <w:rsid w:val="0036314D"/>
    <w:rsid w:val="003751E3"/>
    <w:rsid w:val="0047479A"/>
    <w:rsid w:val="004E11ED"/>
    <w:rsid w:val="0051167E"/>
    <w:rsid w:val="00630C34"/>
    <w:rsid w:val="007168C4"/>
    <w:rsid w:val="00733FEE"/>
    <w:rsid w:val="007B6C79"/>
    <w:rsid w:val="008B5FC8"/>
    <w:rsid w:val="008C6D23"/>
    <w:rsid w:val="00907369"/>
    <w:rsid w:val="009C111F"/>
    <w:rsid w:val="00A2141D"/>
    <w:rsid w:val="00AF3CBB"/>
    <w:rsid w:val="00B3098F"/>
    <w:rsid w:val="00C16459"/>
    <w:rsid w:val="00C511E4"/>
    <w:rsid w:val="00C75932"/>
    <w:rsid w:val="00CD5117"/>
    <w:rsid w:val="00D632AF"/>
    <w:rsid w:val="00DC71AC"/>
    <w:rsid w:val="00DF39E5"/>
    <w:rsid w:val="00E81793"/>
    <w:rsid w:val="00E86101"/>
    <w:rsid w:val="00EB178F"/>
    <w:rsid w:val="00F671A4"/>
    <w:rsid w:val="00FE1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81FA2"/>
  <w15:chartTrackingRefBased/>
  <w15:docId w15:val="{87E25E1E-DCAB-463B-8735-60916250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1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C1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1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11E4"/>
    <w:pPr>
      <w:outlineLvl w:val="9"/>
    </w:pPr>
    <w:rPr>
      <w:lang w:val="en-US"/>
    </w:rPr>
  </w:style>
  <w:style w:type="character" w:customStyle="1" w:styleId="Heading2Char">
    <w:name w:val="Heading 2 Char"/>
    <w:basedOn w:val="DefaultParagraphFont"/>
    <w:link w:val="Heading2"/>
    <w:uiPriority w:val="9"/>
    <w:semiHidden/>
    <w:rsid w:val="009C111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C111F"/>
    <w:rPr>
      <w:color w:val="0563C1" w:themeColor="hyperlink"/>
      <w:u w:val="single"/>
    </w:rPr>
  </w:style>
  <w:style w:type="paragraph" w:styleId="NormalWeb">
    <w:name w:val="Normal (Web)"/>
    <w:basedOn w:val="Normal"/>
    <w:uiPriority w:val="99"/>
    <w:semiHidden/>
    <w:unhideWhenUsed/>
    <w:rsid w:val="009C11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C1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11F"/>
  </w:style>
  <w:style w:type="paragraph" w:styleId="Footer">
    <w:name w:val="footer"/>
    <w:basedOn w:val="Normal"/>
    <w:link w:val="FooterChar"/>
    <w:uiPriority w:val="99"/>
    <w:unhideWhenUsed/>
    <w:rsid w:val="009C1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11F"/>
  </w:style>
  <w:style w:type="paragraph" w:styleId="TOC1">
    <w:name w:val="toc 1"/>
    <w:basedOn w:val="Normal"/>
    <w:next w:val="Normal"/>
    <w:autoRedefine/>
    <w:uiPriority w:val="39"/>
    <w:unhideWhenUsed/>
    <w:rsid w:val="009C111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839310">
      <w:bodyDiv w:val="1"/>
      <w:marLeft w:val="0"/>
      <w:marRight w:val="0"/>
      <w:marTop w:val="0"/>
      <w:marBottom w:val="0"/>
      <w:divBdr>
        <w:top w:val="none" w:sz="0" w:space="0" w:color="auto"/>
        <w:left w:val="none" w:sz="0" w:space="0" w:color="auto"/>
        <w:bottom w:val="none" w:sz="0" w:space="0" w:color="auto"/>
        <w:right w:val="none" w:sz="0" w:space="0" w:color="auto"/>
      </w:divBdr>
    </w:div>
    <w:div w:id="302004680">
      <w:bodyDiv w:val="1"/>
      <w:marLeft w:val="0"/>
      <w:marRight w:val="0"/>
      <w:marTop w:val="0"/>
      <w:marBottom w:val="0"/>
      <w:divBdr>
        <w:top w:val="none" w:sz="0" w:space="0" w:color="auto"/>
        <w:left w:val="none" w:sz="0" w:space="0" w:color="auto"/>
        <w:bottom w:val="none" w:sz="0" w:space="0" w:color="auto"/>
        <w:right w:val="none" w:sz="0" w:space="0" w:color="auto"/>
      </w:divBdr>
    </w:div>
    <w:div w:id="409348210">
      <w:bodyDiv w:val="1"/>
      <w:marLeft w:val="0"/>
      <w:marRight w:val="0"/>
      <w:marTop w:val="0"/>
      <w:marBottom w:val="0"/>
      <w:divBdr>
        <w:top w:val="none" w:sz="0" w:space="0" w:color="auto"/>
        <w:left w:val="none" w:sz="0" w:space="0" w:color="auto"/>
        <w:bottom w:val="none" w:sz="0" w:space="0" w:color="auto"/>
        <w:right w:val="none" w:sz="0" w:space="0" w:color="auto"/>
      </w:divBdr>
    </w:div>
    <w:div w:id="828862223">
      <w:bodyDiv w:val="1"/>
      <w:marLeft w:val="0"/>
      <w:marRight w:val="0"/>
      <w:marTop w:val="0"/>
      <w:marBottom w:val="0"/>
      <w:divBdr>
        <w:top w:val="none" w:sz="0" w:space="0" w:color="auto"/>
        <w:left w:val="none" w:sz="0" w:space="0" w:color="auto"/>
        <w:bottom w:val="none" w:sz="0" w:space="0" w:color="auto"/>
        <w:right w:val="none" w:sz="0" w:space="0" w:color="auto"/>
      </w:divBdr>
    </w:div>
    <w:div w:id="854613293">
      <w:bodyDiv w:val="1"/>
      <w:marLeft w:val="0"/>
      <w:marRight w:val="0"/>
      <w:marTop w:val="0"/>
      <w:marBottom w:val="0"/>
      <w:divBdr>
        <w:top w:val="none" w:sz="0" w:space="0" w:color="auto"/>
        <w:left w:val="none" w:sz="0" w:space="0" w:color="auto"/>
        <w:bottom w:val="none" w:sz="0" w:space="0" w:color="auto"/>
        <w:right w:val="none" w:sz="0" w:space="0" w:color="auto"/>
      </w:divBdr>
    </w:div>
    <w:div w:id="1167136373">
      <w:bodyDiv w:val="1"/>
      <w:marLeft w:val="0"/>
      <w:marRight w:val="0"/>
      <w:marTop w:val="0"/>
      <w:marBottom w:val="0"/>
      <w:divBdr>
        <w:top w:val="none" w:sz="0" w:space="0" w:color="auto"/>
        <w:left w:val="none" w:sz="0" w:space="0" w:color="auto"/>
        <w:bottom w:val="none" w:sz="0" w:space="0" w:color="auto"/>
        <w:right w:val="none" w:sz="0" w:space="0" w:color="auto"/>
      </w:divBdr>
    </w:div>
    <w:div w:id="1469392387">
      <w:bodyDiv w:val="1"/>
      <w:marLeft w:val="0"/>
      <w:marRight w:val="0"/>
      <w:marTop w:val="0"/>
      <w:marBottom w:val="0"/>
      <w:divBdr>
        <w:top w:val="none" w:sz="0" w:space="0" w:color="auto"/>
        <w:left w:val="none" w:sz="0" w:space="0" w:color="auto"/>
        <w:bottom w:val="none" w:sz="0" w:space="0" w:color="auto"/>
        <w:right w:val="none" w:sz="0" w:space="0" w:color="auto"/>
      </w:divBdr>
    </w:div>
    <w:div w:id="1758362505">
      <w:bodyDiv w:val="1"/>
      <w:marLeft w:val="0"/>
      <w:marRight w:val="0"/>
      <w:marTop w:val="0"/>
      <w:marBottom w:val="0"/>
      <w:divBdr>
        <w:top w:val="none" w:sz="0" w:space="0" w:color="auto"/>
        <w:left w:val="none" w:sz="0" w:space="0" w:color="auto"/>
        <w:bottom w:val="none" w:sz="0" w:space="0" w:color="auto"/>
        <w:right w:val="none" w:sz="0" w:space="0" w:color="auto"/>
      </w:divBdr>
    </w:div>
    <w:div w:id="1979601128">
      <w:bodyDiv w:val="1"/>
      <w:marLeft w:val="0"/>
      <w:marRight w:val="0"/>
      <w:marTop w:val="0"/>
      <w:marBottom w:val="0"/>
      <w:divBdr>
        <w:top w:val="none" w:sz="0" w:space="0" w:color="auto"/>
        <w:left w:val="none" w:sz="0" w:space="0" w:color="auto"/>
        <w:bottom w:val="none" w:sz="0" w:space="0" w:color="auto"/>
        <w:right w:val="none" w:sz="0" w:space="0" w:color="auto"/>
      </w:divBdr>
    </w:div>
    <w:div w:id="1981886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2239C3-0B3A-4B39-8FEF-884ECC8B0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17</Pages>
  <Words>6704</Words>
  <Characters>38219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Davies</dc:creator>
  <cp:keywords/>
  <dc:description/>
  <cp:lastModifiedBy>Rachel Davies</cp:lastModifiedBy>
  <cp:revision>25</cp:revision>
  <dcterms:created xsi:type="dcterms:W3CDTF">2019-03-04T09:23:00Z</dcterms:created>
  <dcterms:modified xsi:type="dcterms:W3CDTF">2019-03-04T17:31:00Z</dcterms:modified>
</cp:coreProperties>
</file>