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402447831"/>
        <w:docPartObj>
          <w:docPartGallery w:val="Cover Pages"/>
          <w:docPartUnique/>
        </w:docPartObj>
      </w:sdtPr>
      <w:sdtEndPr>
        <w:rPr>
          <w:rFonts w:eastAsiaTheme="minorHAnsi"/>
          <w:color w:val="auto"/>
          <w:kern w:val="2"/>
          <w:sz w:val="24"/>
          <w:szCs w:val="24"/>
          <w:lang w:val="en-GB" w:eastAsia="en-US"/>
          <w14:ligatures w14:val="standardContextual"/>
        </w:rPr>
      </w:sdtEndPr>
      <w:sdtContent>
        <w:p w14:paraId="5DAA83B8" w14:textId="7D003997" w:rsidR="00406EC8" w:rsidRDefault="00406EC8" w:rsidP="00406EC8">
          <w:pPr>
            <w:pStyle w:val="NoSpacing"/>
            <w:spacing w:before="1540" w:after="240"/>
            <w:rPr>
              <w:color w:val="156082" w:themeColor="accent1"/>
            </w:rPr>
          </w:pPr>
          <w:r>
            <w:rPr>
              <w:noProof/>
              <w:color w:val="156082" w:themeColor="accent1"/>
              <w14:ligatures w14:val="standardContextual"/>
            </w:rPr>
            <w:drawing>
              <wp:inline distT="0" distB="0" distL="0" distR="0" wp14:anchorId="0CAE45E0" wp14:editId="2F50C3F7">
                <wp:extent cx="2247910" cy="1481577"/>
                <wp:effectExtent l="0" t="0" r="0" b="4445"/>
                <wp:docPr id="1651173411" name="Picture 2"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173411" name="Picture 2" descr="A logo of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262809" cy="1491397"/>
                        </a:xfrm>
                        <a:prstGeom prst="rect">
                          <a:avLst/>
                        </a:prstGeom>
                      </pic:spPr>
                    </pic:pic>
                  </a:graphicData>
                </a:graphic>
              </wp:inline>
            </w:drawing>
          </w:r>
        </w:p>
        <w:sdt>
          <w:sdtPr>
            <w:rPr>
              <w:rFonts w:ascii="Arial" w:hAnsi="Arial" w:cs="Arial"/>
              <w:sz w:val="36"/>
              <w:szCs w:val="36"/>
            </w:rPr>
            <w:alias w:val="Title"/>
            <w:tag w:val=""/>
            <w:id w:val="1735040861"/>
            <w:placeholder>
              <w:docPart w:val="964196DF50D959438276FB490FD20535"/>
            </w:placeholder>
            <w:dataBinding w:prefixMappings="xmlns:ns0='http://purl.org/dc/elements/1.1/' xmlns:ns1='http://schemas.openxmlformats.org/package/2006/metadata/core-properties' " w:xpath="/ns1:coreProperties[1]/ns0:title[1]" w:storeItemID="{6C3C8BC8-F283-45AE-878A-BAB7291924A1}"/>
            <w:text/>
          </w:sdtPr>
          <w:sdtContent>
            <w:p w14:paraId="718C0B79" w14:textId="70CDBDEE" w:rsidR="00406EC8" w:rsidRDefault="00406EC8" w:rsidP="00406EC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406EC8">
                <w:rPr>
                  <w:rFonts w:ascii="Arial" w:hAnsi="Arial" w:cs="Arial"/>
                  <w:sz w:val="36"/>
                  <w:szCs w:val="36"/>
                </w:rPr>
                <w:t>BA (Hons) Leadership and Management Skills for the Workplace LCLM5006</w:t>
              </w:r>
            </w:p>
          </w:sdtContent>
        </w:sdt>
        <w:sdt>
          <w:sdtPr>
            <w:rPr>
              <w:rFonts w:ascii="Arial" w:hAnsi="Arial" w:cs="Arial"/>
              <w:sz w:val="32"/>
              <w:szCs w:val="32"/>
            </w:rPr>
            <w:alias w:val="Subtitle"/>
            <w:tag w:val=""/>
            <w:id w:val="328029620"/>
            <w:placeholder>
              <w:docPart w:val="1BB459C7824A7D47B8EF7D812B278389"/>
            </w:placeholder>
            <w:dataBinding w:prefixMappings="xmlns:ns0='http://purl.org/dc/elements/1.1/' xmlns:ns1='http://schemas.openxmlformats.org/package/2006/metadata/core-properties' " w:xpath="/ns1:coreProperties[1]/ns0:subject[1]" w:storeItemID="{6C3C8BC8-F283-45AE-878A-BAB7291924A1}"/>
            <w:text/>
          </w:sdtPr>
          <w:sdtContent>
            <w:p w14:paraId="24A114CC" w14:textId="014DB661" w:rsidR="00406EC8" w:rsidRPr="00406EC8" w:rsidRDefault="00406EC8">
              <w:pPr>
                <w:pStyle w:val="NoSpacing"/>
                <w:jc w:val="center"/>
                <w:rPr>
                  <w:rFonts w:ascii="Arial" w:hAnsi="Arial" w:cs="Arial"/>
                  <w:color w:val="156082" w:themeColor="accent1"/>
                  <w:sz w:val="32"/>
                  <w:szCs w:val="32"/>
                </w:rPr>
              </w:pPr>
              <w:r w:rsidRPr="00406EC8">
                <w:rPr>
                  <w:rFonts w:ascii="Arial" w:hAnsi="Arial" w:cs="Arial"/>
                  <w:sz w:val="32"/>
                  <w:szCs w:val="32"/>
                </w:rPr>
                <w:t>Developing Emotional Intelligence Skills</w:t>
              </w:r>
            </w:p>
          </w:sdtContent>
        </w:sdt>
        <w:p w14:paraId="52A7A8E8" w14:textId="7F0E7B74" w:rsidR="00406EC8" w:rsidRDefault="00DC0CC4">
          <w:pPr>
            <w:pStyle w:val="NoSpacing"/>
            <w:spacing w:before="480"/>
            <w:jc w:val="center"/>
            <w:rPr>
              <w:color w:val="156082" w:themeColor="accent1"/>
            </w:rPr>
          </w:pPr>
          <w:r>
            <w:rPr>
              <w:noProof/>
              <w:color w:val="156082" w:themeColor="accent1"/>
              <w14:ligatures w14:val="standardContextual"/>
            </w:rPr>
            <mc:AlternateContent>
              <mc:Choice Requires="wps">
                <w:drawing>
                  <wp:anchor distT="0" distB="0" distL="114300" distR="114300" simplePos="0" relativeHeight="251660288" behindDoc="0" locked="0" layoutInCell="1" allowOverlap="1" wp14:anchorId="69A30F18" wp14:editId="627A4D09">
                    <wp:simplePos x="0" y="0"/>
                    <wp:positionH relativeFrom="column">
                      <wp:posOffset>826851</wp:posOffset>
                    </wp:positionH>
                    <wp:positionV relativeFrom="paragraph">
                      <wp:posOffset>327741</wp:posOffset>
                    </wp:positionV>
                    <wp:extent cx="3229043" cy="515566"/>
                    <wp:effectExtent l="0" t="0" r="9525" b="18415"/>
                    <wp:wrapNone/>
                    <wp:docPr id="1953887975" name="Text Box 3"/>
                    <wp:cNvGraphicFramePr/>
                    <a:graphic xmlns:a="http://schemas.openxmlformats.org/drawingml/2006/main">
                      <a:graphicData uri="http://schemas.microsoft.com/office/word/2010/wordprocessingShape">
                        <wps:wsp>
                          <wps:cNvSpPr txBox="1"/>
                          <wps:spPr>
                            <a:xfrm>
                              <a:off x="0" y="0"/>
                              <a:ext cx="3229043" cy="515566"/>
                            </a:xfrm>
                            <a:prstGeom prst="rect">
                              <a:avLst/>
                            </a:prstGeom>
                            <a:solidFill>
                              <a:schemeClr val="lt1"/>
                            </a:solidFill>
                            <a:ln w="6350">
                              <a:solidFill>
                                <a:prstClr val="black"/>
                              </a:solidFill>
                            </a:ln>
                          </wps:spPr>
                          <wps:txbx>
                            <w:txbxContent>
                              <w:p w14:paraId="67159A1E" w14:textId="08EA388D" w:rsidR="00DC0CC4" w:rsidRPr="00DC0CC4" w:rsidRDefault="00DC0CC4" w:rsidP="00DC0CC4">
                                <w:pPr>
                                  <w:jc w:val="center"/>
                                  <w:rPr>
                                    <w:rFonts w:ascii="Arial" w:hAnsi="Arial" w:cs="Arial"/>
                                    <w:b/>
                                    <w:bCs/>
                                  </w:rPr>
                                </w:pPr>
                                <w:r w:rsidRPr="00DC0CC4">
                                  <w:rPr>
                                    <w:rFonts w:ascii="Arial" w:hAnsi="Arial" w:cs="Arial"/>
                                    <w:b/>
                                    <w:bCs/>
                                  </w:rPr>
                                  <w:t>Importance of Emotional Intelligence with/in an organisation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9A30F18" id="_x0000_t202" coordsize="21600,21600" o:spt="202" path="m,l,21600r21600,l21600,xe">
                    <v:stroke joinstyle="miter"/>
                    <v:path gradientshapeok="t" o:connecttype="rect"/>
                  </v:shapetype>
                  <v:shape id="Text Box 3" o:spid="_x0000_s1026" type="#_x0000_t202" style="position:absolute;left:0;text-align:left;margin-left:65.1pt;margin-top:25.8pt;width:254.25pt;height:40.6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" fillcolor="white [3201]" strokeweight=".5pt">
                    <v:textbox>
                      <w:txbxContent>
                        <w:p w14:paraId="67159A1E" w14:textId="08EA388D" w:rsidR="00DC0CC4" w:rsidRPr="00DC0CC4" w:rsidRDefault="00DC0CC4" w:rsidP="00DC0CC4">
                          <w:pPr>
                            <w:jc w:val="center"/>
                            <w:rPr>
                              <w:rFonts w:ascii="Arial" w:hAnsi="Arial" w:cs="Arial"/>
                              <w:b/>
                              <w:bCs/>
                            </w:rPr>
                          </w:pPr>
                          <w:r w:rsidRPr="00DC0CC4">
                            <w:rPr>
                              <w:rFonts w:ascii="Arial" w:hAnsi="Arial" w:cs="Arial"/>
                              <w:b/>
                              <w:bCs/>
                            </w:rPr>
                            <w:t>Importance of Emotional Intelligence with/in an organisation</w:t>
                          </w:r>
                        </w:p>
                      </w:txbxContent>
                    </v:textbox>
                  </v:shape>
                </w:pict>
              </mc:Fallback>
            </mc:AlternateContent>
          </w:r>
        </w:p>
        <w:p w14:paraId="3827D049" w14:textId="5B113328" w:rsidR="00406EC8" w:rsidRDefault="00406EC8">
          <w:pPr>
            <w:rPr>
              <w:rFonts w:asciiTheme="majorHAnsi" w:eastAsiaTheme="majorEastAsia" w:hAnsiTheme="majorHAnsi" w:cstheme="majorBidi"/>
              <w:b/>
              <w:bCs/>
              <w:color w:val="0F4761" w:themeColor="accent1" w:themeShade="BF"/>
              <w:kern w:val="0"/>
              <w:sz w:val="28"/>
              <w:szCs w:val="28"/>
              <w:lang w:val="en-US"/>
              <w14:ligatures w14:val="none"/>
            </w:rPr>
          </w:pPr>
          <w:r>
            <w:rPr>
              <w:noProof/>
            </w:rPr>
            <mc:AlternateContent>
              <mc:Choice Requires="wps">
                <w:drawing>
                  <wp:anchor distT="0" distB="0" distL="114300" distR="114300" simplePos="0" relativeHeight="251659264" behindDoc="0" locked="0" layoutInCell="1" allowOverlap="1" wp14:anchorId="0F4573DF" wp14:editId="09D58DCC">
                    <wp:simplePos x="0" y="0"/>
                    <wp:positionH relativeFrom="column">
                      <wp:posOffset>826851</wp:posOffset>
                    </wp:positionH>
                    <wp:positionV relativeFrom="paragraph">
                      <wp:posOffset>2675633</wp:posOffset>
                    </wp:positionV>
                    <wp:extent cx="4046706" cy="768485"/>
                    <wp:effectExtent l="0" t="0" r="17780" b="19050"/>
                    <wp:wrapNone/>
                    <wp:docPr id="414822146" name="Text Box 1"/>
                    <wp:cNvGraphicFramePr/>
                    <a:graphic xmlns:a="http://schemas.openxmlformats.org/drawingml/2006/main">
                      <a:graphicData uri="http://schemas.microsoft.com/office/word/2010/wordprocessingShape">
                        <wps:wsp>
                          <wps:cNvSpPr txBox="1"/>
                          <wps:spPr>
                            <a:xfrm>
                              <a:off x="0" y="0"/>
                              <a:ext cx="4046706" cy="768485"/>
                            </a:xfrm>
                            <a:prstGeom prst="rect">
                              <a:avLst/>
                            </a:prstGeom>
                            <a:solidFill>
                              <a:schemeClr val="lt1"/>
                            </a:solidFill>
                            <a:ln w="6350">
                              <a:solidFill>
                                <a:prstClr val="black"/>
                              </a:solidFill>
                            </a:ln>
                          </wps:spPr>
                          <wps:txbx>
                            <w:txbxContent>
                              <w:p w14:paraId="62474F27" w14:textId="64E7BC88" w:rsidR="00406EC8" w:rsidRDefault="00406EC8">
                                <w:r>
                                  <w:t>Name: Ruth Lynn Parino Talavera</w:t>
                                </w:r>
                              </w:p>
                              <w:p w14:paraId="78C60C43" w14:textId="04070279" w:rsidR="00406EC8" w:rsidRDefault="00406EC8">
                                <w:r>
                                  <w:t>Student Number: 2316908</w:t>
                                </w:r>
                              </w:p>
                              <w:p w14:paraId="5EFD2F12" w14:textId="718AAA24" w:rsidR="00406EC8" w:rsidRDefault="00406EC8">
                                <w:r>
                                  <w:t xml:space="preserve">Lecturer: </w:t>
                                </w:r>
                                <w:r>
                                  <w:t>Nishi Ramsurrun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4573DF" id="Text Box 1" o:spid="_x0000_s1027" type="#_x0000_t202" style="position:absolute;margin-left:65.1pt;margin-top:210.7pt;width:318.65pt;height:6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" fillcolor="white [3201]" strokeweight=".5pt">
                    <v:textbox>
                      <w:txbxContent>
                        <w:p w14:paraId="62474F27" w14:textId="64E7BC88" w:rsidR="00406EC8" w:rsidRDefault="00406EC8">
                          <w:r>
                            <w:t>Name: Ruth Lynn Parino Talavera</w:t>
                          </w:r>
                        </w:p>
                        <w:p w14:paraId="78C60C43" w14:textId="04070279" w:rsidR="00406EC8" w:rsidRDefault="00406EC8">
                          <w:r>
                            <w:t>Student Number: 2316908</w:t>
                          </w:r>
                        </w:p>
                        <w:p w14:paraId="5EFD2F12" w14:textId="718AAA24" w:rsidR="00406EC8" w:rsidRDefault="00406EC8">
                          <w:r>
                            <w:t xml:space="preserve">Lecturer: </w:t>
                          </w:r>
                          <w:r>
                            <w:t>Nishi Ramsurrun</w:t>
                          </w:r>
                        </w:p>
                      </w:txbxContent>
                    </v:textbox>
                  </v:shape>
                </w:pict>
              </mc:Fallback>
            </mc:AlternateContent>
          </w:r>
          <w:r>
            <w:br w:type="page"/>
          </w:r>
        </w:p>
      </w:sdtContent>
    </w:sdt>
    <w:sdt>
      <w:sdtPr>
        <w:id w:val="15643575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66EB7059" w14:textId="27E5DBA3" w:rsidR="00406EC8" w:rsidRDefault="00406EC8">
          <w:pPr>
            <w:pStyle w:val="TOCHeading"/>
          </w:pPr>
          <w:r>
            <w:t>Table of Contents</w:t>
          </w:r>
        </w:p>
        <w:p w14:paraId="08C0F64C" w14:textId="052FD9DC" w:rsidR="00406EC8" w:rsidRDefault="00406EC8">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7003595" w:history="1">
            <w:r w:rsidRPr="000014BD">
              <w:rPr>
                <w:rStyle w:val="Hyperlink"/>
                <w:rFonts w:ascii="Arial" w:hAnsi="Arial" w:cs="Arial"/>
                <w:noProof/>
                <w:shd w:val="clear" w:color="auto" w:fill="FFFFFF"/>
              </w:rPr>
              <w:t>1. Introduction</w:t>
            </w:r>
            <w:r>
              <w:rPr>
                <w:noProof/>
                <w:webHidden/>
              </w:rPr>
              <w:tab/>
            </w:r>
            <w:r>
              <w:rPr>
                <w:noProof/>
                <w:webHidden/>
              </w:rPr>
              <w:fldChar w:fldCharType="begin"/>
            </w:r>
            <w:r>
              <w:rPr>
                <w:noProof/>
                <w:webHidden/>
              </w:rPr>
              <w:instrText xml:space="preserve"> PAGEREF _Toc217003595 \h </w:instrText>
            </w:r>
            <w:r>
              <w:rPr>
                <w:noProof/>
                <w:webHidden/>
              </w:rPr>
            </w:r>
            <w:r>
              <w:rPr>
                <w:noProof/>
                <w:webHidden/>
              </w:rPr>
              <w:fldChar w:fldCharType="separate"/>
            </w:r>
            <w:r>
              <w:rPr>
                <w:noProof/>
                <w:webHidden/>
              </w:rPr>
              <w:t>1</w:t>
            </w:r>
            <w:r>
              <w:rPr>
                <w:noProof/>
                <w:webHidden/>
              </w:rPr>
              <w:fldChar w:fldCharType="end"/>
            </w:r>
          </w:hyperlink>
        </w:p>
        <w:p w14:paraId="6DB57C93" w14:textId="1073C85E" w:rsidR="00406EC8" w:rsidRDefault="00406EC8">
          <w:pPr>
            <w:pStyle w:val="TOC1"/>
            <w:tabs>
              <w:tab w:val="right" w:leader="dot" w:pos="9016"/>
            </w:tabs>
            <w:rPr>
              <w:rFonts w:eastAsiaTheme="minorEastAsia"/>
              <w:b w:val="0"/>
              <w:bCs w:val="0"/>
              <w:i w:val="0"/>
              <w:iCs w:val="0"/>
              <w:noProof/>
              <w:lang w:eastAsia="en-GB"/>
            </w:rPr>
          </w:pPr>
          <w:hyperlink w:anchor="_Toc217003596" w:history="1">
            <w:r w:rsidRPr="000014BD">
              <w:rPr>
                <w:rStyle w:val="Hyperlink"/>
                <w:rFonts w:ascii="Arial" w:hAnsi="Arial" w:cs="Arial"/>
                <w:noProof/>
                <w:shd w:val="clear" w:color="auto" w:fill="FFFFFF"/>
              </w:rPr>
              <w:t>2. Critical Evaluation of Emotional Intelligence Using Goleman’s Model</w:t>
            </w:r>
            <w:r>
              <w:rPr>
                <w:noProof/>
                <w:webHidden/>
              </w:rPr>
              <w:tab/>
            </w:r>
            <w:r>
              <w:rPr>
                <w:noProof/>
                <w:webHidden/>
              </w:rPr>
              <w:fldChar w:fldCharType="begin"/>
            </w:r>
            <w:r>
              <w:rPr>
                <w:noProof/>
                <w:webHidden/>
              </w:rPr>
              <w:instrText xml:space="preserve"> PAGEREF _Toc217003596 \h </w:instrText>
            </w:r>
            <w:r>
              <w:rPr>
                <w:noProof/>
                <w:webHidden/>
              </w:rPr>
            </w:r>
            <w:r>
              <w:rPr>
                <w:noProof/>
                <w:webHidden/>
              </w:rPr>
              <w:fldChar w:fldCharType="separate"/>
            </w:r>
            <w:r>
              <w:rPr>
                <w:noProof/>
                <w:webHidden/>
              </w:rPr>
              <w:t>1</w:t>
            </w:r>
            <w:r>
              <w:rPr>
                <w:noProof/>
                <w:webHidden/>
              </w:rPr>
              <w:fldChar w:fldCharType="end"/>
            </w:r>
          </w:hyperlink>
        </w:p>
        <w:p w14:paraId="667911BB" w14:textId="09BEEA64" w:rsidR="00406EC8" w:rsidRDefault="00406EC8">
          <w:pPr>
            <w:pStyle w:val="TOC1"/>
            <w:tabs>
              <w:tab w:val="right" w:leader="dot" w:pos="9016"/>
            </w:tabs>
            <w:rPr>
              <w:rFonts w:eastAsiaTheme="minorEastAsia"/>
              <w:b w:val="0"/>
              <w:bCs w:val="0"/>
              <w:i w:val="0"/>
              <w:iCs w:val="0"/>
              <w:noProof/>
              <w:lang w:eastAsia="en-GB"/>
            </w:rPr>
          </w:pPr>
          <w:hyperlink w:anchor="_Toc217003597" w:history="1">
            <w:r w:rsidRPr="000014BD">
              <w:rPr>
                <w:rStyle w:val="Hyperlink"/>
                <w:rFonts w:ascii="Arial" w:hAnsi="Arial" w:cs="Arial"/>
                <w:noProof/>
                <w:shd w:val="clear" w:color="auto" w:fill="FFFFFF"/>
              </w:rPr>
              <w:t>2.1 Self-awareness</w:t>
            </w:r>
            <w:r>
              <w:rPr>
                <w:noProof/>
                <w:webHidden/>
              </w:rPr>
              <w:tab/>
            </w:r>
            <w:r>
              <w:rPr>
                <w:noProof/>
                <w:webHidden/>
              </w:rPr>
              <w:fldChar w:fldCharType="begin"/>
            </w:r>
            <w:r>
              <w:rPr>
                <w:noProof/>
                <w:webHidden/>
              </w:rPr>
              <w:instrText xml:space="preserve"> PAGEREF _Toc217003597 \h </w:instrText>
            </w:r>
            <w:r>
              <w:rPr>
                <w:noProof/>
                <w:webHidden/>
              </w:rPr>
            </w:r>
            <w:r>
              <w:rPr>
                <w:noProof/>
                <w:webHidden/>
              </w:rPr>
              <w:fldChar w:fldCharType="separate"/>
            </w:r>
            <w:r>
              <w:rPr>
                <w:noProof/>
                <w:webHidden/>
              </w:rPr>
              <w:t>1</w:t>
            </w:r>
            <w:r>
              <w:rPr>
                <w:noProof/>
                <w:webHidden/>
              </w:rPr>
              <w:fldChar w:fldCharType="end"/>
            </w:r>
          </w:hyperlink>
        </w:p>
        <w:p w14:paraId="4DAA1637" w14:textId="3D8BD826" w:rsidR="00406EC8" w:rsidRDefault="00406EC8">
          <w:pPr>
            <w:pStyle w:val="TOC1"/>
            <w:tabs>
              <w:tab w:val="right" w:leader="dot" w:pos="9016"/>
            </w:tabs>
            <w:rPr>
              <w:rFonts w:eastAsiaTheme="minorEastAsia"/>
              <w:b w:val="0"/>
              <w:bCs w:val="0"/>
              <w:i w:val="0"/>
              <w:iCs w:val="0"/>
              <w:noProof/>
              <w:lang w:eastAsia="en-GB"/>
            </w:rPr>
          </w:pPr>
          <w:hyperlink w:anchor="_Toc217003598" w:history="1">
            <w:r w:rsidRPr="000014BD">
              <w:rPr>
                <w:rStyle w:val="Hyperlink"/>
                <w:rFonts w:ascii="Arial" w:eastAsia="Times New Roman" w:hAnsi="Arial" w:cs="Arial"/>
                <w:noProof/>
                <w:lang w:eastAsia="en-GB"/>
              </w:rPr>
              <w:t>2.2 Self-Regulation</w:t>
            </w:r>
            <w:r>
              <w:rPr>
                <w:noProof/>
                <w:webHidden/>
              </w:rPr>
              <w:tab/>
            </w:r>
            <w:r>
              <w:rPr>
                <w:noProof/>
                <w:webHidden/>
              </w:rPr>
              <w:fldChar w:fldCharType="begin"/>
            </w:r>
            <w:r>
              <w:rPr>
                <w:noProof/>
                <w:webHidden/>
              </w:rPr>
              <w:instrText xml:space="preserve"> PAGEREF _Toc217003598 \h </w:instrText>
            </w:r>
            <w:r>
              <w:rPr>
                <w:noProof/>
                <w:webHidden/>
              </w:rPr>
            </w:r>
            <w:r>
              <w:rPr>
                <w:noProof/>
                <w:webHidden/>
              </w:rPr>
              <w:fldChar w:fldCharType="separate"/>
            </w:r>
            <w:r>
              <w:rPr>
                <w:noProof/>
                <w:webHidden/>
              </w:rPr>
              <w:t>2</w:t>
            </w:r>
            <w:r>
              <w:rPr>
                <w:noProof/>
                <w:webHidden/>
              </w:rPr>
              <w:fldChar w:fldCharType="end"/>
            </w:r>
          </w:hyperlink>
        </w:p>
        <w:p w14:paraId="1123094F" w14:textId="6B751ADA" w:rsidR="00406EC8" w:rsidRDefault="00406EC8">
          <w:pPr>
            <w:pStyle w:val="TOC1"/>
            <w:tabs>
              <w:tab w:val="right" w:leader="dot" w:pos="9016"/>
            </w:tabs>
            <w:rPr>
              <w:rFonts w:eastAsiaTheme="minorEastAsia"/>
              <w:b w:val="0"/>
              <w:bCs w:val="0"/>
              <w:i w:val="0"/>
              <w:iCs w:val="0"/>
              <w:noProof/>
              <w:lang w:eastAsia="en-GB"/>
            </w:rPr>
          </w:pPr>
          <w:hyperlink w:anchor="_Toc217003599" w:history="1">
            <w:r w:rsidRPr="000014BD">
              <w:rPr>
                <w:rStyle w:val="Hyperlink"/>
                <w:rFonts w:ascii="Arial" w:eastAsia="Times New Roman" w:hAnsi="Arial" w:cs="Arial"/>
                <w:noProof/>
                <w:lang w:eastAsia="en-GB"/>
              </w:rPr>
              <w:t>2.3 Motivation</w:t>
            </w:r>
            <w:r>
              <w:rPr>
                <w:noProof/>
                <w:webHidden/>
              </w:rPr>
              <w:tab/>
            </w:r>
            <w:r>
              <w:rPr>
                <w:noProof/>
                <w:webHidden/>
              </w:rPr>
              <w:fldChar w:fldCharType="begin"/>
            </w:r>
            <w:r>
              <w:rPr>
                <w:noProof/>
                <w:webHidden/>
              </w:rPr>
              <w:instrText xml:space="preserve"> PAGEREF _Toc217003599 \h </w:instrText>
            </w:r>
            <w:r>
              <w:rPr>
                <w:noProof/>
                <w:webHidden/>
              </w:rPr>
            </w:r>
            <w:r>
              <w:rPr>
                <w:noProof/>
                <w:webHidden/>
              </w:rPr>
              <w:fldChar w:fldCharType="separate"/>
            </w:r>
            <w:r>
              <w:rPr>
                <w:noProof/>
                <w:webHidden/>
              </w:rPr>
              <w:t>3</w:t>
            </w:r>
            <w:r>
              <w:rPr>
                <w:noProof/>
                <w:webHidden/>
              </w:rPr>
              <w:fldChar w:fldCharType="end"/>
            </w:r>
          </w:hyperlink>
        </w:p>
        <w:p w14:paraId="0828E090" w14:textId="78980210" w:rsidR="00406EC8" w:rsidRDefault="00406EC8">
          <w:pPr>
            <w:pStyle w:val="TOC1"/>
            <w:tabs>
              <w:tab w:val="right" w:leader="dot" w:pos="9016"/>
            </w:tabs>
            <w:rPr>
              <w:rFonts w:eastAsiaTheme="minorEastAsia"/>
              <w:b w:val="0"/>
              <w:bCs w:val="0"/>
              <w:i w:val="0"/>
              <w:iCs w:val="0"/>
              <w:noProof/>
              <w:lang w:eastAsia="en-GB"/>
            </w:rPr>
          </w:pPr>
          <w:hyperlink w:anchor="_Toc217003600" w:history="1">
            <w:r w:rsidRPr="000014BD">
              <w:rPr>
                <w:rStyle w:val="Hyperlink"/>
                <w:rFonts w:ascii="Arial" w:hAnsi="Arial" w:cs="Arial"/>
                <w:noProof/>
                <w:shd w:val="clear" w:color="auto" w:fill="FFFFFF"/>
              </w:rPr>
              <w:t>2.4 Empathy</w:t>
            </w:r>
            <w:r>
              <w:rPr>
                <w:noProof/>
                <w:webHidden/>
              </w:rPr>
              <w:tab/>
            </w:r>
            <w:r>
              <w:rPr>
                <w:noProof/>
                <w:webHidden/>
              </w:rPr>
              <w:fldChar w:fldCharType="begin"/>
            </w:r>
            <w:r>
              <w:rPr>
                <w:noProof/>
                <w:webHidden/>
              </w:rPr>
              <w:instrText xml:space="preserve"> PAGEREF _Toc217003600 \h </w:instrText>
            </w:r>
            <w:r>
              <w:rPr>
                <w:noProof/>
                <w:webHidden/>
              </w:rPr>
            </w:r>
            <w:r>
              <w:rPr>
                <w:noProof/>
                <w:webHidden/>
              </w:rPr>
              <w:fldChar w:fldCharType="separate"/>
            </w:r>
            <w:r>
              <w:rPr>
                <w:noProof/>
                <w:webHidden/>
              </w:rPr>
              <w:t>4</w:t>
            </w:r>
            <w:r>
              <w:rPr>
                <w:noProof/>
                <w:webHidden/>
              </w:rPr>
              <w:fldChar w:fldCharType="end"/>
            </w:r>
          </w:hyperlink>
        </w:p>
        <w:p w14:paraId="233BA505" w14:textId="1BA0990A" w:rsidR="00406EC8" w:rsidRDefault="00406EC8">
          <w:pPr>
            <w:pStyle w:val="TOC1"/>
            <w:tabs>
              <w:tab w:val="right" w:leader="dot" w:pos="9016"/>
            </w:tabs>
            <w:rPr>
              <w:rFonts w:eastAsiaTheme="minorEastAsia"/>
              <w:b w:val="0"/>
              <w:bCs w:val="0"/>
              <w:i w:val="0"/>
              <w:iCs w:val="0"/>
              <w:noProof/>
              <w:lang w:eastAsia="en-GB"/>
            </w:rPr>
          </w:pPr>
          <w:hyperlink w:anchor="_Toc217003601" w:history="1">
            <w:r w:rsidRPr="000014BD">
              <w:rPr>
                <w:rStyle w:val="Hyperlink"/>
                <w:rFonts w:ascii="Arial" w:hAnsi="Arial" w:cs="Arial"/>
                <w:noProof/>
                <w:shd w:val="clear" w:color="auto" w:fill="FFFFFF"/>
              </w:rPr>
              <w:t>2.5 Social Skills</w:t>
            </w:r>
            <w:r>
              <w:rPr>
                <w:noProof/>
                <w:webHidden/>
              </w:rPr>
              <w:tab/>
            </w:r>
            <w:r>
              <w:rPr>
                <w:noProof/>
                <w:webHidden/>
              </w:rPr>
              <w:fldChar w:fldCharType="begin"/>
            </w:r>
            <w:r>
              <w:rPr>
                <w:noProof/>
                <w:webHidden/>
              </w:rPr>
              <w:instrText xml:space="preserve"> PAGEREF _Toc217003601 \h </w:instrText>
            </w:r>
            <w:r>
              <w:rPr>
                <w:noProof/>
                <w:webHidden/>
              </w:rPr>
            </w:r>
            <w:r>
              <w:rPr>
                <w:noProof/>
                <w:webHidden/>
              </w:rPr>
              <w:fldChar w:fldCharType="separate"/>
            </w:r>
            <w:r>
              <w:rPr>
                <w:noProof/>
                <w:webHidden/>
              </w:rPr>
              <w:t>4</w:t>
            </w:r>
            <w:r>
              <w:rPr>
                <w:noProof/>
                <w:webHidden/>
              </w:rPr>
              <w:fldChar w:fldCharType="end"/>
            </w:r>
          </w:hyperlink>
        </w:p>
        <w:p w14:paraId="423666D7" w14:textId="7490A390" w:rsidR="00406EC8" w:rsidRDefault="00406EC8">
          <w:pPr>
            <w:pStyle w:val="TOC1"/>
            <w:tabs>
              <w:tab w:val="right" w:leader="dot" w:pos="9016"/>
            </w:tabs>
            <w:rPr>
              <w:rFonts w:eastAsiaTheme="minorEastAsia"/>
              <w:b w:val="0"/>
              <w:bCs w:val="0"/>
              <w:i w:val="0"/>
              <w:iCs w:val="0"/>
              <w:noProof/>
              <w:lang w:eastAsia="en-GB"/>
            </w:rPr>
          </w:pPr>
          <w:hyperlink w:anchor="_Toc217003602" w:history="1">
            <w:r w:rsidRPr="000014BD">
              <w:rPr>
                <w:rStyle w:val="Hyperlink"/>
                <w:rFonts w:ascii="Arial" w:eastAsia="Times New Roman" w:hAnsi="Arial" w:cs="Arial"/>
                <w:noProof/>
                <w:lang w:eastAsia="en-GB"/>
              </w:rPr>
              <w:t>3. Emotional Intelligence Across Generations in Recruitment</w:t>
            </w:r>
            <w:r>
              <w:rPr>
                <w:noProof/>
                <w:webHidden/>
              </w:rPr>
              <w:tab/>
            </w:r>
            <w:r>
              <w:rPr>
                <w:noProof/>
                <w:webHidden/>
              </w:rPr>
              <w:fldChar w:fldCharType="begin"/>
            </w:r>
            <w:r>
              <w:rPr>
                <w:noProof/>
                <w:webHidden/>
              </w:rPr>
              <w:instrText xml:space="preserve"> PAGEREF _Toc217003602 \h </w:instrText>
            </w:r>
            <w:r>
              <w:rPr>
                <w:noProof/>
                <w:webHidden/>
              </w:rPr>
            </w:r>
            <w:r>
              <w:rPr>
                <w:noProof/>
                <w:webHidden/>
              </w:rPr>
              <w:fldChar w:fldCharType="separate"/>
            </w:r>
            <w:r>
              <w:rPr>
                <w:noProof/>
                <w:webHidden/>
              </w:rPr>
              <w:t>5</w:t>
            </w:r>
            <w:r>
              <w:rPr>
                <w:noProof/>
                <w:webHidden/>
              </w:rPr>
              <w:fldChar w:fldCharType="end"/>
            </w:r>
          </w:hyperlink>
        </w:p>
        <w:p w14:paraId="3C141E85" w14:textId="04361134" w:rsidR="00406EC8" w:rsidRDefault="00406EC8">
          <w:pPr>
            <w:pStyle w:val="TOC1"/>
            <w:tabs>
              <w:tab w:val="right" w:leader="dot" w:pos="9016"/>
            </w:tabs>
            <w:rPr>
              <w:rFonts w:eastAsiaTheme="minorEastAsia"/>
              <w:b w:val="0"/>
              <w:bCs w:val="0"/>
              <w:i w:val="0"/>
              <w:iCs w:val="0"/>
              <w:noProof/>
              <w:lang w:eastAsia="en-GB"/>
            </w:rPr>
          </w:pPr>
          <w:hyperlink w:anchor="_Toc217003603" w:history="1">
            <w:r w:rsidRPr="000014BD">
              <w:rPr>
                <w:rStyle w:val="Hyperlink"/>
                <w:rFonts w:ascii="Arial" w:eastAsia="Times New Roman" w:hAnsi="Arial" w:cs="Arial"/>
                <w:noProof/>
                <w:lang w:eastAsia="en-GB"/>
              </w:rPr>
              <w:t>3.1 Traditionalists (Stability, hard work, post-war prosperity)</w:t>
            </w:r>
            <w:r>
              <w:rPr>
                <w:noProof/>
                <w:webHidden/>
              </w:rPr>
              <w:tab/>
            </w:r>
            <w:r>
              <w:rPr>
                <w:noProof/>
                <w:webHidden/>
              </w:rPr>
              <w:fldChar w:fldCharType="begin"/>
            </w:r>
            <w:r>
              <w:rPr>
                <w:noProof/>
                <w:webHidden/>
              </w:rPr>
              <w:instrText xml:space="preserve"> PAGEREF _Toc217003603 \h </w:instrText>
            </w:r>
            <w:r>
              <w:rPr>
                <w:noProof/>
                <w:webHidden/>
              </w:rPr>
            </w:r>
            <w:r>
              <w:rPr>
                <w:noProof/>
                <w:webHidden/>
              </w:rPr>
              <w:fldChar w:fldCharType="separate"/>
            </w:r>
            <w:r>
              <w:rPr>
                <w:noProof/>
                <w:webHidden/>
              </w:rPr>
              <w:t>6</w:t>
            </w:r>
            <w:r>
              <w:rPr>
                <w:noProof/>
                <w:webHidden/>
              </w:rPr>
              <w:fldChar w:fldCharType="end"/>
            </w:r>
          </w:hyperlink>
        </w:p>
        <w:p w14:paraId="6AE3BB0A" w14:textId="63EACAB3" w:rsidR="00406EC8" w:rsidRDefault="00406EC8">
          <w:pPr>
            <w:pStyle w:val="TOC1"/>
            <w:tabs>
              <w:tab w:val="right" w:leader="dot" w:pos="9016"/>
            </w:tabs>
            <w:rPr>
              <w:rFonts w:eastAsiaTheme="minorEastAsia"/>
              <w:b w:val="0"/>
              <w:bCs w:val="0"/>
              <w:i w:val="0"/>
              <w:iCs w:val="0"/>
              <w:noProof/>
              <w:lang w:eastAsia="en-GB"/>
            </w:rPr>
          </w:pPr>
          <w:hyperlink w:anchor="_Toc217003604" w:history="1">
            <w:r w:rsidRPr="000014BD">
              <w:rPr>
                <w:rStyle w:val="Hyperlink"/>
                <w:rFonts w:ascii="Arial" w:eastAsia="Times New Roman" w:hAnsi="Arial" w:cs="Arial"/>
                <w:noProof/>
                <w:lang w:eastAsia="en-GB"/>
              </w:rPr>
              <w:t>3.2 Baby Boomers 1946-1964 (Wealth of knowledge, career-minded, responsible)</w:t>
            </w:r>
            <w:r>
              <w:rPr>
                <w:noProof/>
                <w:webHidden/>
              </w:rPr>
              <w:tab/>
            </w:r>
            <w:r>
              <w:rPr>
                <w:noProof/>
                <w:webHidden/>
              </w:rPr>
              <w:fldChar w:fldCharType="begin"/>
            </w:r>
            <w:r>
              <w:rPr>
                <w:noProof/>
                <w:webHidden/>
              </w:rPr>
              <w:instrText xml:space="preserve"> PAGEREF _Toc217003604 \h </w:instrText>
            </w:r>
            <w:r>
              <w:rPr>
                <w:noProof/>
                <w:webHidden/>
              </w:rPr>
            </w:r>
            <w:r>
              <w:rPr>
                <w:noProof/>
                <w:webHidden/>
              </w:rPr>
              <w:fldChar w:fldCharType="separate"/>
            </w:r>
            <w:r>
              <w:rPr>
                <w:noProof/>
                <w:webHidden/>
              </w:rPr>
              <w:t>6</w:t>
            </w:r>
            <w:r>
              <w:rPr>
                <w:noProof/>
                <w:webHidden/>
              </w:rPr>
              <w:fldChar w:fldCharType="end"/>
            </w:r>
          </w:hyperlink>
        </w:p>
        <w:p w14:paraId="3D8B6FF6" w14:textId="5DD09E5A" w:rsidR="00406EC8" w:rsidRDefault="00406EC8">
          <w:pPr>
            <w:pStyle w:val="TOC1"/>
            <w:tabs>
              <w:tab w:val="right" w:leader="dot" w:pos="9016"/>
            </w:tabs>
            <w:rPr>
              <w:rFonts w:eastAsiaTheme="minorEastAsia"/>
              <w:b w:val="0"/>
              <w:bCs w:val="0"/>
              <w:i w:val="0"/>
              <w:iCs w:val="0"/>
              <w:noProof/>
              <w:lang w:eastAsia="en-GB"/>
            </w:rPr>
          </w:pPr>
          <w:hyperlink w:anchor="_Toc217003605" w:history="1">
            <w:r w:rsidRPr="000014BD">
              <w:rPr>
                <w:rStyle w:val="Hyperlink"/>
                <w:rFonts w:ascii="Arial" w:eastAsia="Times New Roman" w:hAnsi="Arial" w:cs="Arial"/>
                <w:noProof/>
                <w:lang w:eastAsia="en-GB"/>
              </w:rPr>
              <w:t>3.3 Generation X 1965-1980 (Work–life balance, tech-savvy, independent thinkers)</w:t>
            </w:r>
            <w:r>
              <w:rPr>
                <w:noProof/>
                <w:webHidden/>
              </w:rPr>
              <w:tab/>
            </w:r>
            <w:r>
              <w:rPr>
                <w:noProof/>
                <w:webHidden/>
              </w:rPr>
              <w:fldChar w:fldCharType="begin"/>
            </w:r>
            <w:r>
              <w:rPr>
                <w:noProof/>
                <w:webHidden/>
              </w:rPr>
              <w:instrText xml:space="preserve"> PAGEREF _Toc217003605 \h </w:instrText>
            </w:r>
            <w:r>
              <w:rPr>
                <w:noProof/>
                <w:webHidden/>
              </w:rPr>
            </w:r>
            <w:r>
              <w:rPr>
                <w:noProof/>
                <w:webHidden/>
              </w:rPr>
              <w:fldChar w:fldCharType="separate"/>
            </w:r>
            <w:r>
              <w:rPr>
                <w:noProof/>
                <w:webHidden/>
              </w:rPr>
              <w:t>7</w:t>
            </w:r>
            <w:r>
              <w:rPr>
                <w:noProof/>
                <w:webHidden/>
              </w:rPr>
              <w:fldChar w:fldCharType="end"/>
            </w:r>
          </w:hyperlink>
        </w:p>
        <w:p w14:paraId="2952F77A" w14:textId="6E21CBD5" w:rsidR="00406EC8" w:rsidRDefault="00406EC8">
          <w:pPr>
            <w:pStyle w:val="TOC1"/>
            <w:tabs>
              <w:tab w:val="right" w:leader="dot" w:pos="9016"/>
            </w:tabs>
            <w:rPr>
              <w:rFonts w:eastAsiaTheme="minorEastAsia"/>
              <w:b w:val="0"/>
              <w:bCs w:val="0"/>
              <w:i w:val="0"/>
              <w:iCs w:val="0"/>
              <w:noProof/>
              <w:lang w:eastAsia="en-GB"/>
            </w:rPr>
          </w:pPr>
          <w:hyperlink w:anchor="_Toc217003606" w:history="1">
            <w:r w:rsidRPr="000014BD">
              <w:rPr>
                <w:rStyle w:val="Hyperlink"/>
                <w:rFonts w:ascii="Arial" w:eastAsia="Times New Roman" w:hAnsi="Arial" w:cs="Arial"/>
                <w:noProof/>
                <w:lang w:eastAsia="en-GB"/>
              </w:rPr>
              <w:t>3.4 The Millennials/Generation Y are characterized as being tech-savvy, competitive, and data privacy-conscious</w:t>
            </w:r>
            <w:r>
              <w:rPr>
                <w:noProof/>
                <w:webHidden/>
              </w:rPr>
              <w:tab/>
            </w:r>
            <w:r>
              <w:rPr>
                <w:noProof/>
                <w:webHidden/>
              </w:rPr>
              <w:fldChar w:fldCharType="begin"/>
            </w:r>
            <w:r>
              <w:rPr>
                <w:noProof/>
                <w:webHidden/>
              </w:rPr>
              <w:instrText xml:space="preserve"> PAGEREF _Toc217003606 \h </w:instrText>
            </w:r>
            <w:r>
              <w:rPr>
                <w:noProof/>
                <w:webHidden/>
              </w:rPr>
            </w:r>
            <w:r>
              <w:rPr>
                <w:noProof/>
                <w:webHidden/>
              </w:rPr>
              <w:fldChar w:fldCharType="separate"/>
            </w:r>
            <w:r>
              <w:rPr>
                <w:noProof/>
                <w:webHidden/>
              </w:rPr>
              <w:t>7</w:t>
            </w:r>
            <w:r>
              <w:rPr>
                <w:noProof/>
                <w:webHidden/>
              </w:rPr>
              <w:fldChar w:fldCharType="end"/>
            </w:r>
          </w:hyperlink>
        </w:p>
        <w:p w14:paraId="6EECC541" w14:textId="041FFA81" w:rsidR="00406EC8" w:rsidRDefault="00406EC8">
          <w:pPr>
            <w:pStyle w:val="TOC1"/>
            <w:tabs>
              <w:tab w:val="right" w:leader="dot" w:pos="9016"/>
            </w:tabs>
            <w:rPr>
              <w:rFonts w:eastAsiaTheme="minorEastAsia"/>
              <w:b w:val="0"/>
              <w:bCs w:val="0"/>
              <w:i w:val="0"/>
              <w:iCs w:val="0"/>
              <w:noProof/>
              <w:lang w:eastAsia="en-GB"/>
            </w:rPr>
          </w:pPr>
          <w:hyperlink w:anchor="_Toc217003607" w:history="1">
            <w:r w:rsidRPr="000014BD">
              <w:rPr>
                <w:rStyle w:val="Hyperlink"/>
                <w:rFonts w:ascii="Arial" w:eastAsia="Times New Roman" w:hAnsi="Arial" w:cs="Arial"/>
                <w:noProof/>
                <w:lang w:eastAsia="en-GB"/>
              </w:rPr>
              <w:t>3.5 Generation Z (Pragmatic, savers and investors, prone to anxiety)</w:t>
            </w:r>
            <w:r>
              <w:rPr>
                <w:noProof/>
                <w:webHidden/>
              </w:rPr>
              <w:tab/>
            </w:r>
            <w:r>
              <w:rPr>
                <w:noProof/>
                <w:webHidden/>
              </w:rPr>
              <w:fldChar w:fldCharType="begin"/>
            </w:r>
            <w:r>
              <w:rPr>
                <w:noProof/>
                <w:webHidden/>
              </w:rPr>
              <w:instrText xml:space="preserve"> PAGEREF _Toc217003607 \h </w:instrText>
            </w:r>
            <w:r>
              <w:rPr>
                <w:noProof/>
                <w:webHidden/>
              </w:rPr>
            </w:r>
            <w:r>
              <w:rPr>
                <w:noProof/>
                <w:webHidden/>
              </w:rPr>
              <w:fldChar w:fldCharType="separate"/>
            </w:r>
            <w:r>
              <w:rPr>
                <w:noProof/>
                <w:webHidden/>
              </w:rPr>
              <w:t>8</w:t>
            </w:r>
            <w:r>
              <w:rPr>
                <w:noProof/>
                <w:webHidden/>
              </w:rPr>
              <w:fldChar w:fldCharType="end"/>
            </w:r>
          </w:hyperlink>
        </w:p>
        <w:p w14:paraId="0C5848D3" w14:textId="13864535" w:rsidR="00406EC8" w:rsidRDefault="00406EC8">
          <w:pPr>
            <w:pStyle w:val="TOC1"/>
            <w:tabs>
              <w:tab w:val="right" w:leader="dot" w:pos="9016"/>
            </w:tabs>
            <w:rPr>
              <w:rFonts w:eastAsiaTheme="minorEastAsia"/>
              <w:b w:val="0"/>
              <w:bCs w:val="0"/>
              <w:i w:val="0"/>
              <w:iCs w:val="0"/>
              <w:noProof/>
              <w:lang w:eastAsia="en-GB"/>
            </w:rPr>
          </w:pPr>
          <w:hyperlink w:anchor="_Toc217003608" w:history="1">
            <w:r w:rsidRPr="000014BD">
              <w:rPr>
                <w:rStyle w:val="Hyperlink"/>
                <w:rFonts w:ascii="Arial" w:eastAsia="Times New Roman" w:hAnsi="Arial" w:cs="Arial"/>
                <w:noProof/>
                <w:lang w:eastAsia="en-GB"/>
              </w:rPr>
              <w:t>4. Conclusion</w:t>
            </w:r>
            <w:r>
              <w:rPr>
                <w:noProof/>
                <w:webHidden/>
              </w:rPr>
              <w:tab/>
            </w:r>
            <w:r>
              <w:rPr>
                <w:noProof/>
                <w:webHidden/>
              </w:rPr>
              <w:fldChar w:fldCharType="begin"/>
            </w:r>
            <w:r>
              <w:rPr>
                <w:noProof/>
                <w:webHidden/>
              </w:rPr>
              <w:instrText xml:space="preserve"> PAGEREF _Toc217003608 \h </w:instrText>
            </w:r>
            <w:r>
              <w:rPr>
                <w:noProof/>
                <w:webHidden/>
              </w:rPr>
            </w:r>
            <w:r>
              <w:rPr>
                <w:noProof/>
                <w:webHidden/>
              </w:rPr>
              <w:fldChar w:fldCharType="separate"/>
            </w:r>
            <w:r>
              <w:rPr>
                <w:noProof/>
                <w:webHidden/>
              </w:rPr>
              <w:t>8</w:t>
            </w:r>
            <w:r>
              <w:rPr>
                <w:noProof/>
                <w:webHidden/>
              </w:rPr>
              <w:fldChar w:fldCharType="end"/>
            </w:r>
          </w:hyperlink>
        </w:p>
        <w:p w14:paraId="31EE8405" w14:textId="719181C9" w:rsidR="00406EC8" w:rsidRDefault="00406EC8">
          <w:pPr>
            <w:pStyle w:val="TOC1"/>
            <w:tabs>
              <w:tab w:val="right" w:leader="dot" w:pos="9016"/>
            </w:tabs>
            <w:rPr>
              <w:rFonts w:eastAsiaTheme="minorEastAsia"/>
              <w:b w:val="0"/>
              <w:bCs w:val="0"/>
              <w:i w:val="0"/>
              <w:iCs w:val="0"/>
              <w:noProof/>
              <w:lang w:eastAsia="en-GB"/>
            </w:rPr>
          </w:pPr>
          <w:hyperlink w:anchor="_Toc217003609" w:history="1">
            <w:r w:rsidRPr="000014BD">
              <w:rPr>
                <w:rStyle w:val="Hyperlink"/>
                <w:rFonts w:ascii="Arial" w:eastAsia="Times New Roman" w:hAnsi="Arial" w:cs="Arial"/>
                <w:noProof/>
                <w:lang w:eastAsia="en-GB"/>
              </w:rPr>
              <w:t>5. Recommendations</w:t>
            </w:r>
            <w:r>
              <w:rPr>
                <w:noProof/>
                <w:webHidden/>
              </w:rPr>
              <w:tab/>
            </w:r>
            <w:r>
              <w:rPr>
                <w:noProof/>
                <w:webHidden/>
              </w:rPr>
              <w:fldChar w:fldCharType="begin"/>
            </w:r>
            <w:r>
              <w:rPr>
                <w:noProof/>
                <w:webHidden/>
              </w:rPr>
              <w:instrText xml:space="preserve"> PAGEREF _Toc217003609 \h </w:instrText>
            </w:r>
            <w:r>
              <w:rPr>
                <w:noProof/>
                <w:webHidden/>
              </w:rPr>
            </w:r>
            <w:r>
              <w:rPr>
                <w:noProof/>
                <w:webHidden/>
              </w:rPr>
              <w:fldChar w:fldCharType="separate"/>
            </w:r>
            <w:r>
              <w:rPr>
                <w:noProof/>
                <w:webHidden/>
              </w:rPr>
              <w:t>9</w:t>
            </w:r>
            <w:r>
              <w:rPr>
                <w:noProof/>
                <w:webHidden/>
              </w:rPr>
              <w:fldChar w:fldCharType="end"/>
            </w:r>
          </w:hyperlink>
        </w:p>
        <w:p w14:paraId="264B8497" w14:textId="349EA1DB" w:rsidR="00406EC8" w:rsidRDefault="00406EC8">
          <w:pPr>
            <w:pStyle w:val="TOC1"/>
            <w:tabs>
              <w:tab w:val="right" w:leader="dot" w:pos="9016"/>
            </w:tabs>
            <w:rPr>
              <w:rFonts w:eastAsiaTheme="minorEastAsia"/>
              <w:b w:val="0"/>
              <w:bCs w:val="0"/>
              <w:i w:val="0"/>
              <w:iCs w:val="0"/>
              <w:noProof/>
              <w:lang w:eastAsia="en-GB"/>
            </w:rPr>
          </w:pPr>
          <w:hyperlink w:anchor="_Toc217003610" w:history="1">
            <w:r w:rsidRPr="000014BD">
              <w:rPr>
                <w:rStyle w:val="Hyperlink"/>
                <w:rFonts w:ascii="Arial" w:hAnsi="Arial" w:cs="Arial"/>
                <w:noProof/>
                <w:shd w:val="clear" w:color="auto" w:fill="FFFFFF"/>
              </w:rPr>
              <w:t>6. References</w:t>
            </w:r>
            <w:r>
              <w:rPr>
                <w:noProof/>
                <w:webHidden/>
              </w:rPr>
              <w:tab/>
            </w:r>
            <w:r>
              <w:rPr>
                <w:noProof/>
                <w:webHidden/>
              </w:rPr>
              <w:fldChar w:fldCharType="begin"/>
            </w:r>
            <w:r>
              <w:rPr>
                <w:noProof/>
                <w:webHidden/>
              </w:rPr>
              <w:instrText xml:space="preserve"> PAGEREF _Toc217003610 \h </w:instrText>
            </w:r>
            <w:r>
              <w:rPr>
                <w:noProof/>
                <w:webHidden/>
              </w:rPr>
            </w:r>
            <w:r>
              <w:rPr>
                <w:noProof/>
                <w:webHidden/>
              </w:rPr>
              <w:fldChar w:fldCharType="separate"/>
            </w:r>
            <w:r>
              <w:rPr>
                <w:noProof/>
                <w:webHidden/>
              </w:rPr>
              <w:t>9</w:t>
            </w:r>
            <w:r>
              <w:rPr>
                <w:noProof/>
                <w:webHidden/>
              </w:rPr>
              <w:fldChar w:fldCharType="end"/>
            </w:r>
          </w:hyperlink>
        </w:p>
        <w:p w14:paraId="7141FB5E" w14:textId="44B42E3E" w:rsidR="00406EC8" w:rsidRDefault="00406EC8">
          <w:r>
            <w:rPr>
              <w:b/>
              <w:bCs/>
              <w:noProof/>
            </w:rPr>
            <w:fldChar w:fldCharType="end"/>
          </w:r>
        </w:p>
      </w:sdtContent>
    </w:sdt>
    <w:p w14:paraId="37D9B47B" w14:textId="77777777" w:rsidR="008272BB" w:rsidRDefault="008272BB" w:rsidP="00F86B93">
      <w:pPr>
        <w:pStyle w:val="Heading1"/>
        <w:rPr>
          <w:rFonts w:ascii="Arial" w:hAnsi="Arial" w:cs="Arial"/>
          <w:b/>
          <w:bCs/>
          <w:sz w:val="22"/>
          <w:szCs w:val="22"/>
          <w:shd w:val="clear" w:color="auto" w:fill="FFFFFF"/>
        </w:rPr>
      </w:pPr>
    </w:p>
    <w:p w14:paraId="2D4EF317" w14:textId="0C51C405" w:rsidR="00E54699" w:rsidRPr="00F86B93" w:rsidRDefault="00F86B93" w:rsidP="00F86B93">
      <w:pPr>
        <w:pStyle w:val="Heading1"/>
        <w:rPr>
          <w:rFonts w:ascii="Arial" w:hAnsi="Arial" w:cs="Arial"/>
          <w:b/>
          <w:bCs/>
          <w:sz w:val="22"/>
          <w:szCs w:val="22"/>
          <w:shd w:val="clear" w:color="auto" w:fill="FFFFFF"/>
        </w:rPr>
      </w:pPr>
      <w:bookmarkStart w:id="0" w:name="_Toc217003595"/>
      <w:r w:rsidRPr="00F86B93">
        <w:rPr>
          <w:rFonts w:ascii="Arial" w:hAnsi="Arial" w:cs="Arial"/>
          <w:b/>
          <w:bCs/>
          <w:sz w:val="22"/>
          <w:szCs w:val="22"/>
          <w:shd w:val="clear" w:color="auto" w:fill="FFFFFF"/>
        </w:rPr>
        <w:t xml:space="preserve">1. </w:t>
      </w:r>
      <w:r w:rsidR="00E54699" w:rsidRPr="00F86B93">
        <w:rPr>
          <w:rFonts w:ascii="Arial" w:hAnsi="Arial" w:cs="Arial"/>
          <w:b/>
          <w:bCs/>
          <w:sz w:val="22"/>
          <w:szCs w:val="22"/>
          <w:shd w:val="clear" w:color="auto" w:fill="FFFFFF"/>
        </w:rPr>
        <w:t>Introduction</w:t>
      </w:r>
      <w:bookmarkEnd w:id="0"/>
      <w:r w:rsidR="00E54699" w:rsidRPr="00F86B93">
        <w:rPr>
          <w:rFonts w:ascii="Arial" w:hAnsi="Arial" w:cs="Arial"/>
          <w:b/>
          <w:bCs/>
          <w:sz w:val="22"/>
          <w:szCs w:val="22"/>
          <w:shd w:val="clear" w:color="auto" w:fill="FFFFFF"/>
        </w:rPr>
        <w:t xml:space="preserve"> </w:t>
      </w:r>
    </w:p>
    <w:p w14:paraId="049A779E" w14:textId="77777777" w:rsidR="00E54699" w:rsidRPr="00F86B93" w:rsidRDefault="00E54699" w:rsidP="00F86B93">
      <w:pPr>
        <w:spacing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Emotional Intelligence (EI) has emerged as a crucial skill for employees and executives alike in the modern workplace, especially in a diverse and multi-generation workplace environment. Ability to recognize emotions, control behavior, and react accordingly to other people is the backbone of efficient leadership, teamwork, and the evaluation of employees. This paper uses the framework of Emotional Intelligence proposed by Daniel Goleman to critically evaluate the essential constructs of EI in the modern workplace and the differences in those constructs for the different generations of employees during the evaluation process. In combining the constructs of emotional intelligence with the characteristics of the different generations of employees, the discussion highlights the use of emotional intelligence by the manager to improve the evaluation of employees. The discussion recognizes the advantages and disadvantages of EI. It recognizes the fact that EI requires ethical management.</w:t>
      </w:r>
    </w:p>
    <w:p w14:paraId="4BAB4A5C" w14:textId="77777777" w:rsidR="00E54699" w:rsidRPr="00F86B93" w:rsidRDefault="00E54699" w:rsidP="00F86B93">
      <w:pPr>
        <w:spacing w:line="360" w:lineRule="auto"/>
        <w:rPr>
          <w:rFonts w:ascii="Arial" w:hAnsi="Arial" w:cs="Arial"/>
          <w:color w:val="000000" w:themeColor="text1"/>
          <w:sz w:val="22"/>
          <w:szCs w:val="22"/>
          <w:shd w:val="clear" w:color="auto" w:fill="FFFFFF"/>
        </w:rPr>
      </w:pPr>
    </w:p>
    <w:p w14:paraId="0976FE50" w14:textId="6BE18EDB" w:rsidR="00C33AC5" w:rsidRPr="00F86B93" w:rsidRDefault="00E54699" w:rsidP="00F86B93">
      <w:pPr>
        <w:pStyle w:val="Heading1"/>
        <w:rPr>
          <w:rFonts w:ascii="Arial" w:hAnsi="Arial" w:cs="Arial"/>
          <w:b/>
          <w:bCs/>
          <w:sz w:val="22"/>
          <w:szCs w:val="22"/>
          <w:shd w:val="clear" w:color="auto" w:fill="FFFFFF"/>
        </w:rPr>
      </w:pPr>
      <w:r w:rsidRPr="00F86B93">
        <w:rPr>
          <w:rFonts w:ascii="Arial" w:hAnsi="Arial" w:cs="Arial"/>
          <w:b/>
          <w:bCs/>
          <w:sz w:val="22"/>
          <w:szCs w:val="22"/>
          <w:shd w:val="clear" w:color="auto" w:fill="FFFFFF"/>
        </w:rPr>
        <w:t xml:space="preserve"> </w:t>
      </w:r>
      <w:bookmarkStart w:id="1" w:name="_Toc217003596"/>
      <w:r w:rsidR="00F86B93" w:rsidRPr="00F86B93">
        <w:rPr>
          <w:rFonts w:ascii="Arial" w:hAnsi="Arial" w:cs="Arial"/>
          <w:b/>
          <w:bCs/>
          <w:sz w:val="22"/>
          <w:szCs w:val="22"/>
          <w:shd w:val="clear" w:color="auto" w:fill="FFFFFF"/>
        </w:rPr>
        <w:t xml:space="preserve">2. </w:t>
      </w:r>
      <w:r w:rsidRPr="00F86B93">
        <w:rPr>
          <w:rFonts w:ascii="Arial" w:hAnsi="Arial" w:cs="Arial"/>
          <w:b/>
          <w:bCs/>
          <w:sz w:val="22"/>
          <w:szCs w:val="22"/>
          <w:shd w:val="clear" w:color="auto" w:fill="FFFFFF"/>
        </w:rPr>
        <w:t>Critical Evaluation of Emotional Intelligence Using Goleman’s Model</w:t>
      </w:r>
      <w:bookmarkEnd w:id="1"/>
      <w:r w:rsidRPr="00F86B93">
        <w:rPr>
          <w:rFonts w:ascii="Arial" w:hAnsi="Arial" w:cs="Arial"/>
          <w:b/>
          <w:bCs/>
          <w:sz w:val="22"/>
          <w:szCs w:val="22"/>
          <w:shd w:val="clear" w:color="auto" w:fill="FFFFFF"/>
        </w:rPr>
        <w:t xml:space="preserve"> </w:t>
      </w:r>
    </w:p>
    <w:p w14:paraId="6D4712AD" w14:textId="63844B41" w:rsidR="008272BB" w:rsidRPr="008272BB" w:rsidRDefault="008272BB" w:rsidP="008272BB">
      <w:pPr>
        <w:pStyle w:val="Heading1"/>
        <w:rPr>
          <w:rFonts w:ascii="Arial" w:hAnsi="Arial" w:cs="Arial"/>
          <w:sz w:val="22"/>
          <w:szCs w:val="22"/>
          <w:shd w:val="clear" w:color="auto" w:fill="FFFFFF"/>
        </w:rPr>
      </w:pPr>
      <w:bookmarkStart w:id="2" w:name="_Toc217003597"/>
      <w:r w:rsidRPr="008272BB">
        <w:rPr>
          <w:rFonts w:ascii="Arial" w:hAnsi="Arial" w:cs="Arial"/>
          <w:sz w:val="22"/>
          <w:szCs w:val="22"/>
          <w:shd w:val="clear" w:color="auto" w:fill="FFFFFF"/>
        </w:rPr>
        <w:t>2.1 Self-awareness</w:t>
      </w:r>
      <w:bookmarkEnd w:id="2"/>
    </w:p>
    <w:p w14:paraId="091AA10C" w14:textId="518EC5CC" w:rsidR="00E54699" w:rsidRPr="00F86B93" w:rsidRDefault="00E54699" w:rsidP="00F86B93">
      <w:pPr>
        <w:spacing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Self-awareness represents the basis of the EI model proposed by Goleman.</w:t>
      </w:r>
      <w:r w:rsidRPr="00F86B93">
        <w:rPr>
          <w:rFonts w:ascii="Arial" w:hAnsi="Arial" w:cs="Arial"/>
          <w:color w:val="000000" w:themeColor="text1"/>
          <w:sz w:val="22"/>
          <w:szCs w:val="22"/>
          <w:shd w:val="clear" w:color="auto" w:fill="FFFFFF"/>
        </w:rPr>
        <w:t xml:space="preserve"> </w:t>
      </w:r>
      <w:r w:rsidRPr="00F86B93">
        <w:rPr>
          <w:rFonts w:ascii="Arial" w:hAnsi="Arial" w:cs="Arial"/>
          <w:color w:val="000000" w:themeColor="text1"/>
          <w:sz w:val="22"/>
          <w:szCs w:val="22"/>
          <w:shd w:val="clear" w:color="auto" w:fill="FFFFFF"/>
        </w:rPr>
        <w:t>The construct pertains to the individual’s ability to understand his/her emotions, moods, strengths, weaknesses, and emotional triggers (Goleman, 2020). Coming to the organizational context, self-awareness allows the individual to assess the impact that their emotional condition has on their behavior and interactions. People who score high on self-awareness are known to receive feedback positively, have a correct impression of their potential, and are able to behave according to the values of the organizations they work for.</w:t>
      </w:r>
    </w:p>
    <w:p w14:paraId="39FE90A8" w14:textId="77777777" w:rsidR="00E54699" w:rsidRPr="00F86B93" w:rsidRDefault="00E54699" w:rsidP="00F86B93">
      <w:pPr>
        <w:spacing w:line="360" w:lineRule="auto"/>
        <w:rPr>
          <w:rFonts w:ascii="Arial" w:hAnsi="Arial" w:cs="Arial"/>
          <w:color w:val="000000" w:themeColor="text1"/>
          <w:sz w:val="22"/>
          <w:szCs w:val="22"/>
          <w:shd w:val="clear" w:color="auto" w:fill="FFFFFF"/>
        </w:rPr>
      </w:pPr>
    </w:p>
    <w:p w14:paraId="3B1F4BF3" w14:textId="0E804ADA" w:rsidR="00E54699" w:rsidRPr="00F86B93" w:rsidRDefault="00E54699" w:rsidP="00F86B93">
      <w:pPr>
        <w:spacing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This is supported by the Bar-On Model, which has an intrapersonal part that comprises emotional self-awareness, self-regard, and emotional expressiveness (Singh, 2006). Both models are in agreement on the importance of emotional awareness as the precursor for handling emotions effectively. Bar-On, however, further refines this by relating awareness to psychological well-being, as a lack of emotional awareness leads to an individual being more vulnerable to work-related stresses and breakdowns.</w:t>
      </w:r>
    </w:p>
    <w:p w14:paraId="0456CE9B" w14:textId="77777777" w:rsidR="00E54699" w:rsidRPr="00F86B93" w:rsidRDefault="00E54699" w:rsidP="00F86B93">
      <w:pPr>
        <w:spacing w:line="360" w:lineRule="auto"/>
        <w:rPr>
          <w:rFonts w:ascii="Arial" w:hAnsi="Arial" w:cs="Arial"/>
          <w:color w:val="000000" w:themeColor="text1"/>
          <w:sz w:val="22"/>
          <w:szCs w:val="22"/>
          <w:shd w:val="clear" w:color="auto" w:fill="FFFFFF"/>
        </w:rPr>
      </w:pPr>
    </w:p>
    <w:p w14:paraId="3D33B50A" w14:textId="77777777" w:rsidR="00EF6CE8" w:rsidRPr="00F86B93" w:rsidRDefault="00EF6CE8"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Mindfulness interventions, especially the Mindfulness-Based Stress Reduction (MBSR) program, improve awareness by teaching people to monitor their minds and emotions without engaging with them judgmentally. This allows workers to recognize the state they are in and the reasons for such occurrences, as stated by Karelaia and Reb (2014). This allows them to reflect on their actions before engaging with the situation; mindfulness helps workers become more aware of their inner affective states and reduces impulsive behaviors.</w:t>
      </w:r>
    </w:p>
    <w:p w14:paraId="2DC08F54" w14:textId="77777777" w:rsidR="00EF6CE8" w:rsidRPr="00F86B93" w:rsidRDefault="00EF6CE8" w:rsidP="00F86B93">
      <w:pPr>
        <w:spacing w:line="360" w:lineRule="auto"/>
        <w:rPr>
          <w:rFonts w:ascii="Arial" w:eastAsia="Times New Roman" w:hAnsi="Arial" w:cs="Arial"/>
          <w:color w:val="000000" w:themeColor="text1"/>
          <w:kern w:val="0"/>
          <w:sz w:val="22"/>
          <w:szCs w:val="22"/>
          <w:lang w:eastAsia="en-GB"/>
          <w14:ligatures w14:val="none"/>
        </w:rPr>
      </w:pPr>
      <w:r w:rsidRPr="00F86B93">
        <w:rPr>
          <w:rFonts w:ascii="Arial" w:eastAsia="Times New Roman" w:hAnsi="Arial" w:cs="Arial"/>
          <w:color w:val="000000" w:themeColor="text1"/>
          <w:kern w:val="0"/>
          <w:sz w:val="22"/>
          <w:szCs w:val="22"/>
          <w:shd w:val="clear" w:color="auto" w:fill="FFFFFF"/>
          <w:lang w:eastAsia="en-GB"/>
          <w14:ligatures w14:val="none"/>
        </w:rPr>
        <w:t xml:space="preserve">In practical aspects, people participating in mindfulness training show a better ability to identify emotions such as stress, frustration, and/or anxiety prior to these states becoming a problem associated with job performance or interpersonal issues at the workplace with fellow employees. A worker, for example, exhibiting frustration signals during a group talk would behave accordingly to avoid conflicts. </w:t>
      </w:r>
    </w:p>
    <w:p w14:paraId="7265CEBD" w14:textId="77777777" w:rsidR="00A875D7" w:rsidRPr="00F86B93" w:rsidRDefault="00A875D7" w:rsidP="00F86B93">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86B93">
        <w:rPr>
          <w:rFonts w:ascii="Arial" w:eastAsia="Times New Roman" w:hAnsi="Arial" w:cs="Arial"/>
          <w:color w:val="000000" w:themeColor="text1"/>
          <w:kern w:val="0"/>
          <w:sz w:val="22"/>
          <w:szCs w:val="22"/>
          <w:lang w:eastAsia="en-GB"/>
          <w14:ligatures w14:val="none"/>
        </w:rPr>
        <w:t xml:space="preserve">However, while self-awareness is a vital part of emotional intelligence, it can also be challenging, especially in workplaces that strongly focus on performance and results. Employees may feel uncomfortable reflecting on their emotions if they fear judgement or negative consequences. In the absence of a psychologically supportive environment, </w:t>
      </w:r>
      <w:r w:rsidRPr="00F86B93">
        <w:rPr>
          <w:rFonts w:ascii="Arial" w:eastAsia="Times New Roman" w:hAnsi="Arial" w:cs="Arial"/>
          <w:color w:val="000000" w:themeColor="text1"/>
          <w:kern w:val="0"/>
          <w:sz w:val="22"/>
          <w:szCs w:val="22"/>
          <w:lang w:eastAsia="en-GB"/>
          <w14:ligatures w14:val="none"/>
        </w:rPr>
        <w:lastRenderedPageBreak/>
        <w:t>individuals may be less willing to engage in honest self-exploration. This can weaken the accuracy of self-assessment and reduce the effectiveness of emotional intelligence development programmes.</w:t>
      </w:r>
    </w:p>
    <w:p w14:paraId="46B92A23" w14:textId="77777777" w:rsidR="00A875D7" w:rsidRPr="00F86B93" w:rsidRDefault="00A875D7" w:rsidP="00F86B93">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86B93">
        <w:rPr>
          <w:rFonts w:ascii="Arial" w:eastAsia="Times New Roman" w:hAnsi="Arial" w:cs="Arial"/>
          <w:color w:val="000000" w:themeColor="text1"/>
          <w:kern w:val="0"/>
          <w:sz w:val="22"/>
          <w:szCs w:val="22"/>
          <w:lang w:eastAsia="en-GB"/>
          <w14:ligatures w14:val="none"/>
        </w:rPr>
        <w:t>Therefore, organisations must create a safe and supportive culture where employees feel encouraged to reflect on their emotions without fear. When combined with mindfulness practices, such environments allow self-awareness to develop fully and contribute positively to emotional intelligence and overall workplace wellbeing.</w:t>
      </w:r>
    </w:p>
    <w:p w14:paraId="489255C2" w14:textId="77777777" w:rsidR="00A875D7" w:rsidRPr="00F86B93" w:rsidRDefault="00090C3E" w:rsidP="00F86B93">
      <w:pPr>
        <w:spacing w:line="360" w:lineRule="auto"/>
        <w:rPr>
          <w:rFonts w:ascii="Arial" w:eastAsia="Times New Roman" w:hAnsi="Arial" w:cs="Arial"/>
          <w:color w:val="000000" w:themeColor="text1"/>
          <w:kern w:val="0"/>
          <w:sz w:val="22"/>
          <w:szCs w:val="22"/>
          <w:lang w:eastAsia="en-GB"/>
          <w14:ligatures w14:val="none"/>
        </w:rPr>
      </w:pPr>
      <w:r w:rsidRPr="00090C3E">
        <w:rPr>
          <w:rFonts w:ascii="Arial" w:eastAsia="Times New Roman" w:hAnsi="Arial" w:cs="Arial"/>
          <w:noProof/>
          <w:color w:val="000000" w:themeColor="text1"/>
          <w:kern w:val="0"/>
          <w:sz w:val="22"/>
          <w:szCs w:val="22"/>
          <w:lang w:eastAsia="en-GB"/>
        </w:rPr>
        <w:pict w14:anchorId="2C80A7EB">
          <v:rect id="_x0000_i1029" alt="" style="width:451.3pt;height:.05pt;mso-width-percent:0;mso-height-percent:0;mso-width-percent:0;mso-height-percent:0" o:hralign="center" o:hrstd="t" o:hr="t" fillcolor="#a0a0a0" stroked="f"/>
        </w:pict>
      </w:r>
    </w:p>
    <w:p w14:paraId="7DDE1DB0" w14:textId="59345A3C" w:rsidR="001B486E" w:rsidRPr="008272BB" w:rsidRDefault="008272BB" w:rsidP="008272BB">
      <w:pPr>
        <w:pStyle w:val="Heading1"/>
        <w:rPr>
          <w:rFonts w:ascii="Arial" w:eastAsia="Times New Roman" w:hAnsi="Arial" w:cs="Arial"/>
          <w:sz w:val="22"/>
          <w:szCs w:val="22"/>
          <w:lang w:eastAsia="en-GB"/>
        </w:rPr>
      </w:pPr>
      <w:bookmarkStart w:id="3" w:name="_Toc217003598"/>
      <w:r w:rsidRPr="008272BB">
        <w:rPr>
          <w:rFonts w:ascii="Arial" w:eastAsia="Times New Roman" w:hAnsi="Arial" w:cs="Arial"/>
          <w:sz w:val="22"/>
          <w:szCs w:val="22"/>
          <w:lang w:eastAsia="en-GB"/>
        </w:rPr>
        <w:t xml:space="preserve">2.2 </w:t>
      </w:r>
      <w:r w:rsidR="001B486E" w:rsidRPr="008272BB">
        <w:rPr>
          <w:rFonts w:ascii="Arial" w:eastAsia="Times New Roman" w:hAnsi="Arial" w:cs="Arial"/>
          <w:sz w:val="22"/>
          <w:szCs w:val="22"/>
          <w:lang w:eastAsia="en-GB"/>
        </w:rPr>
        <w:t>Self-Regulation</w:t>
      </w:r>
      <w:bookmarkEnd w:id="3"/>
    </w:p>
    <w:p w14:paraId="5169BBE6" w14:textId="3F9BED94" w:rsidR="00F12C1F" w:rsidRPr="00F86B93" w:rsidRDefault="00F12C1F" w:rsidP="00F86B93">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86B93">
        <w:rPr>
          <w:rFonts w:ascii="Arial" w:hAnsi="Arial" w:cs="Arial"/>
          <w:color w:val="000000" w:themeColor="text1"/>
          <w:sz w:val="22"/>
          <w:szCs w:val="22"/>
          <w:shd w:val="clear" w:color="auto" w:fill="FFFFFF"/>
        </w:rPr>
        <w:t>Self-regulation is the ability to control emotions, impulses, or destructive feelings in a constructive way. As cited in Goleman (2020), a person with high emotional intelligence is able to keep his cool in stressful situations, is flexible in situations involving change, and acts in a planned way instead of acting impulsively. In business, self-regulation helps in professionalism, morality, and managing conflict.</w:t>
      </w:r>
    </w:p>
    <w:p w14:paraId="605A566C" w14:textId="77777777" w:rsidR="00F12C1F"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The Bar-On Model supports this element through its stress-management component. It encompasses impulse control and stress tolerance (Singh, 2006). Employees who possess excellent stress-management capabilities are likely to be able to deal effectively with the pressures of their work and the changes that occur within the organization.</w:t>
      </w:r>
    </w:p>
    <w:p w14:paraId="04B24E58" w14:textId="77777777" w:rsidR="00F12C1F"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MBSR has an important function in improving self-regulation by promoting the control of attention and emotional regulation. The practice of mindfulness introduces a pause between the reaction to the stimulus and the reaction itself, so that people are able to make appropriate responses instead of following the emotional urge (Karelaia and Reb, 2014). For instance, the worker will react positively to the criticism received in the workplace.</w:t>
      </w:r>
    </w:p>
    <w:p w14:paraId="47744908" w14:textId="77777777" w:rsidR="00F12C1F" w:rsidRPr="00F86B93" w:rsidRDefault="00F12C1F" w:rsidP="00F86B93">
      <w:pPr>
        <w:spacing w:line="360" w:lineRule="auto"/>
        <w:rPr>
          <w:rFonts w:ascii="Arial" w:eastAsia="Times New Roman" w:hAnsi="Arial" w:cs="Arial"/>
          <w:color w:val="000000" w:themeColor="text1"/>
          <w:kern w:val="0"/>
          <w:sz w:val="22"/>
          <w:szCs w:val="22"/>
          <w:lang w:eastAsia="en-GB"/>
          <w14:ligatures w14:val="none"/>
        </w:rPr>
      </w:pPr>
      <w:r w:rsidRPr="00F86B93">
        <w:rPr>
          <w:rFonts w:ascii="Arial" w:hAnsi="Arial" w:cs="Arial"/>
          <w:color w:val="000000" w:themeColor="text1"/>
          <w:sz w:val="22"/>
          <w:szCs w:val="22"/>
          <w:shd w:val="clear" w:color="auto" w:fill="FFFFFF"/>
        </w:rPr>
        <w:t>However, the argument between researchers and theorists suggests that there is a risk that emphasizing self-regulation in this context may have a negative effect on emotional regulation and overall mental health because of the suppression of emotions that may result.</w:t>
      </w:r>
      <w:r w:rsidR="00090C3E" w:rsidRPr="00090C3E">
        <w:rPr>
          <w:rFonts w:ascii="Arial" w:eastAsia="Times New Roman" w:hAnsi="Arial" w:cs="Arial"/>
          <w:noProof/>
          <w:color w:val="000000" w:themeColor="text1"/>
          <w:kern w:val="0"/>
          <w:sz w:val="22"/>
          <w:szCs w:val="22"/>
          <w:lang w:eastAsia="en-GB"/>
        </w:rPr>
        <w:pict w14:anchorId="3662E389">
          <v:rect id="_x0000_i1028" alt="" style="width:451.3pt;height:.05pt;mso-width-percent:0;mso-height-percent:0;mso-width-percent:0;mso-height-percent:0" o:hralign="center" o:hrstd="t" o:hr="t" fillcolor="#a0a0a0" stroked="f"/>
        </w:pict>
      </w:r>
    </w:p>
    <w:p w14:paraId="73B2A599" w14:textId="7D29EA9C" w:rsidR="00F12C1F" w:rsidRPr="008272BB" w:rsidRDefault="008272BB" w:rsidP="008272BB">
      <w:pPr>
        <w:pStyle w:val="Heading1"/>
        <w:rPr>
          <w:rFonts w:ascii="Arial" w:eastAsia="Times New Roman" w:hAnsi="Arial" w:cs="Arial"/>
          <w:sz w:val="22"/>
          <w:szCs w:val="22"/>
          <w:lang w:eastAsia="en-GB"/>
        </w:rPr>
      </w:pPr>
      <w:bookmarkStart w:id="4" w:name="_Toc217003599"/>
      <w:r w:rsidRPr="008272BB">
        <w:rPr>
          <w:rFonts w:ascii="Arial" w:eastAsia="Times New Roman" w:hAnsi="Arial" w:cs="Arial"/>
          <w:sz w:val="22"/>
          <w:szCs w:val="22"/>
          <w:lang w:eastAsia="en-GB"/>
        </w:rPr>
        <w:t xml:space="preserve">2.3 </w:t>
      </w:r>
      <w:r w:rsidR="00F12C1F" w:rsidRPr="008272BB">
        <w:rPr>
          <w:rFonts w:ascii="Arial" w:eastAsia="Times New Roman" w:hAnsi="Arial" w:cs="Arial"/>
          <w:sz w:val="22"/>
          <w:szCs w:val="22"/>
          <w:lang w:eastAsia="en-GB"/>
        </w:rPr>
        <w:t>Motivation</w:t>
      </w:r>
      <w:bookmarkEnd w:id="4"/>
    </w:p>
    <w:p w14:paraId="2787E6A7" w14:textId="77777777" w:rsidR="00F12C1F"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 xml:space="preserve">According to Goleman’s model, motivation entails the internal drive to achieve goals with enthusiasm, persistence, and hope without any external reward (Goleman, 2020). </w:t>
      </w:r>
      <w:r w:rsidRPr="00F86B93">
        <w:rPr>
          <w:rFonts w:ascii="Arial" w:hAnsi="Arial" w:cs="Arial"/>
          <w:color w:val="000000" w:themeColor="text1"/>
          <w:sz w:val="22"/>
          <w:szCs w:val="22"/>
          <w:shd w:val="clear" w:color="auto" w:fill="FFFFFF"/>
        </w:rPr>
        <w:lastRenderedPageBreak/>
        <w:t>Employees with high EI tend to act in a resilient, committed, and purposeful manner; all these qualities are necessary in a dynamic workplace.</w:t>
      </w:r>
    </w:p>
    <w:p w14:paraId="23A8691D" w14:textId="77777777" w:rsidR="00F12C1F"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The Bar-On Model is relevant to this element with the help of the general mood factor that includes optimism and happiness (Singh, 2006). These positive experiences facilitate long-term motivation and improve problem-solving and creativity skills. Studies show there is a contribution from emotionally intelligent workers towards increased employee engagement and employee satisfaction, stemming from improved employee performance and retention (Johennesse and Pressley, 2023).</w:t>
      </w:r>
    </w:p>
    <w:p w14:paraId="0E5FF6FC" w14:textId="77777777" w:rsidR="00F12C1F"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 xml:space="preserve">Mindfulness practices positively impact the motivation of employees by improving concentration and overcoming emotional exhaustion. Mindfulness enables people to disengage from the technological-related stress of modern society and helps them focus on important works. According to Pickert (2014), the presence of mindful employees positively influences the motivation of the employees within the organization because they are able to coordinate the organizational priorities effectively. </w:t>
      </w:r>
    </w:p>
    <w:p w14:paraId="50984D66" w14:textId="296B2465" w:rsidR="001B486E"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Most importantly, intrinsic motivations cannot thrive within an unfavorable organizational environment. This can cause demotivation among high-EI employees if they experience injustice and inequality, constrained development, or an overcrowded workload.</w:t>
      </w:r>
    </w:p>
    <w:p w14:paraId="77DB77C2" w14:textId="398E37CD" w:rsidR="00F86B93" w:rsidRPr="00F86B93" w:rsidRDefault="00090C3E" w:rsidP="00F86B93">
      <w:pPr>
        <w:spacing w:before="100" w:beforeAutospacing="1" w:after="100" w:afterAutospacing="1" w:line="360" w:lineRule="auto"/>
        <w:rPr>
          <w:rFonts w:ascii="Arial" w:hAnsi="Arial" w:cs="Arial"/>
          <w:color w:val="000000" w:themeColor="text1"/>
          <w:sz w:val="22"/>
          <w:szCs w:val="22"/>
          <w:shd w:val="clear" w:color="auto" w:fill="FFFFFF"/>
        </w:rPr>
      </w:pPr>
      <w:r w:rsidRPr="00090C3E">
        <w:rPr>
          <w:rFonts w:ascii="Arial" w:eastAsia="Times New Roman" w:hAnsi="Arial" w:cs="Arial"/>
          <w:noProof/>
          <w:color w:val="000000" w:themeColor="text1"/>
          <w:kern w:val="0"/>
          <w:sz w:val="22"/>
          <w:szCs w:val="22"/>
          <w:lang w:eastAsia="en-GB"/>
        </w:rPr>
        <w:pict w14:anchorId="415726BA">
          <v:rect id="_x0000_i1027" alt="" style="width:451.3pt;height:.05pt;mso-width-percent:0;mso-height-percent:0;mso-width-percent:0;mso-height-percent:0" o:hralign="center" o:hrstd="t" o:hr="t" fillcolor="#a0a0a0" stroked="f"/>
        </w:pict>
      </w:r>
    </w:p>
    <w:p w14:paraId="1EC8CB2D" w14:textId="762C5066" w:rsidR="00BE78B1" w:rsidRPr="008272BB" w:rsidRDefault="008272BB" w:rsidP="008272BB">
      <w:pPr>
        <w:pStyle w:val="Heading1"/>
        <w:rPr>
          <w:rFonts w:ascii="Arial" w:hAnsi="Arial" w:cs="Arial"/>
          <w:sz w:val="22"/>
          <w:szCs w:val="22"/>
          <w:shd w:val="clear" w:color="auto" w:fill="FFFFFF"/>
        </w:rPr>
      </w:pPr>
      <w:bookmarkStart w:id="5" w:name="_Toc217003600"/>
      <w:r w:rsidRPr="008272BB">
        <w:rPr>
          <w:rFonts w:ascii="Arial" w:hAnsi="Arial" w:cs="Arial"/>
          <w:sz w:val="22"/>
          <w:szCs w:val="22"/>
          <w:shd w:val="clear" w:color="auto" w:fill="FFFFFF"/>
        </w:rPr>
        <w:t xml:space="preserve">2.4 </w:t>
      </w:r>
      <w:r w:rsidR="00BE78B1" w:rsidRPr="008272BB">
        <w:rPr>
          <w:rFonts w:ascii="Arial" w:hAnsi="Arial" w:cs="Arial"/>
          <w:sz w:val="22"/>
          <w:szCs w:val="22"/>
          <w:shd w:val="clear" w:color="auto" w:fill="FFFFFF"/>
        </w:rPr>
        <w:t>Empathy</w:t>
      </w:r>
      <w:bookmarkEnd w:id="5"/>
    </w:p>
    <w:p w14:paraId="68A43574" w14:textId="77777777" w:rsidR="00BE78B1" w:rsidRPr="00F86B93" w:rsidRDefault="00BE78B1"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rPr>
        <w:t>Empathy includes the ability to understand and appreciate another person’s feelings and needs.</w:t>
      </w:r>
      <w:r w:rsidRPr="00F86B93">
        <w:rPr>
          <w:rFonts w:ascii="Arial" w:hAnsi="Arial" w:cs="Arial"/>
          <w:color w:val="000000" w:themeColor="text1"/>
          <w:sz w:val="22"/>
          <w:szCs w:val="22"/>
          <w:shd w:val="clear" w:color="auto" w:fill="FFFFFF"/>
        </w:rPr>
        <w:t xml:space="preserve"> </w:t>
      </w:r>
      <w:r w:rsidRPr="00F86B93">
        <w:rPr>
          <w:rFonts w:ascii="Arial" w:hAnsi="Arial" w:cs="Arial"/>
          <w:color w:val="000000" w:themeColor="text1"/>
          <w:sz w:val="22"/>
          <w:szCs w:val="22"/>
        </w:rPr>
        <w:t>According to Goleman (2020), empathy is an integral part of leadership efforts in handling relationships and teamwork.</w:t>
      </w:r>
      <w:r w:rsidRPr="00F86B93">
        <w:rPr>
          <w:rFonts w:ascii="Arial" w:hAnsi="Arial" w:cs="Arial"/>
          <w:color w:val="000000" w:themeColor="text1"/>
          <w:sz w:val="22"/>
          <w:szCs w:val="22"/>
          <w:shd w:val="clear" w:color="auto" w:fill="FFFFFF"/>
        </w:rPr>
        <w:t xml:space="preserve"> </w:t>
      </w:r>
      <w:r w:rsidRPr="00F86B93">
        <w:rPr>
          <w:rFonts w:ascii="Arial" w:hAnsi="Arial" w:cs="Arial"/>
          <w:color w:val="000000" w:themeColor="text1"/>
          <w:sz w:val="22"/>
          <w:szCs w:val="22"/>
        </w:rPr>
        <w:t>Empathy helps in teamwork and handling a conflict in a multicultural workplace.</w:t>
      </w:r>
      <w:r w:rsidRPr="00F86B93">
        <w:rPr>
          <w:rFonts w:ascii="Arial" w:hAnsi="Arial" w:cs="Arial"/>
          <w:color w:val="000000" w:themeColor="text1"/>
          <w:sz w:val="22"/>
          <w:szCs w:val="22"/>
          <w:shd w:val="clear" w:color="auto" w:fill="FFFFFF"/>
        </w:rPr>
        <w:t xml:space="preserve"> </w:t>
      </w:r>
    </w:p>
    <w:p w14:paraId="62BEE6AE" w14:textId="77777777" w:rsidR="00BE78B1" w:rsidRPr="00F86B93" w:rsidRDefault="00BE78B1"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 xml:space="preserve">The Bar-On Model integrates empathy through its interpersonal composite scale that includes empathy, social responsibility, and interpersonal relations (Singh, 2006). An intrinsic element of empathy is the ability to recognize the signs of stressed, disengaged, or conflicted individuals in the other party. </w:t>
      </w:r>
    </w:p>
    <w:p w14:paraId="040783FF" w14:textId="6FD061F6" w:rsidR="00BE78B1" w:rsidRPr="00F86B93" w:rsidRDefault="00BE78B1"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 xml:space="preserve">The practice of mindfulness improves the ability to empathize by increasing awareness in the present moment. Furthermore, mindful persons tend to be more skilled at tuning in to the feelings of others; this improves their ethical awareness (Karelaia &amp; Reb, 2014). This </w:t>
      </w:r>
      <w:r w:rsidRPr="00F86B93">
        <w:rPr>
          <w:rFonts w:ascii="Arial" w:hAnsi="Arial" w:cs="Arial"/>
          <w:color w:val="000000" w:themeColor="text1"/>
          <w:sz w:val="22"/>
          <w:szCs w:val="22"/>
          <w:shd w:val="clear" w:color="auto" w:fill="FFFFFF"/>
        </w:rPr>
        <w:lastRenderedPageBreak/>
        <w:t xml:space="preserve">increased awareness can manifest as improved leadership </w:t>
      </w:r>
      <w:r w:rsidR="00F86B93" w:rsidRPr="00F86B93">
        <w:rPr>
          <w:rFonts w:ascii="Arial" w:hAnsi="Arial" w:cs="Arial"/>
          <w:color w:val="000000" w:themeColor="text1"/>
          <w:sz w:val="22"/>
          <w:szCs w:val="22"/>
          <w:shd w:val="clear" w:color="auto" w:fill="FFFFFF"/>
        </w:rPr>
        <w:t>behaviour</w:t>
      </w:r>
      <w:r w:rsidRPr="00F86B93">
        <w:rPr>
          <w:rFonts w:ascii="Arial" w:hAnsi="Arial" w:cs="Arial"/>
          <w:color w:val="000000" w:themeColor="text1"/>
          <w:sz w:val="22"/>
          <w:szCs w:val="22"/>
          <w:shd w:val="clear" w:color="auto" w:fill="FFFFFF"/>
        </w:rPr>
        <w:t xml:space="preserve"> in terms of compassion within the workplace.</w:t>
      </w:r>
    </w:p>
    <w:p w14:paraId="44FE02C5" w14:textId="377B88C5" w:rsidR="00BE78B1" w:rsidRDefault="00BE78B1"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eastAsia="Times New Roman" w:hAnsi="Arial" w:cs="Arial"/>
          <w:color w:val="000000" w:themeColor="text1"/>
          <w:kern w:val="0"/>
          <w:sz w:val="22"/>
          <w:szCs w:val="22"/>
          <w:lang w:eastAsia="en-GB"/>
          <w14:ligatures w14:val="none"/>
        </w:rPr>
        <w:t xml:space="preserve">However, a critical limitation of empathy is the risk of emotional over-involvement. </w:t>
      </w:r>
      <w:r w:rsidRPr="00F86B93">
        <w:rPr>
          <w:rFonts w:ascii="Arial" w:hAnsi="Arial" w:cs="Arial"/>
          <w:color w:val="000000" w:themeColor="text1"/>
          <w:sz w:val="22"/>
          <w:szCs w:val="22"/>
          <w:shd w:val="clear" w:color="auto" w:fill="FFFFFF"/>
        </w:rPr>
        <w:t xml:space="preserve"> </w:t>
      </w:r>
      <w:r w:rsidRPr="00F86B93">
        <w:rPr>
          <w:rFonts w:ascii="Arial" w:hAnsi="Arial" w:cs="Arial"/>
          <w:color w:val="000000" w:themeColor="text1"/>
          <w:sz w:val="22"/>
          <w:szCs w:val="22"/>
          <w:shd w:val="clear" w:color="auto" w:fill="FFFFFF"/>
        </w:rPr>
        <w:t>Excessive empathy could have the potential to act as an inhibitor to objective decision-making in performance and manager decision-making. There would, therefore, be a need to balance empathetic understanding and detachment.</w:t>
      </w:r>
    </w:p>
    <w:p w14:paraId="50E98761" w14:textId="29FB62C4" w:rsidR="00F86B93" w:rsidRPr="00F86B93" w:rsidRDefault="00090C3E" w:rsidP="00F86B93">
      <w:pPr>
        <w:spacing w:before="100" w:beforeAutospacing="1" w:after="100" w:afterAutospacing="1" w:line="360" w:lineRule="auto"/>
        <w:rPr>
          <w:rFonts w:ascii="Arial" w:hAnsi="Arial" w:cs="Arial"/>
          <w:color w:val="000000" w:themeColor="text1"/>
          <w:sz w:val="22"/>
          <w:szCs w:val="22"/>
          <w:shd w:val="clear" w:color="auto" w:fill="FFFFFF"/>
        </w:rPr>
      </w:pPr>
      <w:r w:rsidRPr="00090C3E">
        <w:rPr>
          <w:rFonts w:ascii="Arial" w:eastAsia="Times New Roman" w:hAnsi="Arial" w:cs="Arial"/>
          <w:noProof/>
          <w:color w:val="000000" w:themeColor="text1"/>
          <w:kern w:val="0"/>
          <w:sz w:val="22"/>
          <w:szCs w:val="22"/>
          <w:lang w:eastAsia="en-GB"/>
        </w:rPr>
        <w:pict w14:anchorId="3F24A108">
          <v:rect id="_x0000_i1026" alt="" style="width:451.3pt;height:.05pt;mso-width-percent:0;mso-height-percent:0;mso-width-percent:0;mso-height-percent:0" o:hralign="center" o:hrstd="t" o:hr="t" fillcolor="#a0a0a0" stroked="f"/>
        </w:pict>
      </w:r>
    </w:p>
    <w:p w14:paraId="5264A422" w14:textId="36890D83" w:rsidR="00BE78B1" w:rsidRPr="008272BB" w:rsidRDefault="008272BB" w:rsidP="008272BB">
      <w:pPr>
        <w:pStyle w:val="Heading1"/>
        <w:rPr>
          <w:rFonts w:ascii="Arial" w:hAnsi="Arial" w:cs="Arial"/>
          <w:sz w:val="22"/>
          <w:szCs w:val="22"/>
          <w:shd w:val="clear" w:color="auto" w:fill="FFFFFF"/>
        </w:rPr>
      </w:pPr>
      <w:bookmarkStart w:id="6" w:name="_Toc217003601"/>
      <w:r w:rsidRPr="008272BB">
        <w:rPr>
          <w:rFonts w:ascii="Arial" w:hAnsi="Arial" w:cs="Arial"/>
          <w:sz w:val="22"/>
          <w:szCs w:val="22"/>
          <w:shd w:val="clear" w:color="auto" w:fill="FFFFFF"/>
        </w:rPr>
        <w:t xml:space="preserve">2.5 </w:t>
      </w:r>
      <w:r w:rsidR="00F12C1F" w:rsidRPr="008272BB">
        <w:rPr>
          <w:rFonts w:ascii="Arial" w:hAnsi="Arial" w:cs="Arial"/>
          <w:sz w:val="22"/>
          <w:szCs w:val="22"/>
          <w:shd w:val="clear" w:color="auto" w:fill="FFFFFF"/>
        </w:rPr>
        <w:t>Social Skills</w:t>
      </w:r>
      <w:bookmarkEnd w:id="6"/>
      <w:r w:rsidR="00F12C1F" w:rsidRPr="008272BB">
        <w:rPr>
          <w:rFonts w:ascii="Arial" w:hAnsi="Arial" w:cs="Arial"/>
          <w:sz w:val="22"/>
          <w:szCs w:val="22"/>
          <w:shd w:val="clear" w:color="auto" w:fill="FFFFFF"/>
        </w:rPr>
        <w:t xml:space="preserve"> </w:t>
      </w:r>
    </w:p>
    <w:p w14:paraId="1AFE44E1" w14:textId="77777777" w:rsidR="00F86B93" w:rsidRDefault="003E45A7"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rPr>
        <w:t xml:space="preserve">Social skills are the most visible part of emotional intelligence in the workplace. </w:t>
      </w:r>
      <w:r w:rsidR="00C32CD2" w:rsidRPr="00F86B93">
        <w:rPr>
          <w:rFonts w:ascii="Arial" w:hAnsi="Arial" w:cs="Arial"/>
          <w:color w:val="000000" w:themeColor="text1"/>
          <w:sz w:val="22"/>
          <w:szCs w:val="22"/>
        </w:rPr>
        <w:t xml:space="preserve"> </w:t>
      </w:r>
      <w:r w:rsidR="00C32CD2" w:rsidRPr="00F86B93">
        <w:rPr>
          <w:rFonts w:ascii="Arial" w:hAnsi="Arial" w:cs="Arial"/>
          <w:color w:val="000000" w:themeColor="text1"/>
          <w:sz w:val="22"/>
          <w:szCs w:val="22"/>
          <w:shd w:val="clear" w:color="auto" w:fill="FFFFFF"/>
        </w:rPr>
        <w:t>These skills show to what extent a person can control and use their emotions when dealing with others. The skills described include those related to communication, teamwork, cooperation, influencing others positively, and dealing with conflicts calm and respectfully. E</w:t>
      </w:r>
      <w:r w:rsidR="00C32CD2" w:rsidRPr="00F86B93">
        <w:rPr>
          <w:rFonts w:ascii="Arial" w:hAnsi="Arial" w:cs="Arial"/>
          <w:color w:val="000000" w:themeColor="text1"/>
          <w:sz w:val="22"/>
          <w:szCs w:val="22"/>
          <w:shd w:val="clear" w:color="auto" w:fill="FFFFFF"/>
        </w:rPr>
        <w:t>mployees</w:t>
      </w:r>
      <w:r w:rsidR="00C32CD2" w:rsidRPr="00F86B93">
        <w:rPr>
          <w:rFonts w:ascii="Arial" w:hAnsi="Arial" w:cs="Arial"/>
          <w:color w:val="000000" w:themeColor="text1"/>
          <w:sz w:val="22"/>
          <w:szCs w:val="22"/>
          <w:shd w:val="clear" w:color="auto" w:fill="FFFFFF"/>
        </w:rPr>
        <w:t xml:space="preserve"> with good social skills, as </w:t>
      </w:r>
      <w:r w:rsidR="00C32CD2" w:rsidRPr="00F86B93">
        <w:rPr>
          <w:rFonts w:ascii="Arial" w:hAnsi="Arial" w:cs="Arial"/>
          <w:color w:val="000000" w:themeColor="text1"/>
          <w:sz w:val="22"/>
          <w:szCs w:val="22"/>
          <w:shd w:val="clear" w:color="auto" w:fill="FFFFFF"/>
        </w:rPr>
        <w:t>sugested</w:t>
      </w:r>
      <w:r w:rsidR="00C32CD2" w:rsidRPr="00F86B93">
        <w:rPr>
          <w:rFonts w:ascii="Arial" w:hAnsi="Arial" w:cs="Arial"/>
          <w:color w:val="000000" w:themeColor="text1"/>
          <w:sz w:val="22"/>
          <w:szCs w:val="22"/>
          <w:shd w:val="clear" w:color="auto" w:fill="FFFFFF"/>
        </w:rPr>
        <w:t xml:space="preserve"> by Goleman (2020), are indeed capable of building good working relations, creating professional networks, and bringing changes to an organization. These skills are also important in jobs where teamwork is a matter of importance and where interpersonal interactions are frequent and are a day-to-day occurrence when dealing with clients or customers. These employees are active listeners, show levels of respect, and behave accordingly to situations. </w:t>
      </w:r>
    </w:p>
    <w:p w14:paraId="103D0A22" w14:textId="3E534156" w:rsidR="003E45A7" w:rsidRPr="00F86B93" w:rsidRDefault="00C32CD2" w:rsidP="00F86B93">
      <w:pPr>
        <w:spacing w:before="100" w:beforeAutospacing="1" w:after="100" w:afterAutospacing="1" w:line="360" w:lineRule="auto"/>
        <w:rPr>
          <w:rFonts w:ascii="Arial" w:hAnsi="Arial" w:cs="Arial"/>
          <w:color w:val="000000" w:themeColor="text1"/>
          <w:sz w:val="22"/>
          <w:szCs w:val="22"/>
        </w:rPr>
      </w:pPr>
      <w:r w:rsidRPr="00F86B93">
        <w:rPr>
          <w:rFonts w:ascii="Arial" w:hAnsi="Arial" w:cs="Arial"/>
          <w:color w:val="000000" w:themeColor="text1"/>
          <w:sz w:val="22"/>
          <w:szCs w:val="22"/>
          <w:shd w:val="clear" w:color="auto" w:fill="FFFFFF"/>
        </w:rPr>
        <w:t>The social skills also show a greater willingness to resolve a conflict before it becomes a major one. In addition, leaders with this skill are also good at motivating others and at creating a pleasant working environment. The social skills are, therefore, very important because they lead to emotional intelligence, which can then be shown practically through such actions as teamwork, leadership, and customer satisfaction.</w:t>
      </w:r>
    </w:p>
    <w:p w14:paraId="76370EB9" w14:textId="1ED9451C" w:rsidR="00BE78B1"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 xml:space="preserve">The Management by Walking Around (MBWA) technique is also closely related to this factor since it promotes the manager to be involved with the employees in an informal way in order to create an open communication channel. This dimension is supported by the Bar-On Model because of its concentrate on social relationships and social responsibility (Singh, 2006). Social skills are important because they lead to cohesion and a pleasant working environment. </w:t>
      </w:r>
    </w:p>
    <w:p w14:paraId="6BA60FA2" w14:textId="77777777" w:rsidR="00BE78B1"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 xml:space="preserve">Significantly, the success of MBWA relies on emotional authenticity. Should workers perceive the activity as monitoring, instead of a supportive function, the trust level may decrease. </w:t>
      </w:r>
      <w:r w:rsidRPr="00F86B93">
        <w:rPr>
          <w:rFonts w:ascii="Arial" w:hAnsi="Arial" w:cs="Arial"/>
          <w:color w:val="000000" w:themeColor="text1"/>
          <w:sz w:val="22"/>
          <w:szCs w:val="22"/>
          <w:shd w:val="clear" w:color="auto" w:fill="FFFFFF"/>
        </w:rPr>
        <w:lastRenderedPageBreak/>
        <w:t xml:space="preserve">Clearly, emotional authenticity in the pursuit of emotional intelligence contributes largely to effective behavior. </w:t>
      </w:r>
    </w:p>
    <w:p w14:paraId="4C3D036D" w14:textId="77777777" w:rsidR="00BE78B1"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 xml:space="preserve">In all five dimensions, a common thread is that emotional awareness has a key role to play. The framework proposed by Goleman is a good tool kit to understand how EI affects behavior and performance. The Bar On Model is a supplement to it, as it focuses on wellness and managing stress, and MBSR further enhances internal mechanisms that drive EI. </w:t>
      </w:r>
    </w:p>
    <w:p w14:paraId="2522E2F1" w14:textId="5CB2A3A6" w:rsidR="00F12C1F" w:rsidRPr="00F86B93" w:rsidRDefault="00F12C1F" w:rsidP="00F86B93">
      <w:pPr>
        <w:spacing w:before="100" w:beforeAutospacing="1" w:after="100" w:afterAutospacing="1" w:line="360" w:lineRule="auto"/>
        <w:rPr>
          <w:rFonts w:ascii="Arial" w:hAnsi="Arial" w:cs="Arial"/>
          <w:color w:val="000000" w:themeColor="text1"/>
          <w:sz w:val="22"/>
          <w:szCs w:val="22"/>
          <w:shd w:val="clear" w:color="auto" w:fill="FFFFFF"/>
        </w:rPr>
      </w:pPr>
      <w:r w:rsidRPr="00F86B93">
        <w:rPr>
          <w:rFonts w:ascii="Arial" w:hAnsi="Arial" w:cs="Arial"/>
          <w:color w:val="000000" w:themeColor="text1"/>
          <w:sz w:val="22"/>
          <w:szCs w:val="22"/>
          <w:shd w:val="clear" w:color="auto" w:fill="FFFFFF"/>
        </w:rPr>
        <w:t>On the other hand, EI must not be seen as a replacement for structural and organizational accountability. There could be a danger of hiding otherwise transparent problems of work load, inequality, and/or poor management when the spotlight is exclusively on individual EI.</w:t>
      </w:r>
    </w:p>
    <w:p w14:paraId="28C13562" w14:textId="393DE2F2" w:rsidR="00606588" w:rsidRPr="008272BB" w:rsidRDefault="008272BB" w:rsidP="00F86B93">
      <w:pPr>
        <w:pStyle w:val="Heading1"/>
        <w:rPr>
          <w:rFonts w:ascii="Arial" w:eastAsia="Times New Roman" w:hAnsi="Arial" w:cs="Arial"/>
          <w:b/>
          <w:bCs/>
          <w:sz w:val="22"/>
          <w:szCs w:val="22"/>
          <w:lang w:eastAsia="en-GB"/>
        </w:rPr>
      </w:pPr>
      <w:bookmarkStart w:id="7" w:name="_Toc217003602"/>
      <w:r w:rsidRPr="008272BB">
        <w:rPr>
          <w:rFonts w:ascii="Arial" w:eastAsia="Times New Roman" w:hAnsi="Arial" w:cs="Arial"/>
          <w:b/>
          <w:bCs/>
          <w:sz w:val="22"/>
          <w:szCs w:val="22"/>
          <w:lang w:eastAsia="en-GB"/>
        </w:rPr>
        <w:t xml:space="preserve">3. </w:t>
      </w:r>
      <w:r w:rsidR="00606588" w:rsidRPr="008272BB">
        <w:rPr>
          <w:rFonts w:ascii="Arial" w:eastAsia="Times New Roman" w:hAnsi="Arial" w:cs="Arial"/>
          <w:b/>
          <w:bCs/>
          <w:sz w:val="22"/>
          <w:szCs w:val="22"/>
          <w:lang w:eastAsia="en-GB"/>
        </w:rPr>
        <w:t xml:space="preserve">Emotional Intelligence Across Generations </w:t>
      </w:r>
      <w:r w:rsidR="00F86B93" w:rsidRPr="008272BB">
        <w:rPr>
          <w:rFonts w:ascii="Arial" w:eastAsia="Times New Roman" w:hAnsi="Arial" w:cs="Arial"/>
          <w:b/>
          <w:bCs/>
          <w:sz w:val="22"/>
          <w:szCs w:val="22"/>
          <w:lang w:eastAsia="en-GB"/>
        </w:rPr>
        <w:t>in</w:t>
      </w:r>
      <w:r w:rsidR="00606588" w:rsidRPr="008272BB">
        <w:rPr>
          <w:rFonts w:ascii="Arial" w:eastAsia="Times New Roman" w:hAnsi="Arial" w:cs="Arial"/>
          <w:b/>
          <w:bCs/>
          <w:sz w:val="22"/>
          <w:szCs w:val="22"/>
          <w:lang w:eastAsia="en-GB"/>
        </w:rPr>
        <w:t xml:space="preserve"> Recruitment</w:t>
      </w:r>
      <w:bookmarkEnd w:id="7"/>
    </w:p>
    <w:p w14:paraId="1729CAAB" w14:textId="77777777" w:rsidR="00606588" w:rsidRPr="008272BB" w:rsidRDefault="00606588" w:rsidP="008272BB">
      <w:pPr>
        <w:spacing w:line="360" w:lineRule="auto"/>
        <w:rPr>
          <w:rFonts w:ascii="Arial" w:hAnsi="Arial" w:cs="Arial"/>
          <w:sz w:val="22"/>
          <w:szCs w:val="22"/>
        </w:rPr>
      </w:pPr>
      <w:r w:rsidRPr="008272BB">
        <w:rPr>
          <w:rFonts w:ascii="Arial" w:hAnsi="Arial" w:cs="Arial"/>
          <w:sz w:val="22"/>
          <w:szCs w:val="22"/>
        </w:rPr>
        <w:t>Identify unique characteristics relating to emotional intelligence that managers may need to consider when recruiting employees from different generations</w:t>
      </w:r>
    </w:p>
    <w:p w14:paraId="3950C256" w14:textId="77777777" w:rsidR="00606588" w:rsidRPr="008272BB" w:rsidRDefault="00606588" w:rsidP="008272BB">
      <w:pPr>
        <w:spacing w:line="360" w:lineRule="auto"/>
        <w:rPr>
          <w:rFonts w:ascii="Arial" w:hAnsi="Arial" w:cs="Arial"/>
          <w:color w:val="000000" w:themeColor="text1"/>
          <w:sz w:val="22"/>
          <w:szCs w:val="22"/>
          <w:shd w:val="clear" w:color="auto" w:fill="FFFFFF"/>
        </w:rPr>
      </w:pPr>
      <w:r w:rsidRPr="008272BB">
        <w:rPr>
          <w:rFonts w:ascii="Arial" w:hAnsi="Arial" w:cs="Arial"/>
          <w:color w:val="000000" w:themeColor="text1"/>
          <w:sz w:val="22"/>
          <w:szCs w:val="22"/>
          <w:shd w:val="clear" w:color="auto" w:fill="FFFFFF"/>
        </w:rPr>
        <w:t>Multigenerational workers have come to present a pressing concern for today’s organizations. Nowadays, organizations can have as many as five different generations among their workers, all brought up in different social, economic, and technological regimes. Emotional intelligence (EI) has a pivotal place in the domain of recruitment and people management. It has been pointed out that managers with awareness of intergenerational differences in emotional intelligence can make a significant difference in recruitment processes, reduce conflicts within the workplace, and boost the performance of organizations. This discussion examines key emotional intelligence characteristics of Traditionalists, Baby Boomers, Generation X, Millennials (Generation Y) and Generation Z, and explains how managers can apply this understanding during recruitment, supported by examples.</w:t>
      </w:r>
    </w:p>
    <w:p w14:paraId="6A3C2A44" w14:textId="2163289F" w:rsidR="00606588" w:rsidRPr="008272BB" w:rsidRDefault="008272BB" w:rsidP="008272BB">
      <w:pPr>
        <w:pStyle w:val="Heading1"/>
        <w:rPr>
          <w:rFonts w:ascii="Arial" w:eastAsia="Times New Roman" w:hAnsi="Arial" w:cs="Arial"/>
          <w:sz w:val="22"/>
          <w:szCs w:val="22"/>
          <w:lang w:eastAsia="en-GB"/>
        </w:rPr>
      </w:pPr>
      <w:bookmarkStart w:id="8" w:name="_Toc217003603"/>
      <w:r w:rsidRPr="008272BB">
        <w:rPr>
          <w:rFonts w:ascii="Arial" w:eastAsia="Times New Roman" w:hAnsi="Arial" w:cs="Arial"/>
          <w:sz w:val="22"/>
          <w:szCs w:val="22"/>
          <w:lang w:eastAsia="en-GB"/>
        </w:rPr>
        <w:t xml:space="preserve">3.1 </w:t>
      </w:r>
      <w:r w:rsidR="00606588" w:rsidRPr="008272BB">
        <w:rPr>
          <w:rFonts w:ascii="Arial" w:eastAsia="Times New Roman" w:hAnsi="Arial" w:cs="Arial"/>
          <w:sz w:val="22"/>
          <w:szCs w:val="22"/>
          <w:lang w:eastAsia="en-GB"/>
        </w:rPr>
        <w:t>Traditionalists (Stability, hard work, post-war prosperity)</w:t>
      </w:r>
      <w:bookmarkEnd w:id="8"/>
    </w:p>
    <w:p w14:paraId="212E686B" w14:textId="77777777" w:rsidR="00606588" w:rsidRPr="008272BB" w:rsidRDefault="00606588" w:rsidP="008272BB">
      <w:pPr>
        <w:spacing w:line="360" w:lineRule="auto"/>
        <w:rPr>
          <w:rFonts w:ascii="Arial" w:hAnsi="Arial" w:cs="Arial"/>
          <w:sz w:val="22"/>
          <w:szCs w:val="22"/>
        </w:rPr>
      </w:pPr>
      <w:r w:rsidRPr="008272BB">
        <w:rPr>
          <w:rFonts w:ascii="Arial" w:hAnsi="Arial" w:cs="Arial"/>
          <w:sz w:val="22"/>
          <w:szCs w:val="22"/>
          <w:shd w:val="clear" w:color="auto" w:fill="FFFFFF"/>
        </w:rPr>
        <w:t xml:space="preserve">The Traditionalist generation, also considered the Silent Generation, was raised during or after World War II. This generation was raised under conditions of economic troubles and then economic recovery. For this reason, Traditionalists favor job stability, commitment, control, and respect (Clause, n.d.; Kane, n.d.). From an EI perspective, Traditionalist employees often have strong control of their emotions and resilience. </w:t>
      </w:r>
      <w:r w:rsidRPr="008272BB">
        <w:rPr>
          <w:rFonts w:ascii="Arial" w:hAnsi="Arial" w:cs="Arial"/>
          <w:sz w:val="22"/>
          <w:szCs w:val="22"/>
        </w:rPr>
        <w:t>Traditionalist employees may not feel the need to show their emotions inside the workplace and may feel that controlling their emotions demonstrates their professionalism.</w:t>
      </w:r>
    </w:p>
    <w:p w14:paraId="0C689210" w14:textId="77777777" w:rsidR="00606588" w:rsidRPr="008272BB" w:rsidRDefault="00606588" w:rsidP="008272BB">
      <w:pPr>
        <w:spacing w:line="360" w:lineRule="auto"/>
        <w:rPr>
          <w:rFonts w:ascii="Arial" w:eastAsia="Times New Roman" w:hAnsi="Arial" w:cs="Arial"/>
          <w:kern w:val="0"/>
          <w:sz w:val="22"/>
          <w:szCs w:val="22"/>
          <w:lang w:eastAsia="en-GB"/>
          <w14:ligatures w14:val="none"/>
        </w:rPr>
      </w:pPr>
      <w:r w:rsidRPr="008272BB">
        <w:rPr>
          <w:rFonts w:ascii="Arial" w:hAnsi="Arial" w:cs="Arial"/>
          <w:sz w:val="22"/>
          <w:szCs w:val="22"/>
          <w:shd w:val="clear" w:color="auto" w:fill="FFFFFF"/>
        </w:rPr>
        <w:lastRenderedPageBreak/>
        <w:t>When recruiting employees, managers must understand that Traditionalist employees might not promote themselves and feel no need to express their emotions and achievements. Their emotional intelligence is often expressed through dependability, calmness under pressure and respect for hierarchy rather than verbal emotional awareness. They should use behavioral interview techniques to interview the candidate and ask them behavioral questions that help the candidate demonstrate the ability to manage emotions, use good judgment, and be loyal instead of being asked to display an expression of emotions.</w:t>
      </w:r>
      <w:r w:rsidRPr="008272BB">
        <w:rPr>
          <w:rFonts w:ascii="Arial" w:hAnsi="Arial" w:cs="Arial"/>
          <w:sz w:val="22"/>
          <w:szCs w:val="22"/>
        </w:rPr>
        <w:t xml:space="preserve"> </w:t>
      </w:r>
      <w:r w:rsidRPr="008272BB">
        <w:rPr>
          <w:rFonts w:ascii="Arial" w:eastAsia="Times New Roman" w:hAnsi="Arial" w:cs="Arial"/>
          <w:kern w:val="0"/>
          <w:sz w:val="22"/>
          <w:szCs w:val="22"/>
          <w:lang w:eastAsia="en-GB"/>
          <w14:ligatures w14:val="none"/>
        </w:rPr>
        <w:t>For example, in searching for an advisory role, a Traditionalist may demonstrate emotional intelligence in their application to an advisory role, but these will not include adaptability or creativity. In an interview, the manager shall require behavioral questions that will allow the individual to demonstrate emotional regulation, ethical reasoning, and loyalty, but not emotional display.</w:t>
      </w:r>
    </w:p>
    <w:p w14:paraId="22B82457" w14:textId="2D677834" w:rsidR="00606588" w:rsidRPr="008272BB" w:rsidRDefault="008272BB" w:rsidP="008272BB">
      <w:pPr>
        <w:pStyle w:val="Heading1"/>
        <w:rPr>
          <w:rFonts w:ascii="Arial" w:eastAsia="Times New Roman" w:hAnsi="Arial" w:cs="Arial"/>
          <w:sz w:val="22"/>
          <w:szCs w:val="22"/>
          <w:lang w:eastAsia="en-GB"/>
        </w:rPr>
      </w:pPr>
      <w:bookmarkStart w:id="9" w:name="_Toc217003604"/>
      <w:r w:rsidRPr="008272BB">
        <w:rPr>
          <w:rFonts w:ascii="Arial" w:eastAsia="Times New Roman" w:hAnsi="Arial" w:cs="Arial"/>
          <w:sz w:val="22"/>
          <w:szCs w:val="22"/>
          <w:lang w:eastAsia="en-GB"/>
        </w:rPr>
        <w:t xml:space="preserve">3.2 </w:t>
      </w:r>
      <w:r w:rsidR="00606588" w:rsidRPr="008272BB">
        <w:rPr>
          <w:rFonts w:ascii="Arial" w:eastAsia="Times New Roman" w:hAnsi="Arial" w:cs="Arial"/>
          <w:sz w:val="22"/>
          <w:szCs w:val="22"/>
          <w:lang w:eastAsia="en-GB"/>
        </w:rPr>
        <w:t xml:space="preserve">Baby Boomers </w:t>
      </w:r>
      <w:r w:rsidRPr="008272BB">
        <w:rPr>
          <w:rFonts w:ascii="Arial" w:eastAsia="Times New Roman" w:hAnsi="Arial" w:cs="Arial"/>
          <w:sz w:val="22"/>
          <w:szCs w:val="22"/>
          <w:lang w:eastAsia="en-GB"/>
        </w:rPr>
        <w:t xml:space="preserve">1946-1964 </w:t>
      </w:r>
      <w:r w:rsidR="00606588" w:rsidRPr="008272BB">
        <w:rPr>
          <w:rFonts w:ascii="Arial" w:eastAsia="Times New Roman" w:hAnsi="Arial" w:cs="Arial"/>
          <w:sz w:val="22"/>
          <w:szCs w:val="22"/>
          <w:lang w:eastAsia="en-GB"/>
        </w:rPr>
        <w:t>(Wealth of knowledge, career-minded, responsible)</w:t>
      </w:r>
      <w:bookmarkEnd w:id="9"/>
    </w:p>
    <w:p w14:paraId="0D56DDBF"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The Baby Boomer generation grew up in an era of economic prosperity and growth, which instilled a great work ethic, as well as a sense of responsibility, in them (Adcox, n.d.; Heathfield, n.d.; Loretto, n.d.). Looking at emotional intelligence, Baby Boomers are known to possess a high degree of interpersonal awareness, great communication abilities, and a teamwork mentality. They also crave recognition, which can often, emotionally, connect their workplace with identity.</w:t>
      </w:r>
    </w:p>
    <w:p w14:paraId="5885AE72"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When employing Baby Boomers, managers need to bear in mind that this generation has emotional intelligence that is sometimes related to experience-based empathy skills and relationship-building skills. Some Baby Boomers may be motivated by opportunities that involve teamwork, mentoring, and leadership roles. For instance, within a manger/supervisor role, a Baby Boomer can demonstrate emotional intelligence skills by mentoring subordinates while utilizing skills like constructive conflict resolution, which is achieved by communicating through face-to-face interactions rather than high-tech communications (Stevens, 2010).</w:t>
      </w:r>
    </w:p>
    <w:p w14:paraId="1B821EE3" w14:textId="55BF4496" w:rsidR="00606588" w:rsidRPr="008272BB" w:rsidRDefault="008272BB" w:rsidP="008272BB">
      <w:pPr>
        <w:pStyle w:val="Heading1"/>
        <w:rPr>
          <w:rFonts w:ascii="Arial" w:eastAsia="Times New Roman" w:hAnsi="Arial" w:cs="Arial"/>
          <w:sz w:val="22"/>
          <w:szCs w:val="22"/>
          <w:lang w:eastAsia="en-GB"/>
        </w:rPr>
      </w:pPr>
      <w:bookmarkStart w:id="10" w:name="_Toc217003605"/>
      <w:r w:rsidRPr="008272BB">
        <w:rPr>
          <w:rFonts w:ascii="Arial" w:eastAsia="Times New Roman" w:hAnsi="Arial" w:cs="Arial"/>
          <w:sz w:val="22"/>
          <w:szCs w:val="22"/>
          <w:lang w:eastAsia="en-GB"/>
        </w:rPr>
        <w:t xml:space="preserve">3.3 </w:t>
      </w:r>
      <w:r w:rsidR="00606588" w:rsidRPr="008272BB">
        <w:rPr>
          <w:rFonts w:ascii="Arial" w:eastAsia="Times New Roman" w:hAnsi="Arial" w:cs="Arial"/>
          <w:sz w:val="22"/>
          <w:szCs w:val="22"/>
          <w:lang w:eastAsia="en-GB"/>
        </w:rPr>
        <w:t>Generation X</w:t>
      </w:r>
      <w:r w:rsidRPr="008272BB">
        <w:rPr>
          <w:rFonts w:ascii="Arial" w:eastAsia="Times New Roman" w:hAnsi="Arial" w:cs="Arial"/>
          <w:sz w:val="22"/>
          <w:szCs w:val="22"/>
          <w:lang w:eastAsia="en-GB"/>
        </w:rPr>
        <w:t xml:space="preserve"> 1965-1980</w:t>
      </w:r>
      <w:r w:rsidR="00606588" w:rsidRPr="008272BB">
        <w:rPr>
          <w:rFonts w:ascii="Arial" w:eastAsia="Times New Roman" w:hAnsi="Arial" w:cs="Arial"/>
          <w:sz w:val="22"/>
          <w:szCs w:val="22"/>
          <w:lang w:eastAsia="en-GB"/>
        </w:rPr>
        <w:t xml:space="preserve"> (Work–life balance, tech-savvy, independent thinkers)</w:t>
      </w:r>
      <w:bookmarkEnd w:id="10"/>
    </w:p>
    <w:p w14:paraId="69E7AB47"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The generation that belongs to the individuals born during this time formed the workforce during a time that was marked by economic shifts and rapid technological improvement. This has made this particular generation value flexibility and the blending of work and personal life (Grimes, 2011; Henseler, 2014). The autonomous, pragmatic, and flexible generation has the characteristics of being independent and practical and has its emotional intelligence displayed through its autonomous, flexible, and valuable problem-solving skills.</w:t>
      </w:r>
    </w:p>
    <w:p w14:paraId="77A2A133"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lastRenderedPageBreak/>
        <w:t>During the selection process, the managers need to understand that Generation X job applicants may value authenticity. The applicants may also question established authority and yet have the skills required to deal with stress.They can also question authority but have the skills to deal with stress. For instance, a Generation X project manager can have EI by maintaining a work-life balance, keeping work-related matters separate, and reducing the impact of stressful events on work. Interview formats flexible enough for transparency and problem-solving can also allow managers to assess their own EI fairly (Naseer, n.d.).</w:t>
      </w:r>
    </w:p>
    <w:p w14:paraId="350F1CA3" w14:textId="13BF18BA" w:rsidR="00606588" w:rsidRPr="008272BB" w:rsidRDefault="008272BB" w:rsidP="008272BB">
      <w:pPr>
        <w:pStyle w:val="Heading1"/>
        <w:rPr>
          <w:rFonts w:ascii="Arial" w:eastAsia="Times New Roman" w:hAnsi="Arial" w:cs="Arial"/>
          <w:sz w:val="20"/>
          <w:szCs w:val="20"/>
          <w:lang w:eastAsia="en-GB"/>
        </w:rPr>
      </w:pPr>
      <w:bookmarkStart w:id="11" w:name="_Toc217003606"/>
      <w:r w:rsidRPr="008272BB">
        <w:rPr>
          <w:rFonts w:ascii="Arial" w:eastAsia="Times New Roman" w:hAnsi="Arial" w:cs="Arial"/>
          <w:sz w:val="20"/>
          <w:szCs w:val="20"/>
          <w:lang w:eastAsia="en-GB"/>
        </w:rPr>
        <w:t xml:space="preserve">3.4 </w:t>
      </w:r>
      <w:r w:rsidR="00606588" w:rsidRPr="008272BB">
        <w:rPr>
          <w:rFonts w:ascii="Arial" w:eastAsia="Times New Roman" w:hAnsi="Arial" w:cs="Arial"/>
          <w:sz w:val="20"/>
          <w:szCs w:val="20"/>
          <w:lang w:eastAsia="en-GB"/>
        </w:rPr>
        <w:t>The Millennials/Generation Y are characterized as being tech-savvy, competitive, and data privacy-conscious</w:t>
      </w:r>
      <w:bookmarkEnd w:id="11"/>
      <w:r w:rsidR="00606588" w:rsidRPr="008272BB">
        <w:rPr>
          <w:rFonts w:ascii="Arial" w:eastAsia="Times New Roman" w:hAnsi="Arial" w:cs="Arial"/>
          <w:sz w:val="20"/>
          <w:szCs w:val="20"/>
          <w:shd w:val="clear" w:color="auto" w:fill="FFFFFF"/>
          <w:lang w:eastAsia="en-GB"/>
        </w:rPr>
        <w:t xml:space="preserve"> </w:t>
      </w:r>
    </w:p>
    <w:p w14:paraId="1FCA5D7A"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rPr>
        <w:t>Millennials entered the work environment with advanced technology and economic uncertainty, such as the Great Recession.</w:t>
      </w:r>
      <w:r w:rsidRPr="008272BB">
        <w:rPr>
          <w:rFonts w:ascii="Arial" w:hAnsi="Arial" w:cs="Arial"/>
          <w:sz w:val="22"/>
          <w:szCs w:val="22"/>
          <w:shd w:val="clear" w:color="auto" w:fill="FFFFFF"/>
        </w:rPr>
        <w:t xml:space="preserve"> This has led to the association of their EQ with feedback, teamwork, and technology use (Gibson, 2013; Horovitz, 2012). Millennials will be emotionally open, driven by purpose, and need frequent feedback and emotional support in the work environment.</w:t>
      </w:r>
    </w:p>
    <w:p w14:paraId="3170D701"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On the understanding of Emotional Intelligence, there is evidence that Millennials tend to be highly socially aware and empathetic individuals. It has also been observed that the current generation might not have much emotional resilience when faced with criticism and uncertainty. Managers overseeing the Millennials might therefore practice highly effective communication with this particular group of employees. For instance, a Millennial employee working as a customer service representative may show his or her emotion intelligent characteristics like empathy, adaptability, or responsiveness. However, this individual may need emotional strength or guidance for sustained motivation. Value-based recruitment interviews can be helpful for a manager to understand Millennial emotion intelligence (Buhane &amp; Kovary, 2003).</w:t>
      </w:r>
    </w:p>
    <w:p w14:paraId="50F5185B" w14:textId="66AB8918" w:rsidR="00606588" w:rsidRPr="008272BB" w:rsidRDefault="008272BB" w:rsidP="008272BB">
      <w:pPr>
        <w:pStyle w:val="Heading1"/>
        <w:rPr>
          <w:rFonts w:ascii="Arial" w:eastAsia="Times New Roman" w:hAnsi="Arial" w:cs="Arial"/>
          <w:sz w:val="22"/>
          <w:szCs w:val="22"/>
          <w:lang w:eastAsia="en-GB"/>
        </w:rPr>
      </w:pPr>
      <w:bookmarkStart w:id="12" w:name="_Toc217003607"/>
      <w:r w:rsidRPr="008272BB">
        <w:rPr>
          <w:rFonts w:ascii="Arial" w:eastAsia="Times New Roman" w:hAnsi="Arial" w:cs="Arial"/>
          <w:sz w:val="22"/>
          <w:szCs w:val="22"/>
          <w:lang w:eastAsia="en-GB"/>
        </w:rPr>
        <w:t xml:space="preserve">3.5 </w:t>
      </w:r>
      <w:r w:rsidR="00606588" w:rsidRPr="008272BB">
        <w:rPr>
          <w:rFonts w:ascii="Arial" w:eastAsia="Times New Roman" w:hAnsi="Arial" w:cs="Arial"/>
          <w:sz w:val="22"/>
          <w:szCs w:val="22"/>
          <w:lang w:eastAsia="en-GB"/>
        </w:rPr>
        <w:t>Generation Z (Pragmatic, savers and investors, prone to anxiety)</w:t>
      </w:r>
      <w:bookmarkEnd w:id="12"/>
    </w:p>
    <w:p w14:paraId="65B4307A"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 xml:space="preserve">Generation Z (Pragmatic, savers and investors, prone to anxiety) Generation Z is the newest entrants into the work environment, brought up with immersion in technology, a world filled with uncertainty, and an unsteady economic environment. They are highly practical, frugal, and technology-savvy but, according to numerous research findings, are likely to feel anxious and stressed (Cross-Bystrum, 2010; Renfro, 2012; Wiedmer, 2015). The level of emotional intelligence of this generation ranges from a marked awareness of oneself and others to a relatively lower level of emotional resilience, due to which they remain perpetually connected to one another and to information. </w:t>
      </w:r>
    </w:p>
    <w:p w14:paraId="4CB494DB"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 xml:space="preserve">In recruiting Generation Z, emotional well-being, as a concern of the management, becomes a prerequisite for hiring candidates as Generation Z applicants can show concern for </w:t>
      </w:r>
      <w:r w:rsidRPr="008272BB">
        <w:rPr>
          <w:rFonts w:ascii="Arial" w:hAnsi="Arial" w:cs="Arial"/>
          <w:sz w:val="22"/>
          <w:szCs w:val="22"/>
          <w:shd w:val="clear" w:color="auto" w:fill="FFFFFF"/>
        </w:rPr>
        <w:lastRenderedPageBreak/>
        <w:t xml:space="preserve">psychological safety and sound mental well-being. Generation Z interns would show emotional intelligence traits of transparency in communication related to sound mental well-being and emotional flexibility related to social interactions.To evaluate EI, managers can ask about their preferences for stress management, adaptability, and communication. A conducive environment for hiring (Menzies, n.d.) is also essential. </w:t>
      </w:r>
    </w:p>
    <w:p w14:paraId="46BF7BE9" w14:textId="79BF5487" w:rsidR="00606588" w:rsidRPr="008272BB" w:rsidRDefault="008272BB" w:rsidP="008272BB">
      <w:pPr>
        <w:pStyle w:val="Heading1"/>
        <w:rPr>
          <w:rFonts w:ascii="Arial" w:eastAsia="Times New Roman" w:hAnsi="Arial" w:cs="Arial"/>
          <w:b/>
          <w:bCs/>
          <w:sz w:val="22"/>
          <w:szCs w:val="22"/>
          <w:lang w:eastAsia="en-GB"/>
        </w:rPr>
      </w:pPr>
      <w:bookmarkStart w:id="13" w:name="_Toc217003608"/>
      <w:r w:rsidRPr="008272BB">
        <w:rPr>
          <w:rFonts w:ascii="Arial" w:eastAsia="Times New Roman" w:hAnsi="Arial" w:cs="Arial"/>
          <w:b/>
          <w:bCs/>
          <w:sz w:val="22"/>
          <w:szCs w:val="22"/>
          <w:lang w:eastAsia="en-GB"/>
        </w:rPr>
        <w:t xml:space="preserve">4. </w:t>
      </w:r>
      <w:r w:rsidR="00606588" w:rsidRPr="008272BB">
        <w:rPr>
          <w:rFonts w:ascii="Arial" w:eastAsia="Times New Roman" w:hAnsi="Arial" w:cs="Arial"/>
          <w:b/>
          <w:bCs/>
          <w:sz w:val="22"/>
          <w:szCs w:val="22"/>
          <w:lang w:eastAsia="en-GB"/>
        </w:rPr>
        <w:t>Conclusion</w:t>
      </w:r>
      <w:bookmarkEnd w:id="13"/>
    </w:p>
    <w:p w14:paraId="3B017821"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 xml:space="preserve">This paper will assess the concept of emotional intelligence (EI) and its relevance using the five-component model proposed by Goleman. The paper breaks down the competencies that lie embedded in the concept of EI and these include self-awareness, self-regulation, motivation, empathy, and social skills. The concept proposed by Goleman has proven to provide a very effective way of understanding the mechanisms that govern the concept of performance and impact. The theory proposed by the notable scholar Bar-On emphasizes the role of well-being and stress. </w:t>
      </w:r>
    </w:p>
    <w:p w14:paraId="1B9CAF71" w14:textId="77777777" w:rsidR="00606588" w:rsidRPr="008272BB" w:rsidRDefault="00606588" w:rsidP="008272BB">
      <w:pPr>
        <w:spacing w:line="360" w:lineRule="auto"/>
        <w:rPr>
          <w:rFonts w:ascii="Arial" w:hAnsi="Arial" w:cs="Arial"/>
          <w:sz w:val="22"/>
          <w:szCs w:val="22"/>
          <w:shd w:val="clear" w:color="auto" w:fill="FFFFFF"/>
        </w:rPr>
      </w:pPr>
      <w:r w:rsidRPr="008272BB">
        <w:rPr>
          <w:rFonts w:ascii="Arial" w:hAnsi="Arial" w:cs="Arial"/>
          <w:sz w:val="22"/>
          <w:szCs w:val="22"/>
          <w:shd w:val="clear" w:color="auto" w:fill="FFFFFF"/>
        </w:rPr>
        <w:t>The discussion also reveals that there is some degree of variability with regards to how each generation tends to display EI. Traditionalists are seen to display EI via their ability to regulate emotions and display loyalty. There are different interpersonal skills and mentoring tendencies for each generation. The results reveal the following generation-specific values: autonomy/time management for Generation X, empathy/time effectiveness for Millennials, and psychological safety/emotional regulation for Gen Z. These results thus highlight the need for differential recruitment and appraisal processes that effectively measure emotional intelligence in the specified generations.</w:t>
      </w:r>
    </w:p>
    <w:p w14:paraId="06CC6A75" w14:textId="585A4F2F" w:rsidR="00606588" w:rsidRPr="008272BB" w:rsidRDefault="00606588" w:rsidP="008272BB">
      <w:pPr>
        <w:spacing w:line="360" w:lineRule="auto"/>
        <w:rPr>
          <w:rFonts w:ascii="Arial" w:hAnsi="Arial" w:cs="Arial"/>
          <w:sz w:val="22"/>
          <w:szCs w:val="22"/>
        </w:rPr>
      </w:pPr>
      <w:r w:rsidRPr="008272BB">
        <w:rPr>
          <w:rFonts w:ascii="Arial" w:hAnsi="Arial" w:cs="Arial"/>
          <w:sz w:val="22"/>
          <w:szCs w:val="22"/>
          <w:shd w:val="clear" w:color="auto" w:fill="FFFFFF"/>
        </w:rPr>
        <w:t xml:space="preserve">On the whole, the strategic use of EQ may well bring desirable changes to the recruitment process. However, EI is no substitute for equality in organizational policies and practices, or for ethical organizational behavior. </w:t>
      </w:r>
      <w:r w:rsidRPr="008272BB">
        <w:rPr>
          <w:rFonts w:ascii="Arial" w:hAnsi="Arial" w:cs="Arial"/>
          <w:sz w:val="22"/>
          <w:szCs w:val="22"/>
        </w:rPr>
        <w:t>It is important that EQ and equality are combined and used Collaboratively in the workplace.</w:t>
      </w:r>
      <w:r w:rsidRPr="008272BB">
        <w:rPr>
          <w:rFonts w:ascii="Arial" w:hAnsi="Arial" w:cs="Arial"/>
          <w:sz w:val="22"/>
          <w:szCs w:val="22"/>
          <w:shd w:val="clear" w:color="auto" w:fill="FFFFFF"/>
        </w:rPr>
        <w:t xml:space="preserve"> </w:t>
      </w:r>
      <w:r w:rsidRPr="008272BB">
        <w:rPr>
          <w:rFonts w:ascii="Arial" w:hAnsi="Arial" w:cs="Arial"/>
          <w:sz w:val="22"/>
          <w:szCs w:val="22"/>
        </w:rPr>
        <w:t>This will impact employee well-being as well as organizational success</w:t>
      </w:r>
    </w:p>
    <w:p w14:paraId="6B1CC997" w14:textId="5E7C2D2C" w:rsidR="00606588" w:rsidRPr="008272BB" w:rsidRDefault="008272BB" w:rsidP="008272BB">
      <w:pPr>
        <w:pStyle w:val="Heading1"/>
        <w:rPr>
          <w:rFonts w:ascii="Arial" w:eastAsia="Times New Roman" w:hAnsi="Arial" w:cs="Arial"/>
          <w:b/>
          <w:bCs/>
          <w:sz w:val="22"/>
          <w:szCs w:val="22"/>
          <w:lang w:eastAsia="en-GB"/>
        </w:rPr>
      </w:pPr>
      <w:bookmarkStart w:id="14" w:name="_Toc217003609"/>
      <w:r w:rsidRPr="008272BB">
        <w:rPr>
          <w:rFonts w:ascii="Arial" w:eastAsia="Times New Roman" w:hAnsi="Arial" w:cs="Arial"/>
          <w:b/>
          <w:bCs/>
          <w:sz w:val="22"/>
          <w:szCs w:val="22"/>
          <w:lang w:eastAsia="en-GB"/>
        </w:rPr>
        <w:t xml:space="preserve">5. </w:t>
      </w:r>
      <w:r w:rsidR="00606588" w:rsidRPr="008272BB">
        <w:rPr>
          <w:rFonts w:ascii="Arial" w:eastAsia="Times New Roman" w:hAnsi="Arial" w:cs="Arial"/>
          <w:b/>
          <w:bCs/>
          <w:sz w:val="22"/>
          <w:szCs w:val="22"/>
          <w:lang w:eastAsia="en-GB"/>
        </w:rPr>
        <w:t>Recommendations</w:t>
      </w:r>
      <w:bookmarkEnd w:id="14"/>
    </w:p>
    <w:p w14:paraId="4A6EA3CF" w14:textId="77777777" w:rsidR="00606588" w:rsidRPr="00F86B93" w:rsidRDefault="00606588" w:rsidP="00F86B93">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r w:rsidRPr="00F86B93">
        <w:rPr>
          <w:rFonts w:ascii="Arial" w:hAnsi="Arial" w:cs="Arial"/>
          <w:color w:val="000000" w:themeColor="text1"/>
          <w:sz w:val="22"/>
          <w:szCs w:val="22"/>
          <w:shd w:val="clear" w:color="auto" w:fill="FFFFFF"/>
        </w:rPr>
        <w:t xml:space="preserve">Recommendations: Organizations should incorporate the consideration of emotional intelligence into recruitment and people management processes, an issue that is even more pertinent in view of multigenerational working environments. Training is required for managers in applying Goleman’s framework of emotional intelligence in evaluating self-awareness, empathy, and control over emotions of potential employees, regardless of their generation. This requires the use of behavioural and situational interviews in the recruitment processes, which will give prospective employees the opportunity to apply their emotional </w:t>
      </w:r>
      <w:r w:rsidRPr="00F86B93">
        <w:rPr>
          <w:rFonts w:ascii="Arial" w:hAnsi="Arial" w:cs="Arial"/>
          <w:color w:val="000000" w:themeColor="text1"/>
          <w:sz w:val="22"/>
          <w:szCs w:val="22"/>
          <w:shd w:val="clear" w:color="auto" w:fill="FFFFFF"/>
        </w:rPr>
        <w:lastRenderedPageBreak/>
        <w:t>intelligence in a way that fits their communication style. It is also essential for managers to refrain from recruiting on the assumption that one generation will have more emotional intelligence over the other. A manager must avoid the belief that a particular generation has a greater level of EQ. They also have to ensure a recruitment environment where candidates feel safe, especially the younger generations, who might feel more anxious.</w:t>
      </w:r>
    </w:p>
    <w:p w14:paraId="118F2314" w14:textId="77777777" w:rsidR="00606588" w:rsidRPr="00F86B93" w:rsidRDefault="00090C3E" w:rsidP="00F86B93">
      <w:pPr>
        <w:spacing w:line="360" w:lineRule="auto"/>
        <w:rPr>
          <w:rFonts w:ascii="Arial" w:eastAsia="Times New Roman" w:hAnsi="Arial" w:cs="Arial"/>
          <w:color w:val="000000" w:themeColor="text1"/>
          <w:kern w:val="0"/>
          <w:sz w:val="22"/>
          <w:szCs w:val="22"/>
          <w:lang w:eastAsia="en-GB"/>
          <w14:ligatures w14:val="none"/>
        </w:rPr>
      </w:pPr>
      <w:r w:rsidRPr="00090C3E">
        <w:rPr>
          <w:rFonts w:ascii="Arial" w:eastAsia="Times New Roman" w:hAnsi="Arial" w:cs="Arial"/>
          <w:noProof/>
          <w:color w:val="000000" w:themeColor="text1"/>
          <w:kern w:val="0"/>
          <w:sz w:val="22"/>
          <w:szCs w:val="22"/>
          <w:lang w:eastAsia="en-GB"/>
        </w:rPr>
        <w:pict w14:anchorId="70F978CF">
          <v:rect id="_x0000_i1025" alt="" style="width:451.3pt;height:.05pt;mso-width-percent:0;mso-height-percent:0;mso-width-percent:0;mso-height-percent:0" o:hralign="center" o:hrstd="t" o:hr="t" fillcolor="#a0a0a0" stroked="f"/>
        </w:pict>
      </w:r>
    </w:p>
    <w:p w14:paraId="3B4178CD" w14:textId="7842AF5E" w:rsidR="00606588" w:rsidRPr="008272BB" w:rsidRDefault="008272BB" w:rsidP="008272BB">
      <w:pPr>
        <w:pStyle w:val="Heading1"/>
        <w:rPr>
          <w:rFonts w:ascii="Arial" w:hAnsi="Arial" w:cs="Arial"/>
          <w:b/>
          <w:bCs/>
          <w:sz w:val="22"/>
          <w:szCs w:val="22"/>
          <w:shd w:val="clear" w:color="auto" w:fill="FFFFFF"/>
        </w:rPr>
      </w:pPr>
      <w:bookmarkStart w:id="15" w:name="_Toc217003610"/>
      <w:r w:rsidRPr="008272BB">
        <w:rPr>
          <w:rFonts w:ascii="Arial" w:hAnsi="Arial" w:cs="Arial"/>
          <w:b/>
          <w:bCs/>
          <w:sz w:val="22"/>
          <w:szCs w:val="22"/>
          <w:shd w:val="clear" w:color="auto" w:fill="FFFFFF"/>
        </w:rPr>
        <w:t xml:space="preserve">6. </w:t>
      </w:r>
      <w:r w:rsidR="00606588" w:rsidRPr="008272BB">
        <w:rPr>
          <w:rFonts w:ascii="Arial" w:hAnsi="Arial" w:cs="Arial"/>
          <w:b/>
          <w:bCs/>
          <w:sz w:val="22"/>
          <w:szCs w:val="22"/>
          <w:shd w:val="clear" w:color="auto" w:fill="FFFFFF"/>
        </w:rPr>
        <w:t>References</w:t>
      </w:r>
      <w:bookmarkEnd w:id="15"/>
    </w:p>
    <w:p w14:paraId="59C435B3"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Goleman, D. (2020) </w:t>
      </w:r>
      <w:r w:rsidRPr="00F86B93">
        <w:rPr>
          <w:rStyle w:val="Emphasis"/>
          <w:rFonts w:ascii="Arial" w:eastAsiaTheme="majorEastAsia" w:hAnsi="Arial" w:cs="Arial"/>
          <w:color w:val="000000" w:themeColor="text1"/>
          <w:sz w:val="22"/>
          <w:szCs w:val="22"/>
        </w:rPr>
        <w:t>Emotional intelligence: Why it can matter more than IQ</w:t>
      </w:r>
      <w:r w:rsidRPr="00F86B93">
        <w:rPr>
          <w:rFonts w:ascii="Arial" w:hAnsi="Arial" w:cs="Arial"/>
          <w:color w:val="000000" w:themeColor="text1"/>
          <w:sz w:val="22"/>
          <w:szCs w:val="22"/>
        </w:rPr>
        <w:t>. 25th anniversary edn. London: Bloomsbury Publishing.</w:t>
      </w:r>
    </w:p>
    <w:p w14:paraId="574CFD13"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Singh, D. (2006) </w:t>
      </w:r>
      <w:r w:rsidRPr="00F86B93">
        <w:rPr>
          <w:rStyle w:val="Emphasis"/>
          <w:rFonts w:ascii="Arial" w:eastAsiaTheme="majorEastAsia" w:hAnsi="Arial" w:cs="Arial"/>
          <w:color w:val="000000" w:themeColor="text1"/>
          <w:sz w:val="22"/>
          <w:szCs w:val="22"/>
        </w:rPr>
        <w:t>Emotional intelligence at work: A professional guide</w:t>
      </w:r>
      <w:r w:rsidRPr="00F86B93">
        <w:rPr>
          <w:rFonts w:ascii="Arial" w:hAnsi="Arial" w:cs="Arial"/>
          <w:color w:val="000000" w:themeColor="text1"/>
          <w:sz w:val="22"/>
          <w:szCs w:val="22"/>
        </w:rPr>
        <w:t>. 3rd edn. New Delhi; Thousand Oaks, CA: Response Books.</w:t>
      </w:r>
    </w:p>
    <w:p w14:paraId="3F95B511"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Karelaia, N. and Reb, J. (2014) ‘Improving decision making through mindfulness’. INSEAD.</w:t>
      </w:r>
    </w:p>
    <w:p w14:paraId="6D502DFB"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Pickert, K. (2014) ‘The art of being mindful’, </w:t>
      </w:r>
      <w:r w:rsidRPr="00F86B93">
        <w:rPr>
          <w:rStyle w:val="Emphasis"/>
          <w:rFonts w:ascii="Arial" w:eastAsiaTheme="majorEastAsia" w:hAnsi="Arial" w:cs="Arial"/>
          <w:color w:val="000000" w:themeColor="text1"/>
          <w:sz w:val="22"/>
          <w:szCs w:val="22"/>
        </w:rPr>
        <w:t>Time</w:t>
      </w:r>
      <w:r w:rsidRPr="00F86B93">
        <w:rPr>
          <w:rFonts w:ascii="Arial" w:hAnsi="Arial" w:cs="Arial"/>
          <w:color w:val="000000" w:themeColor="text1"/>
          <w:sz w:val="22"/>
          <w:szCs w:val="22"/>
        </w:rPr>
        <w:t>, (4), pp. 40–46.</w:t>
      </w:r>
    </w:p>
    <w:p w14:paraId="3800EA19"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Hughes, M. et al. (2009) </w:t>
      </w:r>
      <w:r w:rsidRPr="00F86B93">
        <w:rPr>
          <w:rStyle w:val="Emphasis"/>
          <w:rFonts w:ascii="Arial" w:eastAsiaTheme="majorEastAsia" w:hAnsi="Arial" w:cs="Arial"/>
          <w:color w:val="000000" w:themeColor="text1"/>
          <w:sz w:val="22"/>
          <w:szCs w:val="22"/>
        </w:rPr>
        <w:t>Handbook for developing emotional and social intelligence</w:t>
      </w:r>
      <w:r w:rsidRPr="00F86B93">
        <w:rPr>
          <w:rFonts w:ascii="Arial" w:hAnsi="Arial" w:cs="Arial"/>
          <w:color w:val="000000" w:themeColor="text1"/>
          <w:sz w:val="22"/>
          <w:szCs w:val="22"/>
        </w:rPr>
        <w:t>. San Francisco: Pfeiffer.</w:t>
      </w:r>
    </w:p>
    <w:p w14:paraId="16219AED"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Johennesse, L. and Pressley, G. (2023) ‘The influence of emotional intelligence in the workplace environment: A literature review’, </w:t>
      </w:r>
      <w:r w:rsidRPr="00F86B93">
        <w:rPr>
          <w:rStyle w:val="Emphasis"/>
          <w:rFonts w:ascii="Arial" w:eastAsiaTheme="majorEastAsia" w:hAnsi="Arial" w:cs="Arial"/>
          <w:color w:val="000000" w:themeColor="text1"/>
          <w:sz w:val="22"/>
          <w:szCs w:val="22"/>
        </w:rPr>
        <w:t>Indonesian Journal of Business, Accounting and Management</w:t>
      </w:r>
      <w:r w:rsidRPr="00F86B93">
        <w:rPr>
          <w:rFonts w:ascii="Arial" w:hAnsi="Arial" w:cs="Arial"/>
          <w:color w:val="000000" w:themeColor="text1"/>
          <w:sz w:val="22"/>
          <w:szCs w:val="22"/>
        </w:rPr>
        <w:t>, 6(1), pp. 25–32.</w:t>
      </w:r>
    </w:p>
    <w:p w14:paraId="22412169"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Adcox, S. (n.d.) </w:t>
      </w:r>
      <w:r w:rsidRPr="00F86B93">
        <w:rPr>
          <w:rStyle w:val="Emphasis"/>
          <w:rFonts w:ascii="Arial" w:eastAsiaTheme="majorEastAsia" w:hAnsi="Arial" w:cs="Arial"/>
          <w:color w:val="000000" w:themeColor="text1"/>
          <w:sz w:val="22"/>
          <w:szCs w:val="22"/>
        </w:rPr>
        <w:t>Baby boomers</w:t>
      </w:r>
      <w:r w:rsidRPr="00F86B93">
        <w:rPr>
          <w:rFonts w:ascii="Arial" w:hAnsi="Arial" w:cs="Arial"/>
          <w:color w:val="000000" w:themeColor="text1"/>
          <w:sz w:val="22"/>
          <w:szCs w:val="22"/>
        </w:rPr>
        <w:t>. About Parenting. Available at: http://grandparents.about.com/od/grandparentsglossary/g/Baby-Boomers-Who-Are-The-Baby-Boomers.htm (Accessed: 10 December 2025).</w:t>
      </w:r>
    </w:p>
    <w:p w14:paraId="37AB6C2C"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Buhane, A.K. and Kovary, G. (2003) </w:t>
      </w:r>
      <w:r w:rsidRPr="00F86B93">
        <w:rPr>
          <w:rStyle w:val="Emphasis"/>
          <w:rFonts w:ascii="Arial" w:eastAsiaTheme="majorEastAsia" w:hAnsi="Arial" w:cs="Arial"/>
          <w:color w:val="000000" w:themeColor="text1"/>
          <w:sz w:val="22"/>
          <w:szCs w:val="22"/>
        </w:rPr>
        <w:t>The road to performance success: Understanding and managing the generational divide</w:t>
      </w:r>
      <w:r w:rsidRPr="00F86B93">
        <w:rPr>
          <w:rFonts w:ascii="Arial" w:hAnsi="Arial" w:cs="Arial"/>
          <w:color w:val="000000" w:themeColor="text1"/>
          <w:sz w:val="22"/>
          <w:szCs w:val="22"/>
        </w:rPr>
        <w:t>. Ngen Performance. Available at: http://www.ngenperformance.com/pdf/white/ManagingGenDivide.Overview.pdf (Accessed: 10 December 2025).</w:t>
      </w:r>
    </w:p>
    <w:p w14:paraId="4661A236"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Clause, C. (n.d.) </w:t>
      </w:r>
      <w:r w:rsidRPr="00F86B93">
        <w:rPr>
          <w:rStyle w:val="Emphasis"/>
          <w:rFonts w:ascii="Arial" w:eastAsiaTheme="majorEastAsia" w:hAnsi="Arial" w:cs="Arial"/>
          <w:color w:val="000000" w:themeColor="text1"/>
          <w:sz w:val="22"/>
          <w:szCs w:val="22"/>
        </w:rPr>
        <w:t>Traditionalist generation: Definition and characteristics</w:t>
      </w:r>
      <w:r w:rsidRPr="00F86B93">
        <w:rPr>
          <w:rFonts w:ascii="Arial" w:hAnsi="Arial" w:cs="Arial"/>
          <w:color w:val="000000" w:themeColor="text1"/>
          <w:sz w:val="22"/>
          <w:szCs w:val="22"/>
        </w:rPr>
        <w:t>. Study.com. Available at: http://study.com/academy/lesson/traditionalist-generation-definition-characteristics-quiz.html (Accessed: 10 December 2025).</w:t>
      </w:r>
    </w:p>
    <w:p w14:paraId="2A98BD5F"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lastRenderedPageBreak/>
        <w:t xml:space="preserve">Cross-Bystrum, A. (2010) ‘What you need to know about Generation Z’, </w:t>
      </w:r>
      <w:r w:rsidRPr="00F86B93">
        <w:rPr>
          <w:rStyle w:val="Emphasis"/>
          <w:rFonts w:ascii="Arial" w:eastAsiaTheme="majorEastAsia" w:hAnsi="Arial" w:cs="Arial"/>
          <w:color w:val="000000" w:themeColor="text1"/>
          <w:sz w:val="22"/>
          <w:szCs w:val="22"/>
        </w:rPr>
        <w:t>iMedia Connection</w:t>
      </w:r>
      <w:r w:rsidRPr="00F86B93">
        <w:rPr>
          <w:rFonts w:ascii="Arial" w:hAnsi="Arial" w:cs="Arial"/>
          <w:color w:val="000000" w:themeColor="text1"/>
          <w:sz w:val="22"/>
          <w:szCs w:val="22"/>
        </w:rPr>
        <w:t>, 20 August. Available at: http://www.imediaconnection.com/content/27425.asp (Accessed: 10 December 2025).</w:t>
      </w:r>
    </w:p>
    <w:p w14:paraId="40A5B17D"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Gibson, R. (2013) </w:t>
      </w:r>
      <w:r w:rsidRPr="00F86B93">
        <w:rPr>
          <w:rStyle w:val="Emphasis"/>
          <w:rFonts w:ascii="Arial" w:eastAsiaTheme="majorEastAsia" w:hAnsi="Arial" w:cs="Arial"/>
          <w:color w:val="000000" w:themeColor="text1"/>
          <w:sz w:val="22"/>
          <w:szCs w:val="22"/>
        </w:rPr>
        <w:t>Definition of Generation Y</w:t>
      </w:r>
      <w:r w:rsidRPr="00F86B93">
        <w:rPr>
          <w:rFonts w:ascii="Arial" w:hAnsi="Arial" w:cs="Arial"/>
          <w:color w:val="000000" w:themeColor="text1"/>
          <w:sz w:val="22"/>
          <w:szCs w:val="22"/>
        </w:rPr>
        <w:t>. Generation Y. Available at: http://www.generationy.com/definition/ (Accessed: 10 December 2025).</w:t>
      </w:r>
    </w:p>
    <w:p w14:paraId="2F96E94B"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Grimes, G. (2011) ‘How Generation X works’, </w:t>
      </w:r>
      <w:r w:rsidRPr="00F86B93">
        <w:rPr>
          <w:rStyle w:val="Emphasis"/>
          <w:rFonts w:ascii="Arial" w:eastAsiaTheme="majorEastAsia" w:hAnsi="Arial" w:cs="Arial"/>
          <w:color w:val="000000" w:themeColor="text1"/>
          <w:sz w:val="22"/>
          <w:szCs w:val="22"/>
        </w:rPr>
        <w:t>HowStuffWorks</w:t>
      </w:r>
      <w:r w:rsidRPr="00F86B93">
        <w:rPr>
          <w:rFonts w:ascii="Arial" w:hAnsi="Arial" w:cs="Arial"/>
          <w:color w:val="000000" w:themeColor="text1"/>
          <w:sz w:val="22"/>
          <w:szCs w:val="22"/>
        </w:rPr>
        <w:t>. Available at: http://people.howstuffworks.com/culture-traditions/generation-gaps/generation-x.htm (Accessed: 10 December 2025).</w:t>
      </w:r>
    </w:p>
    <w:p w14:paraId="4B80B6C4"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Heathfield, S.M. (n.d.) </w:t>
      </w:r>
      <w:r w:rsidRPr="00F86B93">
        <w:rPr>
          <w:rStyle w:val="Emphasis"/>
          <w:rFonts w:ascii="Arial" w:eastAsiaTheme="majorEastAsia" w:hAnsi="Arial" w:cs="Arial"/>
          <w:color w:val="000000" w:themeColor="text1"/>
          <w:sz w:val="22"/>
          <w:szCs w:val="22"/>
        </w:rPr>
        <w:t>Baby Boomers</w:t>
      </w:r>
      <w:r w:rsidRPr="00F86B93">
        <w:rPr>
          <w:rFonts w:ascii="Arial" w:hAnsi="Arial" w:cs="Arial"/>
          <w:color w:val="000000" w:themeColor="text1"/>
          <w:sz w:val="22"/>
          <w:szCs w:val="22"/>
        </w:rPr>
        <w:t>. About Money. Available at: http://humanresources.about.eom/od/glossaryb/g/boomers.htm (Accessed: 10 December 2025).</w:t>
      </w:r>
    </w:p>
    <w:p w14:paraId="23F052D9"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Horovitz, B. (2012) ‘After Gen X, Millennial, what should next generation be?’, </w:t>
      </w:r>
      <w:r w:rsidRPr="00F86B93">
        <w:rPr>
          <w:rStyle w:val="Emphasis"/>
          <w:rFonts w:ascii="Arial" w:eastAsiaTheme="majorEastAsia" w:hAnsi="Arial" w:cs="Arial"/>
          <w:color w:val="000000" w:themeColor="text1"/>
          <w:sz w:val="22"/>
          <w:szCs w:val="22"/>
        </w:rPr>
        <w:t>USA Today</w:t>
      </w:r>
      <w:r w:rsidRPr="00F86B93">
        <w:rPr>
          <w:rFonts w:ascii="Arial" w:hAnsi="Arial" w:cs="Arial"/>
          <w:color w:val="000000" w:themeColor="text1"/>
          <w:sz w:val="22"/>
          <w:szCs w:val="22"/>
        </w:rPr>
        <w:t>, 4 May. Available at: http://usatoday30.usatoday.eom/money/advertising/story/2012-05-03/naming-the-next-generation/54737518/ (Accessed: 10 December 2025).</w:t>
      </w:r>
    </w:p>
    <w:p w14:paraId="55A719E9"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Menzies, D. (n.d.) </w:t>
      </w:r>
      <w:r w:rsidRPr="00F86B93">
        <w:rPr>
          <w:rStyle w:val="Emphasis"/>
          <w:rFonts w:ascii="Arial" w:eastAsiaTheme="majorEastAsia" w:hAnsi="Arial" w:cs="Arial"/>
          <w:color w:val="000000" w:themeColor="text1"/>
          <w:sz w:val="22"/>
          <w:szCs w:val="22"/>
        </w:rPr>
        <w:t>Generation Z: The digital natives</w:t>
      </w:r>
      <w:r w:rsidRPr="00F86B93">
        <w:rPr>
          <w:rFonts w:ascii="Arial" w:hAnsi="Arial" w:cs="Arial"/>
          <w:color w:val="000000" w:themeColor="text1"/>
          <w:sz w:val="22"/>
          <w:szCs w:val="22"/>
        </w:rPr>
        <w:t>. Available at: http://davemenzies.com/digital-marketing-2/generation-z-digital-natives/ (Accessed: 10 December 2025).</w:t>
      </w:r>
    </w:p>
    <w:p w14:paraId="0699D9A3" w14:textId="77777777" w:rsidR="00606588" w:rsidRPr="00F86B93" w:rsidRDefault="00606588" w:rsidP="00F86B93">
      <w:pPr>
        <w:pStyle w:val="NormalWeb"/>
        <w:spacing w:line="360" w:lineRule="auto"/>
        <w:rPr>
          <w:rFonts w:ascii="Arial" w:hAnsi="Arial" w:cs="Arial"/>
          <w:color w:val="000000" w:themeColor="text1"/>
          <w:sz w:val="22"/>
          <w:szCs w:val="22"/>
        </w:rPr>
      </w:pPr>
      <w:r w:rsidRPr="00F86B93">
        <w:rPr>
          <w:rFonts w:ascii="Arial" w:hAnsi="Arial" w:cs="Arial"/>
          <w:color w:val="000000" w:themeColor="text1"/>
          <w:sz w:val="22"/>
          <w:szCs w:val="22"/>
        </w:rPr>
        <w:t xml:space="preserve">Wiedmer, T. (2015) ‘Generations do differ: Best practices in leading Traditionalists, Boomers, and Generations X, Y, and Z’, </w:t>
      </w:r>
      <w:r w:rsidRPr="00F86B93">
        <w:rPr>
          <w:rStyle w:val="Emphasis"/>
          <w:rFonts w:ascii="Arial" w:eastAsiaTheme="majorEastAsia" w:hAnsi="Arial" w:cs="Arial"/>
          <w:color w:val="000000" w:themeColor="text1"/>
          <w:sz w:val="22"/>
          <w:szCs w:val="22"/>
        </w:rPr>
        <w:t>Delta Kappa Gamma Bulletin</w:t>
      </w:r>
      <w:r w:rsidRPr="00F86B93">
        <w:rPr>
          <w:rFonts w:ascii="Arial" w:hAnsi="Arial" w:cs="Arial"/>
          <w:color w:val="000000" w:themeColor="text1"/>
          <w:sz w:val="22"/>
          <w:szCs w:val="22"/>
        </w:rPr>
        <w:t>, 82, pp. 51–58.</w:t>
      </w:r>
    </w:p>
    <w:p w14:paraId="39270395" w14:textId="77777777" w:rsidR="00606588" w:rsidRPr="00F86B93" w:rsidRDefault="00606588" w:rsidP="00F86B93">
      <w:pPr>
        <w:spacing w:before="100" w:beforeAutospacing="1" w:after="100" w:afterAutospacing="1" w:line="360" w:lineRule="auto"/>
        <w:rPr>
          <w:rFonts w:ascii="Arial" w:eastAsia="Times New Roman" w:hAnsi="Arial" w:cs="Arial"/>
          <w:color w:val="000000" w:themeColor="text1"/>
          <w:kern w:val="0"/>
          <w:sz w:val="22"/>
          <w:szCs w:val="22"/>
          <w:lang w:eastAsia="en-GB"/>
          <w14:ligatures w14:val="none"/>
        </w:rPr>
      </w:pPr>
    </w:p>
    <w:p w14:paraId="79F1E6BA" w14:textId="14C9465E" w:rsidR="00E54699" w:rsidRPr="00F86B93" w:rsidRDefault="00E54699" w:rsidP="00F86B93">
      <w:pPr>
        <w:spacing w:line="360" w:lineRule="auto"/>
        <w:rPr>
          <w:rFonts w:ascii="Arial" w:hAnsi="Arial" w:cs="Arial"/>
          <w:color w:val="000000" w:themeColor="text1"/>
          <w:sz w:val="22"/>
          <w:szCs w:val="22"/>
        </w:rPr>
      </w:pPr>
    </w:p>
    <w:p w14:paraId="226021B5" w14:textId="77777777" w:rsidR="003E45A7" w:rsidRPr="00F86B93" w:rsidRDefault="003E45A7" w:rsidP="00F86B93">
      <w:pPr>
        <w:spacing w:line="360" w:lineRule="auto"/>
        <w:rPr>
          <w:rFonts w:ascii="Arial" w:hAnsi="Arial" w:cs="Arial"/>
          <w:color w:val="000000" w:themeColor="text1"/>
          <w:sz w:val="22"/>
          <w:szCs w:val="22"/>
        </w:rPr>
      </w:pPr>
    </w:p>
    <w:sectPr w:rsidR="003E45A7" w:rsidRPr="00F86B93" w:rsidSect="00406EC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F9682" w14:textId="77777777" w:rsidR="00090C3E" w:rsidRDefault="00090C3E" w:rsidP="008272BB">
      <w:r>
        <w:separator/>
      </w:r>
    </w:p>
  </w:endnote>
  <w:endnote w:type="continuationSeparator" w:id="0">
    <w:p w14:paraId="1598A9C0" w14:textId="77777777" w:rsidR="00090C3E" w:rsidRDefault="00090C3E" w:rsidP="00827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C3E89" w14:textId="77777777" w:rsidR="008272BB" w:rsidRDefault="008272BB">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621913BC" w14:textId="77777777" w:rsidR="008272BB" w:rsidRDefault="008272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3666D" w14:textId="77777777" w:rsidR="00090C3E" w:rsidRDefault="00090C3E" w:rsidP="008272BB">
      <w:r>
        <w:separator/>
      </w:r>
    </w:p>
  </w:footnote>
  <w:footnote w:type="continuationSeparator" w:id="0">
    <w:p w14:paraId="224B143B" w14:textId="77777777" w:rsidR="00090C3E" w:rsidRDefault="00090C3E" w:rsidP="008272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6991"/>
    <w:multiLevelType w:val="hybridMultilevel"/>
    <w:tmpl w:val="436006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2949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919"/>
    <w:rsid w:val="00062D57"/>
    <w:rsid w:val="00090C3E"/>
    <w:rsid w:val="001B486E"/>
    <w:rsid w:val="003E45A7"/>
    <w:rsid w:val="00406EC8"/>
    <w:rsid w:val="005C472F"/>
    <w:rsid w:val="00606588"/>
    <w:rsid w:val="007563E4"/>
    <w:rsid w:val="008272BB"/>
    <w:rsid w:val="00A875D7"/>
    <w:rsid w:val="00A90919"/>
    <w:rsid w:val="00BE78B1"/>
    <w:rsid w:val="00C32CD2"/>
    <w:rsid w:val="00C33AC5"/>
    <w:rsid w:val="00DC0CC4"/>
    <w:rsid w:val="00E30743"/>
    <w:rsid w:val="00E30C4E"/>
    <w:rsid w:val="00E54699"/>
    <w:rsid w:val="00EF6CE8"/>
    <w:rsid w:val="00F12C1F"/>
    <w:rsid w:val="00F86B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ABBEC"/>
  <w15:chartTrackingRefBased/>
  <w15:docId w15:val="{7AC1C1D3-C5C6-8446-9899-5C959B12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0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0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09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09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09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09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09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09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09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9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09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09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09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09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09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09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09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0919"/>
    <w:rPr>
      <w:rFonts w:eastAsiaTheme="majorEastAsia" w:cstheme="majorBidi"/>
      <w:color w:val="272727" w:themeColor="text1" w:themeTint="D8"/>
    </w:rPr>
  </w:style>
  <w:style w:type="paragraph" w:styleId="Title">
    <w:name w:val="Title"/>
    <w:basedOn w:val="Normal"/>
    <w:next w:val="Normal"/>
    <w:link w:val="TitleChar"/>
    <w:uiPriority w:val="10"/>
    <w:qFormat/>
    <w:rsid w:val="00A909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09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091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09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09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90919"/>
    <w:rPr>
      <w:i/>
      <w:iCs/>
      <w:color w:val="404040" w:themeColor="text1" w:themeTint="BF"/>
    </w:rPr>
  </w:style>
  <w:style w:type="paragraph" w:styleId="ListParagraph">
    <w:name w:val="List Paragraph"/>
    <w:basedOn w:val="Normal"/>
    <w:uiPriority w:val="34"/>
    <w:qFormat/>
    <w:rsid w:val="00A90919"/>
    <w:pPr>
      <w:ind w:left="720"/>
      <w:contextualSpacing/>
    </w:pPr>
  </w:style>
  <w:style w:type="character" w:styleId="IntenseEmphasis">
    <w:name w:val="Intense Emphasis"/>
    <w:basedOn w:val="DefaultParagraphFont"/>
    <w:uiPriority w:val="21"/>
    <w:qFormat/>
    <w:rsid w:val="00A90919"/>
    <w:rPr>
      <w:i/>
      <w:iCs/>
      <w:color w:val="0F4761" w:themeColor="accent1" w:themeShade="BF"/>
    </w:rPr>
  </w:style>
  <w:style w:type="paragraph" w:styleId="IntenseQuote">
    <w:name w:val="Intense Quote"/>
    <w:basedOn w:val="Normal"/>
    <w:next w:val="Normal"/>
    <w:link w:val="IntenseQuoteChar"/>
    <w:uiPriority w:val="30"/>
    <w:qFormat/>
    <w:rsid w:val="00A90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0919"/>
    <w:rPr>
      <w:i/>
      <w:iCs/>
      <w:color w:val="0F4761" w:themeColor="accent1" w:themeShade="BF"/>
    </w:rPr>
  </w:style>
  <w:style w:type="character" w:styleId="IntenseReference">
    <w:name w:val="Intense Reference"/>
    <w:basedOn w:val="DefaultParagraphFont"/>
    <w:uiPriority w:val="32"/>
    <w:qFormat/>
    <w:rsid w:val="00A90919"/>
    <w:rPr>
      <w:b/>
      <w:bCs/>
      <w:smallCaps/>
      <w:color w:val="0F4761" w:themeColor="accent1" w:themeShade="BF"/>
      <w:spacing w:val="5"/>
    </w:rPr>
  </w:style>
  <w:style w:type="character" w:customStyle="1" w:styleId="red">
    <w:name w:val="red"/>
    <w:basedOn w:val="DefaultParagraphFont"/>
    <w:rsid w:val="003E45A7"/>
  </w:style>
  <w:style w:type="character" w:customStyle="1" w:styleId="blue">
    <w:name w:val="blue"/>
    <w:basedOn w:val="DefaultParagraphFont"/>
    <w:rsid w:val="003E45A7"/>
  </w:style>
  <w:style w:type="paragraph" w:styleId="NormalWeb">
    <w:name w:val="Normal (Web)"/>
    <w:basedOn w:val="Normal"/>
    <w:uiPriority w:val="99"/>
    <w:semiHidden/>
    <w:unhideWhenUsed/>
    <w:rsid w:val="00A875D7"/>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606588"/>
    <w:rPr>
      <w:i/>
      <w:iCs/>
    </w:rPr>
  </w:style>
  <w:style w:type="paragraph" w:styleId="Header">
    <w:name w:val="header"/>
    <w:basedOn w:val="Normal"/>
    <w:link w:val="HeaderChar"/>
    <w:uiPriority w:val="99"/>
    <w:unhideWhenUsed/>
    <w:rsid w:val="008272BB"/>
    <w:pPr>
      <w:tabs>
        <w:tab w:val="center" w:pos="4513"/>
        <w:tab w:val="right" w:pos="9026"/>
      </w:tabs>
    </w:pPr>
  </w:style>
  <w:style w:type="character" w:customStyle="1" w:styleId="HeaderChar">
    <w:name w:val="Header Char"/>
    <w:basedOn w:val="DefaultParagraphFont"/>
    <w:link w:val="Header"/>
    <w:uiPriority w:val="99"/>
    <w:rsid w:val="008272BB"/>
  </w:style>
  <w:style w:type="paragraph" w:styleId="Footer">
    <w:name w:val="footer"/>
    <w:basedOn w:val="Normal"/>
    <w:link w:val="FooterChar"/>
    <w:uiPriority w:val="99"/>
    <w:unhideWhenUsed/>
    <w:rsid w:val="008272BB"/>
    <w:pPr>
      <w:tabs>
        <w:tab w:val="center" w:pos="4513"/>
        <w:tab w:val="right" w:pos="9026"/>
      </w:tabs>
    </w:pPr>
  </w:style>
  <w:style w:type="character" w:customStyle="1" w:styleId="FooterChar">
    <w:name w:val="Footer Char"/>
    <w:basedOn w:val="DefaultParagraphFont"/>
    <w:link w:val="Footer"/>
    <w:uiPriority w:val="99"/>
    <w:rsid w:val="008272BB"/>
  </w:style>
  <w:style w:type="paragraph" w:styleId="TOCHeading">
    <w:name w:val="TOC Heading"/>
    <w:basedOn w:val="Heading1"/>
    <w:next w:val="Normal"/>
    <w:uiPriority w:val="39"/>
    <w:unhideWhenUsed/>
    <w:qFormat/>
    <w:rsid w:val="008272B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272BB"/>
    <w:pPr>
      <w:spacing w:before="120"/>
    </w:pPr>
    <w:rPr>
      <w:b/>
      <w:bCs/>
      <w:i/>
      <w:iCs/>
    </w:rPr>
  </w:style>
  <w:style w:type="paragraph" w:styleId="TOC3">
    <w:name w:val="toc 3"/>
    <w:basedOn w:val="Normal"/>
    <w:next w:val="Normal"/>
    <w:autoRedefine/>
    <w:uiPriority w:val="39"/>
    <w:unhideWhenUsed/>
    <w:rsid w:val="008272BB"/>
    <w:pPr>
      <w:ind w:left="480"/>
    </w:pPr>
    <w:rPr>
      <w:sz w:val="20"/>
      <w:szCs w:val="20"/>
    </w:rPr>
  </w:style>
  <w:style w:type="paragraph" w:styleId="TOC2">
    <w:name w:val="toc 2"/>
    <w:basedOn w:val="Normal"/>
    <w:next w:val="Normal"/>
    <w:autoRedefine/>
    <w:uiPriority w:val="39"/>
    <w:unhideWhenUsed/>
    <w:rsid w:val="008272BB"/>
    <w:pPr>
      <w:spacing w:before="120"/>
      <w:ind w:left="240"/>
    </w:pPr>
    <w:rPr>
      <w:b/>
      <w:bCs/>
      <w:sz w:val="22"/>
      <w:szCs w:val="22"/>
    </w:rPr>
  </w:style>
  <w:style w:type="character" w:styleId="Hyperlink">
    <w:name w:val="Hyperlink"/>
    <w:basedOn w:val="DefaultParagraphFont"/>
    <w:uiPriority w:val="99"/>
    <w:unhideWhenUsed/>
    <w:rsid w:val="008272BB"/>
    <w:rPr>
      <w:color w:val="467886" w:themeColor="hyperlink"/>
      <w:u w:val="single"/>
    </w:rPr>
  </w:style>
  <w:style w:type="paragraph" w:styleId="TOC4">
    <w:name w:val="toc 4"/>
    <w:basedOn w:val="Normal"/>
    <w:next w:val="Normal"/>
    <w:autoRedefine/>
    <w:uiPriority w:val="39"/>
    <w:semiHidden/>
    <w:unhideWhenUsed/>
    <w:rsid w:val="008272BB"/>
    <w:pPr>
      <w:ind w:left="720"/>
    </w:pPr>
    <w:rPr>
      <w:sz w:val="20"/>
      <w:szCs w:val="20"/>
    </w:rPr>
  </w:style>
  <w:style w:type="paragraph" w:styleId="TOC5">
    <w:name w:val="toc 5"/>
    <w:basedOn w:val="Normal"/>
    <w:next w:val="Normal"/>
    <w:autoRedefine/>
    <w:uiPriority w:val="39"/>
    <w:semiHidden/>
    <w:unhideWhenUsed/>
    <w:rsid w:val="008272BB"/>
    <w:pPr>
      <w:ind w:left="960"/>
    </w:pPr>
    <w:rPr>
      <w:sz w:val="20"/>
      <w:szCs w:val="20"/>
    </w:rPr>
  </w:style>
  <w:style w:type="paragraph" w:styleId="TOC6">
    <w:name w:val="toc 6"/>
    <w:basedOn w:val="Normal"/>
    <w:next w:val="Normal"/>
    <w:autoRedefine/>
    <w:uiPriority w:val="39"/>
    <w:semiHidden/>
    <w:unhideWhenUsed/>
    <w:rsid w:val="008272BB"/>
    <w:pPr>
      <w:ind w:left="1200"/>
    </w:pPr>
    <w:rPr>
      <w:sz w:val="20"/>
      <w:szCs w:val="20"/>
    </w:rPr>
  </w:style>
  <w:style w:type="paragraph" w:styleId="TOC7">
    <w:name w:val="toc 7"/>
    <w:basedOn w:val="Normal"/>
    <w:next w:val="Normal"/>
    <w:autoRedefine/>
    <w:uiPriority w:val="39"/>
    <w:semiHidden/>
    <w:unhideWhenUsed/>
    <w:rsid w:val="008272BB"/>
    <w:pPr>
      <w:ind w:left="1440"/>
    </w:pPr>
    <w:rPr>
      <w:sz w:val="20"/>
      <w:szCs w:val="20"/>
    </w:rPr>
  </w:style>
  <w:style w:type="paragraph" w:styleId="TOC8">
    <w:name w:val="toc 8"/>
    <w:basedOn w:val="Normal"/>
    <w:next w:val="Normal"/>
    <w:autoRedefine/>
    <w:uiPriority w:val="39"/>
    <w:semiHidden/>
    <w:unhideWhenUsed/>
    <w:rsid w:val="008272BB"/>
    <w:pPr>
      <w:ind w:left="1680"/>
    </w:pPr>
    <w:rPr>
      <w:sz w:val="20"/>
      <w:szCs w:val="20"/>
    </w:rPr>
  </w:style>
  <w:style w:type="paragraph" w:styleId="TOC9">
    <w:name w:val="toc 9"/>
    <w:basedOn w:val="Normal"/>
    <w:next w:val="Normal"/>
    <w:autoRedefine/>
    <w:uiPriority w:val="39"/>
    <w:semiHidden/>
    <w:unhideWhenUsed/>
    <w:rsid w:val="008272BB"/>
    <w:pPr>
      <w:ind w:left="1920"/>
    </w:pPr>
    <w:rPr>
      <w:sz w:val="20"/>
      <w:szCs w:val="20"/>
    </w:rPr>
  </w:style>
  <w:style w:type="paragraph" w:styleId="NoSpacing">
    <w:name w:val="No Spacing"/>
    <w:link w:val="NoSpacingChar"/>
    <w:uiPriority w:val="1"/>
    <w:qFormat/>
    <w:rsid w:val="00406EC8"/>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406EC8"/>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64196DF50D959438276FB490FD20535"/>
        <w:category>
          <w:name w:val="General"/>
          <w:gallery w:val="placeholder"/>
        </w:category>
        <w:types>
          <w:type w:val="bbPlcHdr"/>
        </w:types>
        <w:behaviors>
          <w:behavior w:val="content"/>
        </w:behaviors>
        <w:guid w:val="{9B75B786-F5D5-9443-9525-4933A45E8C0D}"/>
      </w:docPartPr>
      <w:docPartBody>
        <w:p w:rsidR="00000000" w:rsidRDefault="00407094" w:rsidP="00407094">
          <w:pPr>
            <w:pStyle w:val="964196DF50D959438276FB490FD20535"/>
          </w:pPr>
          <w:r>
            <w:rPr>
              <w:rFonts w:asciiTheme="majorHAnsi" w:eastAsiaTheme="majorEastAsia" w:hAnsiTheme="majorHAnsi" w:cstheme="majorBidi"/>
              <w:caps/>
              <w:color w:val="156082" w:themeColor="accent1"/>
              <w:sz w:val="80"/>
              <w:szCs w:val="80"/>
            </w:rPr>
            <w:t>[Document title]</w:t>
          </w:r>
        </w:p>
      </w:docPartBody>
    </w:docPart>
    <w:docPart>
      <w:docPartPr>
        <w:name w:val="1BB459C7824A7D47B8EF7D812B278389"/>
        <w:category>
          <w:name w:val="General"/>
          <w:gallery w:val="placeholder"/>
        </w:category>
        <w:types>
          <w:type w:val="bbPlcHdr"/>
        </w:types>
        <w:behaviors>
          <w:behavior w:val="content"/>
        </w:behaviors>
        <w:guid w:val="{8FB72C41-9A00-5548-8E52-E7106FD91B8A}"/>
      </w:docPartPr>
      <w:docPartBody>
        <w:p w:rsidR="00000000" w:rsidRDefault="00407094" w:rsidP="00407094">
          <w:pPr>
            <w:pStyle w:val="1BB459C7824A7D47B8EF7D812B278389"/>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094"/>
    <w:rsid w:val="00407094"/>
    <w:rsid w:val="005C472F"/>
    <w:rsid w:val="00A84E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64196DF50D959438276FB490FD20535">
    <w:name w:val="964196DF50D959438276FB490FD20535"/>
    <w:rsid w:val="00407094"/>
  </w:style>
  <w:style w:type="paragraph" w:customStyle="1" w:styleId="1BB459C7824A7D47B8EF7D812B278389">
    <w:name w:val="1BB459C7824A7D47B8EF7D812B278389"/>
    <w:rsid w:val="004070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52276A-18DE-9749-A85C-BBADBFCEE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12</Pages>
  <Words>3908</Words>
  <Characters>22276</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(Hons) Leadership and Management Skills for the Workplace LCLM5006</dc:title>
  <dc:subject>Developing Emotional Intelligence Skills</dc:subject>
  <dc:creator>Ruth Lynn Parino Talavera (2316908)</dc:creator>
  <cp:keywords/>
  <dc:description/>
  <cp:lastModifiedBy>Ruth Lynn Parino Talavera (2316908)</cp:lastModifiedBy>
  <cp:revision>6</cp:revision>
  <dcterms:created xsi:type="dcterms:W3CDTF">2025-12-18T02:10:00Z</dcterms:created>
  <dcterms:modified xsi:type="dcterms:W3CDTF">2025-12-19T02:36:00Z</dcterms:modified>
</cp:coreProperties>
</file>