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E74081" w14:textId="77777777" w:rsidR="00E540E0" w:rsidRDefault="00E540E0">
      <w:pPr>
        <w:rPr>
          <w:rFonts w:ascii="Times New Roman" w:hAnsi="Times New Roman" w:cs="Times New Roman"/>
        </w:rPr>
      </w:pPr>
    </w:p>
    <w:p w14:paraId="3CA26530" w14:textId="5180DE6D" w:rsidR="00DD4D84" w:rsidRDefault="00DD4D84" w:rsidP="006314B4">
      <w:pPr>
        <w:spacing w:line="360" w:lineRule="auto"/>
        <w:rPr>
          <w:rFonts w:ascii="Times New Roman" w:hAnsi="Times New Roman" w:cs="Times New Roman"/>
        </w:rPr>
      </w:pPr>
      <w:r>
        <w:rPr>
          <w:rFonts w:ascii="Times New Roman" w:hAnsi="Times New Roman" w:cs="Times New Roman"/>
        </w:rPr>
        <w:t xml:space="preserve">In this section of the portfolio, I will be </w:t>
      </w:r>
      <w:r w:rsidR="001E2133">
        <w:rPr>
          <w:rFonts w:ascii="Times New Roman" w:hAnsi="Times New Roman" w:cs="Times New Roman"/>
        </w:rPr>
        <w:t>reviewing</w:t>
      </w:r>
      <w:r>
        <w:rPr>
          <w:rFonts w:ascii="Times New Roman" w:hAnsi="Times New Roman" w:cs="Times New Roman"/>
        </w:rPr>
        <w:t xml:space="preserve"> the article, ‘</w:t>
      </w:r>
      <w:r w:rsidRPr="001E2133">
        <w:rPr>
          <w:rFonts w:ascii="Times New Roman" w:hAnsi="Times New Roman" w:cs="Times New Roman"/>
          <w:i/>
        </w:rPr>
        <w:t>Material Continuity, Personal Survival, and the Resurrection of the Body: A Scholastic Discussion in its Medieval and Modern Contexts’</w:t>
      </w:r>
      <w:r>
        <w:rPr>
          <w:rFonts w:ascii="Times New Roman" w:hAnsi="Times New Roman" w:cs="Times New Roman"/>
        </w:rPr>
        <w:t xml:space="preserve"> by Caroline Walker-Bynum. </w:t>
      </w:r>
      <w:r w:rsidR="001E2133">
        <w:rPr>
          <w:rFonts w:ascii="Times New Roman" w:hAnsi="Times New Roman" w:cs="Times New Roman"/>
        </w:rPr>
        <w:t>The article is primarily concerned with the state of the body and soul at Resurrection.</w:t>
      </w:r>
    </w:p>
    <w:p w14:paraId="3D9FD773" w14:textId="7F841BA4" w:rsidR="00C97640" w:rsidRDefault="00EE665A" w:rsidP="006314B4">
      <w:pPr>
        <w:spacing w:line="360" w:lineRule="auto"/>
        <w:rPr>
          <w:rFonts w:ascii="Times New Roman" w:hAnsi="Times New Roman" w:cs="Times New Roman"/>
        </w:rPr>
      </w:pPr>
      <w:r>
        <w:rPr>
          <w:rFonts w:ascii="Times New Roman" w:hAnsi="Times New Roman" w:cs="Times New Roman"/>
        </w:rPr>
        <w:tab/>
        <w:t>Firstly, I will offer some brief context about the author of the article. Caroline Walker-Bynum is an established historian with a background in medievalism and is credited with broadening the scholarship of the role of the body in medieval contexts.</w:t>
      </w:r>
      <w:r w:rsidR="002C2DCC">
        <w:rPr>
          <w:rFonts w:ascii="Times New Roman" w:hAnsi="Times New Roman" w:cs="Times New Roman"/>
        </w:rPr>
        <w:t xml:space="preserve"> Her other works include such titles a</w:t>
      </w:r>
      <w:r w:rsidR="00602514">
        <w:rPr>
          <w:rFonts w:ascii="Times New Roman" w:hAnsi="Times New Roman" w:cs="Times New Roman"/>
        </w:rPr>
        <w:t xml:space="preserve">s </w:t>
      </w:r>
      <w:r w:rsidR="00602514">
        <w:rPr>
          <w:rFonts w:ascii="Times New Roman" w:hAnsi="Times New Roman" w:cs="Times New Roman"/>
          <w:i/>
        </w:rPr>
        <w:t>The Resurrection of the Body in Western Christianity</w:t>
      </w:r>
      <w:r w:rsidR="002C2DCC">
        <w:rPr>
          <w:rFonts w:ascii="Times New Roman" w:hAnsi="Times New Roman" w:cs="Times New Roman"/>
        </w:rPr>
        <w:t xml:space="preserve">, in which </w:t>
      </w:r>
      <w:r w:rsidR="00602514">
        <w:rPr>
          <w:rFonts w:ascii="Times New Roman" w:hAnsi="Times New Roman" w:cs="Times New Roman"/>
        </w:rPr>
        <w:t xml:space="preserve">discusses </w:t>
      </w:r>
      <w:r w:rsidR="002C2DCC">
        <w:rPr>
          <w:rFonts w:ascii="Times New Roman" w:hAnsi="Times New Roman" w:cs="Times New Roman"/>
        </w:rPr>
        <w:t xml:space="preserve">the correlation between faith and the </w:t>
      </w:r>
      <w:r w:rsidR="00602514">
        <w:rPr>
          <w:rFonts w:ascii="Times New Roman" w:hAnsi="Times New Roman" w:cs="Times New Roman"/>
        </w:rPr>
        <w:t>material body</w:t>
      </w:r>
      <w:r w:rsidR="00C97640">
        <w:rPr>
          <w:rFonts w:ascii="Times New Roman" w:hAnsi="Times New Roman" w:cs="Times New Roman"/>
        </w:rPr>
        <w:t xml:space="preserve">, </w:t>
      </w:r>
      <w:r w:rsidR="00602514">
        <w:rPr>
          <w:rFonts w:ascii="Times New Roman" w:hAnsi="Times New Roman" w:cs="Times New Roman"/>
        </w:rPr>
        <w:t>a</w:t>
      </w:r>
      <w:r w:rsidR="00C97640">
        <w:rPr>
          <w:rFonts w:ascii="Times New Roman" w:hAnsi="Times New Roman" w:cs="Times New Roman"/>
        </w:rPr>
        <w:t xml:space="preserve"> subject not too dissimilar from the article in which I have reviewed</w:t>
      </w:r>
      <w:r w:rsidR="002C2DCC">
        <w:rPr>
          <w:rFonts w:ascii="Times New Roman" w:hAnsi="Times New Roman" w:cs="Times New Roman"/>
        </w:rPr>
        <w:t>.</w:t>
      </w:r>
      <w:r w:rsidR="008E1D01">
        <w:rPr>
          <w:rStyle w:val="FootnoteReference"/>
          <w:rFonts w:ascii="Times New Roman" w:hAnsi="Times New Roman" w:cs="Times New Roman"/>
        </w:rPr>
        <w:footnoteReference w:id="1"/>
      </w:r>
      <w:r w:rsidR="00C97640">
        <w:rPr>
          <w:rFonts w:ascii="Times New Roman" w:hAnsi="Times New Roman" w:cs="Times New Roman"/>
        </w:rPr>
        <w:t xml:space="preserve"> As a respected historian, Bynum’s works arguably influence much of modern medievalist thought, and her use of relevant primary sources, as well as opposing viewpoints from modern scholars, broaden her arguments further. As such, this article would prove useful to historians studying the material continuity and resurrection of the body, as it remains a pivotal secondary source of the theological debate of life after death. Her article not only focuses on medieval concepts, but also modern ones, thus broadening her hypothesis further.</w:t>
      </w:r>
      <w:r w:rsidR="00ED15A0">
        <w:rPr>
          <w:rFonts w:ascii="Times New Roman" w:hAnsi="Times New Roman" w:cs="Times New Roman"/>
        </w:rPr>
        <w:t xml:space="preserve"> As such, the purpose of this article is to offer a widely-researched interpretation upon material continuity. </w:t>
      </w:r>
    </w:p>
    <w:p w14:paraId="1775BAF7" w14:textId="624AA5DA" w:rsidR="00F75F4E" w:rsidRDefault="003A49AD" w:rsidP="006314B4">
      <w:pPr>
        <w:spacing w:line="360" w:lineRule="auto"/>
        <w:rPr>
          <w:rFonts w:ascii="Times New Roman" w:hAnsi="Times New Roman" w:cs="Times New Roman"/>
        </w:rPr>
      </w:pPr>
      <w:r>
        <w:rPr>
          <w:rFonts w:ascii="Times New Roman" w:hAnsi="Times New Roman" w:cs="Times New Roman"/>
        </w:rPr>
        <w:tab/>
      </w:r>
      <w:r w:rsidR="00ED15A0">
        <w:rPr>
          <w:rFonts w:ascii="Times New Roman" w:hAnsi="Times New Roman" w:cs="Times New Roman"/>
        </w:rPr>
        <w:t xml:space="preserve">Bynum opens the article by outlining the crux of her argument – that the idea of identity and a material body </w:t>
      </w:r>
      <w:r w:rsidR="007B3EBA">
        <w:rPr>
          <w:rFonts w:ascii="Times New Roman" w:hAnsi="Times New Roman" w:cs="Times New Roman"/>
        </w:rPr>
        <w:t>is</w:t>
      </w:r>
      <w:r w:rsidR="00ED15A0">
        <w:rPr>
          <w:rFonts w:ascii="Times New Roman" w:hAnsi="Times New Roman" w:cs="Times New Roman"/>
        </w:rPr>
        <w:t xml:space="preserve"> integral for resurrection to occur. </w:t>
      </w:r>
      <w:r>
        <w:rPr>
          <w:rFonts w:ascii="Times New Roman" w:hAnsi="Times New Roman" w:cs="Times New Roman"/>
        </w:rPr>
        <w:t>This concept w</w:t>
      </w:r>
      <w:r w:rsidR="00AF0E2D">
        <w:rPr>
          <w:rFonts w:ascii="Times New Roman" w:hAnsi="Times New Roman" w:cs="Times New Roman"/>
        </w:rPr>
        <w:t xml:space="preserve">as adopted from philosophers such as the thirteenth century theologian, Bonaventure, who, in his </w:t>
      </w:r>
      <w:r w:rsidR="00AF0E2D">
        <w:rPr>
          <w:rFonts w:ascii="Times New Roman" w:hAnsi="Times New Roman" w:cs="Times New Roman"/>
          <w:i/>
        </w:rPr>
        <w:t xml:space="preserve">De </w:t>
      </w:r>
      <w:proofErr w:type="spellStart"/>
      <w:r w:rsidR="00AF0E2D">
        <w:rPr>
          <w:rFonts w:ascii="Times New Roman" w:hAnsi="Times New Roman" w:cs="Times New Roman"/>
          <w:i/>
        </w:rPr>
        <w:t>Assumptione</w:t>
      </w:r>
      <w:proofErr w:type="spellEnd"/>
      <w:r w:rsidR="00AF0E2D">
        <w:rPr>
          <w:rFonts w:ascii="Times New Roman" w:hAnsi="Times New Roman" w:cs="Times New Roman"/>
        </w:rPr>
        <w:t>, expressed that the body was necessary in the afterlife in order to retain a sense of identity, which would be impossible to achieve without a physical body. Indeed, Bonaventure used the example of the Virgin Mary to further this idea, stating that her happiness in Heaven “would not be complete unless she was there personally”.</w:t>
      </w:r>
      <w:r w:rsidR="0030348D">
        <w:rPr>
          <w:rStyle w:val="FootnoteReference"/>
          <w:rFonts w:ascii="Times New Roman" w:hAnsi="Times New Roman" w:cs="Times New Roman"/>
        </w:rPr>
        <w:footnoteReference w:id="2"/>
      </w:r>
      <w:r w:rsidR="00AF0E2D">
        <w:rPr>
          <w:rFonts w:ascii="Times New Roman" w:hAnsi="Times New Roman" w:cs="Times New Roman"/>
        </w:rPr>
        <w:t xml:space="preserve"> </w:t>
      </w:r>
      <w:r w:rsidR="00871AB1">
        <w:rPr>
          <w:rFonts w:ascii="Times New Roman" w:hAnsi="Times New Roman" w:cs="Times New Roman"/>
        </w:rPr>
        <w:t>Bynum agrees with this analysis, stating that at the Resurrection, the “blessed will receive again their own deeply desired flesh”, indicating how important bodily assumption into the afterlife wa</w:t>
      </w:r>
      <w:r w:rsidR="00DC73CA">
        <w:rPr>
          <w:rFonts w:ascii="Times New Roman" w:hAnsi="Times New Roman" w:cs="Times New Roman"/>
        </w:rPr>
        <w:t>s</w:t>
      </w:r>
      <w:r w:rsidR="00871AB1">
        <w:rPr>
          <w:rFonts w:ascii="Times New Roman" w:hAnsi="Times New Roman" w:cs="Times New Roman"/>
        </w:rPr>
        <w:t>.</w:t>
      </w:r>
      <w:r w:rsidR="0030348D">
        <w:rPr>
          <w:rStyle w:val="FootnoteReference"/>
          <w:rFonts w:ascii="Times New Roman" w:hAnsi="Times New Roman" w:cs="Times New Roman"/>
        </w:rPr>
        <w:footnoteReference w:id="3"/>
      </w:r>
      <w:r w:rsidR="00871AB1">
        <w:rPr>
          <w:rFonts w:ascii="Times New Roman" w:hAnsi="Times New Roman" w:cs="Times New Roman"/>
        </w:rPr>
        <w:t xml:space="preserve"> </w:t>
      </w:r>
    </w:p>
    <w:p w14:paraId="4184D08C" w14:textId="511423FF" w:rsidR="00107EF2" w:rsidRDefault="00F5391B" w:rsidP="006314B4">
      <w:pPr>
        <w:spacing w:line="360" w:lineRule="auto"/>
        <w:rPr>
          <w:rFonts w:ascii="Times New Roman" w:hAnsi="Times New Roman" w:cs="Times New Roman"/>
        </w:rPr>
      </w:pPr>
      <w:r>
        <w:rPr>
          <w:rFonts w:ascii="Times New Roman" w:hAnsi="Times New Roman" w:cs="Times New Roman"/>
        </w:rPr>
        <w:tab/>
      </w:r>
      <w:r w:rsidR="00F344B8">
        <w:rPr>
          <w:rFonts w:ascii="Times New Roman" w:hAnsi="Times New Roman" w:cs="Times New Roman"/>
        </w:rPr>
        <w:t>John of Damascus argued that we cannot consider it to be ‘resurrection’ unless “the same human being rises again”, underlying the importance of individuality to material continuity.</w:t>
      </w:r>
      <w:r w:rsidR="0030348D">
        <w:rPr>
          <w:rStyle w:val="FootnoteReference"/>
          <w:rFonts w:ascii="Times New Roman" w:hAnsi="Times New Roman" w:cs="Times New Roman"/>
        </w:rPr>
        <w:footnoteReference w:id="4"/>
      </w:r>
      <w:r w:rsidR="009A339C">
        <w:rPr>
          <w:rFonts w:ascii="Times New Roman" w:hAnsi="Times New Roman" w:cs="Times New Roman"/>
        </w:rPr>
        <w:t xml:space="preserve"> This </w:t>
      </w:r>
      <w:r w:rsidR="009A339C">
        <w:rPr>
          <w:rFonts w:ascii="Times New Roman" w:hAnsi="Times New Roman" w:cs="Times New Roman"/>
        </w:rPr>
        <w:lastRenderedPageBreak/>
        <w:t>argument appears problematic as Bynum considers th</w:t>
      </w:r>
      <w:r w:rsidR="008D3034">
        <w:rPr>
          <w:rFonts w:ascii="Times New Roman" w:hAnsi="Times New Roman" w:cs="Times New Roman"/>
        </w:rPr>
        <w:t>e implications of a body in various stages of corruption. The uncorrupted relics of a saint, Bynum suggests, would be resurrected without any sign</w:t>
      </w:r>
      <w:r w:rsidR="00873019">
        <w:rPr>
          <w:rFonts w:ascii="Times New Roman" w:hAnsi="Times New Roman" w:cs="Times New Roman"/>
        </w:rPr>
        <w:t>s of decay, yet the fate of a corrupted body is not determined.</w:t>
      </w:r>
      <w:r w:rsidR="0030348D">
        <w:rPr>
          <w:rStyle w:val="FootnoteReference"/>
          <w:rFonts w:ascii="Times New Roman" w:hAnsi="Times New Roman" w:cs="Times New Roman"/>
        </w:rPr>
        <w:footnoteReference w:id="5"/>
      </w:r>
      <w:r w:rsidR="00D82E3E">
        <w:rPr>
          <w:rFonts w:ascii="Times New Roman" w:hAnsi="Times New Roman" w:cs="Times New Roman"/>
        </w:rPr>
        <w:t xml:space="preserve"> In his </w:t>
      </w:r>
      <w:r w:rsidR="00D82E3E">
        <w:rPr>
          <w:rFonts w:ascii="Times New Roman" w:hAnsi="Times New Roman" w:cs="Times New Roman"/>
          <w:i/>
        </w:rPr>
        <w:t>Revue Benedictine</w:t>
      </w:r>
      <w:r w:rsidR="00D82E3E">
        <w:rPr>
          <w:rFonts w:ascii="Times New Roman" w:hAnsi="Times New Roman" w:cs="Times New Roman"/>
        </w:rPr>
        <w:t>, Peter the Venerable argues that we must not consider the roles of saints</w:t>
      </w:r>
      <w:r w:rsidR="00B87FA5">
        <w:rPr>
          <w:rFonts w:ascii="Times New Roman" w:hAnsi="Times New Roman" w:cs="Times New Roman"/>
        </w:rPr>
        <w:t xml:space="preserve"> applicable</w:t>
      </w:r>
      <w:r w:rsidR="00D82E3E">
        <w:rPr>
          <w:rFonts w:ascii="Times New Roman" w:hAnsi="Times New Roman" w:cs="Times New Roman"/>
        </w:rPr>
        <w:t xml:space="preserve"> </w:t>
      </w:r>
      <w:r w:rsidR="00B87FA5">
        <w:rPr>
          <w:rFonts w:ascii="Times New Roman" w:hAnsi="Times New Roman" w:cs="Times New Roman"/>
        </w:rPr>
        <w:t>to</w:t>
      </w:r>
      <w:r w:rsidR="00D82E3E">
        <w:rPr>
          <w:rFonts w:ascii="Times New Roman" w:hAnsi="Times New Roman" w:cs="Times New Roman"/>
        </w:rPr>
        <w:t xml:space="preserve"> this study, as the “bodies of the saints live with God”.</w:t>
      </w:r>
      <w:r w:rsidR="00943B32">
        <w:rPr>
          <w:rStyle w:val="FootnoteReference"/>
          <w:rFonts w:ascii="Times New Roman" w:hAnsi="Times New Roman" w:cs="Times New Roman"/>
        </w:rPr>
        <w:footnoteReference w:id="6"/>
      </w:r>
      <w:r w:rsidR="00D82E3E">
        <w:rPr>
          <w:rFonts w:ascii="Times New Roman" w:hAnsi="Times New Roman" w:cs="Times New Roman"/>
        </w:rPr>
        <w:t xml:space="preserve"> </w:t>
      </w:r>
      <w:r w:rsidR="00B87FA5">
        <w:rPr>
          <w:rFonts w:ascii="Times New Roman" w:hAnsi="Times New Roman" w:cs="Times New Roman"/>
        </w:rPr>
        <w:t>Additionally, Peter suggests that a saint worthy of “Christ shall always remain with him”, and as such their body would remain incorrupt in Heaven.</w:t>
      </w:r>
      <w:r w:rsidR="00943B32">
        <w:rPr>
          <w:rStyle w:val="FootnoteReference"/>
          <w:rFonts w:ascii="Times New Roman" w:hAnsi="Times New Roman" w:cs="Times New Roman"/>
        </w:rPr>
        <w:footnoteReference w:id="7"/>
      </w:r>
      <w:r w:rsidR="00366D76">
        <w:rPr>
          <w:rFonts w:ascii="Times New Roman" w:hAnsi="Times New Roman" w:cs="Times New Roman"/>
        </w:rPr>
        <w:t xml:space="preserve"> Bynum offers the example of Saint Barbara, in which her decapitated head is reunited with her body </w:t>
      </w:r>
      <w:r w:rsidR="00107EF2">
        <w:rPr>
          <w:rFonts w:ascii="Times New Roman" w:hAnsi="Times New Roman" w:cs="Times New Roman"/>
        </w:rPr>
        <w:t>“through the power of the saint”.</w:t>
      </w:r>
      <w:r w:rsidR="00943B32">
        <w:rPr>
          <w:rStyle w:val="FootnoteReference"/>
          <w:rFonts w:ascii="Times New Roman" w:hAnsi="Times New Roman" w:cs="Times New Roman"/>
        </w:rPr>
        <w:footnoteReference w:id="8"/>
      </w:r>
      <w:r w:rsidR="00107EF2">
        <w:rPr>
          <w:rFonts w:ascii="Times New Roman" w:hAnsi="Times New Roman" w:cs="Times New Roman"/>
        </w:rPr>
        <w:t xml:space="preserve"> For those unworthy of Christ,</w:t>
      </w:r>
      <w:r w:rsidR="00107EF2" w:rsidRPr="00107EF2">
        <w:rPr>
          <w:rFonts w:ascii="Times New Roman" w:hAnsi="Times New Roman" w:cs="Times New Roman"/>
        </w:rPr>
        <w:t xml:space="preserve"> Bynum suggests that God </w:t>
      </w:r>
      <w:r w:rsidR="00107EF2">
        <w:rPr>
          <w:rFonts w:ascii="Times New Roman" w:hAnsi="Times New Roman" w:cs="Times New Roman"/>
        </w:rPr>
        <w:t xml:space="preserve">simply </w:t>
      </w:r>
      <w:r w:rsidR="00107EF2" w:rsidRPr="00107EF2">
        <w:rPr>
          <w:rFonts w:ascii="Times New Roman" w:hAnsi="Times New Roman" w:cs="Times New Roman"/>
        </w:rPr>
        <w:t xml:space="preserve">reassembles the “core flesh” passed from parent to child, in which determines how </w:t>
      </w:r>
      <w:r w:rsidR="00107EF2">
        <w:rPr>
          <w:rFonts w:ascii="Times New Roman" w:hAnsi="Times New Roman" w:cs="Times New Roman"/>
        </w:rPr>
        <w:t>intact</w:t>
      </w:r>
      <w:r w:rsidR="00107EF2" w:rsidRPr="00107EF2">
        <w:rPr>
          <w:rFonts w:ascii="Times New Roman" w:hAnsi="Times New Roman" w:cs="Times New Roman"/>
        </w:rPr>
        <w:t xml:space="preserve"> a cadaver’s body would be in the afterlife.</w:t>
      </w:r>
      <w:r w:rsidR="00943B32">
        <w:rPr>
          <w:rStyle w:val="FootnoteReference"/>
          <w:rFonts w:ascii="Times New Roman" w:hAnsi="Times New Roman" w:cs="Times New Roman"/>
        </w:rPr>
        <w:footnoteReference w:id="9"/>
      </w:r>
      <w:r w:rsidR="00480A5C">
        <w:rPr>
          <w:rFonts w:ascii="Times New Roman" w:hAnsi="Times New Roman" w:cs="Times New Roman"/>
        </w:rPr>
        <w:t xml:space="preserve"> The reassembling of dismembered cadaver, Bynum suggests, was common practice during the Middle Ages, adding to the importance of an intact body.</w:t>
      </w:r>
      <w:r w:rsidR="00943B32">
        <w:rPr>
          <w:rStyle w:val="FootnoteReference"/>
          <w:rFonts w:ascii="Times New Roman" w:hAnsi="Times New Roman" w:cs="Times New Roman"/>
        </w:rPr>
        <w:footnoteReference w:id="10"/>
      </w:r>
      <w:r w:rsidR="00107EF2">
        <w:rPr>
          <w:rFonts w:ascii="Times New Roman" w:hAnsi="Times New Roman" w:cs="Times New Roman"/>
        </w:rPr>
        <w:t xml:space="preserve"> As such, it would seem that the condition of the body after death, whether corrupted or intact, was deeply significant to material continuity. </w:t>
      </w:r>
    </w:p>
    <w:p w14:paraId="77641E02" w14:textId="320CB78F" w:rsidR="00A61252" w:rsidRDefault="005B31E9" w:rsidP="006314B4">
      <w:pPr>
        <w:spacing w:line="360" w:lineRule="auto"/>
        <w:rPr>
          <w:rFonts w:ascii="Times New Roman" w:hAnsi="Times New Roman" w:cs="Times New Roman"/>
        </w:rPr>
      </w:pPr>
      <w:r>
        <w:rPr>
          <w:rFonts w:ascii="Times New Roman" w:hAnsi="Times New Roman" w:cs="Times New Roman"/>
        </w:rPr>
        <w:tab/>
        <w:t>However, we must also consider the role that dissections and judicial executions</w:t>
      </w:r>
      <w:r w:rsidR="007C24FA">
        <w:rPr>
          <w:rFonts w:ascii="Times New Roman" w:hAnsi="Times New Roman" w:cs="Times New Roman"/>
        </w:rPr>
        <w:t xml:space="preserve"> </w:t>
      </w:r>
      <w:r>
        <w:rPr>
          <w:rFonts w:ascii="Times New Roman" w:hAnsi="Times New Roman" w:cs="Times New Roman"/>
        </w:rPr>
        <w:t xml:space="preserve">played in the debate surrounding material continuity. </w:t>
      </w:r>
      <w:r w:rsidR="00163641">
        <w:rPr>
          <w:rFonts w:ascii="Times New Roman" w:hAnsi="Times New Roman" w:cs="Times New Roman"/>
        </w:rPr>
        <w:t xml:space="preserve">By the fourteenth century, corrupted bodies almost became commonplace as the dismemberment of </w:t>
      </w:r>
      <w:r w:rsidR="009C37FA">
        <w:rPr>
          <w:rFonts w:ascii="Times New Roman" w:hAnsi="Times New Roman" w:cs="Times New Roman"/>
        </w:rPr>
        <w:t>criminals became a judicial practice.</w:t>
      </w:r>
      <w:r w:rsidR="00943B32">
        <w:rPr>
          <w:rStyle w:val="FootnoteReference"/>
          <w:rFonts w:ascii="Times New Roman" w:hAnsi="Times New Roman" w:cs="Times New Roman"/>
        </w:rPr>
        <w:footnoteReference w:id="11"/>
      </w:r>
      <w:r w:rsidR="009C37FA">
        <w:rPr>
          <w:rFonts w:ascii="Times New Roman" w:hAnsi="Times New Roman" w:cs="Times New Roman"/>
        </w:rPr>
        <w:t xml:space="preserve"> </w:t>
      </w:r>
      <w:r w:rsidR="00605D0C">
        <w:rPr>
          <w:rFonts w:ascii="Times New Roman" w:hAnsi="Times New Roman" w:cs="Times New Roman"/>
        </w:rPr>
        <w:t xml:space="preserve">The dismemberment or mutilation of heretics and criminals during the Middle Ages </w:t>
      </w:r>
      <w:r w:rsidR="006656CD">
        <w:rPr>
          <w:rFonts w:ascii="Times New Roman" w:hAnsi="Times New Roman" w:cs="Times New Roman"/>
        </w:rPr>
        <w:t xml:space="preserve">was arguably a way in which to ensure that the cadavers of the damned would not be resurrected as whole bodies, but rather be forced to reside in Purgatory or Hell as corrupted bodies, unable to be redeemed. It is also worth mentioning that during the later Middle Ages, and onto the cusp of the Renaissance, humanist thought led to the popularisation of dissections for scientific discovery. </w:t>
      </w:r>
      <w:r w:rsidR="008814C5">
        <w:rPr>
          <w:rFonts w:ascii="Times New Roman" w:hAnsi="Times New Roman" w:cs="Times New Roman"/>
        </w:rPr>
        <w:t>In her article, Bynum suggests that during the Middle Ages, “physicians tried to preserve corpses</w:t>
      </w:r>
      <w:r w:rsidR="00BC0C5D">
        <w:rPr>
          <w:rFonts w:ascii="Times New Roman" w:hAnsi="Times New Roman" w:cs="Times New Roman"/>
        </w:rPr>
        <w:t xml:space="preserve"> forever</w:t>
      </w:r>
      <w:r w:rsidR="008814C5">
        <w:rPr>
          <w:rFonts w:ascii="Times New Roman" w:hAnsi="Times New Roman" w:cs="Times New Roman"/>
        </w:rPr>
        <w:t xml:space="preserve"> from putrefaction”</w:t>
      </w:r>
      <w:r w:rsidR="00BC0C5D">
        <w:rPr>
          <w:rFonts w:ascii="Times New Roman" w:hAnsi="Times New Roman" w:cs="Times New Roman"/>
        </w:rPr>
        <w:t>, and</w:t>
      </w:r>
      <w:r w:rsidR="00BC0C5D" w:rsidRPr="00BC0C5D">
        <w:t xml:space="preserve"> </w:t>
      </w:r>
      <w:r w:rsidR="00BC0C5D" w:rsidRPr="00BC0C5D">
        <w:rPr>
          <w:rFonts w:ascii="Times New Roman" w:hAnsi="Times New Roman" w:cs="Times New Roman"/>
        </w:rPr>
        <w:t>papal authorities rejected the idea of dissection,</w:t>
      </w:r>
      <w:r w:rsidR="00BC0C5D">
        <w:rPr>
          <w:rFonts w:ascii="Times New Roman" w:hAnsi="Times New Roman" w:cs="Times New Roman"/>
        </w:rPr>
        <w:t xml:space="preserve"> something of which would arguably go out of fashion during the Renaissance.</w:t>
      </w:r>
      <w:r w:rsidR="000F4530">
        <w:rPr>
          <w:rStyle w:val="FootnoteReference"/>
          <w:rFonts w:ascii="Times New Roman" w:hAnsi="Times New Roman" w:cs="Times New Roman"/>
        </w:rPr>
        <w:footnoteReference w:id="12"/>
      </w:r>
      <w:r w:rsidR="00BC0C5D">
        <w:rPr>
          <w:rFonts w:ascii="Times New Roman" w:hAnsi="Times New Roman" w:cs="Times New Roman"/>
        </w:rPr>
        <w:t xml:space="preserve"> </w:t>
      </w:r>
      <w:r w:rsidR="00020E6D">
        <w:rPr>
          <w:rFonts w:ascii="Times New Roman" w:hAnsi="Times New Roman" w:cs="Times New Roman"/>
        </w:rPr>
        <w:t xml:space="preserve">As such, one could assume that the idea of having an intact cadaver for the Resurrection was not considered as crucial during the Renaissance, as it had been during the Middle Ages.  </w:t>
      </w:r>
    </w:p>
    <w:p w14:paraId="7EDE45B7" w14:textId="1FAB52EC" w:rsidR="00A61252" w:rsidRDefault="004B7189" w:rsidP="006314B4">
      <w:pPr>
        <w:spacing w:line="360" w:lineRule="auto"/>
        <w:rPr>
          <w:rFonts w:ascii="Times New Roman" w:hAnsi="Times New Roman" w:cs="Times New Roman"/>
        </w:rPr>
      </w:pPr>
      <w:r>
        <w:rPr>
          <w:rFonts w:ascii="Times New Roman" w:hAnsi="Times New Roman" w:cs="Times New Roman"/>
        </w:rPr>
        <w:tab/>
      </w:r>
      <w:r w:rsidR="008D35E1">
        <w:rPr>
          <w:rFonts w:ascii="Times New Roman" w:hAnsi="Times New Roman" w:cs="Times New Roman"/>
        </w:rPr>
        <w:t xml:space="preserve">The importance of </w:t>
      </w:r>
      <w:r w:rsidR="00356680">
        <w:rPr>
          <w:rFonts w:ascii="Times New Roman" w:hAnsi="Times New Roman" w:cs="Times New Roman"/>
        </w:rPr>
        <w:t xml:space="preserve">whole </w:t>
      </w:r>
      <w:r w:rsidR="008D35E1">
        <w:rPr>
          <w:rFonts w:ascii="Times New Roman" w:hAnsi="Times New Roman" w:cs="Times New Roman"/>
        </w:rPr>
        <w:t>bodily resurrection is furthered by Peter Lombard</w:t>
      </w:r>
      <w:r w:rsidR="006B6322">
        <w:rPr>
          <w:rFonts w:ascii="Times New Roman" w:hAnsi="Times New Roman" w:cs="Times New Roman"/>
        </w:rPr>
        <w:t xml:space="preserve">, who wrote during the twelfth century. Although Bynum remains unconvinced by his arguments, considering his hypothesis to be “unoriginal”, she does also regard his </w:t>
      </w:r>
      <w:r w:rsidR="006B6322">
        <w:rPr>
          <w:rFonts w:ascii="Times New Roman" w:hAnsi="Times New Roman" w:cs="Times New Roman"/>
          <w:i/>
        </w:rPr>
        <w:t xml:space="preserve">Sentences </w:t>
      </w:r>
      <w:r w:rsidR="006B6322">
        <w:rPr>
          <w:rFonts w:ascii="Times New Roman" w:hAnsi="Times New Roman" w:cs="Times New Roman"/>
        </w:rPr>
        <w:t xml:space="preserve">to be </w:t>
      </w:r>
      <w:r w:rsidR="008D35E1">
        <w:rPr>
          <w:rFonts w:ascii="Times New Roman" w:hAnsi="Times New Roman" w:cs="Times New Roman"/>
        </w:rPr>
        <w:t xml:space="preserve">central to the debate of </w:t>
      </w:r>
      <w:r w:rsidR="008D35E1">
        <w:rPr>
          <w:rFonts w:ascii="Times New Roman" w:hAnsi="Times New Roman" w:cs="Times New Roman"/>
        </w:rPr>
        <w:lastRenderedPageBreak/>
        <w:t>material continuity.</w:t>
      </w:r>
      <w:r w:rsidR="00423A56">
        <w:rPr>
          <w:rStyle w:val="FootnoteReference"/>
          <w:rFonts w:ascii="Times New Roman" w:hAnsi="Times New Roman" w:cs="Times New Roman"/>
        </w:rPr>
        <w:footnoteReference w:id="13"/>
      </w:r>
      <w:r w:rsidR="008D35E1">
        <w:rPr>
          <w:rFonts w:ascii="Times New Roman" w:hAnsi="Times New Roman" w:cs="Times New Roman"/>
        </w:rPr>
        <w:t xml:space="preserve"> In </w:t>
      </w:r>
      <w:r w:rsidR="009478C0">
        <w:rPr>
          <w:rFonts w:ascii="Times New Roman" w:hAnsi="Times New Roman" w:cs="Times New Roman"/>
        </w:rPr>
        <w:t>these</w:t>
      </w:r>
      <w:r w:rsidR="008D35E1">
        <w:rPr>
          <w:rFonts w:ascii="Times New Roman" w:hAnsi="Times New Roman" w:cs="Times New Roman"/>
        </w:rPr>
        <w:t xml:space="preserve"> </w:t>
      </w:r>
      <w:r w:rsidR="008D35E1">
        <w:rPr>
          <w:rFonts w:ascii="Times New Roman" w:hAnsi="Times New Roman" w:cs="Times New Roman"/>
          <w:i/>
        </w:rPr>
        <w:t>Sentences</w:t>
      </w:r>
      <w:r w:rsidR="008D35E1">
        <w:rPr>
          <w:rFonts w:ascii="Times New Roman" w:hAnsi="Times New Roman" w:cs="Times New Roman"/>
        </w:rPr>
        <w:t xml:space="preserve">, Lombard discusses the extent to which physical appearance would be altered at the Last Judgement, questioning the state of the </w:t>
      </w:r>
      <w:r w:rsidR="000730D3">
        <w:rPr>
          <w:rFonts w:ascii="Times New Roman" w:hAnsi="Times New Roman" w:cs="Times New Roman"/>
        </w:rPr>
        <w:t xml:space="preserve">“age, height </w:t>
      </w:r>
      <w:r w:rsidR="008D35E1">
        <w:rPr>
          <w:rFonts w:ascii="Times New Roman" w:hAnsi="Times New Roman" w:cs="Times New Roman"/>
        </w:rPr>
        <w:t>and sex</w:t>
      </w:r>
      <w:r w:rsidR="000730D3">
        <w:rPr>
          <w:rFonts w:ascii="Times New Roman" w:hAnsi="Times New Roman" w:cs="Times New Roman"/>
        </w:rPr>
        <w:t>”</w:t>
      </w:r>
      <w:r w:rsidR="008D35E1">
        <w:rPr>
          <w:rFonts w:ascii="Times New Roman" w:hAnsi="Times New Roman" w:cs="Times New Roman"/>
        </w:rPr>
        <w:t xml:space="preserve"> of the Resurrected, as well as any defects they </w:t>
      </w:r>
      <w:r w:rsidR="006B6322">
        <w:rPr>
          <w:rFonts w:ascii="Times New Roman" w:hAnsi="Times New Roman" w:cs="Times New Roman"/>
        </w:rPr>
        <w:t>had</w:t>
      </w:r>
      <w:r w:rsidR="008D35E1">
        <w:rPr>
          <w:rFonts w:ascii="Times New Roman" w:hAnsi="Times New Roman" w:cs="Times New Roman"/>
        </w:rPr>
        <w:t xml:space="preserve"> in life.</w:t>
      </w:r>
      <w:r w:rsidR="00423A56">
        <w:rPr>
          <w:rStyle w:val="FootnoteReference"/>
          <w:rFonts w:ascii="Times New Roman" w:hAnsi="Times New Roman" w:cs="Times New Roman"/>
        </w:rPr>
        <w:footnoteReference w:id="14"/>
      </w:r>
      <w:r w:rsidR="000730D3">
        <w:rPr>
          <w:rFonts w:ascii="Times New Roman" w:hAnsi="Times New Roman" w:cs="Times New Roman"/>
        </w:rPr>
        <w:t xml:space="preserve"> </w:t>
      </w:r>
      <w:r w:rsidR="004F7411">
        <w:rPr>
          <w:rFonts w:ascii="Times New Roman" w:hAnsi="Times New Roman" w:cs="Times New Roman"/>
        </w:rPr>
        <w:t xml:space="preserve">Bynum offers her own interpretation of this, regarding the bodily remains of cannibals, in which she acknowledges the difficulties surrounding the issue. </w:t>
      </w:r>
      <w:r w:rsidR="00B3551B" w:rsidRPr="00B3551B">
        <w:rPr>
          <w:rFonts w:ascii="Times New Roman" w:hAnsi="Times New Roman" w:cs="Times New Roman"/>
        </w:rPr>
        <w:t xml:space="preserve">Bynum approaches this idea of identity from two opposing standpoints – Catholicism and Protestantism, and as such unites the two beliefs upon one common ground. </w:t>
      </w:r>
      <w:r w:rsidR="00122708">
        <w:rPr>
          <w:rFonts w:ascii="Times New Roman" w:hAnsi="Times New Roman" w:cs="Times New Roman"/>
        </w:rPr>
        <w:t>Bynum also includes the Platonic, Franciscan and Augustinian theories that during the Last Judgement, our bodies retain both a shadow-like form, as well as a “sense of body […] as a real entity”</w:t>
      </w:r>
      <w:r w:rsidR="00E02A93">
        <w:rPr>
          <w:rFonts w:ascii="Times New Roman" w:hAnsi="Times New Roman" w:cs="Times New Roman"/>
        </w:rPr>
        <w:t>, implying that the two forms are bound inextricably in the afterlife</w:t>
      </w:r>
      <w:r w:rsidR="00122708">
        <w:rPr>
          <w:rFonts w:ascii="Times New Roman" w:hAnsi="Times New Roman" w:cs="Times New Roman"/>
        </w:rPr>
        <w:t>.</w:t>
      </w:r>
      <w:r w:rsidR="00423A56">
        <w:rPr>
          <w:rStyle w:val="FootnoteReference"/>
          <w:rFonts w:ascii="Times New Roman" w:hAnsi="Times New Roman" w:cs="Times New Roman"/>
        </w:rPr>
        <w:footnoteReference w:id="15"/>
      </w:r>
      <w:r w:rsidR="00122708">
        <w:rPr>
          <w:rFonts w:ascii="Times New Roman" w:hAnsi="Times New Roman" w:cs="Times New Roman"/>
        </w:rPr>
        <w:t xml:space="preserve"> </w:t>
      </w:r>
      <w:r w:rsidR="00B3551B" w:rsidRPr="00B3551B">
        <w:rPr>
          <w:rFonts w:ascii="Times New Roman" w:hAnsi="Times New Roman" w:cs="Times New Roman"/>
        </w:rPr>
        <w:t>The inclusion of differing opinions on the subject is indicative of Bynum’s awareness of the broad and often unanswerable subject of material continuity at the Resurrection.</w:t>
      </w:r>
      <w:r w:rsidR="00B3551B">
        <w:rPr>
          <w:rFonts w:ascii="Times New Roman" w:hAnsi="Times New Roman" w:cs="Times New Roman"/>
        </w:rPr>
        <w:t xml:space="preserve"> </w:t>
      </w:r>
      <w:r w:rsidR="007E648E">
        <w:rPr>
          <w:rFonts w:ascii="Times New Roman" w:hAnsi="Times New Roman" w:cs="Times New Roman"/>
        </w:rPr>
        <w:t xml:space="preserve">Bynum </w:t>
      </w:r>
      <w:r w:rsidR="008930BE">
        <w:rPr>
          <w:rFonts w:ascii="Times New Roman" w:hAnsi="Times New Roman" w:cs="Times New Roman"/>
        </w:rPr>
        <w:t xml:space="preserve">indeed </w:t>
      </w:r>
      <w:r w:rsidR="007E648E">
        <w:rPr>
          <w:rFonts w:ascii="Times New Roman" w:hAnsi="Times New Roman" w:cs="Times New Roman"/>
        </w:rPr>
        <w:t xml:space="preserve">suggests that in recent years, the </w:t>
      </w:r>
      <w:r w:rsidR="008930BE">
        <w:rPr>
          <w:rFonts w:ascii="Times New Roman" w:hAnsi="Times New Roman" w:cs="Times New Roman"/>
        </w:rPr>
        <w:t>d</w:t>
      </w:r>
      <w:r w:rsidR="00F21F8B">
        <w:rPr>
          <w:rFonts w:ascii="Times New Roman" w:hAnsi="Times New Roman" w:cs="Times New Roman"/>
        </w:rPr>
        <w:t>iscourse</w:t>
      </w:r>
      <w:r w:rsidR="008930BE">
        <w:rPr>
          <w:rFonts w:ascii="Times New Roman" w:hAnsi="Times New Roman" w:cs="Times New Roman"/>
        </w:rPr>
        <w:t xml:space="preserve"> surrounding </w:t>
      </w:r>
      <w:r w:rsidR="007E648E">
        <w:rPr>
          <w:rFonts w:ascii="Times New Roman" w:hAnsi="Times New Roman" w:cs="Times New Roman"/>
        </w:rPr>
        <w:t xml:space="preserve">bodily resurrection </w:t>
      </w:r>
      <w:r w:rsidR="0058444C">
        <w:rPr>
          <w:rFonts w:ascii="Times New Roman" w:hAnsi="Times New Roman" w:cs="Times New Roman"/>
        </w:rPr>
        <w:t>has become “less frequent”, with scholars instead concerned</w:t>
      </w:r>
      <w:r w:rsidR="00480A5C">
        <w:rPr>
          <w:rFonts w:ascii="Times New Roman" w:hAnsi="Times New Roman" w:cs="Times New Roman"/>
        </w:rPr>
        <w:t xml:space="preserve"> </w:t>
      </w:r>
      <w:r w:rsidR="0058444C">
        <w:rPr>
          <w:rFonts w:ascii="Times New Roman" w:hAnsi="Times New Roman" w:cs="Times New Roman"/>
        </w:rPr>
        <w:t xml:space="preserve">with issues </w:t>
      </w:r>
      <w:r w:rsidR="008930BE">
        <w:rPr>
          <w:rFonts w:ascii="Times New Roman" w:hAnsi="Times New Roman" w:cs="Times New Roman"/>
        </w:rPr>
        <w:t>such as beatific visions</w:t>
      </w:r>
      <w:r w:rsidR="00540201">
        <w:rPr>
          <w:rFonts w:ascii="Times New Roman" w:hAnsi="Times New Roman" w:cs="Times New Roman"/>
        </w:rPr>
        <w:t xml:space="preserve"> and other theological doctrines</w:t>
      </w:r>
      <w:r w:rsidR="0058444C">
        <w:rPr>
          <w:rFonts w:ascii="Times New Roman" w:hAnsi="Times New Roman" w:cs="Times New Roman"/>
        </w:rPr>
        <w:t>.</w:t>
      </w:r>
      <w:r w:rsidR="00423A56">
        <w:rPr>
          <w:rStyle w:val="FootnoteReference"/>
          <w:rFonts w:ascii="Times New Roman" w:hAnsi="Times New Roman" w:cs="Times New Roman"/>
        </w:rPr>
        <w:footnoteReference w:id="16"/>
      </w:r>
      <w:r w:rsidR="00540201">
        <w:rPr>
          <w:rFonts w:ascii="Times New Roman" w:hAnsi="Times New Roman" w:cs="Times New Roman"/>
        </w:rPr>
        <w:t xml:space="preserve"> </w:t>
      </w:r>
    </w:p>
    <w:p w14:paraId="54A8E399" w14:textId="7A8B8C04" w:rsidR="009A5F2C" w:rsidRDefault="00C433A5" w:rsidP="006314B4">
      <w:pPr>
        <w:spacing w:line="360" w:lineRule="auto"/>
        <w:rPr>
          <w:rFonts w:ascii="Times New Roman" w:hAnsi="Times New Roman" w:cs="Times New Roman"/>
        </w:rPr>
      </w:pPr>
      <w:r>
        <w:rPr>
          <w:rFonts w:ascii="Times New Roman" w:hAnsi="Times New Roman" w:cs="Times New Roman"/>
        </w:rPr>
        <w:tab/>
      </w:r>
      <w:r w:rsidR="00852D55">
        <w:rPr>
          <w:rFonts w:ascii="Times New Roman" w:hAnsi="Times New Roman" w:cs="Times New Roman"/>
        </w:rPr>
        <w:t xml:space="preserve">In terms of the limitations of the article, </w:t>
      </w:r>
      <w:r w:rsidR="00517A5E">
        <w:rPr>
          <w:rFonts w:ascii="Times New Roman" w:hAnsi="Times New Roman" w:cs="Times New Roman"/>
        </w:rPr>
        <w:t xml:space="preserve">an historian could </w:t>
      </w:r>
      <w:r w:rsidR="00852D55">
        <w:rPr>
          <w:rFonts w:ascii="Times New Roman" w:hAnsi="Times New Roman" w:cs="Times New Roman"/>
        </w:rPr>
        <w:t>potentially</w:t>
      </w:r>
      <w:r>
        <w:rPr>
          <w:rFonts w:ascii="Times New Roman" w:hAnsi="Times New Roman" w:cs="Times New Roman"/>
        </w:rPr>
        <w:t xml:space="preserve"> consider one of the most popular arguments against material continuity – the belief that after death, nothing at all occurs. Bynum </w:t>
      </w:r>
      <w:r w:rsidR="00863902">
        <w:rPr>
          <w:rFonts w:ascii="Times New Roman" w:hAnsi="Times New Roman" w:cs="Times New Roman"/>
        </w:rPr>
        <w:t xml:space="preserve">fails to offer </w:t>
      </w:r>
      <w:r w:rsidR="00517A5E">
        <w:rPr>
          <w:rFonts w:ascii="Times New Roman" w:hAnsi="Times New Roman" w:cs="Times New Roman"/>
        </w:rPr>
        <w:t>her hypotheses of</w:t>
      </w:r>
      <w:r w:rsidR="00863902">
        <w:rPr>
          <w:rFonts w:ascii="Times New Roman" w:hAnsi="Times New Roman" w:cs="Times New Roman"/>
        </w:rPr>
        <w:t xml:space="preserve"> this belief, </w:t>
      </w:r>
      <w:r w:rsidR="00517A5E">
        <w:rPr>
          <w:rFonts w:ascii="Times New Roman" w:hAnsi="Times New Roman" w:cs="Times New Roman"/>
        </w:rPr>
        <w:t xml:space="preserve">and as such an historian should potentially conduct wider research in order of this belief in order to conduct a broader study. </w:t>
      </w:r>
      <w:r w:rsidR="00B65B82">
        <w:rPr>
          <w:rFonts w:ascii="Times New Roman" w:hAnsi="Times New Roman" w:cs="Times New Roman"/>
        </w:rPr>
        <w:t>Whilst</w:t>
      </w:r>
      <w:r w:rsidR="001F3CC4">
        <w:rPr>
          <w:rFonts w:ascii="Times New Roman" w:hAnsi="Times New Roman" w:cs="Times New Roman"/>
        </w:rPr>
        <w:t xml:space="preserve"> admittedly</w:t>
      </w:r>
      <w:r w:rsidR="00B65B82">
        <w:rPr>
          <w:rFonts w:ascii="Times New Roman" w:hAnsi="Times New Roman" w:cs="Times New Roman"/>
        </w:rPr>
        <w:t xml:space="preserve"> not a</w:t>
      </w:r>
      <w:r w:rsidR="001F3CC4">
        <w:rPr>
          <w:rFonts w:ascii="Times New Roman" w:hAnsi="Times New Roman" w:cs="Times New Roman"/>
        </w:rPr>
        <w:t xml:space="preserve"> </w:t>
      </w:r>
      <w:r w:rsidR="00517A5E">
        <w:rPr>
          <w:rFonts w:ascii="Times New Roman" w:hAnsi="Times New Roman" w:cs="Times New Roman"/>
        </w:rPr>
        <w:t xml:space="preserve">hugely </w:t>
      </w:r>
      <w:r w:rsidR="001F3CC4">
        <w:rPr>
          <w:rFonts w:ascii="Times New Roman" w:hAnsi="Times New Roman" w:cs="Times New Roman"/>
        </w:rPr>
        <w:t xml:space="preserve">popular medieval </w:t>
      </w:r>
      <w:r w:rsidR="00517A5E">
        <w:rPr>
          <w:rFonts w:ascii="Times New Roman" w:hAnsi="Times New Roman" w:cs="Times New Roman"/>
        </w:rPr>
        <w:t>belief</w:t>
      </w:r>
      <w:r w:rsidR="001F3CC4">
        <w:rPr>
          <w:rFonts w:ascii="Times New Roman" w:hAnsi="Times New Roman" w:cs="Times New Roman"/>
        </w:rPr>
        <w:t xml:space="preserve"> of life after death, </w:t>
      </w:r>
      <w:r w:rsidR="007021BF">
        <w:rPr>
          <w:rFonts w:ascii="Times New Roman" w:hAnsi="Times New Roman" w:cs="Times New Roman"/>
        </w:rPr>
        <w:t xml:space="preserve">there is some evidence to believe that medieval theologians </w:t>
      </w:r>
      <w:r w:rsidR="007021BF" w:rsidRPr="008C6119">
        <w:rPr>
          <w:rFonts w:ascii="Times New Roman" w:hAnsi="Times New Roman" w:cs="Times New Roman"/>
        </w:rPr>
        <w:t>had</w:t>
      </w:r>
      <w:r w:rsidR="007021BF">
        <w:rPr>
          <w:rFonts w:ascii="Times New Roman" w:hAnsi="Times New Roman" w:cs="Times New Roman"/>
        </w:rPr>
        <w:t xml:space="preserve"> considered this argument. In the </w:t>
      </w:r>
      <w:proofErr w:type="spellStart"/>
      <w:r w:rsidR="007021BF" w:rsidRPr="007021BF">
        <w:rPr>
          <w:rFonts w:ascii="Times New Roman" w:hAnsi="Times New Roman" w:cs="Times New Roman"/>
          <w:i/>
        </w:rPr>
        <w:t>Chartularium</w:t>
      </w:r>
      <w:proofErr w:type="spellEnd"/>
      <w:r w:rsidR="007021BF" w:rsidRPr="007021BF">
        <w:rPr>
          <w:rFonts w:ascii="Times New Roman" w:hAnsi="Times New Roman" w:cs="Times New Roman"/>
          <w:i/>
        </w:rPr>
        <w:t xml:space="preserve"> </w:t>
      </w:r>
      <w:proofErr w:type="spellStart"/>
      <w:r w:rsidR="007021BF" w:rsidRPr="007021BF">
        <w:rPr>
          <w:rFonts w:ascii="Times New Roman" w:hAnsi="Times New Roman" w:cs="Times New Roman"/>
          <w:i/>
        </w:rPr>
        <w:t>universiatis</w:t>
      </w:r>
      <w:proofErr w:type="spellEnd"/>
      <w:r w:rsidR="007021BF" w:rsidRPr="007021BF">
        <w:rPr>
          <w:rFonts w:ascii="Times New Roman" w:hAnsi="Times New Roman" w:cs="Times New Roman"/>
          <w:i/>
        </w:rPr>
        <w:t xml:space="preserve"> </w:t>
      </w:r>
      <w:proofErr w:type="spellStart"/>
      <w:r w:rsidR="007021BF" w:rsidRPr="007021BF">
        <w:rPr>
          <w:rFonts w:ascii="Times New Roman" w:hAnsi="Times New Roman" w:cs="Times New Roman"/>
          <w:i/>
        </w:rPr>
        <w:t>Parisiensis</w:t>
      </w:r>
      <w:proofErr w:type="spellEnd"/>
      <w:r w:rsidR="007021BF" w:rsidRPr="007021BF">
        <w:rPr>
          <w:rFonts w:ascii="Times New Roman" w:hAnsi="Times New Roman" w:cs="Times New Roman"/>
        </w:rPr>
        <w:t xml:space="preserve"> of 1277</w:t>
      </w:r>
      <w:r w:rsidR="007021BF">
        <w:rPr>
          <w:rFonts w:ascii="Times New Roman" w:hAnsi="Times New Roman" w:cs="Times New Roman"/>
        </w:rPr>
        <w:t xml:space="preserve">, </w:t>
      </w:r>
      <w:r w:rsidR="00E81903">
        <w:rPr>
          <w:rFonts w:ascii="Times New Roman" w:hAnsi="Times New Roman" w:cs="Times New Roman"/>
        </w:rPr>
        <w:t>it is argued that “death is the end of all terrors”, and that there was no such thing as an afterlife.</w:t>
      </w:r>
      <w:r w:rsidR="00260F42">
        <w:rPr>
          <w:rStyle w:val="FootnoteReference"/>
          <w:rFonts w:ascii="Times New Roman" w:hAnsi="Times New Roman" w:cs="Times New Roman"/>
        </w:rPr>
        <w:footnoteReference w:id="17"/>
      </w:r>
      <w:r w:rsidR="00E81903">
        <w:rPr>
          <w:rFonts w:ascii="Times New Roman" w:hAnsi="Times New Roman" w:cs="Times New Roman"/>
        </w:rPr>
        <w:t xml:space="preserve"> </w:t>
      </w:r>
    </w:p>
    <w:p w14:paraId="2A70737E" w14:textId="5EDCBE4F" w:rsidR="00F21F8B" w:rsidRDefault="00F21F8B" w:rsidP="006314B4">
      <w:pPr>
        <w:spacing w:line="360" w:lineRule="auto"/>
        <w:ind w:firstLine="720"/>
        <w:rPr>
          <w:rFonts w:ascii="Times New Roman" w:hAnsi="Times New Roman" w:cs="Times New Roman"/>
        </w:rPr>
      </w:pPr>
      <w:r>
        <w:rPr>
          <w:rFonts w:ascii="Times New Roman" w:hAnsi="Times New Roman" w:cs="Times New Roman"/>
        </w:rPr>
        <w:t xml:space="preserve">It is </w:t>
      </w:r>
      <w:r w:rsidR="009A5F2C">
        <w:rPr>
          <w:rFonts w:ascii="Times New Roman" w:hAnsi="Times New Roman" w:cs="Times New Roman"/>
        </w:rPr>
        <w:t xml:space="preserve">also </w:t>
      </w:r>
      <w:r>
        <w:rPr>
          <w:rFonts w:ascii="Times New Roman" w:hAnsi="Times New Roman" w:cs="Times New Roman"/>
        </w:rPr>
        <w:t>important</w:t>
      </w:r>
      <w:r w:rsidR="009A5F2C">
        <w:rPr>
          <w:rFonts w:ascii="Times New Roman" w:hAnsi="Times New Roman" w:cs="Times New Roman"/>
        </w:rPr>
        <w:t xml:space="preserve"> for historians studying material continuity</w:t>
      </w:r>
      <w:r>
        <w:rPr>
          <w:rFonts w:ascii="Times New Roman" w:hAnsi="Times New Roman" w:cs="Times New Roman"/>
        </w:rPr>
        <w:t xml:space="preserve"> to remember </w:t>
      </w:r>
      <w:r w:rsidR="009A5F2C">
        <w:rPr>
          <w:rFonts w:ascii="Times New Roman" w:hAnsi="Times New Roman" w:cs="Times New Roman"/>
        </w:rPr>
        <w:t>that although Bynum’s article offers many opposing arguments</w:t>
      </w:r>
      <w:r w:rsidR="00093A95">
        <w:rPr>
          <w:rFonts w:ascii="Times New Roman" w:hAnsi="Times New Roman" w:cs="Times New Roman"/>
        </w:rPr>
        <w:t xml:space="preserve">, and her own hypotheses are thoroughly-researched and credible, </w:t>
      </w:r>
      <w:r>
        <w:rPr>
          <w:rFonts w:ascii="Times New Roman" w:hAnsi="Times New Roman" w:cs="Times New Roman"/>
        </w:rPr>
        <w:t>her interpretation is not wholly subject</w:t>
      </w:r>
      <w:r w:rsidR="006545B5">
        <w:rPr>
          <w:rFonts w:ascii="Times New Roman" w:hAnsi="Times New Roman" w:cs="Times New Roman"/>
        </w:rPr>
        <w:t>ive,</w:t>
      </w:r>
      <w:r>
        <w:rPr>
          <w:rFonts w:ascii="Times New Roman" w:hAnsi="Times New Roman" w:cs="Times New Roman"/>
        </w:rPr>
        <w:t xml:space="preserve"> bu</w:t>
      </w:r>
      <w:r w:rsidR="006545B5">
        <w:rPr>
          <w:rFonts w:ascii="Times New Roman" w:hAnsi="Times New Roman" w:cs="Times New Roman"/>
        </w:rPr>
        <w:t>t</w:t>
      </w:r>
      <w:r>
        <w:rPr>
          <w:rFonts w:ascii="Times New Roman" w:hAnsi="Times New Roman" w:cs="Times New Roman"/>
        </w:rPr>
        <w:t xml:space="preserve"> rather was </w:t>
      </w:r>
      <w:r w:rsidR="006545B5">
        <w:rPr>
          <w:rFonts w:ascii="Times New Roman" w:hAnsi="Times New Roman" w:cs="Times New Roman"/>
        </w:rPr>
        <w:t>adapted from</w:t>
      </w:r>
      <w:r>
        <w:rPr>
          <w:rFonts w:ascii="Times New Roman" w:hAnsi="Times New Roman" w:cs="Times New Roman"/>
        </w:rPr>
        <w:t xml:space="preserve">, and built upon the hypotheses of </w:t>
      </w:r>
      <w:r w:rsidR="006545B5">
        <w:rPr>
          <w:rFonts w:ascii="Times New Roman" w:hAnsi="Times New Roman" w:cs="Times New Roman"/>
        </w:rPr>
        <w:t>previous scholars and theologians</w:t>
      </w:r>
      <w:r>
        <w:rPr>
          <w:rFonts w:ascii="Times New Roman" w:hAnsi="Times New Roman" w:cs="Times New Roman"/>
        </w:rPr>
        <w:t xml:space="preserve">. </w:t>
      </w:r>
      <w:r w:rsidR="00564AFB">
        <w:rPr>
          <w:rFonts w:ascii="Times New Roman" w:hAnsi="Times New Roman" w:cs="Times New Roman"/>
        </w:rPr>
        <w:t>A</w:t>
      </w:r>
      <w:r w:rsidR="008B4B19">
        <w:rPr>
          <w:rFonts w:ascii="Times New Roman" w:hAnsi="Times New Roman" w:cs="Times New Roman"/>
        </w:rPr>
        <w:t>s such, it is pertinent for historians using this article in their study of material continuity to remember that although this article is not overtly biased, Bynum occasionally criticises thinkers such as Peter Lombard, and as such, one must consider each side of the argument equally in order to develop their own</w:t>
      </w:r>
      <w:r w:rsidR="006545B5">
        <w:rPr>
          <w:rFonts w:ascii="Times New Roman" w:hAnsi="Times New Roman" w:cs="Times New Roman"/>
        </w:rPr>
        <w:t xml:space="preserve"> opinion of the debate surrounding material continuity at the Resurrection</w:t>
      </w:r>
      <w:r w:rsidR="008B4B19">
        <w:rPr>
          <w:rFonts w:ascii="Times New Roman" w:hAnsi="Times New Roman" w:cs="Times New Roman"/>
        </w:rPr>
        <w:t xml:space="preserve">. </w:t>
      </w:r>
    </w:p>
    <w:p w14:paraId="390C9A0A" w14:textId="77EFA4B8" w:rsidR="00406745" w:rsidRDefault="00B3551B" w:rsidP="006314B4">
      <w:pPr>
        <w:spacing w:line="360" w:lineRule="auto"/>
        <w:rPr>
          <w:rFonts w:ascii="Times New Roman" w:hAnsi="Times New Roman" w:cs="Times New Roman"/>
        </w:rPr>
      </w:pPr>
      <w:r>
        <w:rPr>
          <w:rFonts w:ascii="Times New Roman" w:hAnsi="Times New Roman" w:cs="Times New Roman"/>
        </w:rPr>
        <w:lastRenderedPageBreak/>
        <w:tab/>
      </w:r>
      <w:proofErr w:type="gramStart"/>
      <w:r w:rsidR="006545B5">
        <w:rPr>
          <w:rFonts w:ascii="Times New Roman" w:hAnsi="Times New Roman" w:cs="Times New Roman"/>
        </w:rPr>
        <w:t>In regards to</w:t>
      </w:r>
      <w:proofErr w:type="gramEnd"/>
      <w:r w:rsidR="006545B5">
        <w:rPr>
          <w:rFonts w:ascii="Times New Roman" w:hAnsi="Times New Roman" w:cs="Times New Roman"/>
        </w:rPr>
        <w:t xml:space="preserve"> the sources used in the article, </w:t>
      </w:r>
      <w:r w:rsidR="005D0D50">
        <w:rPr>
          <w:rFonts w:ascii="Times New Roman" w:hAnsi="Times New Roman" w:cs="Times New Roman"/>
        </w:rPr>
        <w:t xml:space="preserve">Bynum uses a plethora of medieval sources </w:t>
      </w:r>
      <w:r w:rsidR="006545B5">
        <w:rPr>
          <w:rFonts w:ascii="Times New Roman" w:hAnsi="Times New Roman" w:cs="Times New Roman"/>
        </w:rPr>
        <w:t>as well as</w:t>
      </w:r>
      <w:r w:rsidR="007958C6">
        <w:rPr>
          <w:rFonts w:ascii="Times New Roman" w:hAnsi="Times New Roman" w:cs="Times New Roman"/>
        </w:rPr>
        <w:t xml:space="preserve"> includ</w:t>
      </w:r>
      <w:r w:rsidR="006545B5">
        <w:rPr>
          <w:rFonts w:ascii="Times New Roman" w:hAnsi="Times New Roman" w:cs="Times New Roman"/>
        </w:rPr>
        <w:t>ing</w:t>
      </w:r>
      <w:r w:rsidR="007958C6">
        <w:rPr>
          <w:rFonts w:ascii="Times New Roman" w:hAnsi="Times New Roman" w:cs="Times New Roman"/>
        </w:rPr>
        <w:t xml:space="preserve"> </w:t>
      </w:r>
      <w:r w:rsidR="006545B5">
        <w:rPr>
          <w:rFonts w:ascii="Times New Roman" w:hAnsi="Times New Roman" w:cs="Times New Roman"/>
        </w:rPr>
        <w:t>obscure</w:t>
      </w:r>
      <w:r w:rsidR="007958C6">
        <w:rPr>
          <w:rFonts w:ascii="Times New Roman" w:hAnsi="Times New Roman" w:cs="Times New Roman"/>
        </w:rPr>
        <w:t xml:space="preserve"> references to popular culture in which </w:t>
      </w:r>
      <w:r w:rsidR="00406745">
        <w:rPr>
          <w:rFonts w:ascii="Times New Roman" w:hAnsi="Times New Roman" w:cs="Times New Roman"/>
        </w:rPr>
        <w:t xml:space="preserve">arguably add more credibility to her </w:t>
      </w:r>
      <w:r w:rsidR="007958C6">
        <w:rPr>
          <w:rFonts w:ascii="Times New Roman" w:hAnsi="Times New Roman" w:cs="Times New Roman"/>
        </w:rPr>
        <w:t xml:space="preserve">hypotheses. </w:t>
      </w:r>
      <w:r w:rsidR="00D64633">
        <w:rPr>
          <w:rFonts w:ascii="Times New Roman" w:hAnsi="Times New Roman" w:cs="Times New Roman"/>
        </w:rPr>
        <w:t>For example, Bynum’s comparison of the resurrected bodies of the glorified elect to the “</w:t>
      </w:r>
      <w:proofErr w:type="spellStart"/>
      <w:r w:rsidR="00D64633">
        <w:rPr>
          <w:rFonts w:ascii="Times New Roman" w:hAnsi="Times New Roman" w:cs="Times New Roman"/>
        </w:rPr>
        <w:t>teletransportation</w:t>
      </w:r>
      <w:proofErr w:type="spellEnd"/>
      <w:r w:rsidR="00D64633">
        <w:rPr>
          <w:rFonts w:ascii="Times New Roman" w:hAnsi="Times New Roman" w:cs="Times New Roman"/>
        </w:rPr>
        <w:t xml:space="preserve">” in </w:t>
      </w:r>
      <w:r w:rsidR="00D64633">
        <w:rPr>
          <w:rFonts w:ascii="Times New Roman" w:hAnsi="Times New Roman" w:cs="Times New Roman"/>
          <w:i/>
        </w:rPr>
        <w:t>Star Trek</w:t>
      </w:r>
      <w:r w:rsidR="00D64633">
        <w:rPr>
          <w:rFonts w:ascii="Times New Roman" w:hAnsi="Times New Roman" w:cs="Times New Roman"/>
        </w:rPr>
        <w:t xml:space="preserve"> arguably offers a fresh, modern approach to an otherwise ancient debate</w:t>
      </w:r>
      <w:r w:rsidR="00260F42">
        <w:rPr>
          <w:rStyle w:val="FootnoteReference"/>
          <w:rFonts w:ascii="Times New Roman" w:hAnsi="Times New Roman" w:cs="Times New Roman"/>
        </w:rPr>
        <w:footnoteReference w:id="18"/>
      </w:r>
      <w:r w:rsidR="00D64633">
        <w:rPr>
          <w:rFonts w:ascii="Times New Roman" w:hAnsi="Times New Roman" w:cs="Times New Roman"/>
        </w:rPr>
        <w:t xml:space="preserve">. </w:t>
      </w:r>
      <w:r w:rsidR="0094475F">
        <w:rPr>
          <w:rFonts w:ascii="Times New Roman" w:hAnsi="Times New Roman" w:cs="Times New Roman"/>
        </w:rPr>
        <w:t xml:space="preserve">Arguably, the addition of these popular culture references enables the article to be read and comprehended by those unfamiliar with </w:t>
      </w:r>
      <w:r w:rsidR="000C0910">
        <w:rPr>
          <w:rFonts w:ascii="Times New Roman" w:hAnsi="Times New Roman" w:cs="Times New Roman"/>
        </w:rPr>
        <w:t xml:space="preserve">the debate surrounding material continuity, and the jargon </w:t>
      </w:r>
      <w:r w:rsidR="00E309DE">
        <w:rPr>
          <w:rFonts w:ascii="Times New Roman" w:hAnsi="Times New Roman" w:cs="Times New Roman"/>
        </w:rPr>
        <w:t>that so often complicates theological debates.</w:t>
      </w:r>
      <w:r w:rsidR="00166F7D">
        <w:rPr>
          <w:rFonts w:ascii="Times New Roman" w:hAnsi="Times New Roman" w:cs="Times New Roman"/>
        </w:rPr>
        <w:t xml:space="preserve"> </w:t>
      </w:r>
      <w:r w:rsidR="00852D55">
        <w:rPr>
          <w:rFonts w:ascii="Times New Roman" w:hAnsi="Times New Roman" w:cs="Times New Roman"/>
        </w:rPr>
        <w:t>In her conclusion, Bynum also includes modern examples of medical debates, such as the ethical debate of heart transplants and genetically-engineered embryos.</w:t>
      </w:r>
      <w:r w:rsidR="008E17B5">
        <w:rPr>
          <w:rStyle w:val="FootnoteReference"/>
          <w:rFonts w:ascii="Times New Roman" w:hAnsi="Times New Roman" w:cs="Times New Roman"/>
        </w:rPr>
        <w:footnoteReference w:id="19"/>
      </w:r>
      <w:r w:rsidR="00852D55">
        <w:rPr>
          <w:rFonts w:ascii="Times New Roman" w:hAnsi="Times New Roman" w:cs="Times New Roman"/>
        </w:rPr>
        <w:t xml:space="preserve"> I</w:t>
      </w:r>
      <w:r w:rsidR="00166F7D">
        <w:rPr>
          <w:rFonts w:ascii="Times New Roman" w:hAnsi="Times New Roman" w:cs="Times New Roman"/>
        </w:rPr>
        <w:t xml:space="preserve">t is </w:t>
      </w:r>
      <w:r w:rsidR="00852D55">
        <w:rPr>
          <w:rFonts w:ascii="Times New Roman" w:hAnsi="Times New Roman" w:cs="Times New Roman"/>
        </w:rPr>
        <w:t xml:space="preserve">therefore </w:t>
      </w:r>
      <w:proofErr w:type="gramStart"/>
      <w:r w:rsidR="00166F7D">
        <w:rPr>
          <w:rFonts w:ascii="Times New Roman" w:hAnsi="Times New Roman" w:cs="Times New Roman"/>
        </w:rPr>
        <w:t xml:space="preserve">through </w:t>
      </w:r>
      <w:r w:rsidR="00852D55">
        <w:rPr>
          <w:rFonts w:ascii="Times New Roman" w:hAnsi="Times New Roman" w:cs="Times New Roman"/>
        </w:rPr>
        <w:t xml:space="preserve">the </w:t>
      </w:r>
      <w:r w:rsidR="00166F7D">
        <w:rPr>
          <w:rFonts w:ascii="Times New Roman" w:hAnsi="Times New Roman" w:cs="Times New Roman"/>
        </w:rPr>
        <w:t>use of</w:t>
      </w:r>
      <w:proofErr w:type="gramEnd"/>
      <w:r w:rsidR="00166F7D">
        <w:rPr>
          <w:rFonts w:ascii="Times New Roman" w:hAnsi="Times New Roman" w:cs="Times New Roman"/>
        </w:rPr>
        <w:t xml:space="preserve"> </w:t>
      </w:r>
      <w:r w:rsidR="00852D55">
        <w:rPr>
          <w:rFonts w:ascii="Times New Roman" w:hAnsi="Times New Roman" w:cs="Times New Roman"/>
        </w:rPr>
        <w:t xml:space="preserve">these </w:t>
      </w:r>
      <w:r w:rsidR="00166F7D">
        <w:rPr>
          <w:rFonts w:ascii="Times New Roman" w:hAnsi="Times New Roman" w:cs="Times New Roman"/>
        </w:rPr>
        <w:t xml:space="preserve">modern sources that Bynum takes a revisionist stance towards the debate surrounding material continuity. </w:t>
      </w:r>
    </w:p>
    <w:p w14:paraId="1F87B26E" w14:textId="13BAB446" w:rsidR="00ED15A0" w:rsidRPr="00ED15A0" w:rsidRDefault="00406745" w:rsidP="006314B4">
      <w:pPr>
        <w:spacing w:line="360" w:lineRule="auto"/>
        <w:rPr>
          <w:rFonts w:ascii="Times New Roman" w:hAnsi="Times New Roman" w:cs="Times New Roman"/>
        </w:rPr>
      </w:pPr>
      <w:r>
        <w:rPr>
          <w:rFonts w:ascii="Times New Roman" w:hAnsi="Times New Roman" w:cs="Times New Roman"/>
        </w:rPr>
        <w:tab/>
        <w:t xml:space="preserve">To conclude, Bynum offers a thoroughly-researched and solid argument for the material continuity of bodies at the Resurrection, whilst referring to, and challenging opposing arguments. Her article is </w:t>
      </w:r>
      <w:r w:rsidR="005E2758">
        <w:rPr>
          <w:rFonts w:ascii="Times New Roman" w:hAnsi="Times New Roman" w:cs="Times New Roman"/>
        </w:rPr>
        <w:t xml:space="preserve">thought-provoking and encourages its readers to interact with its topics through questions </w:t>
      </w:r>
      <w:r w:rsidR="003260E8">
        <w:rPr>
          <w:rFonts w:ascii="Times New Roman" w:hAnsi="Times New Roman" w:cs="Times New Roman"/>
        </w:rPr>
        <w:t xml:space="preserve">including </w:t>
      </w:r>
      <w:r w:rsidR="005E2758">
        <w:rPr>
          <w:rFonts w:ascii="Times New Roman" w:hAnsi="Times New Roman" w:cs="Times New Roman"/>
        </w:rPr>
        <w:t xml:space="preserve">whether the </w:t>
      </w:r>
      <w:r w:rsidR="00FC7D71">
        <w:rPr>
          <w:rFonts w:ascii="Times New Roman" w:hAnsi="Times New Roman" w:cs="Times New Roman"/>
        </w:rPr>
        <w:t>body was “necessary to personhood”.</w:t>
      </w:r>
      <w:r w:rsidR="00823424">
        <w:rPr>
          <w:rStyle w:val="FootnoteReference"/>
          <w:rFonts w:ascii="Times New Roman" w:hAnsi="Times New Roman" w:cs="Times New Roman"/>
        </w:rPr>
        <w:footnoteReference w:id="20"/>
      </w:r>
      <w:r w:rsidR="000C11FF">
        <w:rPr>
          <w:rFonts w:ascii="Times New Roman" w:hAnsi="Times New Roman" w:cs="Times New Roman"/>
        </w:rPr>
        <w:t xml:space="preserve"> The range of credible sources used in the article, both medieval and modern, offer a fresh interpretation on an otherwise ancient issue, further substantiating Bynum’s hypotheses. Although my own interpretation of material continuity differs to that of Bynum’s, her arguments throughout her article are convincing. And yet, perhaps most interestingly of all, Bynum indeed confesses that even with a plethora of theological works based upon material continuity and the Resurrection, scholars do not</w:t>
      </w:r>
      <w:r w:rsidR="00ED15A0" w:rsidRPr="00ED15A0">
        <w:rPr>
          <w:rFonts w:ascii="Times New Roman" w:hAnsi="Times New Roman" w:cs="Times New Roman"/>
        </w:rPr>
        <w:t xml:space="preserve"> “seem much closer to the philosophical solution”</w:t>
      </w:r>
      <w:r w:rsidR="000C11FF">
        <w:rPr>
          <w:rFonts w:ascii="Times New Roman" w:hAnsi="Times New Roman" w:cs="Times New Roman"/>
        </w:rPr>
        <w:t xml:space="preserve"> of the debate, a testament of </w:t>
      </w:r>
      <w:r w:rsidR="00824E02">
        <w:rPr>
          <w:rFonts w:ascii="Times New Roman" w:hAnsi="Times New Roman" w:cs="Times New Roman"/>
        </w:rPr>
        <w:t xml:space="preserve">just </w:t>
      </w:r>
      <w:r w:rsidR="000C11FF">
        <w:rPr>
          <w:rFonts w:ascii="Times New Roman" w:hAnsi="Times New Roman" w:cs="Times New Roman"/>
        </w:rPr>
        <w:t>how complicated this issue is.</w:t>
      </w:r>
      <w:r w:rsidR="00823424">
        <w:rPr>
          <w:rStyle w:val="FootnoteReference"/>
          <w:rFonts w:ascii="Times New Roman" w:hAnsi="Times New Roman" w:cs="Times New Roman"/>
        </w:rPr>
        <w:footnoteReference w:id="21"/>
      </w:r>
    </w:p>
    <w:p w14:paraId="7955FEBB" w14:textId="3AA5FDA8" w:rsidR="008D0242" w:rsidRDefault="008D0242" w:rsidP="006314B4">
      <w:pPr>
        <w:spacing w:line="360" w:lineRule="auto"/>
        <w:rPr>
          <w:rFonts w:ascii="Times New Roman" w:hAnsi="Times New Roman" w:cs="Times New Roman"/>
        </w:rPr>
      </w:pPr>
    </w:p>
    <w:p w14:paraId="1B72111F" w14:textId="7ABDD05A" w:rsidR="001E2133" w:rsidRDefault="00DB4B04" w:rsidP="006314B4">
      <w:pPr>
        <w:spacing w:line="360" w:lineRule="auto"/>
        <w:rPr>
          <w:rFonts w:ascii="Times New Roman" w:hAnsi="Times New Roman" w:cs="Times New Roman"/>
        </w:rPr>
      </w:pPr>
      <w:r w:rsidRPr="00F0396D">
        <w:rPr>
          <w:rFonts w:ascii="Times New Roman" w:hAnsi="Times New Roman" w:cs="Times New Roman"/>
          <w:b/>
        </w:rPr>
        <w:t>wordcount:</w:t>
      </w:r>
      <w:r>
        <w:rPr>
          <w:rFonts w:ascii="Times New Roman" w:hAnsi="Times New Roman" w:cs="Times New Roman"/>
        </w:rPr>
        <w:t xml:space="preserve"> 150</w:t>
      </w:r>
      <w:r w:rsidR="009D1FD7">
        <w:rPr>
          <w:rFonts w:ascii="Times New Roman" w:hAnsi="Times New Roman" w:cs="Times New Roman"/>
        </w:rPr>
        <w:t>1</w:t>
      </w:r>
    </w:p>
    <w:p w14:paraId="29BEF5A1" w14:textId="1DE1F7E2" w:rsidR="00C8799F" w:rsidRDefault="00C8799F" w:rsidP="006314B4">
      <w:pPr>
        <w:spacing w:line="360" w:lineRule="auto"/>
        <w:rPr>
          <w:rFonts w:ascii="Times New Roman" w:hAnsi="Times New Roman" w:cs="Times New Roman"/>
        </w:rPr>
      </w:pPr>
    </w:p>
    <w:p w14:paraId="00EF5D24" w14:textId="79D4DEDA" w:rsidR="00C8799F" w:rsidRDefault="00C8799F" w:rsidP="006314B4">
      <w:pPr>
        <w:spacing w:line="360" w:lineRule="auto"/>
        <w:rPr>
          <w:rFonts w:ascii="Times New Roman" w:hAnsi="Times New Roman" w:cs="Times New Roman"/>
        </w:rPr>
      </w:pPr>
    </w:p>
    <w:p w14:paraId="76765AE9" w14:textId="358AA2D8" w:rsidR="00C8799F" w:rsidRDefault="00C8799F" w:rsidP="006314B4">
      <w:pPr>
        <w:spacing w:line="360" w:lineRule="auto"/>
        <w:rPr>
          <w:rFonts w:ascii="Times New Roman" w:hAnsi="Times New Roman" w:cs="Times New Roman"/>
        </w:rPr>
      </w:pPr>
    </w:p>
    <w:p w14:paraId="2295F83C" w14:textId="6E60DF60" w:rsidR="00C8799F" w:rsidRDefault="00C8799F" w:rsidP="006314B4">
      <w:pPr>
        <w:spacing w:line="360" w:lineRule="auto"/>
        <w:rPr>
          <w:rFonts w:ascii="Times New Roman" w:hAnsi="Times New Roman" w:cs="Times New Roman"/>
        </w:rPr>
      </w:pPr>
    </w:p>
    <w:p w14:paraId="15664DF4" w14:textId="10C948A9" w:rsidR="00C8799F" w:rsidRDefault="00C8799F" w:rsidP="006314B4">
      <w:pPr>
        <w:spacing w:line="360" w:lineRule="auto"/>
        <w:rPr>
          <w:rFonts w:ascii="Times New Roman" w:hAnsi="Times New Roman" w:cs="Times New Roman"/>
        </w:rPr>
      </w:pPr>
    </w:p>
    <w:p w14:paraId="14F525A8" w14:textId="1BB26298" w:rsidR="00C8799F" w:rsidRDefault="00C8799F" w:rsidP="006314B4">
      <w:pPr>
        <w:spacing w:line="360" w:lineRule="auto"/>
        <w:rPr>
          <w:rFonts w:ascii="Times New Roman" w:hAnsi="Times New Roman" w:cs="Times New Roman"/>
        </w:rPr>
      </w:pPr>
    </w:p>
    <w:p w14:paraId="257D1C6A" w14:textId="4BB7D504" w:rsidR="00C8799F" w:rsidRDefault="00C8799F" w:rsidP="006314B4">
      <w:pPr>
        <w:spacing w:line="360" w:lineRule="auto"/>
        <w:rPr>
          <w:rFonts w:ascii="Times New Roman" w:hAnsi="Times New Roman" w:cs="Times New Roman"/>
        </w:rPr>
      </w:pPr>
    </w:p>
    <w:p w14:paraId="33B590C8" w14:textId="77777777" w:rsidR="00C8799F" w:rsidRPr="00C8799F" w:rsidRDefault="00C8799F" w:rsidP="00C8799F">
      <w:pPr>
        <w:spacing w:line="360" w:lineRule="auto"/>
        <w:rPr>
          <w:rFonts w:ascii="Times New Roman" w:hAnsi="Times New Roman" w:cs="Times New Roman"/>
        </w:rPr>
      </w:pPr>
      <w:r w:rsidRPr="00C8799F">
        <w:rPr>
          <w:rFonts w:ascii="Times New Roman" w:hAnsi="Times New Roman" w:cs="Times New Roman"/>
        </w:rPr>
        <w:t xml:space="preserve">In this section of the portfolio, I will discuss how the theme of </w:t>
      </w:r>
      <w:r w:rsidRPr="00C8799F">
        <w:rPr>
          <w:rFonts w:ascii="Times New Roman" w:hAnsi="Times New Roman" w:cs="Times New Roman"/>
          <w:i/>
        </w:rPr>
        <w:t>memorialisation</w:t>
      </w:r>
      <w:r w:rsidRPr="00C8799F">
        <w:rPr>
          <w:rFonts w:ascii="Times New Roman" w:hAnsi="Times New Roman" w:cs="Times New Roman"/>
        </w:rPr>
        <w:t xml:space="preserve"> plays a vital role in understanding the traditions surrounding the death culture of the Middle Ages. </w:t>
      </w:r>
    </w:p>
    <w:p w14:paraId="57801CE0" w14:textId="05F6977D" w:rsidR="00C8799F" w:rsidRPr="00C8799F" w:rsidRDefault="00C8799F" w:rsidP="00C8799F">
      <w:pPr>
        <w:spacing w:line="360" w:lineRule="auto"/>
        <w:rPr>
          <w:rFonts w:ascii="Times New Roman" w:hAnsi="Times New Roman" w:cs="Times New Roman"/>
        </w:rPr>
      </w:pPr>
      <w:r w:rsidRPr="00C8799F">
        <w:rPr>
          <w:rFonts w:ascii="Times New Roman" w:hAnsi="Times New Roman" w:cs="Times New Roman"/>
        </w:rPr>
        <w:tab/>
        <w:t>I will begin by discussing the role that medieval wills played in the preservation of the legacy of the deceased. Wills offer intrinsic details about the deceased’s funerary wishes, and often included provisions made for family members and children, members of the parish, and the church. Indeed, the possessions of a particularly wealthy benefactor arguably contributed to the improvement of the liturgy, as well as to the glorification of the church’s patron saint.</w:t>
      </w:r>
      <w:r>
        <w:rPr>
          <w:rStyle w:val="FootnoteReference"/>
          <w:rFonts w:ascii="Times New Roman" w:hAnsi="Times New Roman" w:cs="Times New Roman"/>
        </w:rPr>
        <w:footnoteReference w:id="22"/>
      </w:r>
      <w:r w:rsidRPr="00C8799F">
        <w:rPr>
          <w:rFonts w:ascii="Times New Roman" w:hAnsi="Times New Roman" w:cs="Times New Roman"/>
        </w:rPr>
        <w:t xml:space="preserve">  In the will of John </w:t>
      </w:r>
      <w:proofErr w:type="spellStart"/>
      <w:r w:rsidRPr="00C8799F">
        <w:rPr>
          <w:rFonts w:ascii="Times New Roman" w:hAnsi="Times New Roman" w:cs="Times New Roman"/>
        </w:rPr>
        <w:t>Baret</w:t>
      </w:r>
      <w:proofErr w:type="spellEnd"/>
      <w:r w:rsidRPr="00C8799F">
        <w:rPr>
          <w:rFonts w:ascii="Times New Roman" w:hAnsi="Times New Roman" w:cs="Times New Roman"/>
        </w:rPr>
        <w:t xml:space="preserve"> of Bury, provisions of a penny were made to “each poor man and each poor woman in attendance” to pray for his soul.</w:t>
      </w:r>
      <w:r>
        <w:rPr>
          <w:rStyle w:val="FootnoteReference"/>
          <w:rFonts w:ascii="Times New Roman" w:hAnsi="Times New Roman" w:cs="Times New Roman"/>
        </w:rPr>
        <w:footnoteReference w:id="23"/>
      </w:r>
      <w:r w:rsidRPr="00C8799F">
        <w:rPr>
          <w:rFonts w:ascii="Times New Roman" w:hAnsi="Times New Roman" w:cs="Times New Roman"/>
        </w:rPr>
        <w:t xml:space="preserve">  Provisions such as this were beneficial to the deceased’s soul for a number of reasons, the principal of which being the optimisation of the number of prayers one’s soul received, thus hastening one’s time in Purgatory. Provisions for children in wills were also beneficial for two principal reasons – the first, was that children were considered morally purer than adults, their prayers more likely to be received by God. Secondly, and perhaps most importantly to this study, the children of the parish were the next generation, and as such one’s memorialisation would arguably continue for longer.</w:t>
      </w:r>
    </w:p>
    <w:p w14:paraId="68E09D81" w14:textId="71A983FA" w:rsidR="00C8799F" w:rsidRPr="00C8799F" w:rsidRDefault="00C8799F" w:rsidP="00C8799F">
      <w:pPr>
        <w:spacing w:line="360" w:lineRule="auto"/>
        <w:rPr>
          <w:rFonts w:ascii="Times New Roman" w:hAnsi="Times New Roman" w:cs="Times New Roman"/>
        </w:rPr>
      </w:pPr>
      <w:r w:rsidRPr="00C8799F">
        <w:rPr>
          <w:rFonts w:ascii="Times New Roman" w:hAnsi="Times New Roman" w:cs="Times New Roman"/>
        </w:rPr>
        <w:tab/>
        <w:t xml:space="preserve">Similarly, medieval </w:t>
      </w:r>
      <w:proofErr w:type="spellStart"/>
      <w:r w:rsidRPr="00C8799F">
        <w:rPr>
          <w:rFonts w:ascii="Times New Roman" w:hAnsi="Times New Roman" w:cs="Times New Roman"/>
        </w:rPr>
        <w:t>bede</w:t>
      </w:r>
      <w:proofErr w:type="spellEnd"/>
      <w:r w:rsidRPr="00C8799F">
        <w:rPr>
          <w:rFonts w:ascii="Times New Roman" w:hAnsi="Times New Roman" w:cs="Times New Roman"/>
        </w:rPr>
        <w:t xml:space="preserve">-rolls acted as commemorative measures that were effective in reassuring the dying that their souls would be prayed for by the parish, and that their time in Purgatory would be hastened. In the Epitaph of Avery </w:t>
      </w:r>
      <w:proofErr w:type="spellStart"/>
      <w:r w:rsidRPr="00C8799F">
        <w:rPr>
          <w:rFonts w:ascii="Times New Roman" w:hAnsi="Times New Roman" w:cs="Times New Roman"/>
        </w:rPr>
        <w:t>Comborough</w:t>
      </w:r>
      <w:proofErr w:type="spellEnd"/>
      <w:r w:rsidRPr="00C8799F">
        <w:rPr>
          <w:rFonts w:ascii="Times New Roman" w:hAnsi="Times New Roman" w:cs="Times New Roman"/>
        </w:rPr>
        <w:t xml:space="preserve">, provisions were made to ensure the usage of the </w:t>
      </w:r>
      <w:proofErr w:type="spellStart"/>
      <w:r w:rsidRPr="00C8799F">
        <w:rPr>
          <w:rFonts w:ascii="Times New Roman" w:hAnsi="Times New Roman" w:cs="Times New Roman"/>
        </w:rPr>
        <w:t>bederoll</w:t>
      </w:r>
      <w:proofErr w:type="spellEnd"/>
      <w:r w:rsidRPr="00C8799F">
        <w:rPr>
          <w:rFonts w:ascii="Times New Roman" w:hAnsi="Times New Roman" w:cs="Times New Roman"/>
        </w:rPr>
        <w:t xml:space="preserve"> every Sunday, in which “the </w:t>
      </w:r>
      <w:proofErr w:type="spellStart"/>
      <w:r w:rsidRPr="00C8799F">
        <w:rPr>
          <w:rFonts w:ascii="Times New Roman" w:hAnsi="Times New Roman" w:cs="Times New Roman"/>
        </w:rPr>
        <w:t>sowls</w:t>
      </w:r>
      <w:proofErr w:type="spellEnd"/>
      <w:r w:rsidRPr="00C8799F">
        <w:rPr>
          <w:rFonts w:ascii="Times New Roman" w:hAnsi="Times New Roman" w:cs="Times New Roman"/>
        </w:rPr>
        <w:t xml:space="preserve"> o this Avery, Beatrice and </w:t>
      </w:r>
      <w:proofErr w:type="spellStart"/>
      <w:r w:rsidRPr="00C8799F">
        <w:rPr>
          <w:rFonts w:ascii="Times New Roman" w:hAnsi="Times New Roman" w:cs="Times New Roman"/>
        </w:rPr>
        <w:t>Iohn</w:t>
      </w:r>
      <w:proofErr w:type="spellEnd"/>
      <w:r w:rsidRPr="00C8799F">
        <w:rPr>
          <w:rFonts w:ascii="Times New Roman" w:hAnsi="Times New Roman" w:cs="Times New Roman"/>
        </w:rPr>
        <w:t xml:space="preserve"> be prayed for”, as well as prayers “twice a </w:t>
      </w:r>
      <w:proofErr w:type="spellStart"/>
      <w:r w:rsidRPr="00C8799F">
        <w:rPr>
          <w:rFonts w:ascii="Times New Roman" w:hAnsi="Times New Roman" w:cs="Times New Roman"/>
        </w:rPr>
        <w:t>yere</w:t>
      </w:r>
      <w:proofErr w:type="spellEnd"/>
      <w:r w:rsidRPr="00C8799F">
        <w:rPr>
          <w:rFonts w:ascii="Times New Roman" w:hAnsi="Times New Roman" w:cs="Times New Roman"/>
        </w:rPr>
        <w:t>” at places such as Dagenham and Barking, as dictated in his will.</w:t>
      </w:r>
      <w:r>
        <w:rPr>
          <w:rStyle w:val="FootnoteReference"/>
          <w:rFonts w:ascii="Times New Roman" w:hAnsi="Times New Roman" w:cs="Times New Roman"/>
        </w:rPr>
        <w:footnoteReference w:id="24"/>
      </w:r>
      <w:r w:rsidRPr="00C8799F">
        <w:rPr>
          <w:rFonts w:ascii="Times New Roman" w:hAnsi="Times New Roman" w:cs="Times New Roman"/>
        </w:rPr>
        <w:t xml:space="preserve">  The comparison of </w:t>
      </w:r>
      <w:proofErr w:type="spellStart"/>
      <w:r w:rsidRPr="00C8799F">
        <w:rPr>
          <w:rFonts w:ascii="Times New Roman" w:hAnsi="Times New Roman" w:cs="Times New Roman"/>
        </w:rPr>
        <w:t>bede</w:t>
      </w:r>
      <w:proofErr w:type="spellEnd"/>
      <w:r w:rsidRPr="00C8799F">
        <w:rPr>
          <w:rFonts w:ascii="Times New Roman" w:hAnsi="Times New Roman" w:cs="Times New Roman"/>
        </w:rPr>
        <w:t>-rolls as the ‘social map of the community’ indicates that it was not purely individuals who were commemorated, but rather entire parishes on a large scale, underlying how important it was to commemorate the dead as a collective identity.</w:t>
      </w:r>
      <w:r>
        <w:rPr>
          <w:rStyle w:val="FootnoteReference"/>
          <w:rFonts w:ascii="Times New Roman" w:hAnsi="Times New Roman" w:cs="Times New Roman"/>
        </w:rPr>
        <w:footnoteReference w:id="25"/>
      </w:r>
      <w:r w:rsidRPr="00C8799F">
        <w:rPr>
          <w:rFonts w:ascii="Times New Roman" w:hAnsi="Times New Roman" w:cs="Times New Roman"/>
        </w:rPr>
        <w:t xml:space="preserve">  Despite this, although </w:t>
      </w:r>
      <w:proofErr w:type="spellStart"/>
      <w:r w:rsidRPr="00C8799F">
        <w:rPr>
          <w:rFonts w:ascii="Times New Roman" w:hAnsi="Times New Roman" w:cs="Times New Roman"/>
        </w:rPr>
        <w:t>bede</w:t>
      </w:r>
      <w:proofErr w:type="spellEnd"/>
      <w:r w:rsidRPr="00C8799F">
        <w:rPr>
          <w:rFonts w:ascii="Times New Roman" w:hAnsi="Times New Roman" w:cs="Times New Roman"/>
        </w:rPr>
        <w:t>-rolls were intended to continuously memorialise the dead through repetitive reminders to the parish, they also became problematic as they grew longer and thus more complicated with the inclusion of entire parishes, and as such did not “necessarily guarantee permanent memorialisation”.</w:t>
      </w:r>
      <w:r>
        <w:rPr>
          <w:rStyle w:val="FootnoteReference"/>
          <w:rFonts w:ascii="Times New Roman" w:hAnsi="Times New Roman" w:cs="Times New Roman"/>
        </w:rPr>
        <w:footnoteReference w:id="26"/>
      </w:r>
      <w:r w:rsidRPr="00C8799F">
        <w:rPr>
          <w:rFonts w:ascii="Times New Roman" w:hAnsi="Times New Roman" w:cs="Times New Roman"/>
        </w:rPr>
        <w:t xml:space="preserve"> </w:t>
      </w:r>
    </w:p>
    <w:p w14:paraId="0C075FCB" w14:textId="5FA98DAB" w:rsidR="00C8799F" w:rsidRPr="00C8799F" w:rsidRDefault="00C8799F" w:rsidP="00C8799F">
      <w:pPr>
        <w:spacing w:line="360" w:lineRule="auto"/>
        <w:rPr>
          <w:rFonts w:ascii="Times New Roman" w:hAnsi="Times New Roman" w:cs="Times New Roman"/>
        </w:rPr>
      </w:pPr>
      <w:r w:rsidRPr="00C8799F">
        <w:rPr>
          <w:rFonts w:ascii="Times New Roman" w:hAnsi="Times New Roman" w:cs="Times New Roman"/>
        </w:rPr>
        <w:lastRenderedPageBreak/>
        <w:tab/>
        <w:t xml:space="preserve">Memorialisation of the deceased was also achieved through the construction of tombs decorated with physical reminders of the deceased including engravings or effigies. Effigies </w:t>
      </w:r>
      <w:proofErr w:type="gramStart"/>
      <w:r w:rsidRPr="00C8799F">
        <w:rPr>
          <w:rFonts w:ascii="Times New Roman" w:hAnsi="Times New Roman" w:cs="Times New Roman"/>
        </w:rPr>
        <w:t>in particular optimised</w:t>
      </w:r>
      <w:proofErr w:type="gramEnd"/>
      <w:r w:rsidRPr="00C8799F">
        <w:rPr>
          <w:rFonts w:ascii="Times New Roman" w:hAnsi="Times New Roman" w:cs="Times New Roman"/>
        </w:rPr>
        <w:t xml:space="preserve"> one’s visibility inside a church, and as such served as a constant reminder of the deceased in the church’s permanent structure. Resilient materials such as stone or brass were used for its permanence. Items accompanying the effigy, or decorative embellishments on the tomb, could provide insight into the individual’s life, further commemorating the dead.</w:t>
      </w:r>
      <w:r>
        <w:rPr>
          <w:rStyle w:val="FootnoteReference"/>
          <w:rFonts w:ascii="Times New Roman" w:hAnsi="Times New Roman" w:cs="Times New Roman"/>
        </w:rPr>
        <w:footnoteReference w:id="27"/>
      </w:r>
      <w:r w:rsidRPr="00C8799F">
        <w:rPr>
          <w:rFonts w:ascii="Times New Roman" w:hAnsi="Times New Roman" w:cs="Times New Roman"/>
        </w:rPr>
        <w:t xml:space="preserve">  However, tombs were not the only material way in which to memorialise the dead, as smaller commemorative devices such as heraldic plaques also reminded the living of the deceased.</w:t>
      </w:r>
      <w:r>
        <w:rPr>
          <w:rStyle w:val="FootnoteReference"/>
          <w:rFonts w:ascii="Times New Roman" w:hAnsi="Times New Roman" w:cs="Times New Roman"/>
        </w:rPr>
        <w:footnoteReference w:id="28"/>
      </w:r>
      <w:r w:rsidRPr="00C8799F">
        <w:rPr>
          <w:rFonts w:ascii="Times New Roman" w:hAnsi="Times New Roman" w:cs="Times New Roman"/>
        </w:rPr>
        <w:t xml:space="preserve">   </w:t>
      </w:r>
    </w:p>
    <w:p w14:paraId="11F2A0E0" w14:textId="7D838CB7" w:rsidR="00C8799F" w:rsidRPr="00C8799F" w:rsidRDefault="00C8799F" w:rsidP="00C8799F">
      <w:pPr>
        <w:spacing w:line="360" w:lineRule="auto"/>
        <w:ind w:firstLine="720"/>
        <w:rPr>
          <w:rFonts w:ascii="Times New Roman" w:hAnsi="Times New Roman" w:cs="Times New Roman"/>
        </w:rPr>
      </w:pPr>
      <w:r w:rsidRPr="00C8799F">
        <w:rPr>
          <w:rFonts w:ascii="Times New Roman" w:hAnsi="Times New Roman" w:cs="Times New Roman"/>
        </w:rPr>
        <w:t xml:space="preserve">Chantry chapels equally played a significant role in the commemoration of the dead as an exclusive and permanent location which could be decorated with commemorative memorabilia, from heraldic plaques to stained glass that depicted the benefactor. The perpetual chapel of the family of </w:t>
      </w:r>
      <w:proofErr w:type="spellStart"/>
      <w:r w:rsidRPr="00C8799F">
        <w:rPr>
          <w:rFonts w:ascii="Times New Roman" w:hAnsi="Times New Roman" w:cs="Times New Roman"/>
        </w:rPr>
        <w:t>Jehan</w:t>
      </w:r>
      <w:proofErr w:type="spellEnd"/>
      <w:r w:rsidRPr="00C8799F">
        <w:rPr>
          <w:rFonts w:ascii="Times New Roman" w:hAnsi="Times New Roman" w:cs="Times New Roman"/>
        </w:rPr>
        <w:t xml:space="preserve"> </w:t>
      </w:r>
      <w:proofErr w:type="spellStart"/>
      <w:r w:rsidRPr="00C8799F">
        <w:rPr>
          <w:rFonts w:ascii="Times New Roman" w:hAnsi="Times New Roman" w:cs="Times New Roman"/>
        </w:rPr>
        <w:t>Gibon</w:t>
      </w:r>
      <w:proofErr w:type="spellEnd"/>
      <w:r w:rsidRPr="00C8799F">
        <w:rPr>
          <w:rFonts w:ascii="Times New Roman" w:hAnsi="Times New Roman" w:cs="Times New Roman"/>
        </w:rPr>
        <w:t>, for example, had “the right of burial and all rights to the [perpetual] chapel”, ensuring that future generations would frequent the chapel in remembrance.</w:t>
      </w:r>
      <w:r>
        <w:rPr>
          <w:rStyle w:val="FootnoteReference"/>
          <w:rFonts w:ascii="Times New Roman" w:hAnsi="Times New Roman" w:cs="Times New Roman"/>
        </w:rPr>
        <w:footnoteReference w:id="29"/>
      </w:r>
      <w:r w:rsidRPr="00C8799F">
        <w:rPr>
          <w:rFonts w:ascii="Times New Roman" w:hAnsi="Times New Roman" w:cs="Times New Roman"/>
        </w:rPr>
        <w:t xml:space="preserve">  </w:t>
      </w:r>
    </w:p>
    <w:p w14:paraId="241278B5" w14:textId="3CF3A0D8" w:rsidR="00C8799F" w:rsidRPr="00C8799F" w:rsidRDefault="00C8799F" w:rsidP="00C8799F">
      <w:pPr>
        <w:spacing w:line="360" w:lineRule="auto"/>
        <w:ind w:firstLine="720"/>
        <w:rPr>
          <w:rFonts w:ascii="Times New Roman" w:hAnsi="Times New Roman" w:cs="Times New Roman"/>
        </w:rPr>
      </w:pPr>
      <w:r w:rsidRPr="00C8799F">
        <w:rPr>
          <w:rFonts w:ascii="Times New Roman" w:hAnsi="Times New Roman" w:cs="Times New Roman"/>
        </w:rPr>
        <w:t>However, we must consider potential limitations when reviewing medieval memorialisation. Firstly, we must consider the impact that the Dissolution of the Monasteries had upon medieval death culture, in which “the tombs of kings”, as well as other commemorative devices were destroyed.</w:t>
      </w:r>
      <w:r w:rsidR="00C46C19">
        <w:rPr>
          <w:rStyle w:val="FootnoteReference"/>
          <w:rFonts w:ascii="Times New Roman" w:hAnsi="Times New Roman" w:cs="Times New Roman"/>
        </w:rPr>
        <w:footnoteReference w:id="30"/>
      </w:r>
      <w:r w:rsidRPr="00C8799F">
        <w:rPr>
          <w:rFonts w:ascii="Times New Roman" w:hAnsi="Times New Roman" w:cs="Times New Roman"/>
        </w:rPr>
        <w:t xml:space="preserve">  Additionally, we must remember that the majority of existing sources such as wills and tombstones belonged to the minority (the wealthy), and as such it is difficult to ascertain how the lower echelons of society memorialised their dead.</w:t>
      </w:r>
      <w:r w:rsidR="00C46C19">
        <w:rPr>
          <w:rStyle w:val="FootnoteReference"/>
          <w:rFonts w:ascii="Times New Roman" w:hAnsi="Times New Roman" w:cs="Times New Roman"/>
        </w:rPr>
        <w:footnoteReference w:id="31"/>
      </w:r>
      <w:r w:rsidRPr="00C8799F">
        <w:rPr>
          <w:rFonts w:ascii="Times New Roman" w:hAnsi="Times New Roman" w:cs="Times New Roman"/>
        </w:rPr>
        <w:t xml:space="preserve">  In a period of extreme socio-economic factors including recurring plague and wars, mass graves and unmarked burial places were not uncommon. As such, we must include examples of memorialisation from the lowest echelons of society in order to conduct a broader study of memorialisation in the Middle Ages, rather than base our studies entirely on minority cases. Therefore, we can argue that the memorialisation of the dead was not always achieved.  </w:t>
      </w:r>
    </w:p>
    <w:p w14:paraId="73AD8E98" w14:textId="77777777" w:rsidR="00C8799F" w:rsidRPr="00C8799F" w:rsidRDefault="00C8799F" w:rsidP="007921E9">
      <w:pPr>
        <w:spacing w:line="360" w:lineRule="auto"/>
        <w:ind w:firstLine="720"/>
        <w:rPr>
          <w:rFonts w:ascii="Times New Roman" w:hAnsi="Times New Roman" w:cs="Times New Roman"/>
        </w:rPr>
      </w:pPr>
      <w:r w:rsidRPr="00C8799F">
        <w:rPr>
          <w:rFonts w:ascii="Times New Roman" w:hAnsi="Times New Roman" w:cs="Times New Roman"/>
        </w:rPr>
        <w:t xml:space="preserve">To conclude, despite certain limitations surrounding this topic, we can believe that the concept of memorialisation was crucial in the Middle Ages, as is shown by the creation of wills, </w:t>
      </w:r>
      <w:proofErr w:type="spellStart"/>
      <w:r w:rsidRPr="00C8799F">
        <w:rPr>
          <w:rFonts w:ascii="Times New Roman" w:hAnsi="Times New Roman" w:cs="Times New Roman"/>
        </w:rPr>
        <w:t>bede</w:t>
      </w:r>
      <w:proofErr w:type="spellEnd"/>
      <w:r w:rsidRPr="00C8799F">
        <w:rPr>
          <w:rFonts w:ascii="Times New Roman" w:hAnsi="Times New Roman" w:cs="Times New Roman"/>
        </w:rPr>
        <w:t xml:space="preserve">-rolls and tombstones, which played significant roles in the commemoration of the dead. </w:t>
      </w:r>
    </w:p>
    <w:p w14:paraId="64444B10" w14:textId="77777777" w:rsidR="00C8799F" w:rsidRPr="00C8799F" w:rsidRDefault="00C8799F" w:rsidP="00C8799F">
      <w:pPr>
        <w:spacing w:line="360" w:lineRule="auto"/>
        <w:rPr>
          <w:rFonts w:ascii="Times New Roman" w:hAnsi="Times New Roman" w:cs="Times New Roman"/>
        </w:rPr>
      </w:pPr>
      <w:r w:rsidRPr="00C8799F">
        <w:rPr>
          <w:rFonts w:ascii="Times New Roman" w:hAnsi="Times New Roman" w:cs="Times New Roman"/>
        </w:rPr>
        <w:tab/>
        <w:t xml:space="preserve"> </w:t>
      </w:r>
    </w:p>
    <w:p w14:paraId="58BC7906" w14:textId="0AD4A69D" w:rsidR="00C8799F" w:rsidRDefault="00C8799F" w:rsidP="00C8799F">
      <w:pPr>
        <w:spacing w:line="360" w:lineRule="auto"/>
        <w:rPr>
          <w:rFonts w:ascii="Times New Roman" w:hAnsi="Times New Roman" w:cs="Times New Roman"/>
        </w:rPr>
      </w:pPr>
      <w:r w:rsidRPr="00F0396D">
        <w:rPr>
          <w:rFonts w:ascii="Times New Roman" w:hAnsi="Times New Roman" w:cs="Times New Roman"/>
          <w:b/>
        </w:rPr>
        <w:t>wordcount</w:t>
      </w:r>
      <w:r w:rsidRPr="00C8799F">
        <w:rPr>
          <w:rFonts w:ascii="Times New Roman" w:hAnsi="Times New Roman" w:cs="Times New Roman"/>
        </w:rPr>
        <w:t>: 768</w:t>
      </w:r>
    </w:p>
    <w:p w14:paraId="1B087A80" w14:textId="13065A82" w:rsidR="00F0396D" w:rsidRDefault="00F0396D" w:rsidP="00C8799F">
      <w:pPr>
        <w:spacing w:line="360" w:lineRule="auto"/>
        <w:rPr>
          <w:rFonts w:ascii="Times New Roman" w:hAnsi="Times New Roman" w:cs="Times New Roman"/>
        </w:rPr>
      </w:pPr>
    </w:p>
    <w:p w14:paraId="379E192D" w14:textId="75CAE9D7" w:rsidR="00F0396D" w:rsidRDefault="00F0396D" w:rsidP="00C8799F">
      <w:pPr>
        <w:spacing w:line="360" w:lineRule="auto"/>
        <w:rPr>
          <w:rFonts w:ascii="Times New Roman" w:hAnsi="Times New Roman" w:cs="Times New Roman"/>
        </w:rPr>
      </w:pPr>
      <w:r>
        <w:rPr>
          <w:rFonts w:ascii="Times New Roman" w:hAnsi="Times New Roman" w:cs="Times New Roman"/>
          <w:noProof/>
        </w:rPr>
        <w:drawing>
          <wp:anchor distT="0" distB="0" distL="114300" distR="114300" simplePos="0" relativeHeight="251659264" behindDoc="1" locked="0" layoutInCell="1" allowOverlap="1" wp14:anchorId="284810EB" wp14:editId="12BA0369">
            <wp:simplePos x="0" y="0"/>
            <wp:positionH relativeFrom="column">
              <wp:posOffset>838200</wp:posOffset>
            </wp:positionH>
            <wp:positionV relativeFrom="paragraph">
              <wp:posOffset>48260</wp:posOffset>
            </wp:positionV>
            <wp:extent cx="4267835" cy="2859405"/>
            <wp:effectExtent l="0" t="0" r="0" b="0"/>
            <wp:wrapTight wrapText="bothSides">
              <wp:wrapPolygon edited="0">
                <wp:start x="0" y="0"/>
                <wp:lineTo x="0" y="21442"/>
                <wp:lineTo x="21500" y="21442"/>
                <wp:lineTo x="2150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67835" cy="2859405"/>
                    </a:xfrm>
                    <a:prstGeom prst="rect">
                      <a:avLst/>
                    </a:prstGeom>
                    <a:noFill/>
                  </pic:spPr>
                </pic:pic>
              </a:graphicData>
            </a:graphic>
            <wp14:sizeRelH relativeFrom="page">
              <wp14:pctWidth>0</wp14:pctWidth>
            </wp14:sizeRelH>
            <wp14:sizeRelV relativeFrom="page">
              <wp14:pctHeight>0</wp14:pctHeight>
            </wp14:sizeRelV>
          </wp:anchor>
        </w:drawing>
      </w:r>
    </w:p>
    <w:p w14:paraId="75ABAB99" w14:textId="77777777" w:rsidR="00F0396D" w:rsidRDefault="00F0396D" w:rsidP="00C8799F">
      <w:pPr>
        <w:spacing w:line="360" w:lineRule="auto"/>
        <w:rPr>
          <w:rFonts w:ascii="Times New Roman" w:hAnsi="Times New Roman" w:cs="Times New Roman"/>
        </w:rPr>
      </w:pPr>
    </w:p>
    <w:p w14:paraId="01DE933D" w14:textId="77777777" w:rsidR="00F0396D" w:rsidRDefault="00F0396D" w:rsidP="00C8799F">
      <w:pPr>
        <w:spacing w:line="360" w:lineRule="auto"/>
        <w:rPr>
          <w:rFonts w:ascii="Times New Roman" w:hAnsi="Times New Roman" w:cs="Times New Roman"/>
        </w:rPr>
      </w:pPr>
    </w:p>
    <w:p w14:paraId="24A34348" w14:textId="77777777" w:rsidR="00F0396D" w:rsidRDefault="00F0396D" w:rsidP="00C8799F">
      <w:pPr>
        <w:spacing w:line="360" w:lineRule="auto"/>
        <w:rPr>
          <w:rFonts w:ascii="Times New Roman" w:hAnsi="Times New Roman" w:cs="Times New Roman"/>
        </w:rPr>
      </w:pPr>
    </w:p>
    <w:p w14:paraId="3DAAA56E" w14:textId="77777777" w:rsidR="00F0396D" w:rsidRDefault="00F0396D" w:rsidP="00C8799F">
      <w:pPr>
        <w:spacing w:line="360" w:lineRule="auto"/>
        <w:rPr>
          <w:rFonts w:ascii="Times New Roman" w:hAnsi="Times New Roman" w:cs="Times New Roman"/>
        </w:rPr>
      </w:pPr>
    </w:p>
    <w:p w14:paraId="528B6924" w14:textId="77777777" w:rsidR="00F0396D" w:rsidRDefault="00F0396D" w:rsidP="00C8799F">
      <w:pPr>
        <w:spacing w:line="360" w:lineRule="auto"/>
        <w:rPr>
          <w:rFonts w:ascii="Times New Roman" w:hAnsi="Times New Roman" w:cs="Times New Roman"/>
        </w:rPr>
      </w:pPr>
    </w:p>
    <w:p w14:paraId="3C071D20" w14:textId="77777777" w:rsidR="00F0396D" w:rsidRDefault="00F0396D" w:rsidP="00C8799F">
      <w:pPr>
        <w:spacing w:line="360" w:lineRule="auto"/>
        <w:rPr>
          <w:rFonts w:ascii="Times New Roman" w:hAnsi="Times New Roman" w:cs="Times New Roman"/>
        </w:rPr>
      </w:pPr>
    </w:p>
    <w:p w14:paraId="13ED5DF1" w14:textId="77777777" w:rsidR="00F0396D" w:rsidRDefault="00F0396D" w:rsidP="00C8799F">
      <w:pPr>
        <w:spacing w:line="360" w:lineRule="auto"/>
        <w:rPr>
          <w:rFonts w:ascii="Times New Roman" w:hAnsi="Times New Roman" w:cs="Times New Roman"/>
        </w:rPr>
      </w:pPr>
    </w:p>
    <w:p w14:paraId="7FFC5A0A" w14:textId="77777777" w:rsidR="00F0396D" w:rsidRPr="00F0396D" w:rsidRDefault="00F0396D" w:rsidP="00F0396D">
      <w:pPr>
        <w:spacing w:line="360" w:lineRule="auto"/>
        <w:jc w:val="center"/>
        <w:rPr>
          <w:rFonts w:ascii="Times New Roman" w:hAnsi="Times New Roman" w:cs="Times New Roman"/>
          <w:i/>
        </w:rPr>
      </w:pPr>
    </w:p>
    <w:p w14:paraId="064CDC08" w14:textId="14399456" w:rsidR="00F0396D" w:rsidRPr="00F0396D" w:rsidRDefault="00F0396D" w:rsidP="00F0396D">
      <w:pPr>
        <w:spacing w:line="360" w:lineRule="auto"/>
        <w:jc w:val="center"/>
        <w:rPr>
          <w:rFonts w:ascii="Times New Roman" w:hAnsi="Times New Roman" w:cs="Times New Roman"/>
        </w:rPr>
      </w:pPr>
      <w:r w:rsidRPr="00F0396D">
        <w:rPr>
          <w:rFonts w:ascii="Times New Roman" w:hAnsi="Times New Roman" w:cs="Times New Roman"/>
        </w:rPr>
        <w:t>[Fig. 1] Commemorative heraldic devices of the Knights of the Garter, dating from the 14th Century, at St George’s Chapel, Windsor.</w:t>
      </w:r>
    </w:p>
    <w:p w14:paraId="7F5C3454" w14:textId="56832470" w:rsidR="00F0396D" w:rsidRDefault="00F0396D" w:rsidP="00C8799F">
      <w:pPr>
        <w:spacing w:line="360" w:lineRule="auto"/>
        <w:rPr>
          <w:rFonts w:ascii="Times New Roman" w:hAnsi="Times New Roman" w:cs="Times New Roman"/>
        </w:rPr>
      </w:pPr>
    </w:p>
    <w:p w14:paraId="3BC8C1B2" w14:textId="0019BB1A" w:rsidR="00F0396D" w:rsidRDefault="00F0396D" w:rsidP="00C8799F">
      <w:pPr>
        <w:spacing w:line="360" w:lineRule="auto"/>
        <w:rPr>
          <w:rFonts w:ascii="Times New Roman" w:hAnsi="Times New Roman" w:cs="Times New Roman"/>
        </w:rPr>
      </w:pPr>
      <w:r>
        <w:rPr>
          <w:rFonts w:ascii="Times New Roman" w:hAnsi="Times New Roman" w:cs="Times New Roman"/>
          <w:noProof/>
        </w:rPr>
        <w:drawing>
          <wp:anchor distT="0" distB="0" distL="114300" distR="114300" simplePos="0" relativeHeight="251658240" behindDoc="1" locked="0" layoutInCell="1" allowOverlap="1" wp14:anchorId="7DB5AF6F" wp14:editId="0E9DD3FE">
            <wp:simplePos x="0" y="0"/>
            <wp:positionH relativeFrom="margin">
              <wp:posOffset>817880</wp:posOffset>
            </wp:positionH>
            <wp:positionV relativeFrom="paragraph">
              <wp:posOffset>14605</wp:posOffset>
            </wp:positionV>
            <wp:extent cx="4267835" cy="3054350"/>
            <wp:effectExtent l="0" t="0" r="0" b="0"/>
            <wp:wrapTight wrapText="bothSides">
              <wp:wrapPolygon edited="0">
                <wp:start x="0" y="0"/>
                <wp:lineTo x="0" y="21420"/>
                <wp:lineTo x="21500" y="21420"/>
                <wp:lineTo x="2150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67835" cy="3054350"/>
                    </a:xfrm>
                    <a:prstGeom prst="rect">
                      <a:avLst/>
                    </a:prstGeom>
                    <a:noFill/>
                  </pic:spPr>
                </pic:pic>
              </a:graphicData>
            </a:graphic>
            <wp14:sizeRelH relativeFrom="page">
              <wp14:pctWidth>0</wp14:pctWidth>
            </wp14:sizeRelH>
            <wp14:sizeRelV relativeFrom="page">
              <wp14:pctHeight>0</wp14:pctHeight>
            </wp14:sizeRelV>
          </wp:anchor>
        </w:drawing>
      </w:r>
    </w:p>
    <w:p w14:paraId="6A818664" w14:textId="77777777" w:rsidR="00F0396D" w:rsidRDefault="00F0396D" w:rsidP="00C8799F">
      <w:pPr>
        <w:spacing w:line="360" w:lineRule="auto"/>
        <w:rPr>
          <w:rFonts w:ascii="Times New Roman" w:hAnsi="Times New Roman" w:cs="Times New Roman"/>
        </w:rPr>
      </w:pPr>
    </w:p>
    <w:p w14:paraId="5012B19A" w14:textId="77777777" w:rsidR="00F0396D" w:rsidRDefault="00F0396D" w:rsidP="00C8799F">
      <w:pPr>
        <w:spacing w:line="360" w:lineRule="auto"/>
        <w:rPr>
          <w:rFonts w:ascii="Times New Roman" w:hAnsi="Times New Roman" w:cs="Times New Roman"/>
        </w:rPr>
      </w:pPr>
    </w:p>
    <w:p w14:paraId="0841315E" w14:textId="77777777" w:rsidR="00F0396D" w:rsidRDefault="00F0396D" w:rsidP="00C8799F">
      <w:pPr>
        <w:spacing w:line="360" w:lineRule="auto"/>
        <w:rPr>
          <w:rFonts w:ascii="Times New Roman" w:hAnsi="Times New Roman" w:cs="Times New Roman"/>
        </w:rPr>
      </w:pPr>
    </w:p>
    <w:p w14:paraId="16BC64B3" w14:textId="77777777" w:rsidR="00F0396D" w:rsidRDefault="00F0396D" w:rsidP="00C8799F">
      <w:pPr>
        <w:spacing w:line="360" w:lineRule="auto"/>
        <w:rPr>
          <w:rFonts w:ascii="Times New Roman" w:hAnsi="Times New Roman" w:cs="Times New Roman"/>
        </w:rPr>
      </w:pPr>
    </w:p>
    <w:p w14:paraId="6407028C" w14:textId="77777777" w:rsidR="00F0396D" w:rsidRDefault="00F0396D" w:rsidP="00C8799F">
      <w:pPr>
        <w:spacing w:line="360" w:lineRule="auto"/>
        <w:rPr>
          <w:rFonts w:ascii="Times New Roman" w:hAnsi="Times New Roman" w:cs="Times New Roman"/>
        </w:rPr>
      </w:pPr>
    </w:p>
    <w:p w14:paraId="34118A97" w14:textId="77777777" w:rsidR="00F0396D" w:rsidRDefault="00F0396D" w:rsidP="00C8799F">
      <w:pPr>
        <w:spacing w:line="360" w:lineRule="auto"/>
        <w:rPr>
          <w:rFonts w:ascii="Times New Roman" w:hAnsi="Times New Roman" w:cs="Times New Roman"/>
        </w:rPr>
      </w:pPr>
    </w:p>
    <w:p w14:paraId="05FC2845" w14:textId="77777777" w:rsidR="00F0396D" w:rsidRDefault="00F0396D" w:rsidP="00C8799F">
      <w:pPr>
        <w:spacing w:line="360" w:lineRule="auto"/>
        <w:rPr>
          <w:rFonts w:ascii="Times New Roman" w:hAnsi="Times New Roman" w:cs="Times New Roman"/>
        </w:rPr>
      </w:pPr>
    </w:p>
    <w:p w14:paraId="140C5E53" w14:textId="77777777" w:rsidR="00F0396D" w:rsidRDefault="00F0396D" w:rsidP="00C8799F">
      <w:pPr>
        <w:spacing w:line="360" w:lineRule="auto"/>
        <w:rPr>
          <w:rFonts w:ascii="Times New Roman" w:hAnsi="Times New Roman" w:cs="Times New Roman"/>
        </w:rPr>
      </w:pPr>
    </w:p>
    <w:p w14:paraId="3085EC4C" w14:textId="77777777" w:rsidR="00F0396D" w:rsidRDefault="00F0396D" w:rsidP="00C8799F">
      <w:pPr>
        <w:spacing w:line="360" w:lineRule="auto"/>
        <w:rPr>
          <w:rFonts w:ascii="Times New Roman" w:hAnsi="Times New Roman" w:cs="Times New Roman"/>
        </w:rPr>
      </w:pPr>
    </w:p>
    <w:p w14:paraId="2F0D5558" w14:textId="43C51BBA" w:rsidR="00F0396D" w:rsidRDefault="00F0396D" w:rsidP="00F0396D">
      <w:pPr>
        <w:spacing w:line="360" w:lineRule="auto"/>
        <w:jc w:val="center"/>
        <w:rPr>
          <w:rFonts w:ascii="Times New Roman" w:hAnsi="Times New Roman" w:cs="Times New Roman"/>
        </w:rPr>
      </w:pPr>
      <w:r w:rsidRPr="00F0396D">
        <w:rPr>
          <w:rFonts w:ascii="Times New Roman" w:hAnsi="Times New Roman" w:cs="Times New Roman"/>
        </w:rPr>
        <w:t>[Fig. 2] The tomb of Henry III at Westminster Abbey. The crown atop his head is a reminder of the role he played during his lifetime.</w:t>
      </w:r>
    </w:p>
    <w:p w14:paraId="7BC57C58" w14:textId="62402AA3" w:rsidR="006C3A73" w:rsidRDefault="006C3A73" w:rsidP="00F0396D">
      <w:pPr>
        <w:spacing w:line="360" w:lineRule="auto"/>
        <w:jc w:val="center"/>
        <w:rPr>
          <w:rFonts w:ascii="Times New Roman" w:hAnsi="Times New Roman" w:cs="Times New Roman"/>
        </w:rPr>
      </w:pPr>
    </w:p>
    <w:p w14:paraId="52B093FE" w14:textId="5EC2967A" w:rsidR="006C3A73" w:rsidRDefault="006C3A73" w:rsidP="006C3A73">
      <w:pPr>
        <w:spacing w:line="360" w:lineRule="auto"/>
        <w:rPr>
          <w:rFonts w:ascii="Times New Roman" w:hAnsi="Times New Roman" w:cs="Times New Roman"/>
        </w:rPr>
      </w:pPr>
    </w:p>
    <w:p w14:paraId="5F16DB7E" w14:textId="00535005" w:rsidR="005667D2" w:rsidRPr="005667D2" w:rsidRDefault="005667D2" w:rsidP="005667D2">
      <w:pPr>
        <w:spacing w:line="360" w:lineRule="auto"/>
        <w:rPr>
          <w:rFonts w:ascii="Times New Roman" w:hAnsi="Times New Roman" w:cs="Times New Roman"/>
        </w:rPr>
      </w:pPr>
      <w:r w:rsidRPr="005667D2">
        <w:rPr>
          <w:rFonts w:ascii="Times New Roman" w:hAnsi="Times New Roman" w:cs="Times New Roman"/>
        </w:rPr>
        <w:t>In this section of the portfolio, I will be commenting upon the ‘St Eustace Head Reliquary’ that dates from the late twelfth century</w:t>
      </w:r>
      <w:r>
        <w:rPr>
          <w:rFonts w:ascii="Times New Roman" w:hAnsi="Times New Roman" w:cs="Times New Roman"/>
        </w:rPr>
        <w:t xml:space="preserve"> and originated</w:t>
      </w:r>
      <w:r w:rsidRPr="005667D2">
        <w:rPr>
          <w:rFonts w:ascii="Times New Roman" w:hAnsi="Times New Roman" w:cs="Times New Roman"/>
        </w:rPr>
        <w:t xml:space="preserve"> in Basel. </w:t>
      </w:r>
    </w:p>
    <w:p w14:paraId="0AEF5F73" w14:textId="600D5B06" w:rsidR="005667D2" w:rsidRPr="005667D2" w:rsidRDefault="005667D2" w:rsidP="005667D2">
      <w:pPr>
        <w:spacing w:line="360" w:lineRule="auto"/>
        <w:rPr>
          <w:rFonts w:ascii="Times New Roman" w:hAnsi="Times New Roman" w:cs="Times New Roman"/>
        </w:rPr>
      </w:pPr>
      <w:r w:rsidRPr="005667D2">
        <w:rPr>
          <w:rFonts w:ascii="Times New Roman" w:hAnsi="Times New Roman" w:cs="Times New Roman"/>
        </w:rPr>
        <w:tab/>
        <w:t xml:space="preserve">In the Middle Ages, the relics of saints were worshipped for a plethora of reasons. For one, the power of holy relics was believed to heal and protect worshippers, as well as to inspire devotion to the Christian faith. John Calvin, in his </w:t>
      </w:r>
      <w:r w:rsidRPr="006F65D4">
        <w:rPr>
          <w:rFonts w:ascii="Times New Roman" w:hAnsi="Times New Roman" w:cs="Times New Roman"/>
          <w:i/>
        </w:rPr>
        <w:t>Treatise on Relics</w:t>
      </w:r>
      <w:r w:rsidRPr="005667D2">
        <w:rPr>
          <w:rFonts w:ascii="Times New Roman" w:hAnsi="Times New Roman" w:cs="Times New Roman"/>
        </w:rPr>
        <w:t>, argued that through the worship of relics, a Christian could become closer to God by “bringing down the Deity to the level of [the individual’s] finite intellect”.</w:t>
      </w:r>
      <w:r w:rsidR="00FD0152">
        <w:rPr>
          <w:rStyle w:val="FootnoteReference"/>
          <w:rFonts w:ascii="Times New Roman" w:hAnsi="Times New Roman" w:cs="Times New Roman"/>
        </w:rPr>
        <w:footnoteReference w:id="32"/>
      </w:r>
      <w:r w:rsidRPr="005667D2">
        <w:rPr>
          <w:rFonts w:ascii="Times New Roman" w:hAnsi="Times New Roman" w:cs="Times New Roman"/>
        </w:rPr>
        <w:t xml:space="preserve">  </w:t>
      </w:r>
    </w:p>
    <w:p w14:paraId="1C2D6DC3" w14:textId="4E713DF2" w:rsidR="005667D2" w:rsidRPr="005667D2" w:rsidRDefault="005667D2" w:rsidP="005667D2">
      <w:pPr>
        <w:spacing w:line="360" w:lineRule="auto"/>
        <w:rPr>
          <w:rFonts w:ascii="Times New Roman" w:hAnsi="Times New Roman" w:cs="Times New Roman"/>
        </w:rPr>
      </w:pPr>
      <w:r w:rsidRPr="005667D2">
        <w:rPr>
          <w:rFonts w:ascii="Times New Roman" w:hAnsi="Times New Roman" w:cs="Times New Roman"/>
        </w:rPr>
        <w:tab/>
        <w:t xml:space="preserve">In the second century, the Roman soldier </w:t>
      </w:r>
      <w:proofErr w:type="spellStart"/>
      <w:r w:rsidRPr="005667D2">
        <w:rPr>
          <w:rFonts w:ascii="Times New Roman" w:hAnsi="Times New Roman" w:cs="Times New Roman"/>
        </w:rPr>
        <w:t>Placidus</w:t>
      </w:r>
      <w:proofErr w:type="spellEnd"/>
      <w:r w:rsidRPr="005667D2">
        <w:rPr>
          <w:rFonts w:ascii="Times New Roman" w:hAnsi="Times New Roman" w:cs="Times New Roman"/>
        </w:rPr>
        <w:t xml:space="preserve"> saw a vision of a stag with a crucifix between its antlers, thus causing </w:t>
      </w:r>
      <w:proofErr w:type="spellStart"/>
      <w:r w:rsidRPr="005667D2">
        <w:rPr>
          <w:rFonts w:ascii="Times New Roman" w:hAnsi="Times New Roman" w:cs="Times New Roman"/>
        </w:rPr>
        <w:t>Placidus</w:t>
      </w:r>
      <w:proofErr w:type="spellEnd"/>
      <w:r w:rsidRPr="005667D2">
        <w:rPr>
          <w:rFonts w:ascii="Times New Roman" w:hAnsi="Times New Roman" w:cs="Times New Roman"/>
        </w:rPr>
        <w:t xml:space="preserve"> to convert from Paganism to Christianity, and becoming St Eustace.</w:t>
      </w:r>
      <w:r w:rsidR="00A32DC5">
        <w:rPr>
          <w:rStyle w:val="FootnoteReference"/>
          <w:rFonts w:ascii="Times New Roman" w:hAnsi="Times New Roman" w:cs="Times New Roman"/>
        </w:rPr>
        <w:footnoteReference w:id="33"/>
      </w:r>
      <w:r w:rsidRPr="005667D2">
        <w:rPr>
          <w:rFonts w:ascii="Times New Roman" w:hAnsi="Times New Roman" w:cs="Times New Roman"/>
        </w:rPr>
        <w:t xml:space="preserve"> Through trials intended to test his devotion to the Christian faith, reminiscent of the story of Job in the Bible, St Eustace became revered as a Christian martyr, and became the patron saint of adversity as well as hunting. The events of the life of St Eustace were depicted in “illuminated manuscripts, stained glass, sculptures”, as well as in wall murals, including one at Canterbury Cathedral, proving the popularity of the martyr.</w:t>
      </w:r>
      <w:r w:rsidR="00124E78">
        <w:rPr>
          <w:rStyle w:val="FootnoteReference"/>
          <w:rFonts w:ascii="Times New Roman" w:hAnsi="Times New Roman" w:cs="Times New Roman"/>
        </w:rPr>
        <w:footnoteReference w:id="34"/>
      </w:r>
    </w:p>
    <w:p w14:paraId="15D8810C" w14:textId="25A39A16" w:rsidR="005667D2" w:rsidRPr="005667D2" w:rsidRDefault="005667D2" w:rsidP="005667D2">
      <w:pPr>
        <w:spacing w:line="360" w:lineRule="auto"/>
        <w:rPr>
          <w:rFonts w:ascii="Times New Roman" w:hAnsi="Times New Roman" w:cs="Times New Roman"/>
        </w:rPr>
      </w:pPr>
      <w:r w:rsidRPr="005667D2">
        <w:rPr>
          <w:rFonts w:ascii="Times New Roman" w:hAnsi="Times New Roman" w:cs="Times New Roman"/>
        </w:rPr>
        <w:tab/>
        <w:t xml:space="preserve">The relic itself represents the head of St Eustace and is gilded with silver. At the centre of the relic is a wooden core, in which contained </w:t>
      </w:r>
      <w:proofErr w:type="gramStart"/>
      <w:r w:rsidRPr="005667D2">
        <w:rPr>
          <w:rFonts w:ascii="Times New Roman" w:hAnsi="Times New Roman" w:cs="Times New Roman"/>
        </w:rPr>
        <w:t>a number of</w:t>
      </w:r>
      <w:proofErr w:type="gramEnd"/>
      <w:r w:rsidRPr="005667D2">
        <w:rPr>
          <w:rFonts w:ascii="Times New Roman" w:hAnsi="Times New Roman" w:cs="Times New Roman"/>
        </w:rPr>
        <w:t xml:space="preserve"> bone fragments of the skull of Saint Eustace, which were wrapped in vellum. The reliquary of the head of St Eustace also includes a circlet in which gem stones are set, including quartz and pearl.</w:t>
      </w:r>
      <w:r w:rsidR="00124E78">
        <w:rPr>
          <w:rStyle w:val="FootnoteReference"/>
          <w:rFonts w:ascii="Times New Roman" w:hAnsi="Times New Roman" w:cs="Times New Roman"/>
        </w:rPr>
        <w:footnoteReference w:id="35"/>
      </w:r>
      <w:r w:rsidRPr="005667D2">
        <w:rPr>
          <w:rFonts w:ascii="Times New Roman" w:hAnsi="Times New Roman" w:cs="Times New Roman"/>
        </w:rPr>
        <w:t xml:space="preserve"> The materials in which the ‘St Eustace Head Reliquary’ are made suggests that the relic belonged to a wealthy benefactor, who in turn gave the relic to the custody of the Church.  </w:t>
      </w:r>
    </w:p>
    <w:p w14:paraId="2DDB6D78" w14:textId="0A86A594" w:rsidR="005667D2" w:rsidRPr="005667D2" w:rsidRDefault="005667D2" w:rsidP="006F65D4">
      <w:pPr>
        <w:spacing w:line="360" w:lineRule="auto"/>
        <w:ind w:firstLine="720"/>
        <w:rPr>
          <w:rFonts w:ascii="Times New Roman" w:hAnsi="Times New Roman" w:cs="Times New Roman"/>
        </w:rPr>
      </w:pPr>
      <w:r w:rsidRPr="005667D2">
        <w:rPr>
          <w:rFonts w:ascii="Times New Roman" w:hAnsi="Times New Roman" w:cs="Times New Roman"/>
        </w:rPr>
        <w:t xml:space="preserve">However, we must consider the potential limitations surrounding this reliquary. It was during the Reformation that a large percentage of reliquaries were damaged. In Basel in 1529, reformers destroyed many relics, including the three heads of “St </w:t>
      </w:r>
      <w:proofErr w:type="spellStart"/>
      <w:r w:rsidRPr="005667D2">
        <w:rPr>
          <w:rFonts w:ascii="Times New Roman" w:hAnsi="Times New Roman" w:cs="Times New Roman"/>
        </w:rPr>
        <w:t>Panthal</w:t>
      </w:r>
      <w:proofErr w:type="spellEnd"/>
      <w:r w:rsidRPr="005667D2">
        <w:rPr>
          <w:rFonts w:ascii="Times New Roman" w:hAnsi="Times New Roman" w:cs="Times New Roman"/>
        </w:rPr>
        <w:t>, the founding bishop of the city, of St Ursula and St Eustace”.</w:t>
      </w:r>
      <w:r w:rsidR="00124E78">
        <w:rPr>
          <w:rStyle w:val="FootnoteReference"/>
          <w:rFonts w:ascii="Times New Roman" w:hAnsi="Times New Roman" w:cs="Times New Roman"/>
        </w:rPr>
        <w:footnoteReference w:id="36"/>
      </w:r>
      <w:r w:rsidRPr="005667D2">
        <w:rPr>
          <w:rFonts w:ascii="Times New Roman" w:hAnsi="Times New Roman" w:cs="Times New Roman"/>
        </w:rPr>
        <w:t xml:space="preserve"> Damaged and fragmented relics often create complications for historians studying the reliquaries of saints, as the authenticity of those reliquaries are difficult to determine. Indeed, when the relic of St Eustace was opened, it was discovered that the gilt casing did not only </w:t>
      </w:r>
      <w:r w:rsidRPr="005667D2">
        <w:rPr>
          <w:rFonts w:ascii="Times New Roman" w:hAnsi="Times New Roman" w:cs="Times New Roman"/>
        </w:rPr>
        <w:lastRenderedPageBreak/>
        <w:t>include bone fragments belonging to Eustace, but also contained “the relics of various saints”.</w:t>
      </w:r>
      <w:r w:rsidR="00002044">
        <w:rPr>
          <w:rStyle w:val="FootnoteReference"/>
          <w:rFonts w:ascii="Times New Roman" w:hAnsi="Times New Roman" w:cs="Times New Roman"/>
        </w:rPr>
        <w:footnoteReference w:id="37"/>
      </w:r>
      <w:r w:rsidRPr="005667D2">
        <w:rPr>
          <w:rFonts w:ascii="Times New Roman" w:hAnsi="Times New Roman" w:cs="Times New Roman"/>
        </w:rPr>
        <w:t xml:space="preserve"> The fact that the vellum surrounding the bone fragments had “clearly not been disturbed” in eight hundred years could possibly suggest that the skull fragments in which we believe to belong to St Eustace simply do not belong to him at all, but that instead the fragments are just ordinary bits of bone. As such, it is pertinent for historians studying medieval reliquaries to remember that the authenticity or identity of many medieval relics are difficult to determine due to fragmentation.</w:t>
      </w:r>
    </w:p>
    <w:p w14:paraId="560372B4" w14:textId="2248EDC6" w:rsidR="005667D2" w:rsidRPr="005667D2" w:rsidRDefault="005667D2" w:rsidP="006F65D4">
      <w:pPr>
        <w:spacing w:line="360" w:lineRule="auto"/>
        <w:ind w:firstLine="720"/>
        <w:rPr>
          <w:rFonts w:ascii="Times New Roman" w:hAnsi="Times New Roman" w:cs="Times New Roman"/>
        </w:rPr>
      </w:pPr>
      <w:r w:rsidRPr="005667D2">
        <w:rPr>
          <w:rFonts w:ascii="Times New Roman" w:hAnsi="Times New Roman" w:cs="Times New Roman"/>
        </w:rPr>
        <w:t>Fabricated relics were common in the Middle Ages, so much so that the act of simony, the circulation of false relics, was considered a sin worse than violence according to Dante’s Inferno.</w:t>
      </w:r>
      <w:r w:rsidR="000470FF">
        <w:rPr>
          <w:rStyle w:val="FootnoteReference"/>
          <w:rFonts w:ascii="Times New Roman" w:hAnsi="Times New Roman" w:cs="Times New Roman"/>
        </w:rPr>
        <w:footnoteReference w:id="38"/>
      </w:r>
      <w:r w:rsidRPr="005667D2">
        <w:rPr>
          <w:rFonts w:ascii="Times New Roman" w:hAnsi="Times New Roman" w:cs="Times New Roman"/>
        </w:rPr>
        <w:t xml:space="preserve"> Medieval works such as the ‘Pardoner’s Prologue’ in Chaucer’s </w:t>
      </w:r>
      <w:r w:rsidRPr="006F65D4">
        <w:rPr>
          <w:rFonts w:ascii="Times New Roman" w:hAnsi="Times New Roman" w:cs="Times New Roman"/>
          <w:i/>
        </w:rPr>
        <w:t>The Canterbury Tales</w:t>
      </w:r>
      <w:r w:rsidRPr="005667D2">
        <w:rPr>
          <w:rFonts w:ascii="Times New Roman" w:hAnsi="Times New Roman" w:cs="Times New Roman"/>
        </w:rPr>
        <w:t>, presents a corrupt Pardoner offering to sell his false reliquaries to his parish in return for pardons. The fact that the act of simony was being written about in contemporary medieval works indicates a sense of self-awareness that false relics were not uncommon in the Middle Ages.</w:t>
      </w:r>
    </w:p>
    <w:p w14:paraId="5D54429F" w14:textId="5F748F71" w:rsidR="005667D2" w:rsidRPr="005667D2" w:rsidRDefault="005667D2" w:rsidP="006F65D4">
      <w:pPr>
        <w:spacing w:line="360" w:lineRule="auto"/>
        <w:ind w:firstLine="720"/>
        <w:rPr>
          <w:rFonts w:ascii="Times New Roman" w:hAnsi="Times New Roman" w:cs="Times New Roman"/>
        </w:rPr>
      </w:pPr>
      <w:r w:rsidRPr="005667D2">
        <w:rPr>
          <w:rFonts w:ascii="Times New Roman" w:hAnsi="Times New Roman" w:cs="Times New Roman"/>
        </w:rPr>
        <w:t>Another limitation we must consider whilst examining the head reliquary of St Eustace, is that there arguably are no explicit references to the relic being St Eustace. For instance, as previously mentioned, the Legend of St Eustace became popularised in many art forms, in which the saint would usually be depicted “as a Roman soldier […] near him the miraculous stag”, or with the antlers of a stag atop his head.</w:t>
      </w:r>
      <w:r w:rsidR="000470FF">
        <w:rPr>
          <w:rStyle w:val="FootnoteReference"/>
          <w:rFonts w:ascii="Times New Roman" w:hAnsi="Times New Roman" w:cs="Times New Roman"/>
        </w:rPr>
        <w:footnoteReference w:id="39"/>
      </w:r>
      <w:r w:rsidRPr="005667D2">
        <w:rPr>
          <w:rFonts w:ascii="Times New Roman" w:hAnsi="Times New Roman" w:cs="Times New Roman"/>
        </w:rPr>
        <w:t xml:space="preserve"> Additionally, it is arguably only through the embellishments of the twelve apostles at the base of the relic, that one can determine that this relic holds the remains of a Christian saint.</w:t>
      </w:r>
      <w:r w:rsidR="006E20DC">
        <w:rPr>
          <w:rStyle w:val="FootnoteReference"/>
          <w:rFonts w:ascii="Times New Roman" w:hAnsi="Times New Roman" w:cs="Times New Roman"/>
        </w:rPr>
        <w:footnoteReference w:id="40"/>
      </w:r>
      <w:r w:rsidRPr="005667D2">
        <w:rPr>
          <w:rFonts w:ascii="Times New Roman" w:hAnsi="Times New Roman" w:cs="Times New Roman"/>
        </w:rPr>
        <w:t xml:space="preserve"> When compared to the casket that encases the bone fragments of St Thomas Becket, for example, which is decorated with the vita of St Thomas’s life, the identity of St Eustace is not made entirely explicit within the ‘St Eustace Head </w:t>
      </w:r>
      <w:proofErr w:type="spellStart"/>
      <w:r w:rsidRPr="005667D2">
        <w:rPr>
          <w:rFonts w:ascii="Times New Roman" w:hAnsi="Times New Roman" w:cs="Times New Roman"/>
        </w:rPr>
        <w:t>Relicary</w:t>
      </w:r>
      <w:proofErr w:type="spellEnd"/>
      <w:r w:rsidRPr="005667D2">
        <w:rPr>
          <w:rFonts w:ascii="Times New Roman" w:hAnsi="Times New Roman" w:cs="Times New Roman"/>
        </w:rPr>
        <w:t xml:space="preserve">’, and that a fair amount of guess work is required to distinguish whom the relic is representing. </w:t>
      </w:r>
    </w:p>
    <w:p w14:paraId="048CC8CC" w14:textId="77777777" w:rsidR="005667D2" w:rsidRPr="005667D2" w:rsidRDefault="005667D2" w:rsidP="005667D2">
      <w:pPr>
        <w:spacing w:line="360" w:lineRule="auto"/>
        <w:rPr>
          <w:rFonts w:ascii="Times New Roman" w:hAnsi="Times New Roman" w:cs="Times New Roman"/>
        </w:rPr>
      </w:pPr>
      <w:r w:rsidRPr="005667D2">
        <w:rPr>
          <w:rFonts w:ascii="Times New Roman" w:hAnsi="Times New Roman" w:cs="Times New Roman"/>
        </w:rPr>
        <w:tab/>
        <w:t xml:space="preserve">In conclusion, one must approach this relic with caution, as the reliquary does not explicitly make any reference to St Eustace. Additionally, one must remember to consider the difficulties surrounding the authenticity of fragmented relics, particularly considering that the bone fragments discovered within the ‘St Eustace Head Reliquary’ did not all belong to St Eustace at all. </w:t>
      </w:r>
    </w:p>
    <w:p w14:paraId="27FFF754" w14:textId="77777777" w:rsidR="005667D2" w:rsidRPr="005667D2" w:rsidRDefault="005667D2" w:rsidP="005667D2">
      <w:pPr>
        <w:spacing w:line="360" w:lineRule="auto"/>
        <w:rPr>
          <w:rFonts w:ascii="Times New Roman" w:hAnsi="Times New Roman" w:cs="Times New Roman"/>
        </w:rPr>
      </w:pPr>
    </w:p>
    <w:p w14:paraId="63C8C287" w14:textId="2C6A4117" w:rsidR="005667D2" w:rsidRDefault="005667D2" w:rsidP="005667D2">
      <w:pPr>
        <w:spacing w:line="360" w:lineRule="auto"/>
        <w:rPr>
          <w:rFonts w:ascii="Times New Roman" w:hAnsi="Times New Roman" w:cs="Times New Roman"/>
        </w:rPr>
      </w:pPr>
      <w:r w:rsidRPr="005667D2">
        <w:rPr>
          <w:rFonts w:ascii="Times New Roman" w:hAnsi="Times New Roman" w:cs="Times New Roman"/>
          <w:b/>
        </w:rPr>
        <w:t>wordcount</w:t>
      </w:r>
      <w:r w:rsidRPr="005667D2">
        <w:rPr>
          <w:rFonts w:ascii="Times New Roman" w:hAnsi="Times New Roman" w:cs="Times New Roman"/>
        </w:rPr>
        <w:t xml:space="preserve">: </w:t>
      </w:r>
      <w:r>
        <w:rPr>
          <w:rFonts w:ascii="Times New Roman" w:hAnsi="Times New Roman" w:cs="Times New Roman"/>
        </w:rPr>
        <w:t>800</w:t>
      </w:r>
    </w:p>
    <w:p w14:paraId="034FD1AC" w14:textId="282B5D72" w:rsidR="00AF6CD2" w:rsidRDefault="00AF6CD2" w:rsidP="005667D2">
      <w:pPr>
        <w:spacing w:line="360" w:lineRule="auto"/>
        <w:rPr>
          <w:rFonts w:ascii="Times New Roman" w:hAnsi="Times New Roman" w:cs="Times New Roman"/>
        </w:rPr>
      </w:pPr>
    </w:p>
    <w:p w14:paraId="22ACAD78" w14:textId="3EB8F84A" w:rsidR="00AF6CD2" w:rsidRDefault="00AF6CD2" w:rsidP="005667D2">
      <w:pPr>
        <w:spacing w:line="360" w:lineRule="auto"/>
        <w:rPr>
          <w:rFonts w:ascii="Times New Roman" w:hAnsi="Times New Roman" w:cs="Times New Roman"/>
        </w:rPr>
      </w:pPr>
    </w:p>
    <w:p w14:paraId="4CCF1CF3" w14:textId="591A00C7" w:rsidR="00AF6CD2" w:rsidRDefault="00AF6CD2" w:rsidP="005667D2">
      <w:pPr>
        <w:spacing w:line="360" w:lineRule="auto"/>
        <w:rPr>
          <w:rFonts w:ascii="Times New Roman" w:hAnsi="Times New Roman" w:cs="Times New Roman"/>
        </w:rPr>
      </w:pPr>
      <w:r>
        <w:rPr>
          <w:rFonts w:ascii="Times New Roman" w:hAnsi="Times New Roman" w:cs="Times New Roman"/>
          <w:noProof/>
        </w:rPr>
        <w:drawing>
          <wp:anchor distT="0" distB="0" distL="114300" distR="114300" simplePos="0" relativeHeight="251660288" behindDoc="1" locked="0" layoutInCell="1" allowOverlap="1" wp14:anchorId="2EB5709E" wp14:editId="4F9665F8">
            <wp:simplePos x="0" y="0"/>
            <wp:positionH relativeFrom="column">
              <wp:posOffset>542925</wp:posOffset>
            </wp:positionH>
            <wp:positionV relativeFrom="paragraph">
              <wp:posOffset>19685</wp:posOffset>
            </wp:positionV>
            <wp:extent cx="4559498" cy="6572250"/>
            <wp:effectExtent l="0" t="0" r="0" b="0"/>
            <wp:wrapTight wrapText="bothSides">
              <wp:wrapPolygon edited="0">
                <wp:start x="0" y="0"/>
                <wp:lineTo x="0" y="21537"/>
                <wp:lineTo x="21480" y="21537"/>
                <wp:lineTo x="21480"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antes.gif"/>
                    <pic:cNvPicPr/>
                  </pic:nvPicPr>
                  <pic:blipFill>
                    <a:blip r:embed="rId9">
                      <a:extLst>
                        <a:ext uri="{28A0092B-C50C-407E-A947-70E740481C1C}">
                          <a14:useLocalDpi xmlns:a14="http://schemas.microsoft.com/office/drawing/2010/main" val="0"/>
                        </a:ext>
                      </a:extLst>
                    </a:blip>
                    <a:stretch>
                      <a:fillRect/>
                    </a:stretch>
                  </pic:blipFill>
                  <pic:spPr>
                    <a:xfrm>
                      <a:off x="0" y="0"/>
                      <a:ext cx="4559498" cy="6572250"/>
                    </a:xfrm>
                    <a:prstGeom prst="rect">
                      <a:avLst/>
                    </a:prstGeom>
                  </pic:spPr>
                </pic:pic>
              </a:graphicData>
            </a:graphic>
            <wp14:sizeRelH relativeFrom="page">
              <wp14:pctWidth>0</wp14:pctWidth>
            </wp14:sizeRelH>
            <wp14:sizeRelV relativeFrom="page">
              <wp14:pctHeight>0</wp14:pctHeight>
            </wp14:sizeRelV>
          </wp:anchor>
        </w:drawing>
      </w:r>
    </w:p>
    <w:p w14:paraId="6823EBE0" w14:textId="451CE8EF" w:rsidR="00AF6CD2" w:rsidRDefault="00AF6CD2" w:rsidP="005667D2">
      <w:pPr>
        <w:spacing w:line="360" w:lineRule="auto"/>
        <w:rPr>
          <w:rFonts w:ascii="Times New Roman" w:hAnsi="Times New Roman" w:cs="Times New Roman"/>
        </w:rPr>
      </w:pPr>
    </w:p>
    <w:p w14:paraId="0120FCA2" w14:textId="6988843A" w:rsidR="00AF6CD2" w:rsidRDefault="00AF6CD2" w:rsidP="005667D2">
      <w:pPr>
        <w:spacing w:line="360" w:lineRule="auto"/>
        <w:rPr>
          <w:rFonts w:ascii="Times New Roman" w:hAnsi="Times New Roman" w:cs="Times New Roman"/>
        </w:rPr>
      </w:pPr>
    </w:p>
    <w:p w14:paraId="354599D0" w14:textId="4A2A7F5A" w:rsidR="00AF6CD2" w:rsidRDefault="00AF6CD2" w:rsidP="005667D2">
      <w:pPr>
        <w:spacing w:line="360" w:lineRule="auto"/>
        <w:rPr>
          <w:rFonts w:ascii="Times New Roman" w:hAnsi="Times New Roman" w:cs="Times New Roman"/>
        </w:rPr>
      </w:pPr>
    </w:p>
    <w:p w14:paraId="5B6481C6" w14:textId="39D38037" w:rsidR="00AF6CD2" w:rsidRDefault="00AF6CD2" w:rsidP="005667D2">
      <w:pPr>
        <w:spacing w:line="360" w:lineRule="auto"/>
        <w:rPr>
          <w:rFonts w:ascii="Times New Roman" w:hAnsi="Times New Roman" w:cs="Times New Roman"/>
        </w:rPr>
      </w:pPr>
    </w:p>
    <w:p w14:paraId="01EA9E6B" w14:textId="20CC1995" w:rsidR="00AF6CD2" w:rsidRDefault="00AF6CD2" w:rsidP="005667D2">
      <w:pPr>
        <w:spacing w:line="360" w:lineRule="auto"/>
        <w:rPr>
          <w:rFonts w:ascii="Times New Roman" w:hAnsi="Times New Roman" w:cs="Times New Roman"/>
        </w:rPr>
      </w:pPr>
    </w:p>
    <w:p w14:paraId="50FE3123" w14:textId="42AFEB8C" w:rsidR="00AF6CD2" w:rsidRDefault="00AF6CD2" w:rsidP="005667D2">
      <w:pPr>
        <w:spacing w:line="360" w:lineRule="auto"/>
        <w:rPr>
          <w:rFonts w:ascii="Times New Roman" w:hAnsi="Times New Roman" w:cs="Times New Roman"/>
        </w:rPr>
      </w:pPr>
    </w:p>
    <w:p w14:paraId="71EC3FE9" w14:textId="0F5CB69F" w:rsidR="00AF6CD2" w:rsidRDefault="00AF6CD2" w:rsidP="005667D2">
      <w:pPr>
        <w:spacing w:line="360" w:lineRule="auto"/>
        <w:rPr>
          <w:rFonts w:ascii="Times New Roman" w:hAnsi="Times New Roman" w:cs="Times New Roman"/>
        </w:rPr>
      </w:pPr>
    </w:p>
    <w:p w14:paraId="72D6B7AB" w14:textId="32510705" w:rsidR="00AF6CD2" w:rsidRDefault="00AF6CD2" w:rsidP="005667D2">
      <w:pPr>
        <w:spacing w:line="360" w:lineRule="auto"/>
        <w:rPr>
          <w:rFonts w:ascii="Times New Roman" w:hAnsi="Times New Roman" w:cs="Times New Roman"/>
        </w:rPr>
      </w:pPr>
    </w:p>
    <w:p w14:paraId="698713DF" w14:textId="7E122FAB" w:rsidR="00AF6CD2" w:rsidRDefault="00AF6CD2" w:rsidP="005667D2">
      <w:pPr>
        <w:spacing w:line="360" w:lineRule="auto"/>
        <w:rPr>
          <w:rFonts w:ascii="Times New Roman" w:hAnsi="Times New Roman" w:cs="Times New Roman"/>
        </w:rPr>
      </w:pPr>
    </w:p>
    <w:p w14:paraId="1ABBB546" w14:textId="2E26058A" w:rsidR="00AF6CD2" w:rsidRDefault="00AF6CD2" w:rsidP="005667D2">
      <w:pPr>
        <w:spacing w:line="360" w:lineRule="auto"/>
        <w:rPr>
          <w:rFonts w:ascii="Times New Roman" w:hAnsi="Times New Roman" w:cs="Times New Roman"/>
        </w:rPr>
      </w:pPr>
    </w:p>
    <w:p w14:paraId="03AF4113" w14:textId="75602362" w:rsidR="00AF6CD2" w:rsidRDefault="00AF6CD2" w:rsidP="005667D2">
      <w:pPr>
        <w:spacing w:line="360" w:lineRule="auto"/>
        <w:rPr>
          <w:rFonts w:ascii="Times New Roman" w:hAnsi="Times New Roman" w:cs="Times New Roman"/>
        </w:rPr>
      </w:pPr>
    </w:p>
    <w:p w14:paraId="043A4A43" w14:textId="4B3F8FEE" w:rsidR="00AF6CD2" w:rsidRDefault="00AF6CD2" w:rsidP="005667D2">
      <w:pPr>
        <w:spacing w:line="360" w:lineRule="auto"/>
        <w:rPr>
          <w:rFonts w:ascii="Times New Roman" w:hAnsi="Times New Roman" w:cs="Times New Roman"/>
        </w:rPr>
      </w:pPr>
    </w:p>
    <w:p w14:paraId="60818203" w14:textId="6365A426" w:rsidR="00AF6CD2" w:rsidRDefault="00AF6CD2" w:rsidP="005667D2">
      <w:pPr>
        <w:spacing w:line="360" w:lineRule="auto"/>
        <w:rPr>
          <w:rFonts w:ascii="Times New Roman" w:hAnsi="Times New Roman" w:cs="Times New Roman"/>
        </w:rPr>
      </w:pPr>
    </w:p>
    <w:p w14:paraId="4D5737B2" w14:textId="2600851A" w:rsidR="00AF6CD2" w:rsidRDefault="00AF6CD2" w:rsidP="005667D2">
      <w:pPr>
        <w:spacing w:line="360" w:lineRule="auto"/>
        <w:rPr>
          <w:rFonts w:ascii="Times New Roman" w:hAnsi="Times New Roman" w:cs="Times New Roman"/>
        </w:rPr>
      </w:pPr>
    </w:p>
    <w:p w14:paraId="7CFEFD53" w14:textId="5D4952E9" w:rsidR="00AF6CD2" w:rsidRDefault="00AF6CD2" w:rsidP="005667D2">
      <w:pPr>
        <w:spacing w:line="360" w:lineRule="auto"/>
        <w:rPr>
          <w:rFonts w:ascii="Times New Roman" w:hAnsi="Times New Roman" w:cs="Times New Roman"/>
        </w:rPr>
      </w:pPr>
    </w:p>
    <w:p w14:paraId="60FE94ED" w14:textId="21A43199" w:rsidR="00AF6CD2" w:rsidRDefault="00AF6CD2" w:rsidP="005667D2">
      <w:pPr>
        <w:spacing w:line="360" w:lineRule="auto"/>
        <w:rPr>
          <w:rFonts w:ascii="Times New Roman" w:hAnsi="Times New Roman" w:cs="Times New Roman"/>
        </w:rPr>
      </w:pPr>
    </w:p>
    <w:p w14:paraId="330F8AD5" w14:textId="764DD575" w:rsidR="00AF6CD2" w:rsidRDefault="00AF6CD2" w:rsidP="005667D2">
      <w:pPr>
        <w:spacing w:line="360" w:lineRule="auto"/>
        <w:rPr>
          <w:rFonts w:ascii="Times New Roman" w:hAnsi="Times New Roman" w:cs="Times New Roman"/>
        </w:rPr>
      </w:pPr>
    </w:p>
    <w:p w14:paraId="2302DFAB" w14:textId="404B67D5" w:rsidR="00AF6CD2" w:rsidRDefault="00AF6CD2" w:rsidP="005667D2">
      <w:pPr>
        <w:spacing w:line="360" w:lineRule="auto"/>
        <w:rPr>
          <w:rFonts w:ascii="Times New Roman" w:hAnsi="Times New Roman" w:cs="Times New Roman"/>
        </w:rPr>
      </w:pPr>
    </w:p>
    <w:p w14:paraId="75F88339" w14:textId="29EE8F72" w:rsidR="00AF6CD2" w:rsidRDefault="00AF6CD2" w:rsidP="00AF6CD2">
      <w:pPr>
        <w:spacing w:line="360" w:lineRule="auto"/>
        <w:rPr>
          <w:rFonts w:ascii="Times New Roman" w:hAnsi="Times New Roman" w:cs="Times New Roman"/>
        </w:rPr>
      </w:pPr>
    </w:p>
    <w:p w14:paraId="4001DF2E" w14:textId="1CA6CE03" w:rsidR="00AF6CD2" w:rsidRDefault="00AF6CD2" w:rsidP="00AF6CD2">
      <w:pPr>
        <w:spacing w:line="360" w:lineRule="auto"/>
        <w:jc w:val="center"/>
        <w:rPr>
          <w:rFonts w:ascii="Times New Roman" w:hAnsi="Times New Roman" w:cs="Times New Roman"/>
        </w:rPr>
      </w:pPr>
      <w:r>
        <w:rPr>
          <w:rFonts w:ascii="Times New Roman" w:hAnsi="Times New Roman" w:cs="Times New Roman"/>
        </w:rPr>
        <w:t>Dante’s Inferno. The act of simony is considered more sinful than heresy, wrath and violence.</w:t>
      </w:r>
    </w:p>
    <w:p w14:paraId="77919934" w14:textId="27AF5096" w:rsidR="00AF6CD2" w:rsidRDefault="00AF6CD2" w:rsidP="005667D2">
      <w:pPr>
        <w:spacing w:line="360" w:lineRule="auto"/>
        <w:rPr>
          <w:rFonts w:ascii="Times New Roman" w:hAnsi="Times New Roman" w:cs="Times New Roman"/>
        </w:rPr>
      </w:pPr>
    </w:p>
    <w:p w14:paraId="0BB3452A" w14:textId="77711859" w:rsidR="00AF6CD2" w:rsidRDefault="00AF6CD2" w:rsidP="005667D2">
      <w:pPr>
        <w:spacing w:line="360" w:lineRule="auto"/>
        <w:rPr>
          <w:rFonts w:ascii="Times New Roman" w:hAnsi="Times New Roman" w:cs="Times New Roman"/>
        </w:rPr>
      </w:pPr>
    </w:p>
    <w:p w14:paraId="48C00219" w14:textId="091D44FD" w:rsidR="00AF6CD2" w:rsidRDefault="00AF6CD2" w:rsidP="005667D2">
      <w:pPr>
        <w:spacing w:line="360" w:lineRule="auto"/>
        <w:rPr>
          <w:rFonts w:ascii="Times New Roman" w:hAnsi="Times New Roman" w:cs="Times New Roman"/>
        </w:rPr>
      </w:pPr>
    </w:p>
    <w:p w14:paraId="5CA16A0F" w14:textId="00457AE4" w:rsidR="005667D2" w:rsidRDefault="005667D2" w:rsidP="006C3A73">
      <w:pPr>
        <w:spacing w:line="360" w:lineRule="auto"/>
        <w:rPr>
          <w:rFonts w:ascii="Times New Roman" w:hAnsi="Times New Roman" w:cs="Times New Roman"/>
        </w:rPr>
      </w:pPr>
    </w:p>
    <w:p w14:paraId="04882CB6" w14:textId="77777777" w:rsidR="00AF6CD2" w:rsidRDefault="00AF6CD2" w:rsidP="006C3A73">
      <w:pPr>
        <w:spacing w:line="360" w:lineRule="auto"/>
        <w:rPr>
          <w:rFonts w:ascii="Times New Roman" w:hAnsi="Times New Roman" w:cs="Times New Roman"/>
        </w:rPr>
      </w:pPr>
    </w:p>
    <w:p w14:paraId="60093549" w14:textId="57BF3001" w:rsidR="006C3A73" w:rsidRPr="006C3A73" w:rsidRDefault="006C3A73" w:rsidP="006C3A73">
      <w:pPr>
        <w:spacing w:line="360" w:lineRule="auto"/>
        <w:rPr>
          <w:rFonts w:ascii="Times New Roman" w:hAnsi="Times New Roman" w:cs="Times New Roman"/>
        </w:rPr>
      </w:pPr>
      <w:r w:rsidRPr="006C3A73">
        <w:rPr>
          <w:rFonts w:ascii="Times New Roman" w:hAnsi="Times New Roman" w:cs="Times New Roman"/>
        </w:rPr>
        <w:t xml:space="preserve">In this section of the </w:t>
      </w:r>
      <w:r>
        <w:rPr>
          <w:rFonts w:ascii="Times New Roman" w:hAnsi="Times New Roman" w:cs="Times New Roman"/>
        </w:rPr>
        <w:t>p</w:t>
      </w:r>
      <w:r w:rsidRPr="006C3A73">
        <w:rPr>
          <w:rFonts w:ascii="Times New Roman" w:hAnsi="Times New Roman" w:cs="Times New Roman"/>
        </w:rPr>
        <w:t>ortfolio, I will be commenting upon the will of Cecily, Duchess of York, who died in 1495.</w:t>
      </w:r>
    </w:p>
    <w:p w14:paraId="5C4E0FC7" w14:textId="6744E5FC" w:rsidR="006C3A73" w:rsidRPr="006C3A73" w:rsidRDefault="006C3A73" w:rsidP="006C3A73">
      <w:pPr>
        <w:spacing w:line="360" w:lineRule="auto"/>
        <w:rPr>
          <w:rFonts w:ascii="Times New Roman" w:hAnsi="Times New Roman" w:cs="Times New Roman"/>
        </w:rPr>
      </w:pPr>
      <w:r w:rsidRPr="006C3A73">
        <w:rPr>
          <w:rFonts w:ascii="Times New Roman" w:hAnsi="Times New Roman" w:cs="Times New Roman"/>
        </w:rPr>
        <w:tab/>
        <w:t>Cecily of York was the daughter of Ralph Neville, the Earl of Westmorland, and through her mother Joan Beaufort, could trace her lineage to King Edward III</w:t>
      </w:r>
      <w:r>
        <w:rPr>
          <w:rStyle w:val="FootnoteReference"/>
          <w:rFonts w:ascii="Times New Roman" w:hAnsi="Times New Roman" w:cs="Times New Roman"/>
        </w:rPr>
        <w:footnoteReference w:id="41"/>
      </w:r>
      <w:r w:rsidRPr="006C3A73">
        <w:rPr>
          <w:rFonts w:ascii="Times New Roman" w:hAnsi="Times New Roman" w:cs="Times New Roman"/>
        </w:rPr>
        <w:t>. Cecily’s marriage to Richard Plantagenet, Duke of York, produced fifteen children, two of which became monarchs of England as kings Edward IV and Richard III. Through her son Edward IV, Cecily was the grandmother of Elizabeth of York, the queen consort of the Lancastrian king, Henry VII, whom founded the Tudor dynasty by bringing the Wars of the Roses to an end, by uniting the conflicting houses of Lancaster and York. In her will, Cecily indeed makes provisions for members of her family, as well as dictating her own funerary wishes.</w:t>
      </w:r>
    </w:p>
    <w:p w14:paraId="39C03277" w14:textId="741692DF" w:rsidR="006C3A73" w:rsidRPr="006C3A73" w:rsidRDefault="006C3A73" w:rsidP="006C3A73">
      <w:pPr>
        <w:spacing w:line="360" w:lineRule="auto"/>
        <w:rPr>
          <w:rFonts w:ascii="Times New Roman" w:hAnsi="Times New Roman" w:cs="Times New Roman"/>
        </w:rPr>
      </w:pPr>
      <w:r w:rsidRPr="006C3A73">
        <w:rPr>
          <w:rFonts w:ascii="Times New Roman" w:hAnsi="Times New Roman" w:cs="Times New Roman"/>
        </w:rPr>
        <w:tab/>
        <w:t xml:space="preserve">During the Middle Ages, wills were not only created to dictate the funerary wishes of the dying, but also to make provisions for the dying’s family, household or parish. The wills of the wealthy </w:t>
      </w:r>
      <w:proofErr w:type="gramStart"/>
      <w:r w:rsidRPr="006C3A73">
        <w:rPr>
          <w:rFonts w:ascii="Times New Roman" w:hAnsi="Times New Roman" w:cs="Times New Roman"/>
        </w:rPr>
        <w:t>in particular were</w:t>
      </w:r>
      <w:proofErr w:type="gramEnd"/>
      <w:r w:rsidRPr="006C3A73">
        <w:rPr>
          <w:rFonts w:ascii="Times New Roman" w:hAnsi="Times New Roman" w:cs="Times New Roman"/>
        </w:rPr>
        <w:t xml:space="preserve"> beneficial to the parish, as the provisions in these wills often accommodated for the decoration of churches, or the inclusion of expensive religious items. Indeed, in Cecily’s will there are provisions made to five parish churches and monastic houses. The House of Saint Margaret, for example, received “</w:t>
      </w:r>
      <w:proofErr w:type="spellStart"/>
      <w:r w:rsidRPr="006C3A73">
        <w:rPr>
          <w:rFonts w:ascii="Times New Roman" w:hAnsi="Times New Roman" w:cs="Times New Roman"/>
        </w:rPr>
        <w:t>twoo</w:t>
      </w:r>
      <w:proofErr w:type="spellEnd"/>
      <w:r w:rsidRPr="006C3A73">
        <w:rPr>
          <w:rFonts w:ascii="Times New Roman" w:hAnsi="Times New Roman" w:cs="Times New Roman"/>
        </w:rPr>
        <w:t xml:space="preserve"> </w:t>
      </w:r>
      <w:proofErr w:type="spellStart"/>
      <w:r w:rsidRPr="006C3A73">
        <w:rPr>
          <w:rFonts w:ascii="Times New Roman" w:hAnsi="Times New Roman" w:cs="Times New Roman"/>
        </w:rPr>
        <w:t>auter</w:t>
      </w:r>
      <w:proofErr w:type="spellEnd"/>
      <w:r w:rsidRPr="006C3A73">
        <w:rPr>
          <w:rFonts w:ascii="Times New Roman" w:hAnsi="Times New Roman" w:cs="Times New Roman"/>
        </w:rPr>
        <w:t xml:space="preserve"> clothes with a crucifix and a </w:t>
      </w:r>
      <w:proofErr w:type="spellStart"/>
      <w:r w:rsidRPr="006C3A73">
        <w:rPr>
          <w:rFonts w:ascii="Times New Roman" w:hAnsi="Times New Roman" w:cs="Times New Roman"/>
        </w:rPr>
        <w:t>vestiment</w:t>
      </w:r>
      <w:proofErr w:type="spellEnd"/>
      <w:r w:rsidRPr="006C3A73">
        <w:rPr>
          <w:rFonts w:ascii="Times New Roman" w:hAnsi="Times New Roman" w:cs="Times New Roman"/>
        </w:rPr>
        <w:t xml:space="preserve"> of </w:t>
      </w:r>
      <w:proofErr w:type="spellStart"/>
      <w:r w:rsidRPr="006C3A73">
        <w:rPr>
          <w:rFonts w:ascii="Times New Roman" w:hAnsi="Times New Roman" w:cs="Times New Roman"/>
        </w:rPr>
        <w:t>grete</w:t>
      </w:r>
      <w:proofErr w:type="spellEnd"/>
      <w:r w:rsidRPr="006C3A73">
        <w:rPr>
          <w:rFonts w:ascii="Times New Roman" w:hAnsi="Times New Roman" w:cs="Times New Roman"/>
        </w:rPr>
        <w:t xml:space="preserve"> velvet”, while the parish church of Compton at Guildford received a “case of </w:t>
      </w:r>
      <w:proofErr w:type="spellStart"/>
      <w:r w:rsidRPr="006C3A73">
        <w:rPr>
          <w:rFonts w:ascii="Times New Roman" w:hAnsi="Times New Roman" w:cs="Times New Roman"/>
        </w:rPr>
        <w:t>blake</w:t>
      </w:r>
      <w:proofErr w:type="spellEnd"/>
      <w:r w:rsidRPr="006C3A73">
        <w:rPr>
          <w:rFonts w:ascii="Times New Roman" w:hAnsi="Times New Roman" w:cs="Times New Roman"/>
        </w:rPr>
        <w:t xml:space="preserve"> cloth of gold and </w:t>
      </w:r>
      <w:proofErr w:type="spellStart"/>
      <w:r w:rsidRPr="006C3A73">
        <w:rPr>
          <w:rFonts w:ascii="Times New Roman" w:hAnsi="Times New Roman" w:cs="Times New Roman"/>
        </w:rPr>
        <w:t>iiij</w:t>
      </w:r>
      <w:proofErr w:type="spellEnd"/>
      <w:r w:rsidRPr="006C3A73">
        <w:rPr>
          <w:rFonts w:ascii="Times New Roman" w:hAnsi="Times New Roman" w:cs="Times New Roman"/>
        </w:rPr>
        <w:t xml:space="preserve">. </w:t>
      </w:r>
      <w:proofErr w:type="spellStart"/>
      <w:r w:rsidRPr="006C3A73">
        <w:rPr>
          <w:rFonts w:ascii="Times New Roman" w:hAnsi="Times New Roman" w:cs="Times New Roman"/>
        </w:rPr>
        <w:t>auter</w:t>
      </w:r>
      <w:proofErr w:type="spellEnd"/>
      <w:r w:rsidRPr="006C3A73">
        <w:rPr>
          <w:rFonts w:ascii="Times New Roman" w:hAnsi="Times New Roman" w:cs="Times New Roman"/>
        </w:rPr>
        <w:t xml:space="preserve"> clothes of white </w:t>
      </w:r>
      <w:proofErr w:type="spellStart"/>
      <w:r w:rsidRPr="006C3A73">
        <w:rPr>
          <w:rFonts w:ascii="Times New Roman" w:hAnsi="Times New Roman" w:cs="Times New Roman"/>
        </w:rPr>
        <w:t>sarcenett</w:t>
      </w:r>
      <w:proofErr w:type="spellEnd"/>
      <w:r w:rsidRPr="006C3A73">
        <w:rPr>
          <w:rFonts w:ascii="Times New Roman" w:hAnsi="Times New Roman" w:cs="Times New Roman"/>
        </w:rPr>
        <w:t>”</w:t>
      </w:r>
      <w:r>
        <w:rPr>
          <w:rStyle w:val="FootnoteReference"/>
          <w:rFonts w:ascii="Times New Roman" w:hAnsi="Times New Roman" w:cs="Times New Roman"/>
        </w:rPr>
        <w:footnoteReference w:id="42"/>
      </w:r>
      <w:r w:rsidRPr="006C3A73">
        <w:rPr>
          <w:rFonts w:ascii="Times New Roman" w:hAnsi="Times New Roman" w:cs="Times New Roman"/>
        </w:rPr>
        <w:t xml:space="preserve">. </w:t>
      </w:r>
    </w:p>
    <w:p w14:paraId="1D5CCBA9" w14:textId="3843E191" w:rsidR="006C3A73" w:rsidRPr="006C3A73" w:rsidRDefault="006C3A73" w:rsidP="006C3A73">
      <w:pPr>
        <w:spacing w:line="360" w:lineRule="auto"/>
        <w:rPr>
          <w:rFonts w:ascii="Times New Roman" w:hAnsi="Times New Roman" w:cs="Times New Roman"/>
        </w:rPr>
      </w:pPr>
      <w:r w:rsidRPr="006C3A73">
        <w:rPr>
          <w:rFonts w:ascii="Times New Roman" w:hAnsi="Times New Roman" w:cs="Times New Roman"/>
        </w:rPr>
        <w:tab/>
        <w:t>As well as to the church, Cecily also made provisions to members of her household and her family. To her granddaughter Queen Elizabeth for example, Cecily bequeathed the “</w:t>
      </w:r>
      <w:proofErr w:type="spellStart"/>
      <w:r w:rsidRPr="006C3A73">
        <w:rPr>
          <w:rFonts w:ascii="Times New Roman" w:hAnsi="Times New Roman" w:cs="Times New Roman"/>
        </w:rPr>
        <w:t>pix</w:t>
      </w:r>
      <w:proofErr w:type="spellEnd"/>
      <w:r w:rsidRPr="006C3A73">
        <w:rPr>
          <w:rFonts w:ascii="Times New Roman" w:hAnsi="Times New Roman" w:cs="Times New Roman"/>
        </w:rPr>
        <w:t xml:space="preserve"> with the </w:t>
      </w:r>
      <w:proofErr w:type="spellStart"/>
      <w:r w:rsidRPr="006C3A73">
        <w:rPr>
          <w:rFonts w:ascii="Times New Roman" w:hAnsi="Times New Roman" w:cs="Times New Roman"/>
        </w:rPr>
        <w:t>fleshe</w:t>
      </w:r>
      <w:proofErr w:type="spellEnd"/>
      <w:r w:rsidRPr="006C3A73">
        <w:rPr>
          <w:rFonts w:ascii="Times New Roman" w:hAnsi="Times New Roman" w:cs="Times New Roman"/>
        </w:rPr>
        <w:t xml:space="preserve"> of Saint Cristofer”.</w:t>
      </w:r>
      <w:r>
        <w:rPr>
          <w:rStyle w:val="FootnoteReference"/>
          <w:rFonts w:ascii="Times New Roman" w:hAnsi="Times New Roman" w:cs="Times New Roman"/>
        </w:rPr>
        <w:footnoteReference w:id="43"/>
      </w:r>
      <w:r w:rsidRPr="006C3A73">
        <w:rPr>
          <w:rFonts w:ascii="Times New Roman" w:hAnsi="Times New Roman" w:cs="Times New Roman"/>
        </w:rPr>
        <w:t xml:space="preserve"> During the Middle Ages, it was common for those who owned relics to bequeath them in their wills, as relics were associated with healing properties as well as spiritual salvation.</w:t>
      </w:r>
      <w:r>
        <w:rPr>
          <w:rStyle w:val="FootnoteReference"/>
          <w:rFonts w:ascii="Times New Roman" w:hAnsi="Times New Roman" w:cs="Times New Roman"/>
        </w:rPr>
        <w:footnoteReference w:id="44"/>
      </w:r>
      <w:r w:rsidRPr="006C3A73">
        <w:rPr>
          <w:rFonts w:ascii="Times New Roman" w:hAnsi="Times New Roman" w:cs="Times New Roman"/>
        </w:rPr>
        <w:t xml:space="preserve"> Relics of Saint Christopher in particular were used in the prevention of sudden deaths, as well as for his patronage of children. It was in 1495, that the second daughter of Elizabeth of York and Henry VII, Elizabeth Tudor, died in infancy, thus could be a possible explanation for the bequeathing of this </w:t>
      </w:r>
      <w:proofErr w:type="gramStart"/>
      <w:r w:rsidRPr="006C3A73">
        <w:rPr>
          <w:rFonts w:ascii="Times New Roman" w:hAnsi="Times New Roman" w:cs="Times New Roman"/>
        </w:rPr>
        <w:t>particular relic</w:t>
      </w:r>
      <w:proofErr w:type="gramEnd"/>
      <w:r w:rsidRPr="006C3A73">
        <w:rPr>
          <w:rFonts w:ascii="Times New Roman" w:hAnsi="Times New Roman" w:cs="Times New Roman"/>
        </w:rPr>
        <w:t>.</w:t>
      </w:r>
      <w:r>
        <w:rPr>
          <w:rStyle w:val="FootnoteReference"/>
          <w:rFonts w:ascii="Times New Roman" w:hAnsi="Times New Roman" w:cs="Times New Roman"/>
        </w:rPr>
        <w:footnoteReference w:id="45"/>
      </w:r>
      <w:r w:rsidRPr="006C3A73">
        <w:rPr>
          <w:rFonts w:ascii="Times New Roman" w:hAnsi="Times New Roman" w:cs="Times New Roman"/>
        </w:rPr>
        <w:t xml:space="preserve"> It is worth mentioning that Cecily bequeathed items not only to her members of her family, but also to King Henry VII and his mother, Margaret Beaufort. There are two possible interpretations for this. The first is that, Cecily, as a member of the aristocracy, as well as a member of the defeated House of York, had no choice but to bequeath the King “all such money as </w:t>
      </w:r>
      <w:r w:rsidRPr="006C3A73">
        <w:rPr>
          <w:rFonts w:ascii="Times New Roman" w:hAnsi="Times New Roman" w:cs="Times New Roman"/>
        </w:rPr>
        <w:lastRenderedPageBreak/>
        <w:t xml:space="preserve">is owing to me of the </w:t>
      </w:r>
      <w:proofErr w:type="spellStart"/>
      <w:r w:rsidRPr="006C3A73">
        <w:rPr>
          <w:rFonts w:ascii="Times New Roman" w:hAnsi="Times New Roman" w:cs="Times New Roman"/>
        </w:rPr>
        <w:t>customes</w:t>
      </w:r>
      <w:proofErr w:type="spellEnd"/>
      <w:r w:rsidRPr="006C3A73">
        <w:rPr>
          <w:rFonts w:ascii="Times New Roman" w:hAnsi="Times New Roman" w:cs="Times New Roman"/>
        </w:rPr>
        <w:t>”.</w:t>
      </w:r>
      <w:r>
        <w:rPr>
          <w:rStyle w:val="FootnoteReference"/>
          <w:rFonts w:ascii="Times New Roman" w:hAnsi="Times New Roman" w:cs="Times New Roman"/>
        </w:rPr>
        <w:footnoteReference w:id="46"/>
      </w:r>
      <w:r w:rsidRPr="006C3A73">
        <w:rPr>
          <w:rFonts w:ascii="Times New Roman" w:hAnsi="Times New Roman" w:cs="Times New Roman"/>
        </w:rPr>
        <w:t xml:space="preserve"> The second, is that Cecily chose to bequeath the items to King Henry and his mother in order to create a sense of unity between the two rival Houses, implying that any conflict that had occurred during the Wars of the Roses had ceased. </w:t>
      </w:r>
    </w:p>
    <w:p w14:paraId="0BFDD05D" w14:textId="3F7E4AA7" w:rsidR="006C3A73" w:rsidRPr="006C3A73" w:rsidRDefault="006C3A73" w:rsidP="006C3A73">
      <w:pPr>
        <w:spacing w:line="360" w:lineRule="auto"/>
        <w:rPr>
          <w:rFonts w:ascii="Times New Roman" w:hAnsi="Times New Roman" w:cs="Times New Roman"/>
        </w:rPr>
      </w:pPr>
      <w:r w:rsidRPr="006C3A73">
        <w:rPr>
          <w:rFonts w:ascii="Times New Roman" w:hAnsi="Times New Roman" w:cs="Times New Roman"/>
        </w:rPr>
        <w:tab/>
        <w:t xml:space="preserve">However, in her will, Cecily refers to her husband, Richard Duke of York, as the father of the “right noble prince Richard”, as well as the “fader unto the most </w:t>
      </w:r>
      <w:proofErr w:type="spellStart"/>
      <w:r w:rsidRPr="006C3A73">
        <w:rPr>
          <w:rFonts w:ascii="Times New Roman" w:hAnsi="Times New Roman" w:cs="Times New Roman"/>
        </w:rPr>
        <w:t>cristen</w:t>
      </w:r>
      <w:proofErr w:type="spellEnd"/>
      <w:r w:rsidRPr="006C3A73">
        <w:rPr>
          <w:rFonts w:ascii="Times New Roman" w:hAnsi="Times New Roman" w:cs="Times New Roman"/>
        </w:rPr>
        <w:t xml:space="preserve"> prince my Lord and son King Edward”.</w:t>
      </w:r>
      <w:r>
        <w:rPr>
          <w:rStyle w:val="FootnoteReference"/>
          <w:rFonts w:ascii="Times New Roman" w:hAnsi="Times New Roman" w:cs="Times New Roman"/>
        </w:rPr>
        <w:footnoteReference w:id="47"/>
      </w:r>
      <w:r w:rsidRPr="006C3A73">
        <w:rPr>
          <w:rFonts w:ascii="Times New Roman" w:hAnsi="Times New Roman" w:cs="Times New Roman"/>
        </w:rPr>
        <w:t xml:space="preserve"> Was it by accident that Cecily chose to include these details in her will? Or is it an intentional symbol of resistance against King Henry, in which Cecily still believed her own sons to be the rightful kings of England? Details such as this are useful to historians conducting research of medieval wills, as they arguably offer insight into the minds of the people of the Middle Ages. Additionally, an historian can also determine personal details of an individual’s life through the funerary requests dictated in medieval wills. In Cecily’s will, provisions are made for the burial of her body in the “</w:t>
      </w:r>
      <w:proofErr w:type="spellStart"/>
      <w:r w:rsidRPr="006C3A73">
        <w:rPr>
          <w:rFonts w:ascii="Times New Roman" w:hAnsi="Times New Roman" w:cs="Times New Roman"/>
        </w:rPr>
        <w:t>tumbe</w:t>
      </w:r>
      <w:proofErr w:type="spellEnd"/>
      <w:r w:rsidRPr="006C3A73">
        <w:rPr>
          <w:rFonts w:ascii="Times New Roman" w:hAnsi="Times New Roman" w:cs="Times New Roman"/>
        </w:rPr>
        <w:t xml:space="preserve"> within the collegiate church of </w:t>
      </w:r>
      <w:proofErr w:type="spellStart"/>
      <w:r w:rsidRPr="006C3A73">
        <w:rPr>
          <w:rFonts w:ascii="Times New Roman" w:hAnsi="Times New Roman" w:cs="Times New Roman"/>
        </w:rPr>
        <w:t>Fodringhay</w:t>
      </w:r>
      <w:proofErr w:type="spellEnd"/>
      <w:r w:rsidRPr="006C3A73">
        <w:rPr>
          <w:rFonts w:ascii="Times New Roman" w:hAnsi="Times New Roman" w:cs="Times New Roman"/>
        </w:rPr>
        <w:t>”, alongside her husband, Richard Duke of York.</w:t>
      </w:r>
      <w:r>
        <w:rPr>
          <w:rStyle w:val="FootnoteReference"/>
          <w:rFonts w:ascii="Times New Roman" w:hAnsi="Times New Roman" w:cs="Times New Roman"/>
        </w:rPr>
        <w:footnoteReference w:id="48"/>
      </w:r>
      <w:r w:rsidRPr="006C3A73">
        <w:rPr>
          <w:rFonts w:ascii="Times New Roman" w:hAnsi="Times New Roman" w:cs="Times New Roman"/>
        </w:rPr>
        <w:t xml:space="preserve"> Further in the will, Cecily </w:t>
      </w:r>
      <w:proofErr w:type="spellStart"/>
      <w:r w:rsidRPr="006C3A73">
        <w:rPr>
          <w:rFonts w:ascii="Times New Roman" w:hAnsi="Times New Roman" w:cs="Times New Roman"/>
        </w:rPr>
        <w:t>bequeathes</w:t>
      </w:r>
      <w:proofErr w:type="spellEnd"/>
      <w:r w:rsidRPr="006C3A73">
        <w:rPr>
          <w:rFonts w:ascii="Times New Roman" w:hAnsi="Times New Roman" w:cs="Times New Roman"/>
        </w:rPr>
        <w:t xml:space="preserve"> the church of Fotheringhay a “square </w:t>
      </w:r>
      <w:proofErr w:type="spellStart"/>
      <w:r w:rsidRPr="006C3A73">
        <w:rPr>
          <w:rFonts w:ascii="Times New Roman" w:hAnsi="Times New Roman" w:cs="Times New Roman"/>
        </w:rPr>
        <w:t>canapie</w:t>
      </w:r>
      <w:proofErr w:type="spellEnd"/>
      <w:r w:rsidRPr="006C3A73">
        <w:rPr>
          <w:rFonts w:ascii="Times New Roman" w:hAnsi="Times New Roman" w:cs="Times New Roman"/>
        </w:rPr>
        <w:t xml:space="preserve"> of </w:t>
      </w:r>
      <w:proofErr w:type="spellStart"/>
      <w:r w:rsidRPr="006C3A73">
        <w:rPr>
          <w:rFonts w:ascii="Times New Roman" w:hAnsi="Times New Roman" w:cs="Times New Roman"/>
        </w:rPr>
        <w:t>crymeson</w:t>
      </w:r>
      <w:proofErr w:type="spellEnd"/>
      <w:r w:rsidRPr="006C3A73">
        <w:rPr>
          <w:rFonts w:ascii="Times New Roman" w:hAnsi="Times New Roman" w:cs="Times New Roman"/>
        </w:rPr>
        <w:t xml:space="preserve"> clothe of gold”, presumably to cover her coffin whilst in resting in state.</w:t>
      </w:r>
      <w:r>
        <w:rPr>
          <w:rStyle w:val="FootnoteReference"/>
          <w:rFonts w:ascii="Times New Roman" w:hAnsi="Times New Roman" w:cs="Times New Roman"/>
        </w:rPr>
        <w:footnoteReference w:id="49"/>
      </w:r>
      <w:r w:rsidRPr="006C3A73">
        <w:rPr>
          <w:rFonts w:ascii="Times New Roman" w:hAnsi="Times New Roman" w:cs="Times New Roman"/>
        </w:rPr>
        <w:t xml:space="preserve"> We must remember that Cecily’s will is eight pages long, and makes provisions for numerous family members, as well as members of her household, down to every page, of which she gave thirteen shillings and four pence.</w:t>
      </w:r>
      <w:r>
        <w:rPr>
          <w:rStyle w:val="FootnoteReference"/>
          <w:rFonts w:ascii="Times New Roman" w:hAnsi="Times New Roman" w:cs="Times New Roman"/>
        </w:rPr>
        <w:footnoteReference w:id="50"/>
      </w:r>
      <w:r w:rsidRPr="006C3A73">
        <w:rPr>
          <w:rFonts w:ascii="Times New Roman" w:hAnsi="Times New Roman" w:cs="Times New Roman"/>
        </w:rPr>
        <w:t xml:space="preserve"> As such, the detailed and lengthy requests in which Cecily makes in her will suggests that she had had a long time in which to prepare her will, and thus was aware that her death was imminent. </w:t>
      </w:r>
    </w:p>
    <w:p w14:paraId="232F3B94" w14:textId="77777777" w:rsidR="006C3A73" w:rsidRPr="006C3A73" w:rsidRDefault="006C3A73" w:rsidP="006C3A73">
      <w:pPr>
        <w:spacing w:line="360" w:lineRule="auto"/>
        <w:rPr>
          <w:rFonts w:ascii="Times New Roman" w:hAnsi="Times New Roman" w:cs="Times New Roman"/>
        </w:rPr>
      </w:pPr>
      <w:r w:rsidRPr="006C3A73">
        <w:rPr>
          <w:rFonts w:ascii="Times New Roman" w:hAnsi="Times New Roman" w:cs="Times New Roman"/>
        </w:rPr>
        <w:tab/>
        <w:t xml:space="preserve">To conclude, the will of Cecily Neville, Duchess of York makes detailed provisions to members of her family and household, as well as to a handful of parishes churches and monastic houses. Cecily’s will </w:t>
      </w:r>
      <w:proofErr w:type="gramStart"/>
      <w:r w:rsidRPr="006C3A73">
        <w:rPr>
          <w:rFonts w:ascii="Times New Roman" w:hAnsi="Times New Roman" w:cs="Times New Roman"/>
        </w:rPr>
        <w:t>offers</w:t>
      </w:r>
      <w:proofErr w:type="gramEnd"/>
      <w:r w:rsidRPr="006C3A73">
        <w:rPr>
          <w:rFonts w:ascii="Times New Roman" w:hAnsi="Times New Roman" w:cs="Times New Roman"/>
        </w:rPr>
        <w:t xml:space="preserve"> insight into her personal wishes, and as such is a valuable resource to historians studying the wills of the nobility during the Middle Ages.  </w:t>
      </w:r>
    </w:p>
    <w:p w14:paraId="660D74A8" w14:textId="77777777" w:rsidR="006C3A73" w:rsidRPr="006C3A73" w:rsidRDefault="006C3A73" w:rsidP="006C3A73">
      <w:pPr>
        <w:spacing w:line="360" w:lineRule="auto"/>
        <w:rPr>
          <w:rFonts w:ascii="Times New Roman" w:hAnsi="Times New Roman" w:cs="Times New Roman"/>
        </w:rPr>
      </w:pPr>
    </w:p>
    <w:p w14:paraId="3FF9D976" w14:textId="2D412D58" w:rsidR="006C3A73" w:rsidRDefault="006C3A73" w:rsidP="006C3A73">
      <w:pPr>
        <w:spacing w:line="360" w:lineRule="auto"/>
        <w:rPr>
          <w:rFonts w:ascii="Times New Roman" w:hAnsi="Times New Roman" w:cs="Times New Roman"/>
        </w:rPr>
      </w:pPr>
      <w:r w:rsidRPr="006C3A73">
        <w:rPr>
          <w:rFonts w:ascii="Times New Roman" w:hAnsi="Times New Roman" w:cs="Times New Roman"/>
          <w:b/>
        </w:rPr>
        <w:t>wordcount</w:t>
      </w:r>
      <w:r w:rsidRPr="006C3A73">
        <w:rPr>
          <w:rFonts w:ascii="Times New Roman" w:hAnsi="Times New Roman" w:cs="Times New Roman"/>
        </w:rPr>
        <w:t>: 813</w:t>
      </w:r>
    </w:p>
    <w:p w14:paraId="0339E2E8" w14:textId="098BD0E4" w:rsidR="006C3A73" w:rsidRDefault="006C3A73" w:rsidP="00F0396D">
      <w:pPr>
        <w:spacing w:line="360" w:lineRule="auto"/>
        <w:jc w:val="center"/>
        <w:rPr>
          <w:rFonts w:ascii="Times New Roman" w:hAnsi="Times New Roman" w:cs="Times New Roman"/>
        </w:rPr>
      </w:pPr>
    </w:p>
    <w:p w14:paraId="53D95F9E" w14:textId="5536115B" w:rsidR="00626D12" w:rsidRDefault="00626D12" w:rsidP="00F0396D">
      <w:pPr>
        <w:spacing w:line="360" w:lineRule="auto"/>
        <w:jc w:val="center"/>
        <w:rPr>
          <w:rFonts w:ascii="Times New Roman" w:hAnsi="Times New Roman" w:cs="Times New Roman"/>
        </w:rPr>
      </w:pPr>
    </w:p>
    <w:p w14:paraId="1644AB8D" w14:textId="6375EB61" w:rsidR="00626D12" w:rsidRDefault="00626D12" w:rsidP="00F0396D">
      <w:pPr>
        <w:spacing w:line="360" w:lineRule="auto"/>
        <w:jc w:val="center"/>
        <w:rPr>
          <w:rFonts w:ascii="Times New Roman" w:hAnsi="Times New Roman" w:cs="Times New Roman"/>
        </w:rPr>
      </w:pPr>
    </w:p>
    <w:p w14:paraId="3DD3DA0E" w14:textId="0361218F" w:rsidR="00626D12" w:rsidRDefault="00626D12" w:rsidP="00F0396D">
      <w:pPr>
        <w:spacing w:line="360" w:lineRule="auto"/>
        <w:jc w:val="center"/>
        <w:rPr>
          <w:rFonts w:ascii="Times New Roman" w:hAnsi="Times New Roman" w:cs="Times New Roman"/>
        </w:rPr>
      </w:pPr>
    </w:p>
    <w:p w14:paraId="40510F97" w14:textId="00CFE6E1" w:rsidR="00626D12" w:rsidRPr="00626D12" w:rsidRDefault="00626D12" w:rsidP="00F0396D">
      <w:pPr>
        <w:spacing w:line="360" w:lineRule="auto"/>
        <w:jc w:val="center"/>
        <w:rPr>
          <w:rFonts w:ascii="Times New Roman" w:hAnsi="Times New Roman" w:cs="Times New Roman"/>
          <w:sz w:val="24"/>
        </w:rPr>
      </w:pPr>
    </w:p>
    <w:p w14:paraId="653967D2" w14:textId="6F6CA4F9" w:rsidR="002E73A9" w:rsidRDefault="00626D12" w:rsidP="002E73A9">
      <w:pPr>
        <w:spacing w:line="360" w:lineRule="auto"/>
        <w:rPr>
          <w:rFonts w:ascii="Times New Roman" w:hAnsi="Times New Roman" w:cs="Times New Roman"/>
          <w:b/>
          <w:sz w:val="24"/>
          <w:u w:val="single"/>
        </w:rPr>
      </w:pPr>
      <w:r w:rsidRPr="002E73A9">
        <w:rPr>
          <w:rFonts w:ascii="Times New Roman" w:hAnsi="Times New Roman" w:cs="Times New Roman"/>
          <w:b/>
          <w:sz w:val="24"/>
          <w:u w:val="single"/>
        </w:rPr>
        <w:t>BIBLIOGRAPHY</w:t>
      </w:r>
    </w:p>
    <w:p w14:paraId="3601E615" w14:textId="77777777" w:rsidR="002E73A9" w:rsidRPr="002E73A9" w:rsidRDefault="002E73A9" w:rsidP="002E73A9">
      <w:pPr>
        <w:spacing w:line="360" w:lineRule="auto"/>
        <w:rPr>
          <w:rFonts w:ascii="Times New Roman" w:hAnsi="Times New Roman" w:cs="Times New Roman"/>
          <w:b/>
          <w:sz w:val="24"/>
          <w:u w:val="single"/>
        </w:rPr>
      </w:pPr>
    </w:p>
    <w:p w14:paraId="6650E07E" w14:textId="77777777"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Secondary Source Article: C. Walker-Bynum, ‘Material Continuity, Personal Survival, and the Resurrection of the Body: A Scholastic Discussion in its Medieval and Modern Contexts,’ History of Religions, vol. 30, no. 1 (</w:t>
      </w:r>
      <w:proofErr w:type="gramStart"/>
      <w:r w:rsidRPr="002E73A9">
        <w:rPr>
          <w:rFonts w:ascii="Times New Roman" w:hAnsi="Times New Roman" w:cs="Times New Roman"/>
        </w:rPr>
        <w:t>Aug.,</w:t>
      </w:r>
      <w:proofErr w:type="gramEnd"/>
      <w:r w:rsidRPr="002E73A9">
        <w:rPr>
          <w:rFonts w:ascii="Times New Roman" w:hAnsi="Times New Roman" w:cs="Times New Roman"/>
        </w:rPr>
        <w:t xml:space="preserve"> 1990), 51-85.</w:t>
      </w:r>
    </w:p>
    <w:p w14:paraId="47C12F9E" w14:textId="77777777" w:rsidR="002E73A9" w:rsidRPr="002E73A9" w:rsidRDefault="002E73A9" w:rsidP="002E73A9">
      <w:pPr>
        <w:spacing w:line="240" w:lineRule="auto"/>
        <w:rPr>
          <w:rFonts w:ascii="Times New Roman" w:hAnsi="Times New Roman" w:cs="Times New Roman"/>
        </w:rPr>
      </w:pPr>
    </w:p>
    <w:p w14:paraId="594CA52D" w14:textId="77777777" w:rsidR="002E73A9" w:rsidRPr="002E73A9" w:rsidRDefault="002E73A9" w:rsidP="002E73A9">
      <w:pPr>
        <w:spacing w:line="240" w:lineRule="auto"/>
        <w:rPr>
          <w:rFonts w:ascii="Times New Roman" w:hAnsi="Times New Roman" w:cs="Times New Roman"/>
          <w:u w:val="single"/>
        </w:rPr>
      </w:pPr>
      <w:r w:rsidRPr="002E73A9">
        <w:rPr>
          <w:rFonts w:ascii="Times New Roman" w:hAnsi="Times New Roman" w:cs="Times New Roman"/>
          <w:u w:val="single"/>
        </w:rPr>
        <w:t>Primary Sources</w:t>
      </w:r>
    </w:p>
    <w:p w14:paraId="6C6994F3" w14:textId="77777777"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 xml:space="preserve">Bonaventure, </w:t>
      </w:r>
      <w:r w:rsidRPr="002E73A9">
        <w:rPr>
          <w:rFonts w:ascii="Times New Roman" w:hAnsi="Times New Roman" w:cs="Times New Roman"/>
          <w:i/>
        </w:rPr>
        <w:t xml:space="preserve">De assumption B. </w:t>
      </w:r>
      <w:proofErr w:type="spellStart"/>
      <w:r w:rsidRPr="002E73A9">
        <w:rPr>
          <w:rFonts w:ascii="Times New Roman" w:hAnsi="Times New Roman" w:cs="Times New Roman"/>
          <w:i/>
        </w:rPr>
        <w:t>Virginis</w:t>
      </w:r>
      <w:proofErr w:type="spellEnd"/>
      <w:r w:rsidRPr="002E73A9">
        <w:rPr>
          <w:rFonts w:ascii="Times New Roman" w:hAnsi="Times New Roman" w:cs="Times New Roman"/>
          <w:i/>
        </w:rPr>
        <w:t xml:space="preserve"> </w:t>
      </w:r>
      <w:proofErr w:type="spellStart"/>
      <w:r w:rsidRPr="002E73A9">
        <w:rPr>
          <w:rFonts w:ascii="Times New Roman" w:hAnsi="Times New Roman" w:cs="Times New Roman"/>
          <w:i/>
        </w:rPr>
        <w:t>Mariae</w:t>
      </w:r>
      <w:proofErr w:type="spellEnd"/>
      <w:r w:rsidRPr="002E73A9">
        <w:rPr>
          <w:rFonts w:ascii="Times New Roman" w:hAnsi="Times New Roman" w:cs="Times New Roman"/>
        </w:rPr>
        <w:t xml:space="preserve">, cited in C. Walker-Bynum, ‘Material Continuity, Personal Survival, and the Resurrection of the Body: A Scholastic Discussion in its Medieval and Modern Contexts,’ </w:t>
      </w:r>
      <w:r w:rsidRPr="002E73A9">
        <w:rPr>
          <w:rFonts w:ascii="Times New Roman" w:hAnsi="Times New Roman" w:cs="Times New Roman"/>
          <w:i/>
        </w:rPr>
        <w:t>History of Religions</w:t>
      </w:r>
      <w:r w:rsidRPr="002E73A9">
        <w:rPr>
          <w:rFonts w:ascii="Times New Roman" w:hAnsi="Times New Roman" w:cs="Times New Roman"/>
        </w:rPr>
        <w:t>, vol. 30, no. 1 (</w:t>
      </w:r>
      <w:proofErr w:type="gramStart"/>
      <w:r w:rsidRPr="002E73A9">
        <w:rPr>
          <w:rFonts w:ascii="Times New Roman" w:hAnsi="Times New Roman" w:cs="Times New Roman"/>
        </w:rPr>
        <w:t>Aug.,</w:t>
      </w:r>
      <w:proofErr w:type="gramEnd"/>
      <w:r w:rsidRPr="002E73A9">
        <w:rPr>
          <w:rFonts w:ascii="Times New Roman" w:hAnsi="Times New Roman" w:cs="Times New Roman"/>
        </w:rPr>
        <w:t xml:space="preserve"> 1990), p. 68.</w:t>
      </w:r>
    </w:p>
    <w:p w14:paraId="298413CF" w14:textId="77777777"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 xml:space="preserve">John Calvin, </w:t>
      </w:r>
      <w:r w:rsidRPr="002E73A9">
        <w:rPr>
          <w:rFonts w:ascii="Times New Roman" w:hAnsi="Times New Roman" w:cs="Times New Roman"/>
          <w:i/>
        </w:rPr>
        <w:t>Treatise on Relics</w:t>
      </w:r>
      <w:r w:rsidRPr="002E73A9">
        <w:rPr>
          <w:rFonts w:ascii="Times New Roman" w:hAnsi="Times New Roman" w:cs="Times New Roman"/>
        </w:rPr>
        <w:t xml:space="preserve">, translated by Valerian </w:t>
      </w:r>
      <w:proofErr w:type="spellStart"/>
      <w:r w:rsidRPr="002E73A9">
        <w:rPr>
          <w:rFonts w:ascii="Times New Roman" w:hAnsi="Times New Roman" w:cs="Times New Roman"/>
        </w:rPr>
        <w:t>Krasinki</w:t>
      </w:r>
      <w:proofErr w:type="spellEnd"/>
      <w:r w:rsidRPr="002E73A9">
        <w:rPr>
          <w:rFonts w:ascii="Times New Roman" w:hAnsi="Times New Roman" w:cs="Times New Roman"/>
        </w:rPr>
        <w:t xml:space="preserve"> (London: Prometheus Books), p. 9.</w:t>
      </w:r>
    </w:p>
    <w:p w14:paraId="4AF8A478" w14:textId="77777777"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 xml:space="preserve">John of Damascus, </w:t>
      </w:r>
      <w:proofErr w:type="gramStart"/>
      <w:r w:rsidRPr="002E73A9">
        <w:rPr>
          <w:rFonts w:ascii="Times New Roman" w:hAnsi="Times New Roman" w:cs="Times New Roman"/>
          <w:i/>
        </w:rPr>
        <w:t>In</w:t>
      </w:r>
      <w:proofErr w:type="gramEnd"/>
      <w:r w:rsidRPr="002E73A9">
        <w:rPr>
          <w:rFonts w:ascii="Times New Roman" w:hAnsi="Times New Roman" w:cs="Times New Roman"/>
          <w:i/>
        </w:rPr>
        <w:t xml:space="preserve"> </w:t>
      </w:r>
      <w:proofErr w:type="spellStart"/>
      <w:r w:rsidRPr="002E73A9">
        <w:rPr>
          <w:rFonts w:ascii="Times New Roman" w:hAnsi="Times New Roman" w:cs="Times New Roman"/>
          <w:i/>
        </w:rPr>
        <w:t>librum</w:t>
      </w:r>
      <w:proofErr w:type="spellEnd"/>
      <w:r w:rsidRPr="002E73A9">
        <w:rPr>
          <w:rFonts w:ascii="Times New Roman" w:hAnsi="Times New Roman" w:cs="Times New Roman"/>
          <w:i/>
        </w:rPr>
        <w:t xml:space="preserve"> de fide </w:t>
      </w:r>
      <w:proofErr w:type="spellStart"/>
      <w:r w:rsidRPr="002E73A9">
        <w:rPr>
          <w:rFonts w:ascii="Times New Roman" w:hAnsi="Times New Roman" w:cs="Times New Roman"/>
          <w:i/>
        </w:rPr>
        <w:t>orthodoxa</w:t>
      </w:r>
      <w:proofErr w:type="spellEnd"/>
      <w:r w:rsidRPr="002E73A9">
        <w:rPr>
          <w:rFonts w:ascii="Times New Roman" w:hAnsi="Times New Roman" w:cs="Times New Roman"/>
        </w:rPr>
        <w:t xml:space="preserve">, cited in C. Walker-Bynum, ‘Material Continuity, Personal Survival, and the Resurrection of the Body: A Scholastic Discussion in its Medieval and Modern Contexts,’ </w:t>
      </w:r>
      <w:r w:rsidRPr="002E73A9">
        <w:rPr>
          <w:rFonts w:ascii="Times New Roman" w:hAnsi="Times New Roman" w:cs="Times New Roman"/>
          <w:i/>
        </w:rPr>
        <w:t>History of Religions</w:t>
      </w:r>
      <w:r w:rsidRPr="002E73A9">
        <w:rPr>
          <w:rFonts w:ascii="Times New Roman" w:hAnsi="Times New Roman" w:cs="Times New Roman"/>
        </w:rPr>
        <w:t>, vol. 30, no. 1 (Aug., 1990), p. 70.</w:t>
      </w:r>
    </w:p>
    <w:p w14:paraId="3FCA793E" w14:textId="77777777"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 xml:space="preserve">Peter Lombard, </w:t>
      </w:r>
      <w:r w:rsidRPr="002E73A9">
        <w:rPr>
          <w:rFonts w:ascii="Times New Roman" w:hAnsi="Times New Roman" w:cs="Times New Roman"/>
          <w:i/>
        </w:rPr>
        <w:t>Sentences</w:t>
      </w:r>
      <w:r w:rsidRPr="002E73A9">
        <w:rPr>
          <w:rFonts w:ascii="Times New Roman" w:hAnsi="Times New Roman" w:cs="Times New Roman"/>
        </w:rPr>
        <w:t xml:space="preserve">, cited in C. Walker-Bynum, ‘Material Continuity, Personal Survival, and the Resurrection of the Body: A Scholastic Discussion in its Medieval and Modern Contexts,’ </w:t>
      </w:r>
      <w:r w:rsidRPr="002E73A9">
        <w:rPr>
          <w:rFonts w:ascii="Times New Roman" w:hAnsi="Times New Roman" w:cs="Times New Roman"/>
          <w:i/>
        </w:rPr>
        <w:t>History of Religions</w:t>
      </w:r>
      <w:r w:rsidRPr="002E73A9">
        <w:rPr>
          <w:rFonts w:ascii="Times New Roman" w:hAnsi="Times New Roman" w:cs="Times New Roman"/>
        </w:rPr>
        <w:t>, vol. 30, no. 1 (</w:t>
      </w:r>
      <w:proofErr w:type="gramStart"/>
      <w:r w:rsidRPr="002E73A9">
        <w:rPr>
          <w:rFonts w:ascii="Times New Roman" w:hAnsi="Times New Roman" w:cs="Times New Roman"/>
        </w:rPr>
        <w:t>Aug.,</w:t>
      </w:r>
      <w:proofErr w:type="gramEnd"/>
      <w:r w:rsidRPr="002E73A9">
        <w:rPr>
          <w:rFonts w:ascii="Times New Roman" w:hAnsi="Times New Roman" w:cs="Times New Roman"/>
        </w:rPr>
        <w:t xml:space="preserve"> 1990), p. 54.</w:t>
      </w:r>
    </w:p>
    <w:p w14:paraId="559A1DB5" w14:textId="77777777" w:rsidR="002E73A9" w:rsidRPr="002E73A9" w:rsidRDefault="002E73A9" w:rsidP="002E73A9">
      <w:pPr>
        <w:spacing w:line="240" w:lineRule="auto"/>
        <w:rPr>
          <w:rFonts w:ascii="Times New Roman" w:hAnsi="Times New Roman" w:cs="Times New Roman"/>
        </w:rPr>
      </w:pPr>
      <w:proofErr w:type="gramStart"/>
      <w:r w:rsidRPr="002E73A9">
        <w:rPr>
          <w:rFonts w:ascii="Times New Roman" w:hAnsi="Times New Roman" w:cs="Times New Roman"/>
        </w:rPr>
        <w:t xml:space="preserve">The Epitaph of Avery </w:t>
      </w:r>
      <w:proofErr w:type="spellStart"/>
      <w:r w:rsidRPr="002E73A9">
        <w:rPr>
          <w:rFonts w:ascii="Times New Roman" w:hAnsi="Times New Roman" w:cs="Times New Roman"/>
        </w:rPr>
        <w:t>Comborough</w:t>
      </w:r>
      <w:proofErr w:type="spellEnd"/>
      <w:r w:rsidRPr="002E73A9">
        <w:rPr>
          <w:rFonts w:ascii="Times New Roman" w:hAnsi="Times New Roman" w:cs="Times New Roman"/>
        </w:rPr>
        <w:t>,</w:t>
      </w:r>
      <w:proofErr w:type="gramEnd"/>
      <w:r w:rsidRPr="002E73A9">
        <w:rPr>
          <w:rFonts w:ascii="Times New Roman" w:hAnsi="Times New Roman" w:cs="Times New Roman"/>
        </w:rPr>
        <w:t xml:space="preserve"> cited in S. </w:t>
      </w:r>
      <w:proofErr w:type="spellStart"/>
      <w:r w:rsidRPr="002E73A9">
        <w:rPr>
          <w:rFonts w:ascii="Times New Roman" w:hAnsi="Times New Roman" w:cs="Times New Roman"/>
        </w:rPr>
        <w:t>Badham</w:t>
      </w:r>
      <w:proofErr w:type="spellEnd"/>
      <w:r w:rsidRPr="002E73A9">
        <w:rPr>
          <w:rFonts w:ascii="Times New Roman" w:hAnsi="Times New Roman" w:cs="Times New Roman"/>
        </w:rPr>
        <w:t xml:space="preserve">, </w:t>
      </w:r>
      <w:r w:rsidRPr="000B7C1F">
        <w:rPr>
          <w:rFonts w:ascii="Times New Roman" w:hAnsi="Times New Roman" w:cs="Times New Roman"/>
          <w:i/>
        </w:rPr>
        <w:t>Seeking Salvation: Commemorating the Dead in the Late-Medieval English Parish</w:t>
      </w:r>
      <w:r w:rsidRPr="002E73A9">
        <w:rPr>
          <w:rFonts w:ascii="Times New Roman" w:hAnsi="Times New Roman" w:cs="Times New Roman"/>
        </w:rPr>
        <w:t xml:space="preserve"> (</w:t>
      </w:r>
      <w:proofErr w:type="spellStart"/>
      <w:r w:rsidRPr="002E73A9">
        <w:rPr>
          <w:rFonts w:ascii="Times New Roman" w:hAnsi="Times New Roman" w:cs="Times New Roman"/>
        </w:rPr>
        <w:t>Donington</w:t>
      </w:r>
      <w:proofErr w:type="spellEnd"/>
      <w:r w:rsidRPr="002E73A9">
        <w:rPr>
          <w:rFonts w:ascii="Times New Roman" w:hAnsi="Times New Roman" w:cs="Times New Roman"/>
        </w:rPr>
        <w:t xml:space="preserve">, 2015), pp. 15 – 16. </w:t>
      </w:r>
    </w:p>
    <w:p w14:paraId="14728EF6" w14:textId="77777777"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 xml:space="preserve">The Will of John of </w:t>
      </w:r>
      <w:proofErr w:type="spellStart"/>
      <w:r w:rsidRPr="002E73A9">
        <w:rPr>
          <w:rFonts w:ascii="Times New Roman" w:hAnsi="Times New Roman" w:cs="Times New Roman"/>
        </w:rPr>
        <w:t>Baret</w:t>
      </w:r>
      <w:proofErr w:type="spellEnd"/>
      <w:r w:rsidRPr="002E73A9">
        <w:rPr>
          <w:rFonts w:ascii="Times New Roman" w:hAnsi="Times New Roman" w:cs="Times New Roman"/>
        </w:rPr>
        <w:t xml:space="preserve">, cited in S. </w:t>
      </w:r>
      <w:proofErr w:type="spellStart"/>
      <w:r w:rsidRPr="002E73A9">
        <w:rPr>
          <w:rFonts w:ascii="Times New Roman" w:hAnsi="Times New Roman" w:cs="Times New Roman"/>
        </w:rPr>
        <w:t>Tymms</w:t>
      </w:r>
      <w:proofErr w:type="spellEnd"/>
      <w:r w:rsidRPr="002E73A9">
        <w:rPr>
          <w:rFonts w:ascii="Times New Roman" w:hAnsi="Times New Roman" w:cs="Times New Roman"/>
        </w:rPr>
        <w:t xml:space="preserve">, </w:t>
      </w:r>
      <w:r w:rsidRPr="000B7C1F">
        <w:rPr>
          <w:rFonts w:ascii="Times New Roman" w:hAnsi="Times New Roman" w:cs="Times New Roman"/>
          <w:i/>
        </w:rPr>
        <w:t>Will and Inventories from the Registers of the Commissary of Bury St Edmunds and the Archdeacon of Sudbury</w:t>
      </w:r>
      <w:r w:rsidRPr="002E73A9">
        <w:rPr>
          <w:rFonts w:ascii="Times New Roman" w:hAnsi="Times New Roman" w:cs="Times New Roman"/>
        </w:rPr>
        <w:t xml:space="preserve"> (London, 1850), pp. 16 – 19.</w:t>
      </w:r>
    </w:p>
    <w:p w14:paraId="09E31D8E" w14:textId="77777777" w:rsidR="002E73A9" w:rsidRPr="002E73A9" w:rsidRDefault="002E73A9" w:rsidP="002E73A9">
      <w:pPr>
        <w:spacing w:line="240" w:lineRule="auto"/>
        <w:rPr>
          <w:rFonts w:ascii="Times New Roman" w:hAnsi="Times New Roman" w:cs="Times New Roman"/>
        </w:rPr>
      </w:pPr>
    </w:p>
    <w:p w14:paraId="68F18E2D" w14:textId="77777777" w:rsidR="002E73A9" w:rsidRPr="002E73A9" w:rsidRDefault="002E73A9" w:rsidP="002E73A9">
      <w:pPr>
        <w:spacing w:line="240" w:lineRule="auto"/>
        <w:rPr>
          <w:rFonts w:ascii="Times New Roman" w:hAnsi="Times New Roman" w:cs="Times New Roman"/>
        </w:rPr>
      </w:pPr>
    </w:p>
    <w:p w14:paraId="15E83A07" w14:textId="77777777" w:rsidR="002E73A9" w:rsidRPr="000B7C1F" w:rsidRDefault="002E73A9" w:rsidP="002E73A9">
      <w:pPr>
        <w:spacing w:line="240" w:lineRule="auto"/>
        <w:rPr>
          <w:rFonts w:ascii="Times New Roman" w:hAnsi="Times New Roman" w:cs="Times New Roman"/>
          <w:u w:val="single"/>
        </w:rPr>
      </w:pPr>
      <w:r w:rsidRPr="000B7C1F">
        <w:rPr>
          <w:rFonts w:ascii="Times New Roman" w:hAnsi="Times New Roman" w:cs="Times New Roman"/>
          <w:u w:val="single"/>
        </w:rPr>
        <w:t>Secondary Sources</w:t>
      </w:r>
    </w:p>
    <w:p w14:paraId="0906E4AE" w14:textId="77777777"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 xml:space="preserve">Bianchi, Luca, </w:t>
      </w:r>
      <w:r w:rsidRPr="000B7C1F">
        <w:rPr>
          <w:rFonts w:ascii="Times New Roman" w:hAnsi="Times New Roman" w:cs="Times New Roman"/>
          <w:i/>
        </w:rPr>
        <w:t>Peter of Auvergne: University Master of the 13th Century</w:t>
      </w:r>
      <w:r w:rsidRPr="002E73A9">
        <w:rPr>
          <w:rFonts w:ascii="Times New Roman" w:hAnsi="Times New Roman" w:cs="Times New Roman"/>
        </w:rPr>
        <w:t xml:space="preserve">, ed. </w:t>
      </w:r>
      <w:proofErr w:type="spellStart"/>
      <w:r w:rsidRPr="002E73A9">
        <w:rPr>
          <w:rFonts w:ascii="Times New Roman" w:hAnsi="Times New Roman" w:cs="Times New Roman"/>
        </w:rPr>
        <w:t>Chrisoph</w:t>
      </w:r>
      <w:proofErr w:type="spellEnd"/>
      <w:r w:rsidRPr="002E73A9">
        <w:rPr>
          <w:rFonts w:ascii="Times New Roman" w:hAnsi="Times New Roman" w:cs="Times New Roman"/>
        </w:rPr>
        <w:t xml:space="preserve"> </w:t>
      </w:r>
      <w:proofErr w:type="spellStart"/>
      <w:r w:rsidRPr="002E73A9">
        <w:rPr>
          <w:rFonts w:ascii="Times New Roman" w:hAnsi="Times New Roman" w:cs="Times New Roman"/>
        </w:rPr>
        <w:t>Flueler</w:t>
      </w:r>
      <w:proofErr w:type="spellEnd"/>
      <w:r w:rsidRPr="002E73A9">
        <w:rPr>
          <w:rFonts w:ascii="Times New Roman" w:hAnsi="Times New Roman" w:cs="Times New Roman"/>
        </w:rPr>
        <w:t xml:space="preserve"> (Walter de </w:t>
      </w:r>
      <w:proofErr w:type="spellStart"/>
      <w:r w:rsidRPr="002E73A9">
        <w:rPr>
          <w:rFonts w:ascii="Times New Roman" w:hAnsi="Times New Roman" w:cs="Times New Roman"/>
        </w:rPr>
        <w:t>Gruyer</w:t>
      </w:r>
      <w:proofErr w:type="spellEnd"/>
      <w:r w:rsidRPr="002E73A9">
        <w:rPr>
          <w:rFonts w:ascii="Times New Roman" w:hAnsi="Times New Roman" w:cs="Times New Roman"/>
        </w:rPr>
        <w:t xml:space="preserve"> GmbH &amp; Co KG, 2014).</w:t>
      </w:r>
    </w:p>
    <w:p w14:paraId="687F9B49" w14:textId="77777777"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 xml:space="preserve">Bowers, B. S., </w:t>
      </w:r>
      <w:r w:rsidRPr="000B7C1F">
        <w:rPr>
          <w:rFonts w:ascii="Times New Roman" w:hAnsi="Times New Roman" w:cs="Times New Roman"/>
          <w:i/>
        </w:rPr>
        <w:t xml:space="preserve">The Medieval Hospital and Medical Practice </w:t>
      </w:r>
      <w:r w:rsidRPr="002E73A9">
        <w:rPr>
          <w:rFonts w:ascii="Times New Roman" w:hAnsi="Times New Roman" w:cs="Times New Roman"/>
        </w:rPr>
        <w:t>(London: Ashgate Publishing Ltd, 2007).</w:t>
      </w:r>
    </w:p>
    <w:p w14:paraId="02752294" w14:textId="77777777" w:rsidR="002E73A9" w:rsidRPr="002E73A9" w:rsidRDefault="002E73A9" w:rsidP="002E73A9">
      <w:pPr>
        <w:spacing w:line="240" w:lineRule="auto"/>
        <w:rPr>
          <w:rFonts w:ascii="Times New Roman" w:hAnsi="Times New Roman" w:cs="Times New Roman"/>
        </w:rPr>
      </w:pPr>
      <w:proofErr w:type="spellStart"/>
      <w:r w:rsidRPr="002E73A9">
        <w:rPr>
          <w:rFonts w:ascii="Times New Roman" w:hAnsi="Times New Roman" w:cs="Times New Roman"/>
        </w:rPr>
        <w:t>Breverton</w:t>
      </w:r>
      <w:proofErr w:type="spellEnd"/>
      <w:r w:rsidRPr="002E73A9">
        <w:rPr>
          <w:rFonts w:ascii="Times New Roman" w:hAnsi="Times New Roman" w:cs="Times New Roman"/>
        </w:rPr>
        <w:t xml:space="preserve">, Terry, </w:t>
      </w:r>
      <w:r w:rsidRPr="000B7C1F">
        <w:rPr>
          <w:rFonts w:ascii="Times New Roman" w:hAnsi="Times New Roman" w:cs="Times New Roman"/>
          <w:i/>
        </w:rPr>
        <w:t>Henry VII: The Maligned Tudor King</w:t>
      </w:r>
      <w:r w:rsidRPr="002E73A9">
        <w:rPr>
          <w:rFonts w:ascii="Times New Roman" w:hAnsi="Times New Roman" w:cs="Times New Roman"/>
        </w:rPr>
        <w:t xml:space="preserve"> (London: Amberley Publishing Limited, 2016).</w:t>
      </w:r>
    </w:p>
    <w:p w14:paraId="62BC402F" w14:textId="4AA2503E"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 xml:space="preserve">The British Museum, ‘The St Eustace Head Reliquary’ [online]. Available: </w:t>
      </w:r>
      <w:hyperlink r:id="rId10" w:history="1">
        <w:r w:rsidR="000B7C1F" w:rsidRPr="00666701">
          <w:rPr>
            <w:rStyle w:val="Hyperlink"/>
            <w:rFonts w:ascii="Times New Roman" w:hAnsi="Times New Roman" w:cs="Times New Roman"/>
          </w:rPr>
          <w:t>https://www.britishmuseum.org/research/collection_online/collection_object_details.aspx?objectId=47715&amp;partId=1</w:t>
        </w:r>
      </w:hyperlink>
      <w:r w:rsidR="000B7C1F">
        <w:rPr>
          <w:rFonts w:ascii="Times New Roman" w:hAnsi="Times New Roman" w:cs="Times New Roman"/>
        </w:rPr>
        <w:t xml:space="preserve"> </w:t>
      </w:r>
      <w:r w:rsidRPr="002E73A9">
        <w:rPr>
          <w:rFonts w:ascii="Times New Roman" w:hAnsi="Times New Roman" w:cs="Times New Roman"/>
        </w:rPr>
        <w:t>[accessed 30 Jan 2019].</w:t>
      </w:r>
    </w:p>
    <w:p w14:paraId="6AF742A9" w14:textId="77777777"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 xml:space="preserve">Burgess, Clive, </w:t>
      </w:r>
      <w:r w:rsidRPr="000B7C1F">
        <w:rPr>
          <w:rFonts w:ascii="Times New Roman" w:hAnsi="Times New Roman" w:cs="Times New Roman"/>
          <w:i/>
        </w:rPr>
        <w:t>Profit, Piety and the Professions in Later Medieval England</w:t>
      </w:r>
      <w:r w:rsidRPr="002E73A9">
        <w:rPr>
          <w:rFonts w:ascii="Times New Roman" w:hAnsi="Times New Roman" w:cs="Times New Roman"/>
        </w:rPr>
        <w:t xml:space="preserve"> (London: Alan Sutton Publishing, 1990). </w:t>
      </w:r>
    </w:p>
    <w:p w14:paraId="2AC53A58" w14:textId="77777777"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 xml:space="preserve">Duffy, Eamon, </w:t>
      </w:r>
      <w:r w:rsidRPr="000B7C1F">
        <w:rPr>
          <w:rFonts w:ascii="Times New Roman" w:hAnsi="Times New Roman" w:cs="Times New Roman"/>
          <w:i/>
        </w:rPr>
        <w:t>The Stripping of the Altars: Traditional Religion in England, 1400-1580</w:t>
      </w:r>
      <w:r w:rsidRPr="002E73A9">
        <w:rPr>
          <w:rFonts w:ascii="Times New Roman" w:hAnsi="Times New Roman" w:cs="Times New Roman"/>
        </w:rPr>
        <w:t xml:space="preserve">, second </w:t>
      </w:r>
      <w:proofErr w:type="spellStart"/>
      <w:r w:rsidRPr="002E73A9">
        <w:rPr>
          <w:rFonts w:ascii="Times New Roman" w:hAnsi="Times New Roman" w:cs="Times New Roman"/>
        </w:rPr>
        <w:t>edn</w:t>
      </w:r>
      <w:proofErr w:type="spellEnd"/>
      <w:r w:rsidRPr="002E73A9">
        <w:rPr>
          <w:rFonts w:ascii="Times New Roman" w:hAnsi="Times New Roman" w:cs="Times New Roman"/>
        </w:rPr>
        <w:t xml:space="preserve"> (Yale: Yale University Press, 2005). </w:t>
      </w:r>
    </w:p>
    <w:p w14:paraId="6B5BF9A3" w14:textId="77777777"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 xml:space="preserve">Freeman, Charles, </w:t>
      </w:r>
      <w:r w:rsidRPr="000B7C1F">
        <w:rPr>
          <w:rFonts w:ascii="Times New Roman" w:hAnsi="Times New Roman" w:cs="Times New Roman"/>
          <w:i/>
        </w:rPr>
        <w:t>Holy Bones, Holy Dust: How Relics Shaped the History of Medieval Europe</w:t>
      </w:r>
      <w:r w:rsidRPr="002E73A9">
        <w:rPr>
          <w:rFonts w:ascii="Times New Roman" w:hAnsi="Times New Roman" w:cs="Times New Roman"/>
        </w:rPr>
        <w:t xml:space="preserve"> (Yale: Yale University Press, 2011). </w:t>
      </w:r>
    </w:p>
    <w:p w14:paraId="4284E0D8" w14:textId="77777777"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lastRenderedPageBreak/>
        <w:t xml:space="preserve">Golden, Judith K., </w:t>
      </w:r>
      <w:r w:rsidRPr="000B7C1F">
        <w:rPr>
          <w:rFonts w:ascii="Times New Roman" w:hAnsi="Times New Roman" w:cs="Times New Roman"/>
          <w:i/>
        </w:rPr>
        <w:t>Insights and Interpretations: Studies in Celebration of the Eighty-fifth Anniversary of the Index of Christian Art</w:t>
      </w:r>
      <w:r w:rsidRPr="002E73A9">
        <w:rPr>
          <w:rFonts w:ascii="Times New Roman" w:hAnsi="Times New Roman" w:cs="Times New Roman"/>
        </w:rPr>
        <w:t xml:space="preserve"> (Princeton: Princeton University Press, 2002). </w:t>
      </w:r>
    </w:p>
    <w:p w14:paraId="7EB29768" w14:textId="44718B69"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 xml:space="preserve">Institute for Advanced Study, ‘Caroline Walker Bynum’ [online]. Available: </w:t>
      </w:r>
      <w:hyperlink r:id="rId11" w:history="1">
        <w:r w:rsidR="000B7C1F" w:rsidRPr="00666701">
          <w:rPr>
            <w:rStyle w:val="Hyperlink"/>
            <w:rFonts w:ascii="Times New Roman" w:hAnsi="Times New Roman" w:cs="Times New Roman"/>
          </w:rPr>
          <w:t>https://www.ias.edu/scholars/bynum</w:t>
        </w:r>
      </w:hyperlink>
      <w:r w:rsidR="000B7C1F">
        <w:rPr>
          <w:rFonts w:ascii="Times New Roman" w:hAnsi="Times New Roman" w:cs="Times New Roman"/>
        </w:rPr>
        <w:t xml:space="preserve"> </w:t>
      </w:r>
      <w:r w:rsidRPr="002E73A9">
        <w:rPr>
          <w:rFonts w:ascii="Times New Roman" w:hAnsi="Times New Roman" w:cs="Times New Roman"/>
        </w:rPr>
        <w:t>[accessed 23 Jan 2019].</w:t>
      </w:r>
    </w:p>
    <w:p w14:paraId="246761ED" w14:textId="77777777" w:rsidR="002E73A9" w:rsidRPr="002E73A9" w:rsidRDefault="002E73A9" w:rsidP="002E73A9">
      <w:pPr>
        <w:spacing w:line="240" w:lineRule="auto"/>
        <w:rPr>
          <w:rFonts w:ascii="Times New Roman" w:hAnsi="Times New Roman" w:cs="Times New Roman"/>
        </w:rPr>
      </w:pPr>
      <w:proofErr w:type="spellStart"/>
      <w:r w:rsidRPr="002E73A9">
        <w:rPr>
          <w:rFonts w:ascii="Times New Roman" w:hAnsi="Times New Roman" w:cs="Times New Roman"/>
        </w:rPr>
        <w:t>Jameston</w:t>
      </w:r>
      <w:proofErr w:type="spellEnd"/>
      <w:r w:rsidRPr="002E73A9">
        <w:rPr>
          <w:rFonts w:ascii="Times New Roman" w:hAnsi="Times New Roman" w:cs="Times New Roman"/>
        </w:rPr>
        <w:t xml:space="preserve">, Anna, </w:t>
      </w:r>
      <w:r w:rsidRPr="000B7C1F">
        <w:rPr>
          <w:rFonts w:ascii="Times New Roman" w:hAnsi="Times New Roman" w:cs="Times New Roman"/>
          <w:i/>
        </w:rPr>
        <w:t>Sacred and Legendary Art, Vol. 2</w:t>
      </w:r>
      <w:r w:rsidRPr="002E73A9">
        <w:rPr>
          <w:rFonts w:ascii="Times New Roman" w:hAnsi="Times New Roman" w:cs="Times New Roman"/>
        </w:rPr>
        <w:t xml:space="preserve"> (London: Longmans, Green, and Company, 1870).</w:t>
      </w:r>
    </w:p>
    <w:p w14:paraId="2D247F5D" w14:textId="77777777" w:rsidR="002E73A9" w:rsidRPr="002E73A9" w:rsidRDefault="002E73A9" w:rsidP="002E73A9">
      <w:pPr>
        <w:spacing w:line="240" w:lineRule="auto"/>
        <w:rPr>
          <w:rFonts w:ascii="Times New Roman" w:hAnsi="Times New Roman" w:cs="Times New Roman"/>
        </w:rPr>
      </w:pPr>
      <w:proofErr w:type="spellStart"/>
      <w:r w:rsidRPr="002E73A9">
        <w:rPr>
          <w:rFonts w:ascii="Times New Roman" w:hAnsi="Times New Roman" w:cs="Times New Roman"/>
        </w:rPr>
        <w:t>Laynesmith</w:t>
      </w:r>
      <w:proofErr w:type="spellEnd"/>
      <w:r w:rsidRPr="002E73A9">
        <w:rPr>
          <w:rFonts w:ascii="Times New Roman" w:hAnsi="Times New Roman" w:cs="Times New Roman"/>
        </w:rPr>
        <w:t xml:space="preserve">, J. L., </w:t>
      </w:r>
      <w:r w:rsidRPr="000B7C1F">
        <w:rPr>
          <w:rFonts w:ascii="Times New Roman" w:hAnsi="Times New Roman" w:cs="Times New Roman"/>
          <w:i/>
        </w:rPr>
        <w:t>Cecily Duchess of York</w:t>
      </w:r>
      <w:r w:rsidRPr="002E73A9">
        <w:rPr>
          <w:rFonts w:ascii="Times New Roman" w:hAnsi="Times New Roman" w:cs="Times New Roman"/>
        </w:rPr>
        <w:t xml:space="preserve"> (London: Bloomsbury Publishing, 2017). </w:t>
      </w:r>
    </w:p>
    <w:p w14:paraId="6C36EA73" w14:textId="77777777"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 xml:space="preserve">Lees, James C., </w:t>
      </w:r>
      <w:r w:rsidRPr="000B7C1F">
        <w:rPr>
          <w:rFonts w:ascii="Times New Roman" w:hAnsi="Times New Roman" w:cs="Times New Roman"/>
          <w:i/>
        </w:rPr>
        <w:t xml:space="preserve">The Abbey of Paisley, from Its Foundation </w:t>
      </w:r>
      <w:proofErr w:type="gramStart"/>
      <w:r w:rsidRPr="000B7C1F">
        <w:rPr>
          <w:rFonts w:ascii="Times New Roman" w:hAnsi="Times New Roman" w:cs="Times New Roman"/>
          <w:i/>
        </w:rPr>
        <w:t>Till</w:t>
      </w:r>
      <w:proofErr w:type="gramEnd"/>
      <w:r w:rsidRPr="000B7C1F">
        <w:rPr>
          <w:rFonts w:ascii="Times New Roman" w:hAnsi="Times New Roman" w:cs="Times New Roman"/>
          <w:i/>
        </w:rPr>
        <w:t xml:space="preserve"> Its Dissolution</w:t>
      </w:r>
      <w:r w:rsidRPr="002E73A9">
        <w:rPr>
          <w:rFonts w:ascii="Times New Roman" w:hAnsi="Times New Roman" w:cs="Times New Roman"/>
        </w:rPr>
        <w:t xml:space="preserve"> (London: A. Gardner, 1878). </w:t>
      </w:r>
    </w:p>
    <w:p w14:paraId="11CD2B8D" w14:textId="77777777"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 xml:space="preserve">Marshall, Peter, </w:t>
      </w:r>
      <w:r w:rsidRPr="000B7C1F">
        <w:rPr>
          <w:rFonts w:ascii="Times New Roman" w:hAnsi="Times New Roman" w:cs="Times New Roman"/>
          <w:i/>
        </w:rPr>
        <w:t>Beliefs and the Dead in Reformation England</w:t>
      </w:r>
      <w:r w:rsidRPr="002E73A9">
        <w:rPr>
          <w:rFonts w:ascii="Times New Roman" w:hAnsi="Times New Roman" w:cs="Times New Roman"/>
        </w:rPr>
        <w:t xml:space="preserve"> (London: OUP Oxford 2002).</w:t>
      </w:r>
    </w:p>
    <w:p w14:paraId="070C77C0" w14:textId="77777777"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 xml:space="preserve">Peters, Edward, </w:t>
      </w:r>
      <w:r w:rsidRPr="000B7C1F">
        <w:rPr>
          <w:rFonts w:ascii="Times New Roman" w:hAnsi="Times New Roman" w:cs="Times New Roman"/>
          <w:i/>
        </w:rPr>
        <w:t>Torture</w:t>
      </w:r>
      <w:r w:rsidRPr="002E73A9">
        <w:rPr>
          <w:rFonts w:ascii="Times New Roman" w:hAnsi="Times New Roman" w:cs="Times New Roman"/>
        </w:rPr>
        <w:t xml:space="preserve"> (Oxford: Blackwell, 1985).</w:t>
      </w:r>
    </w:p>
    <w:p w14:paraId="045AA4B8" w14:textId="77777777"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 xml:space="preserve">Tingle, Elizabeth C., </w:t>
      </w:r>
      <w:r w:rsidRPr="000B7C1F">
        <w:rPr>
          <w:rFonts w:ascii="Times New Roman" w:hAnsi="Times New Roman" w:cs="Times New Roman"/>
          <w:i/>
        </w:rPr>
        <w:t>Purgatory and Piety in Brittany 1480 – 1720</w:t>
      </w:r>
      <w:r w:rsidRPr="002E73A9">
        <w:rPr>
          <w:rFonts w:ascii="Times New Roman" w:hAnsi="Times New Roman" w:cs="Times New Roman"/>
        </w:rPr>
        <w:t xml:space="preserve"> (London: Routledge, 2016).</w:t>
      </w:r>
      <w:bookmarkStart w:id="1" w:name="_GoBack"/>
      <w:bookmarkEnd w:id="1"/>
    </w:p>
    <w:p w14:paraId="246DE184" w14:textId="77777777" w:rsidR="002E73A9" w:rsidRPr="002E73A9" w:rsidRDefault="002E73A9" w:rsidP="002E73A9">
      <w:pPr>
        <w:spacing w:line="240" w:lineRule="auto"/>
        <w:rPr>
          <w:rFonts w:ascii="Times New Roman" w:hAnsi="Times New Roman" w:cs="Times New Roman"/>
        </w:rPr>
      </w:pPr>
    </w:p>
    <w:p w14:paraId="2671410C" w14:textId="77777777" w:rsidR="002E73A9" w:rsidRPr="002E73A9" w:rsidRDefault="002E73A9" w:rsidP="002E73A9">
      <w:pPr>
        <w:spacing w:line="240" w:lineRule="auto"/>
        <w:rPr>
          <w:rFonts w:ascii="Times New Roman" w:hAnsi="Times New Roman" w:cs="Times New Roman"/>
        </w:rPr>
      </w:pPr>
    </w:p>
    <w:p w14:paraId="61D936C2" w14:textId="77777777"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Image Sources</w:t>
      </w:r>
    </w:p>
    <w:p w14:paraId="6516A2AA" w14:textId="4357C122"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 xml:space="preserve">Windsor Castle, College of St George, ‘Heraldry in St George’s Chapel’ [online]. Available at: </w:t>
      </w:r>
      <w:hyperlink r:id="rId12" w:history="1">
        <w:r w:rsidRPr="002E73A9">
          <w:rPr>
            <w:rStyle w:val="Hyperlink"/>
            <w:rFonts w:ascii="Times New Roman" w:hAnsi="Times New Roman" w:cs="Times New Roman"/>
          </w:rPr>
          <w:t>https://www.stgeorges-windsor.org/featured_articles/heraldry-st-georges-chapel/</w:t>
        </w:r>
      </w:hyperlink>
      <w:r w:rsidRPr="002E73A9">
        <w:rPr>
          <w:rFonts w:ascii="Times New Roman" w:hAnsi="Times New Roman" w:cs="Times New Roman"/>
        </w:rPr>
        <w:t xml:space="preserve"> </w:t>
      </w:r>
      <w:r w:rsidRPr="002E73A9">
        <w:rPr>
          <w:rFonts w:ascii="Times New Roman" w:hAnsi="Times New Roman" w:cs="Times New Roman"/>
        </w:rPr>
        <w:t>[accessed: 25 Jan 2019].</w:t>
      </w:r>
    </w:p>
    <w:p w14:paraId="2A36AA55" w14:textId="05B5749E" w:rsidR="002E73A9" w:rsidRPr="002E73A9" w:rsidRDefault="002E73A9" w:rsidP="002E73A9">
      <w:pPr>
        <w:spacing w:line="240" w:lineRule="auto"/>
        <w:rPr>
          <w:rFonts w:ascii="Times New Roman" w:hAnsi="Times New Roman" w:cs="Times New Roman"/>
        </w:rPr>
      </w:pPr>
      <w:r w:rsidRPr="002E73A9">
        <w:rPr>
          <w:rFonts w:ascii="Times New Roman" w:hAnsi="Times New Roman" w:cs="Times New Roman"/>
        </w:rPr>
        <w:t xml:space="preserve">Westminster Abbey, ‘Royal Tombs’ [online]. Available at: </w:t>
      </w:r>
      <w:hyperlink r:id="rId13" w:history="1">
        <w:r w:rsidRPr="002E73A9">
          <w:rPr>
            <w:rStyle w:val="Hyperlink"/>
            <w:rFonts w:ascii="Times New Roman" w:hAnsi="Times New Roman" w:cs="Times New Roman"/>
          </w:rPr>
          <w:t>https://www.westminster-abbey.org/about-the-abbey/history/royal-tombs</w:t>
        </w:r>
      </w:hyperlink>
      <w:r w:rsidRPr="002E73A9">
        <w:rPr>
          <w:rFonts w:ascii="Times New Roman" w:hAnsi="Times New Roman" w:cs="Times New Roman"/>
        </w:rPr>
        <w:t xml:space="preserve"> </w:t>
      </w:r>
      <w:r w:rsidRPr="002E73A9">
        <w:rPr>
          <w:rFonts w:ascii="Times New Roman" w:hAnsi="Times New Roman" w:cs="Times New Roman"/>
        </w:rPr>
        <w:t>[accessed: 28 Jan 2019].</w:t>
      </w:r>
    </w:p>
    <w:sectPr w:rsidR="002E73A9" w:rsidRPr="002E73A9">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A57087" w14:textId="77777777" w:rsidR="00DD4D84" w:rsidRDefault="00DD4D84" w:rsidP="00DD4D84">
      <w:pPr>
        <w:spacing w:after="0" w:line="240" w:lineRule="auto"/>
      </w:pPr>
      <w:r>
        <w:separator/>
      </w:r>
    </w:p>
  </w:endnote>
  <w:endnote w:type="continuationSeparator" w:id="0">
    <w:p w14:paraId="64A604EF" w14:textId="77777777" w:rsidR="00DD4D84" w:rsidRDefault="00DD4D84" w:rsidP="00DD4D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10B17D" w14:textId="77777777" w:rsidR="00DD4D84" w:rsidRDefault="00DD4D84" w:rsidP="00DD4D84">
      <w:pPr>
        <w:spacing w:after="0" w:line="240" w:lineRule="auto"/>
      </w:pPr>
      <w:r>
        <w:separator/>
      </w:r>
    </w:p>
  </w:footnote>
  <w:footnote w:type="continuationSeparator" w:id="0">
    <w:p w14:paraId="77563B5D" w14:textId="77777777" w:rsidR="00DD4D84" w:rsidRDefault="00DD4D84" w:rsidP="00DD4D84">
      <w:pPr>
        <w:spacing w:after="0" w:line="240" w:lineRule="auto"/>
      </w:pPr>
      <w:r>
        <w:continuationSeparator/>
      </w:r>
    </w:p>
  </w:footnote>
  <w:footnote w:id="1">
    <w:p w14:paraId="407EFFED" w14:textId="3B7824FE" w:rsidR="008E1D01" w:rsidRDefault="008E1D01">
      <w:pPr>
        <w:pStyle w:val="FootnoteText"/>
      </w:pPr>
      <w:r>
        <w:rPr>
          <w:rStyle w:val="FootnoteReference"/>
        </w:rPr>
        <w:footnoteRef/>
      </w:r>
      <w:r>
        <w:t xml:space="preserve"> </w:t>
      </w:r>
      <w:r w:rsidRPr="008E1D01">
        <w:t xml:space="preserve">Institute for Advanced Study, ‘Caroline Walker Bynum’ [online]. </w:t>
      </w:r>
    </w:p>
  </w:footnote>
  <w:footnote w:id="2">
    <w:p w14:paraId="176004EC" w14:textId="06362D19" w:rsidR="0030348D" w:rsidRDefault="0030348D">
      <w:pPr>
        <w:pStyle w:val="FootnoteText"/>
      </w:pPr>
      <w:r>
        <w:rPr>
          <w:rStyle w:val="FootnoteReference"/>
        </w:rPr>
        <w:footnoteRef/>
      </w:r>
      <w:r>
        <w:t xml:space="preserve"> </w:t>
      </w:r>
      <w:r w:rsidRPr="0030348D">
        <w:t xml:space="preserve">Bonaventure, </w:t>
      </w:r>
      <w:r w:rsidRPr="00127D00">
        <w:rPr>
          <w:i/>
        </w:rPr>
        <w:t xml:space="preserve">De assumption B. </w:t>
      </w:r>
      <w:proofErr w:type="spellStart"/>
      <w:r w:rsidRPr="00127D00">
        <w:rPr>
          <w:i/>
        </w:rPr>
        <w:t>Virginis</w:t>
      </w:r>
      <w:proofErr w:type="spellEnd"/>
      <w:r w:rsidRPr="00127D00">
        <w:rPr>
          <w:i/>
        </w:rPr>
        <w:t xml:space="preserve"> </w:t>
      </w:r>
      <w:proofErr w:type="spellStart"/>
      <w:r w:rsidRPr="00127D00">
        <w:rPr>
          <w:i/>
        </w:rPr>
        <w:t>Mariae</w:t>
      </w:r>
      <w:proofErr w:type="spellEnd"/>
      <w:r w:rsidRPr="0030348D">
        <w:t>, cited in C. Walker-Bynum, ‘Material Continuity, Personal Survival, and the Resurrection of the Body: A Scholastic Discussion in its Medieval and Modern Contexts,’ History of Religions, vol. 30, no. 1 (</w:t>
      </w:r>
      <w:proofErr w:type="gramStart"/>
      <w:r w:rsidRPr="0030348D">
        <w:t>Aug.,</w:t>
      </w:r>
      <w:proofErr w:type="gramEnd"/>
      <w:r w:rsidRPr="0030348D">
        <w:t xml:space="preserve"> 1990), p. 68.</w:t>
      </w:r>
    </w:p>
  </w:footnote>
  <w:footnote w:id="3">
    <w:p w14:paraId="64C98804" w14:textId="090E41CB" w:rsidR="0030348D" w:rsidRDefault="0030348D">
      <w:pPr>
        <w:pStyle w:val="FootnoteText"/>
      </w:pPr>
      <w:r>
        <w:rPr>
          <w:rStyle w:val="FootnoteReference"/>
        </w:rPr>
        <w:footnoteRef/>
      </w:r>
      <w:r>
        <w:t xml:space="preserve"> </w:t>
      </w:r>
      <w:r w:rsidRPr="0030348D">
        <w:t>C. Walker-Bynum, ‘</w:t>
      </w:r>
      <w:r w:rsidRPr="00127D00">
        <w:t>Material Continuity, Personal Survival, and the Resurrection of the Body: A Scholastic Discussion in its Medieval and Modern Contexts</w:t>
      </w:r>
      <w:r w:rsidRPr="0030348D">
        <w:t>,’ History of Religions, vol. 30, no. 1 (</w:t>
      </w:r>
      <w:proofErr w:type="gramStart"/>
      <w:r w:rsidRPr="0030348D">
        <w:t>Aug.,</w:t>
      </w:r>
      <w:proofErr w:type="gramEnd"/>
      <w:r w:rsidRPr="0030348D">
        <w:t xml:space="preserve"> 1990),</w:t>
      </w:r>
      <w:r>
        <w:t xml:space="preserve"> p</w:t>
      </w:r>
      <w:r w:rsidRPr="0030348D">
        <w:t>.</w:t>
      </w:r>
      <w:r>
        <w:t xml:space="preserve"> 69.</w:t>
      </w:r>
    </w:p>
  </w:footnote>
  <w:footnote w:id="4">
    <w:p w14:paraId="345B9EBF" w14:textId="30922A79" w:rsidR="0030348D" w:rsidRDefault="0030348D">
      <w:pPr>
        <w:pStyle w:val="FootnoteText"/>
      </w:pPr>
      <w:r>
        <w:rPr>
          <w:rStyle w:val="FootnoteReference"/>
        </w:rPr>
        <w:footnoteRef/>
      </w:r>
      <w:r>
        <w:t xml:space="preserve"> </w:t>
      </w:r>
      <w:r w:rsidRPr="0030348D">
        <w:t xml:space="preserve">John of Damascus, </w:t>
      </w:r>
      <w:proofErr w:type="gramStart"/>
      <w:r w:rsidRPr="00127D00">
        <w:rPr>
          <w:i/>
        </w:rPr>
        <w:t>In</w:t>
      </w:r>
      <w:proofErr w:type="gramEnd"/>
      <w:r w:rsidRPr="00127D00">
        <w:rPr>
          <w:i/>
        </w:rPr>
        <w:t xml:space="preserve"> </w:t>
      </w:r>
      <w:proofErr w:type="spellStart"/>
      <w:r w:rsidRPr="00127D00">
        <w:rPr>
          <w:i/>
        </w:rPr>
        <w:t>librum</w:t>
      </w:r>
      <w:proofErr w:type="spellEnd"/>
      <w:r w:rsidRPr="00127D00">
        <w:rPr>
          <w:i/>
        </w:rPr>
        <w:t xml:space="preserve"> de fide </w:t>
      </w:r>
      <w:proofErr w:type="spellStart"/>
      <w:r w:rsidRPr="00127D00">
        <w:rPr>
          <w:i/>
        </w:rPr>
        <w:t>orthodoxa</w:t>
      </w:r>
      <w:proofErr w:type="spellEnd"/>
      <w:r w:rsidRPr="0030348D">
        <w:t>, cited in C. Walker-Bynum, ‘Material Continuity, Personal Survival, and the Resurrection of the Body: A Scholastic Discussion in its Medieval and Modern Contexts,’ History of Religions, vol. 30, no. 1 (Aug., 1990), p. 70.</w:t>
      </w:r>
    </w:p>
  </w:footnote>
  <w:footnote w:id="5">
    <w:p w14:paraId="3C805A2B" w14:textId="47195440" w:rsidR="0030348D" w:rsidRDefault="0030348D">
      <w:pPr>
        <w:pStyle w:val="FootnoteText"/>
      </w:pPr>
      <w:r>
        <w:rPr>
          <w:rStyle w:val="FootnoteReference"/>
        </w:rPr>
        <w:footnoteRef/>
      </w:r>
      <w:r>
        <w:t xml:space="preserve"> </w:t>
      </w:r>
      <w:r w:rsidR="00943B32">
        <w:t xml:space="preserve">C. </w:t>
      </w:r>
      <w:r>
        <w:t xml:space="preserve">Walker-Bynum, p. 66. </w:t>
      </w:r>
    </w:p>
  </w:footnote>
  <w:footnote w:id="6">
    <w:p w14:paraId="05F2C443" w14:textId="7992C65E" w:rsidR="00943B32" w:rsidRDefault="00943B32">
      <w:pPr>
        <w:pStyle w:val="FootnoteText"/>
      </w:pPr>
      <w:r>
        <w:rPr>
          <w:rStyle w:val="FootnoteReference"/>
        </w:rPr>
        <w:footnoteRef/>
      </w:r>
      <w:r>
        <w:t xml:space="preserve"> C. Walker-Bynum, p. 75.</w:t>
      </w:r>
    </w:p>
  </w:footnote>
  <w:footnote w:id="7">
    <w:p w14:paraId="5A400C62" w14:textId="355196BB" w:rsidR="00943B32" w:rsidRDefault="00943B32">
      <w:pPr>
        <w:pStyle w:val="FootnoteText"/>
      </w:pPr>
      <w:r>
        <w:rPr>
          <w:rStyle w:val="FootnoteReference"/>
        </w:rPr>
        <w:footnoteRef/>
      </w:r>
      <w:r>
        <w:t xml:space="preserve"> Ibid, p. 75. </w:t>
      </w:r>
    </w:p>
  </w:footnote>
  <w:footnote w:id="8">
    <w:p w14:paraId="5B0BA2CE" w14:textId="6EA923ED" w:rsidR="00943B32" w:rsidRDefault="00943B32">
      <w:pPr>
        <w:pStyle w:val="FootnoteText"/>
      </w:pPr>
      <w:r>
        <w:rPr>
          <w:rStyle w:val="FootnoteReference"/>
        </w:rPr>
        <w:footnoteRef/>
      </w:r>
      <w:r>
        <w:t xml:space="preserve"> Ibid, p. 75. </w:t>
      </w:r>
    </w:p>
  </w:footnote>
  <w:footnote w:id="9">
    <w:p w14:paraId="6426E9DA" w14:textId="1D238D44" w:rsidR="00943B32" w:rsidRDefault="00943B32">
      <w:pPr>
        <w:pStyle w:val="FootnoteText"/>
      </w:pPr>
      <w:r>
        <w:rPr>
          <w:rStyle w:val="FootnoteReference"/>
        </w:rPr>
        <w:footnoteRef/>
      </w:r>
      <w:r>
        <w:t xml:space="preserve"> C. Walker-Bynum, p. 72.</w:t>
      </w:r>
    </w:p>
  </w:footnote>
  <w:footnote w:id="10">
    <w:p w14:paraId="0CB5C262" w14:textId="023E7DCF" w:rsidR="00943B32" w:rsidRDefault="00943B32">
      <w:pPr>
        <w:pStyle w:val="FootnoteText"/>
      </w:pPr>
      <w:r>
        <w:rPr>
          <w:rStyle w:val="FootnoteReference"/>
        </w:rPr>
        <w:footnoteRef/>
      </w:r>
      <w:r>
        <w:t xml:space="preserve"> C. Walker-Bynum, p. 82. </w:t>
      </w:r>
    </w:p>
  </w:footnote>
  <w:footnote w:id="11">
    <w:p w14:paraId="65019EF6" w14:textId="1EF640C4" w:rsidR="00943B32" w:rsidRDefault="00943B32">
      <w:pPr>
        <w:pStyle w:val="FootnoteText"/>
      </w:pPr>
      <w:r>
        <w:rPr>
          <w:rStyle w:val="FootnoteReference"/>
        </w:rPr>
        <w:footnoteRef/>
      </w:r>
      <w:r>
        <w:t xml:space="preserve"> </w:t>
      </w:r>
      <w:r w:rsidRPr="00943B32">
        <w:t>Edward</w:t>
      </w:r>
      <w:r>
        <w:t xml:space="preserve"> Peters</w:t>
      </w:r>
      <w:r w:rsidRPr="00943B32">
        <w:t xml:space="preserve">, </w:t>
      </w:r>
      <w:r w:rsidRPr="00943B32">
        <w:rPr>
          <w:i/>
        </w:rPr>
        <w:t>Torture</w:t>
      </w:r>
      <w:r w:rsidRPr="00943B32">
        <w:t xml:space="preserve"> (Oxford: Blackwell, 1985), pp. 19 – 24.</w:t>
      </w:r>
    </w:p>
  </w:footnote>
  <w:footnote w:id="12">
    <w:p w14:paraId="2CEAAE56" w14:textId="58D92699" w:rsidR="000F4530" w:rsidRDefault="000F4530">
      <w:pPr>
        <w:pStyle w:val="FootnoteText"/>
      </w:pPr>
      <w:r>
        <w:rPr>
          <w:rStyle w:val="FootnoteReference"/>
        </w:rPr>
        <w:footnoteRef/>
      </w:r>
      <w:r>
        <w:t xml:space="preserve"> C. Walker-Bynum, p. 81. </w:t>
      </w:r>
    </w:p>
  </w:footnote>
  <w:footnote w:id="13">
    <w:p w14:paraId="2C665887" w14:textId="73C35527" w:rsidR="00423A56" w:rsidRDefault="00423A56">
      <w:pPr>
        <w:pStyle w:val="FootnoteText"/>
      </w:pPr>
      <w:r>
        <w:rPr>
          <w:rStyle w:val="FootnoteReference"/>
        </w:rPr>
        <w:footnoteRef/>
      </w:r>
      <w:r>
        <w:t xml:space="preserve"> C. Walker-Bynum, p. 55.</w:t>
      </w:r>
    </w:p>
  </w:footnote>
  <w:footnote w:id="14">
    <w:p w14:paraId="41A79E29" w14:textId="3D0B32B3" w:rsidR="00423A56" w:rsidRDefault="00423A56">
      <w:pPr>
        <w:pStyle w:val="FootnoteText"/>
      </w:pPr>
      <w:r>
        <w:rPr>
          <w:rStyle w:val="FootnoteReference"/>
        </w:rPr>
        <w:footnoteRef/>
      </w:r>
      <w:r>
        <w:t xml:space="preserve"> </w:t>
      </w:r>
      <w:r w:rsidRPr="00423A56">
        <w:t xml:space="preserve">Peter Lombard, </w:t>
      </w:r>
      <w:r w:rsidRPr="00127D00">
        <w:rPr>
          <w:i/>
        </w:rPr>
        <w:t>Sentences</w:t>
      </w:r>
      <w:r w:rsidRPr="00423A56">
        <w:t>, cited in C. Walker-Bynum, ‘Material Continuity, Personal Survival, and the Resurrection of the Body: A Scholastic Discussion in its Medieval and Modern Contexts,’ History of Religions, vol. 30, no. 1 (</w:t>
      </w:r>
      <w:proofErr w:type="gramStart"/>
      <w:r w:rsidRPr="00423A56">
        <w:t>Aug.,</w:t>
      </w:r>
      <w:proofErr w:type="gramEnd"/>
      <w:r w:rsidRPr="00423A56">
        <w:t xml:space="preserve"> 1990), p. 54.</w:t>
      </w:r>
    </w:p>
  </w:footnote>
  <w:footnote w:id="15">
    <w:p w14:paraId="3ABFF5E4" w14:textId="20C7D80D" w:rsidR="00423A56" w:rsidRDefault="00423A56">
      <w:pPr>
        <w:pStyle w:val="FootnoteText"/>
      </w:pPr>
      <w:r>
        <w:rPr>
          <w:rStyle w:val="FootnoteReference"/>
        </w:rPr>
        <w:footnoteRef/>
      </w:r>
      <w:r>
        <w:t xml:space="preserve"> C. Walker-Bynum, p. 66.</w:t>
      </w:r>
    </w:p>
  </w:footnote>
  <w:footnote w:id="16">
    <w:p w14:paraId="0A98FDD5" w14:textId="1CFFB031" w:rsidR="00423A56" w:rsidRDefault="00423A56">
      <w:pPr>
        <w:pStyle w:val="FootnoteText"/>
      </w:pPr>
      <w:r>
        <w:rPr>
          <w:rStyle w:val="FootnoteReference"/>
        </w:rPr>
        <w:footnoteRef/>
      </w:r>
      <w:r>
        <w:t xml:space="preserve"> C. Walker-Bynum, p. 53.</w:t>
      </w:r>
    </w:p>
  </w:footnote>
  <w:footnote w:id="17">
    <w:p w14:paraId="56876B3D" w14:textId="7B44B4F6" w:rsidR="00260F42" w:rsidRDefault="00260F42">
      <w:pPr>
        <w:pStyle w:val="FootnoteText"/>
      </w:pPr>
      <w:r>
        <w:rPr>
          <w:rStyle w:val="FootnoteReference"/>
        </w:rPr>
        <w:footnoteRef/>
      </w:r>
      <w:r>
        <w:t xml:space="preserve"> Luca </w:t>
      </w:r>
      <w:r w:rsidRPr="00260F42">
        <w:t xml:space="preserve">Bianchi, </w:t>
      </w:r>
      <w:r w:rsidRPr="00127D00">
        <w:rPr>
          <w:i/>
        </w:rPr>
        <w:t>Peter of Auvergne: University Master of the 13th Century</w:t>
      </w:r>
      <w:r w:rsidRPr="00260F42">
        <w:t xml:space="preserve">, ed. </w:t>
      </w:r>
      <w:proofErr w:type="spellStart"/>
      <w:r w:rsidRPr="00260F42">
        <w:t>Chrisoph</w:t>
      </w:r>
      <w:proofErr w:type="spellEnd"/>
      <w:r w:rsidRPr="00260F42">
        <w:t xml:space="preserve"> </w:t>
      </w:r>
      <w:proofErr w:type="spellStart"/>
      <w:r w:rsidRPr="00260F42">
        <w:t>Flueler</w:t>
      </w:r>
      <w:proofErr w:type="spellEnd"/>
      <w:r w:rsidRPr="00260F42">
        <w:t xml:space="preserve"> (Walter de </w:t>
      </w:r>
      <w:proofErr w:type="spellStart"/>
      <w:r w:rsidRPr="00260F42">
        <w:t>Gruyer</w:t>
      </w:r>
      <w:proofErr w:type="spellEnd"/>
      <w:r w:rsidRPr="00260F42">
        <w:t xml:space="preserve"> GmbH &amp; Co KG, 2014)</w:t>
      </w:r>
      <w:r w:rsidR="00127D00">
        <w:t>, p. 41</w:t>
      </w:r>
      <w:r w:rsidRPr="00260F42">
        <w:t>.</w:t>
      </w:r>
    </w:p>
  </w:footnote>
  <w:footnote w:id="18">
    <w:p w14:paraId="3CF05672" w14:textId="59684623" w:rsidR="00260F42" w:rsidRDefault="00260F42">
      <w:pPr>
        <w:pStyle w:val="FootnoteText"/>
      </w:pPr>
      <w:r>
        <w:rPr>
          <w:rStyle w:val="FootnoteReference"/>
        </w:rPr>
        <w:footnoteRef/>
      </w:r>
      <w:r>
        <w:t xml:space="preserve"> C. Walker-Bynum, p. 58. </w:t>
      </w:r>
    </w:p>
  </w:footnote>
  <w:footnote w:id="19">
    <w:p w14:paraId="4643D994" w14:textId="33FEEC44" w:rsidR="008E17B5" w:rsidRDefault="008E17B5">
      <w:pPr>
        <w:pStyle w:val="FootnoteText"/>
      </w:pPr>
      <w:r>
        <w:rPr>
          <w:rStyle w:val="FootnoteReference"/>
        </w:rPr>
        <w:footnoteRef/>
      </w:r>
      <w:r>
        <w:t xml:space="preserve"> C. Walker-Bynum, p. 84.</w:t>
      </w:r>
    </w:p>
  </w:footnote>
  <w:footnote w:id="20">
    <w:p w14:paraId="7817039B" w14:textId="7CEEE29B" w:rsidR="00823424" w:rsidRDefault="00823424">
      <w:pPr>
        <w:pStyle w:val="FootnoteText"/>
      </w:pPr>
      <w:r>
        <w:rPr>
          <w:rStyle w:val="FootnoteReference"/>
        </w:rPr>
        <w:footnoteRef/>
      </w:r>
      <w:r>
        <w:t xml:space="preserve"> C. Walker-Bynum, p. 64.</w:t>
      </w:r>
    </w:p>
  </w:footnote>
  <w:footnote w:id="21">
    <w:p w14:paraId="7CA28E15" w14:textId="59E33DC2" w:rsidR="00823424" w:rsidRDefault="00823424">
      <w:pPr>
        <w:pStyle w:val="FootnoteText"/>
      </w:pPr>
      <w:r>
        <w:rPr>
          <w:rStyle w:val="FootnoteReference"/>
        </w:rPr>
        <w:footnoteRef/>
      </w:r>
      <w:r>
        <w:t xml:space="preserve"> C. Walker-Bynum, p. 63.</w:t>
      </w:r>
    </w:p>
  </w:footnote>
  <w:footnote w:id="22">
    <w:p w14:paraId="2FE58ADF" w14:textId="72E99499" w:rsidR="00C8799F" w:rsidRDefault="00C8799F">
      <w:pPr>
        <w:pStyle w:val="FootnoteText"/>
      </w:pPr>
      <w:r>
        <w:rPr>
          <w:rStyle w:val="FootnoteReference"/>
        </w:rPr>
        <w:footnoteRef/>
      </w:r>
      <w:r>
        <w:t xml:space="preserve"> </w:t>
      </w:r>
      <w:r w:rsidRPr="00C8799F">
        <w:t xml:space="preserve">Clive Burgess, ‘Late Medieval Wills and Pious Conventions: Testamentary Evidence Reconsidered” in </w:t>
      </w:r>
      <w:r w:rsidRPr="00C8799F">
        <w:rPr>
          <w:i/>
        </w:rPr>
        <w:t xml:space="preserve">Profit, Piety and the Professions in Later Medieval England </w:t>
      </w:r>
      <w:r w:rsidRPr="00C8799F">
        <w:t>(London: Alan Sutton Publishing, 1990), p. 15.</w:t>
      </w:r>
    </w:p>
  </w:footnote>
  <w:footnote w:id="23">
    <w:p w14:paraId="601E4B15" w14:textId="28B5093C" w:rsidR="00C8799F" w:rsidRDefault="00C8799F">
      <w:pPr>
        <w:pStyle w:val="FootnoteText"/>
      </w:pPr>
      <w:r>
        <w:rPr>
          <w:rStyle w:val="FootnoteReference"/>
        </w:rPr>
        <w:footnoteRef/>
      </w:r>
      <w:r>
        <w:t xml:space="preserve"> </w:t>
      </w:r>
      <w:r w:rsidRPr="00C8799F">
        <w:t xml:space="preserve">The Will of John of </w:t>
      </w:r>
      <w:proofErr w:type="spellStart"/>
      <w:r w:rsidRPr="00C8799F">
        <w:t>Baret</w:t>
      </w:r>
      <w:proofErr w:type="spellEnd"/>
      <w:r w:rsidRPr="00C8799F">
        <w:t xml:space="preserve">, cited in S. </w:t>
      </w:r>
      <w:proofErr w:type="spellStart"/>
      <w:r w:rsidRPr="00C8799F">
        <w:t>Tymms</w:t>
      </w:r>
      <w:proofErr w:type="spellEnd"/>
      <w:r w:rsidRPr="00C8799F">
        <w:t xml:space="preserve">, </w:t>
      </w:r>
      <w:r w:rsidRPr="00C8799F">
        <w:rPr>
          <w:i/>
        </w:rPr>
        <w:t>Will and Inventories from the Registers of the Commissary of Bury St Edmunds and the Archdeacon of Sudbury</w:t>
      </w:r>
      <w:r w:rsidRPr="00C8799F">
        <w:t xml:space="preserve"> (London, 1850), pp. 16 – 19.</w:t>
      </w:r>
    </w:p>
  </w:footnote>
  <w:footnote w:id="24">
    <w:p w14:paraId="34CD27A5" w14:textId="3AB1D061" w:rsidR="00C8799F" w:rsidRDefault="00C8799F">
      <w:pPr>
        <w:pStyle w:val="FootnoteText"/>
      </w:pPr>
      <w:r>
        <w:rPr>
          <w:rStyle w:val="FootnoteReference"/>
        </w:rPr>
        <w:footnoteRef/>
      </w:r>
      <w:r>
        <w:t xml:space="preserve"> </w:t>
      </w:r>
      <w:proofErr w:type="gramStart"/>
      <w:r w:rsidRPr="00C8799F">
        <w:t xml:space="preserve">The Epitaph of Avery </w:t>
      </w:r>
      <w:proofErr w:type="spellStart"/>
      <w:r w:rsidRPr="00C8799F">
        <w:t>Comborough</w:t>
      </w:r>
      <w:proofErr w:type="spellEnd"/>
      <w:r w:rsidRPr="00C8799F">
        <w:t>,</w:t>
      </w:r>
      <w:proofErr w:type="gramEnd"/>
      <w:r w:rsidRPr="00C8799F">
        <w:t xml:space="preserve"> cited in S. </w:t>
      </w:r>
      <w:proofErr w:type="spellStart"/>
      <w:r w:rsidRPr="00C8799F">
        <w:t>Badham</w:t>
      </w:r>
      <w:proofErr w:type="spellEnd"/>
      <w:r w:rsidRPr="00C8799F">
        <w:t xml:space="preserve">, </w:t>
      </w:r>
      <w:r w:rsidRPr="00C8799F">
        <w:rPr>
          <w:i/>
        </w:rPr>
        <w:t>Seeking Salvation: Commemorating the Dead in the Late-Medieval English Parish</w:t>
      </w:r>
      <w:r w:rsidRPr="00C8799F">
        <w:t xml:space="preserve"> (</w:t>
      </w:r>
      <w:proofErr w:type="spellStart"/>
      <w:r w:rsidRPr="00C8799F">
        <w:t>Donington</w:t>
      </w:r>
      <w:proofErr w:type="spellEnd"/>
      <w:r w:rsidRPr="00C8799F">
        <w:t>, 2015), pp. 15 – 16.</w:t>
      </w:r>
    </w:p>
  </w:footnote>
  <w:footnote w:id="25">
    <w:p w14:paraId="0ED02FBD" w14:textId="67BA505A" w:rsidR="00C8799F" w:rsidRDefault="00C8799F">
      <w:pPr>
        <w:pStyle w:val="FootnoteText"/>
      </w:pPr>
      <w:r>
        <w:rPr>
          <w:rStyle w:val="FootnoteReference"/>
        </w:rPr>
        <w:footnoteRef/>
      </w:r>
      <w:r>
        <w:t xml:space="preserve"> </w:t>
      </w:r>
      <w:r w:rsidRPr="00C8799F">
        <w:t xml:space="preserve">Eamon Duffy, ‘Last Things’ in </w:t>
      </w:r>
      <w:r w:rsidRPr="00C8799F">
        <w:rPr>
          <w:i/>
        </w:rPr>
        <w:t>The Stripping of the Altars: Traditional Religion in England, 1400-1580</w:t>
      </w:r>
      <w:r w:rsidRPr="00C8799F">
        <w:t xml:space="preserve">, second </w:t>
      </w:r>
      <w:proofErr w:type="spellStart"/>
      <w:r w:rsidRPr="00C8799F">
        <w:t>edn</w:t>
      </w:r>
      <w:proofErr w:type="spellEnd"/>
      <w:r w:rsidRPr="00C8799F">
        <w:t xml:space="preserve"> (Yale: Yale University Press, 2005), p. 335.</w:t>
      </w:r>
    </w:p>
  </w:footnote>
  <w:footnote w:id="26">
    <w:p w14:paraId="0F39149F" w14:textId="6CC3E6FA" w:rsidR="00C8799F" w:rsidRDefault="00C8799F">
      <w:pPr>
        <w:pStyle w:val="FootnoteText"/>
      </w:pPr>
      <w:r>
        <w:rPr>
          <w:rStyle w:val="FootnoteReference"/>
        </w:rPr>
        <w:footnoteRef/>
      </w:r>
      <w:r>
        <w:t xml:space="preserve"> </w:t>
      </w:r>
      <w:r w:rsidRPr="00C8799F">
        <w:t xml:space="preserve">Peter Marshall, ‘The Presence of the Dead’ in </w:t>
      </w:r>
      <w:r w:rsidRPr="00C8799F">
        <w:rPr>
          <w:i/>
        </w:rPr>
        <w:t>Beliefs and the Dead in Reformation England</w:t>
      </w:r>
      <w:r w:rsidRPr="00C8799F">
        <w:t xml:space="preserve"> (London: OUP Oxford 2002), p. 38.</w:t>
      </w:r>
    </w:p>
  </w:footnote>
  <w:footnote w:id="27">
    <w:p w14:paraId="172C9113" w14:textId="780129B2" w:rsidR="00C8799F" w:rsidRDefault="00C8799F">
      <w:pPr>
        <w:pStyle w:val="FootnoteText"/>
      </w:pPr>
      <w:r>
        <w:rPr>
          <w:rStyle w:val="FootnoteReference"/>
        </w:rPr>
        <w:footnoteRef/>
      </w:r>
      <w:r>
        <w:t xml:space="preserve"> </w:t>
      </w:r>
      <w:r w:rsidRPr="00C8799F">
        <w:t>See Fig. 2, the tomb of King Henry III at Westminster Abbey.</w:t>
      </w:r>
    </w:p>
  </w:footnote>
  <w:footnote w:id="28">
    <w:p w14:paraId="06ACCAA4" w14:textId="251A5033" w:rsidR="00C8799F" w:rsidRDefault="00C8799F">
      <w:pPr>
        <w:pStyle w:val="FootnoteText"/>
      </w:pPr>
      <w:r>
        <w:rPr>
          <w:rStyle w:val="FootnoteReference"/>
        </w:rPr>
        <w:footnoteRef/>
      </w:r>
      <w:r>
        <w:t xml:space="preserve"> </w:t>
      </w:r>
      <w:r w:rsidRPr="00C8799F">
        <w:t>See Fig. 1, the commemorative heraldic devices of the Knights of the Garter at St George’s Chapel, Windsor.</w:t>
      </w:r>
    </w:p>
  </w:footnote>
  <w:footnote w:id="29">
    <w:p w14:paraId="3ABA40AB" w14:textId="09E22093" w:rsidR="00C8799F" w:rsidRDefault="00C8799F">
      <w:pPr>
        <w:pStyle w:val="FootnoteText"/>
      </w:pPr>
      <w:r>
        <w:rPr>
          <w:rStyle w:val="FootnoteReference"/>
        </w:rPr>
        <w:footnoteRef/>
      </w:r>
      <w:r>
        <w:t xml:space="preserve"> </w:t>
      </w:r>
      <w:r w:rsidRPr="00C8799F">
        <w:t xml:space="preserve">Elizabeth C. Tingle, </w:t>
      </w:r>
      <w:r w:rsidRPr="00C8799F">
        <w:rPr>
          <w:i/>
        </w:rPr>
        <w:t>Purgatory and Piety in Brittany 1480 – 1720</w:t>
      </w:r>
      <w:r w:rsidRPr="00C8799F">
        <w:t xml:space="preserve"> (London: Routledge, 2016), p. 156.</w:t>
      </w:r>
    </w:p>
  </w:footnote>
  <w:footnote w:id="30">
    <w:p w14:paraId="5B063B6E" w14:textId="1D7F6FE0" w:rsidR="00C46C19" w:rsidRDefault="00C46C19">
      <w:pPr>
        <w:pStyle w:val="FootnoteText"/>
      </w:pPr>
      <w:r>
        <w:rPr>
          <w:rStyle w:val="FootnoteReference"/>
        </w:rPr>
        <w:footnoteRef/>
      </w:r>
      <w:r>
        <w:t xml:space="preserve"> </w:t>
      </w:r>
      <w:r w:rsidRPr="00C46C19">
        <w:t xml:space="preserve">James C. Lees, </w:t>
      </w:r>
      <w:r w:rsidRPr="00C46C19">
        <w:rPr>
          <w:i/>
        </w:rPr>
        <w:t xml:space="preserve">The Abbey of Paisley, from Its Foundation </w:t>
      </w:r>
      <w:proofErr w:type="gramStart"/>
      <w:r w:rsidRPr="00C46C19">
        <w:rPr>
          <w:i/>
        </w:rPr>
        <w:t>Till</w:t>
      </w:r>
      <w:proofErr w:type="gramEnd"/>
      <w:r w:rsidRPr="00C46C19">
        <w:rPr>
          <w:i/>
        </w:rPr>
        <w:t xml:space="preserve"> Its Dissolution</w:t>
      </w:r>
      <w:r w:rsidRPr="00C46C19">
        <w:t xml:space="preserve"> (London: A. Gardner, 1878), p. 120.</w:t>
      </w:r>
    </w:p>
  </w:footnote>
  <w:footnote w:id="31">
    <w:p w14:paraId="696E4859" w14:textId="45F07793" w:rsidR="00C46C19" w:rsidRDefault="00C46C19">
      <w:pPr>
        <w:pStyle w:val="FootnoteText"/>
      </w:pPr>
      <w:r>
        <w:rPr>
          <w:rStyle w:val="FootnoteReference"/>
        </w:rPr>
        <w:footnoteRef/>
      </w:r>
      <w:r>
        <w:t xml:space="preserve"> </w:t>
      </w:r>
      <w:r w:rsidRPr="00C46C19">
        <w:t xml:space="preserve">Clive Burgess, ‘Late Medieval Wills and Pious Conventions: Testamentary Evidence Reconsidered’ in </w:t>
      </w:r>
      <w:r w:rsidRPr="00C46C19">
        <w:rPr>
          <w:i/>
        </w:rPr>
        <w:t>Profit, Piety and the Professions in Later Medieval England</w:t>
      </w:r>
      <w:r w:rsidRPr="00C46C19">
        <w:t xml:space="preserve"> (London: Alan Sutton Publishing, 1990), p.15.</w:t>
      </w:r>
    </w:p>
  </w:footnote>
  <w:footnote w:id="32">
    <w:p w14:paraId="7B69D7A2" w14:textId="6CD90114" w:rsidR="00FD0152" w:rsidRDefault="00FD0152">
      <w:pPr>
        <w:pStyle w:val="FootnoteText"/>
      </w:pPr>
      <w:r>
        <w:rPr>
          <w:rStyle w:val="FootnoteReference"/>
        </w:rPr>
        <w:footnoteRef/>
      </w:r>
      <w:r>
        <w:t xml:space="preserve"> </w:t>
      </w:r>
      <w:r w:rsidRPr="00FD0152">
        <w:t xml:space="preserve">John Calvin, </w:t>
      </w:r>
      <w:r>
        <w:t xml:space="preserve">‘Chapter 1: Origin </w:t>
      </w:r>
      <w:proofErr w:type="gramStart"/>
      <w:r>
        <w:t>Of</w:t>
      </w:r>
      <w:proofErr w:type="gramEnd"/>
      <w:r>
        <w:t xml:space="preserve"> The Worship Of Relics And Images In The Christian Church’ in </w:t>
      </w:r>
      <w:r w:rsidRPr="00FD0152">
        <w:rPr>
          <w:i/>
        </w:rPr>
        <w:t>Treatise on Relics</w:t>
      </w:r>
      <w:r w:rsidRPr="00FD0152">
        <w:t xml:space="preserve">, translated by Valerian </w:t>
      </w:r>
      <w:proofErr w:type="spellStart"/>
      <w:r w:rsidRPr="00FD0152">
        <w:t>Krasinki</w:t>
      </w:r>
      <w:proofErr w:type="spellEnd"/>
      <w:r w:rsidRPr="00FD0152">
        <w:t xml:space="preserve"> (London: Prometheus Books), p. 9.</w:t>
      </w:r>
    </w:p>
  </w:footnote>
  <w:footnote w:id="33">
    <w:p w14:paraId="17FCC9BE" w14:textId="2D09B3CB" w:rsidR="00A32DC5" w:rsidRDefault="00A32DC5">
      <w:pPr>
        <w:pStyle w:val="FootnoteText"/>
      </w:pPr>
      <w:r>
        <w:rPr>
          <w:rStyle w:val="FootnoteReference"/>
        </w:rPr>
        <w:footnoteRef/>
      </w:r>
      <w:r>
        <w:t xml:space="preserve"> </w:t>
      </w:r>
      <w:r w:rsidRPr="00A32DC5">
        <w:t>Judith K.</w:t>
      </w:r>
      <w:r>
        <w:t xml:space="preserve"> Golden</w:t>
      </w:r>
      <w:r w:rsidRPr="00A32DC5">
        <w:t xml:space="preserve">, </w:t>
      </w:r>
      <w:r>
        <w:t xml:space="preserve">‘Images of Instructions: Marie of Bretagne and the Life of St Eustace as Illustrated in British Library MS Egerton 745’ in </w:t>
      </w:r>
      <w:r w:rsidRPr="00A32DC5">
        <w:rPr>
          <w:i/>
        </w:rPr>
        <w:t>Insights and Interpretations: Studies in Celebration of the Eighty-fifth Anniversary of the Index of Christian Art</w:t>
      </w:r>
      <w:r w:rsidRPr="00A32DC5">
        <w:t xml:space="preserve"> (Princeton: Princeton University Press, 2002)</w:t>
      </w:r>
      <w:r>
        <w:t>, p</w:t>
      </w:r>
      <w:r w:rsidRPr="00A32DC5">
        <w:t>.</w:t>
      </w:r>
      <w:r>
        <w:t xml:space="preserve"> 60.</w:t>
      </w:r>
    </w:p>
  </w:footnote>
  <w:footnote w:id="34">
    <w:p w14:paraId="696248B3" w14:textId="428DF19C" w:rsidR="00124E78" w:rsidRDefault="00124E78">
      <w:pPr>
        <w:pStyle w:val="FootnoteText"/>
      </w:pPr>
      <w:r>
        <w:rPr>
          <w:rStyle w:val="FootnoteReference"/>
        </w:rPr>
        <w:footnoteRef/>
      </w:r>
      <w:r>
        <w:t xml:space="preserve"> Ibid.</w:t>
      </w:r>
    </w:p>
  </w:footnote>
  <w:footnote w:id="35">
    <w:p w14:paraId="105B1763" w14:textId="5081AC78" w:rsidR="00124E78" w:rsidRDefault="00124E78">
      <w:pPr>
        <w:pStyle w:val="FootnoteText"/>
      </w:pPr>
      <w:r>
        <w:rPr>
          <w:rStyle w:val="FootnoteReference"/>
        </w:rPr>
        <w:footnoteRef/>
      </w:r>
      <w:r>
        <w:t xml:space="preserve"> </w:t>
      </w:r>
      <w:r w:rsidRPr="00124E78">
        <w:t xml:space="preserve">The British Museum, ‘The St Eustace Head Reliquary’ [online]. </w:t>
      </w:r>
    </w:p>
  </w:footnote>
  <w:footnote w:id="36">
    <w:p w14:paraId="2111E696" w14:textId="2103896D" w:rsidR="00124E78" w:rsidRDefault="00124E78">
      <w:pPr>
        <w:pStyle w:val="FootnoteText"/>
      </w:pPr>
      <w:r>
        <w:rPr>
          <w:rStyle w:val="FootnoteReference"/>
        </w:rPr>
        <w:footnoteRef/>
      </w:r>
      <w:r>
        <w:t xml:space="preserve"> </w:t>
      </w:r>
      <w:r w:rsidRPr="00124E78">
        <w:t>Charles</w:t>
      </w:r>
      <w:r>
        <w:t xml:space="preserve"> Freeman</w:t>
      </w:r>
      <w:r w:rsidRPr="00124E78">
        <w:t xml:space="preserve">, </w:t>
      </w:r>
      <w:r>
        <w:t xml:space="preserve">‘Protestantism and the New Iconoclasm’ in </w:t>
      </w:r>
      <w:r w:rsidRPr="00124E78">
        <w:rPr>
          <w:i/>
        </w:rPr>
        <w:t>Holy Bones, Holy Dust: How Relics Shaped the History of Medieval Europe</w:t>
      </w:r>
      <w:r w:rsidRPr="00124E78">
        <w:t xml:space="preserve"> (Yale: Yale University Press, 2011).</w:t>
      </w:r>
    </w:p>
  </w:footnote>
  <w:footnote w:id="37">
    <w:p w14:paraId="6A8AE160" w14:textId="484F8033" w:rsidR="00002044" w:rsidRDefault="00002044">
      <w:pPr>
        <w:pStyle w:val="FootnoteText"/>
      </w:pPr>
      <w:r>
        <w:rPr>
          <w:rStyle w:val="FootnoteReference"/>
        </w:rPr>
        <w:footnoteRef/>
      </w:r>
      <w:r>
        <w:t xml:space="preserve"> </w:t>
      </w:r>
      <w:bookmarkStart w:id="0" w:name="_Hlk536800299"/>
      <w:r w:rsidRPr="00002044">
        <w:t>The British Museum, ‘The St Eustace Head Reliquary’ [online].</w:t>
      </w:r>
    </w:p>
    <w:bookmarkEnd w:id="0"/>
  </w:footnote>
  <w:footnote w:id="38">
    <w:p w14:paraId="62D68BE3" w14:textId="72DCBC4A" w:rsidR="000470FF" w:rsidRDefault="000470FF">
      <w:pPr>
        <w:pStyle w:val="FootnoteText"/>
      </w:pPr>
      <w:r>
        <w:rPr>
          <w:rStyle w:val="FootnoteReference"/>
        </w:rPr>
        <w:footnoteRef/>
      </w:r>
      <w:r>
        <w:t xml:space="preserve"> See pictured, Dante’s Inferno.</w:t>
      </w:r>
    </w:p>
  </w:footnote>
  <w:footnote w:id="39">
    <w:p w14:paraId="511D4CBF" w14:textId="4AF25EDA" w:rsidR="000470FF" w:rsidRDefault="000470FF">
      <w:pPr>
        <w:pStyle w:val="FootnoteText"/>
      </w:pPr>
      <w:r>
        <w:rPr>
          <w:rStyle w:val="FootnoteReference"/>
        </w:rPr>
        <w:footnoteRef/>
      </w:r>
      <w:r>
        <w:t xml:space="preserve"> </w:t>
      </w:r>
      <w:r w:rsidRPr="000470FF">
        <w:t>Anna</w:t>
      </w:r>
      <w:r>
        <w:t xml:space="preserve"> </w:t>
      </w:r>
      <w:proofErr w:type="spellStart"/>
      <w:r>
        <w:t>Jameston</w:t>
      </w:r>
      <w:proofErr w:type="spellEnd"/>
      <w:r w:rsidRPr="000470FF">
        <w:t xml:space="preserve">, </w:t>
      </w:r>
      <w:r>
        <w:t xml:space="preserve">‘St Eustace’ in </w:t>
      </w:r>
      <w:r w:rsidRPr="000470FF">
        <w:rPr>
          <w:i/>
        </w:rPr>
        <w:t>Sacred and Legendary Art, Vol. 2</w:t>
      </w:r>
      <w:r w:rsidRPr="000470FF">
        <w:t xml:space="preserve"> (London: Longmans, Green, and Company, 1870)</w:t>
      </w:r>
      <w:r>
        <w:t>, p. 794</w:t>
      </w:r>
      <w:r w:rsidRPr="000470FF">
        <w:t>.</w:t>
      </w:r>
    </w:p>
  </w:footnote>
  <w:footnote w:id="40">
    <w:p w14:paraId="15AFC4EC" w14:textId="27BADE2E" w:rsidR="006E20DC" w:rsidRDefault="006E20DC">
      <w:pPr>
        <w:pStyle w:val="FootnoteText"/>
      </w:pPr>
      <w:r>
        <w:rPr>
          <w:rStyle w:val="FootnoteReference"/>
        </w:rPr>
        <w:footnoteRef/>
      </w:r>
      <w:r>
        <w:t xml:space="preserve"> </w:t>
      </w:r>
      <w:r w:rsidRPr="006E20DC">
        <w:t>The British Museum, ‘The St Eustace Head Reliquary’ [online].</w:t>
      </w:r>
    </w:p>
  </w:footnote>
  <w:footnote w:id="41">
    <w:p w14:paraId="5937E949" w14:textId="2D37E3FF" w:rsidR="006C3A73" w:rsidRDefault="006C3A73">
      <w:pPr>
        <w:pStyle w:val="FootnoteText"/>
      </w:pPr>
      <w:r>
        <w:rPr>
          <w:rStyle w:val="FootnoteReference"/>
        </w:rPr>
        <w:footnoteRef/>
      </w:r>
      <w:r>
        <w:t xml:space="preserve"> </w:t>
      </w:r>
      <w:r w:rsidRPr="006C3A73">
        <w:t>J. L.</w:t>
      </w:r>
      <w:r>
        <w:t xml:space="preserve"> </w:t>
      </w:r>
      <w:proofErr w:type="spellStart"/>
      <w:r>
        <w:t>Laynesmith</w:t>
      </w:r>
      <w:proofErr w:type="spellEnd"/>
      <w:r w:rsidRPr="006C3A73">
        <w:t xml:space="preserve">, </w:t>
      </w:r>
      <w:r w:rsidRPr="006C3A73">
        <w:rPr>
          <w:i/>
        </w:rPr>
        <w:t>Cecily Duchess of York</w:t>
      </w:r>
      <w:r w:rsidRPr="006C3A73">
        <w:t xml:space="preserve"> (London: Bloomsbury Publishing, 2017)</w:t>
      </w:r>
      <w:r>
        <w:t>, p. xvii</w:t>
      </w:r>
      <w:r w:rsidRPr="006C3A73">
        <w:t>.</w:t>
      </w:r>
    </w:p>
  </w:footnote>
  <w:footnote w:id="42">
    <w:p w14:paraId="210D6CD3" w14:textId="1C924C44" w:rsidR="006C3A73" w:rsidRDefault="006C3A73">
      <w:pPr>
        <w:pStyle w:val="FootnoteText"/>
      </w:pPr>
      <w:r>
        <w:rPr>
          <w:rStyle w:val="FootnoteReference"/>
        </w:rPr>
        <w:footnoteRef/>
      </w:r>
      <w:r>
        <w:t xml:space="preserve"> The Will of Cecily Duchess of York.</w:t>
      </w:r>
    </w:p>
  </w:footnote>
  <w:footnote w:id="43">
    <w:p w14:paraId="1BC1CAF2" w14:textId="3161C008" w:rsidR="006C3A73" w:rsidRDefault="006C3A73">
      <w:pPr>
        <w:pStyle w:val="FootnoteText"/>
      </w:pPr>
      <w:r>
        <w:rPr>
          <w:rStyle w:val="FootnoteReference"/>
        </w:rPr>
        <w:footnoteRef/>
      </w:r>
      <w:r>
        <w:t xml:space="preserve"> Ibid.</w:t>
      </w:r>
    </w:p>
  </w:footnote>
  <w:footnote w:id="44">
    <w:p w14:paraId="1C223A18" w14:textId="7D4091B4" w:rsidR="006C3A73" w:rsidRDefault="006C3A73">
      <w:pPr>
        <w:pStyle w:val="FootnoteText"/>
      </w:pPr>
      <w:r>
        <w:rPr>
          <w:rStyle w:val="FootnoteReference"/>
        </w:rPr>
        <w:footnoteRef/>
      </w:r>
      <w:r>
        <w:t xml:space="preserve"> </w:t>
      </w:r>
      <w:r w:rsidRPr="006C3A73">
        <w:t>B. S.</w:t>
      </w:r>
      <w:r>
        <w:t xml:space="preserve"> Bowers</w:t>
      </w:r>
      <w:r w:rsidRPr="006C3A73">
        <w:t xml:space="preserve">, </w:t>
      </w:r>
      <w:r w:rsidRPr="006C3A73">
        <w:rPr>
          <w:i/>
        </w:rPr>
        <w:t>The Medieval Hospital and Medical Practice</w:t>
      </w:r>
      <w:r w:rsidRPr="006C3A73">
        <w:t xml:space="preserve"> (London: Ashgate Publishing Ltd, 2007)</w:t>
      </w:r>
      <w:r>
        <w:t>, p. 91</w:t>
      </w:r>
      <w:r w:rsidRPr="006C3A73">
        <w:t>.</w:t>
      </w:r>
    </w:p>
  </w:footnote>
  <w:footnote w:id="45">
    <w:p w14:paraId="4FEFDDC3" w14:textId="325CB506" w:rsidR="006C3A73" w:rsidRDefault="006C3A73">
      <w:pPr>
        <w:pStyle w:val="FootnoteText"/>
      </w:pPr>
      <w:r>
        <w:rPr>
          <w:rStyle w:val="FootnoteReference"/>
        </w:rPr>
        <w:footnoteRef/>
      </w:r>
      <w:r>
        <w:t xml:space="preserve"> </w:t>
      </w:r>
      <w:r w:rsidRPr="006C3A73">
        <w:t>Terry</w:t>
      </w:r>
      <w:r>
        <w:t xml:space="preserve"> </w:t>
      </w:r>
      <w:proofErr w:type="spellStart"/>
      <w:r>
        <w:t>Breverton</w:t>
      </w:r>
      <w:proofErr w:type="spellEnd"/>
      <w:r w:rsidRPr="006C3A73">
        <w:t xml:space="preserve">, </w:t>
      </w:r>
      <w:r w:rsidRPr="00196F35">
        <w:rPr>
          <w:i/>
        </w:rPr>
        <w:t>Henry VII: The Maligned Tudor King</w:t>
      </w:r>
      <w:r w:rsidRPr="006C3A73">
        <w:t xml:space="preserve"> (London: Amberley Publishing Limited, 2016).</w:t>
      </w:r>
    </w:p>
  </w:footnote>
  <w:footnote w:id="46">
    <w:p w14:paraId="1F314873" w14:textId="4B628482" w:rsidR="006C3A73" w:rsidRDefault="006C3A73">
      <w:pPr>
        <w:pStyle w:val="FootnoteText"/>
      </w:pPr>
      <w:r>
        <w:rPr>
          <w:rStyle w:val="FootnoteReference"/>
        </w:rPr>
        <w:footnoteRef/>
      </w:r>
      <w:r>
        <w:t xml:space="preserve"> The Will of Cecily Duchess of York.</w:t>
      </w:r>
    </w:p>
  </w:footnote>
  <w:footnote w:id="47">
    <w:p w14:paraId="40883571" w14:textId="70DB81B9" w:rsidR="006C3A73" w:rsidRDefault="006C3A73">
      <w:pPr>
        <w:pStyle w:val="FootnoteText"/>
      </w:pPr>
      <w:r>
        <w:rPr>
          <w:rStyle w:val="FootnoteReference"/>
        </w:rPr>
        <w:footnoteRef/>
      </w:r>
      <w:r>
        <w:t xml:space="preserve"> Ibid. </w:t>
      </w:r>
    </w:p>
  </w:footnote>
  <w:footnote w:id="48">
    <w:p w14:paraId="0E86D0EC" w14:textId="2D45D8FD" w:rsidR="006C3A73" w:rsidRDefault="006C3A73">
      <w:pPr>
        <w:pStyle w:val="FootnoteText"/>
      </w:pPr>
      <w:r>
        <w:rPr>
          <w:rStyle w:val="FootnoteReference"/>
        </w:rPr>
        <w:footnoteRef/>
      </w:r>
      <w:r>
        <w:t xml:space="preserve"> Ibid. </w:t>
      </w:r>
    </w:p>
  </w:footnote>
  <w:footnote w:id="49">
    <w:p w14:paraId="47C70223" w14:textId="07C84C70" w:rsidR="006C3A73" w:rsidRDefault="006C3A73">
      <w:pPr>
        <w:pStyle w:val="FootnoteText"/>
      </w:pPr>
      <w:r>
        <w:rPr>
          <w:rStyle w:val="FootnoteReference"/>
        </w:rPr>
        <w:footnoteRef/>
      </w:r>
      <w:r>
        <w:t xml:space="preserve"> Ibid. </w:t>
      </w:r>
    </w:p>
  </w:footnote>
  <w:footnote w:id="50">
    <w:p w14:paraId="6B02AE20" w14:textId="0843BEB9" w:rsidR="006C3A73" w:rsidRDefault="006C3A73">
      <w:pPr>
        <w:pStyle w:val="FootnoteText"/>
      </w:pPr>
      <w:r>
        <w:rPr>
          <w:rStyle w:val="FootnoteReference"/>
        </w:rPr>
        <w:footnoteRef/>
      </w:r>
      <w:r>
        <w:t xml:space="preserve"> Ibid.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DDB20F" w14:textId="020E1325" w:rsidR="00DD4D84" w:rsidRPr="00DD4D84" w:rsidRDefault="00DD4D84">
    <w:pPr>
      <w:pStyle w:val="Header"/>
      <w:rPr>
        <w:rFonts w:ascii="Times New Roman" w:hAnsi="Times New Roman" w:cs="Times New Roman"/>
      </w:rPr>
    </w:pPr>
    <w:r w:rsidRPr="00DD4D84">
      <w:rPr>
        <w:rFonts w:ascii="Times New Roman" w:hAnsi="Times New Roman" w:cs="Times New Roman"/>
      </w:rPr>
      <w:t>Bethan Watts – 1700966</w:t>
    </w:r>
    <w:r w:rsidRPr="00DD4D84">
      <w:rPr>
        <w:rFonts w:ascii="Times New Roman" w:hAnsi="Times New Roman" w:cs="Times New Roman"/>
      </w:rPr>
      <w:tab/>
    </w:r>
    <w:r w:rsidRPr="00DD4D84">
      <w:rPr>
        <w:rFonts w:ascii="Times New Roman" w:hAnsi="Times New Roman" w:cs="Times New Roman"/>
      </w:rPr>
      <w:tab/>
      <w:t xml:space="preserve">Portfolio </w:t>
    </w:r>
  </w:p>
  <w:p w14:paraId="4D04D0C6" w14:textId="77777777" w:rsidR="00DD4D84" w:rsidRDefault="00DD4D8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D84"/>
    <w:rsid w:val="00002044"/>
    <w:rsid w:val="00020E6D"/>
    <w:rsid w:val="0004219A"/>
    <w:rsid w:val="000470FF"/>
    <w:rsid w:val="000730D3"/>
    <w:rsid w:val="00086671"/>
    <w:rsid w:val="00093A95"/>
    <w:rsid w:val="000952B9"/>
    <w:rsid w:val="000B7C1F"/>
    <w:rsid w:val="000C0910"/>
    <w:rsid w:val="000C11FF"/>
    <w:rsid w:val="000C58AF"/>
    <w:rsid w:val="000F4530"/>
    <w:rsid w:val="00107EF2"/>
    <w:rsid w:val="00122708"/>
    <w:rsid w:val="00124E78"/>
    <w:rsid w:val="00127D00"/>
    <w:rsid w:val="00163641"/>
    <w:rsid w:val="00166F7D"/>
    <w:rsid w:val="00170AA1"/>
    <w:rsid w:val="00196F35"/>
    <w:rsid w:val="001A523F"/>
    <w:rsid w:val="001D7144"/>
    <w:rsid w:val="001E2133"/>
    <w:rsid w:val="001F3CC4"/>
    <w:rsid w:val="00260F42"/>
    <w:rsid w:val="002A4052"/>
    <w:rsid w:val="002B56DC"/>
    <w:rsid w:val="002C2DCC"/>
    <w:rsid w:val="002C66A8"/>
    <w:rsid w:val="002E73A9"/>
    <w:rsid w:val="0030348D"/>
    <w:rsid w:val="003260E8"/>
    <w:rsid w:val="00346858"/>
    <w:rsid w:val="00356680"/>
    <w:rsid w:val="00366D76"/>
    <w:rsid w:val="00376F6A"/>
    <w:rsid w:val="003A49AD"/>
    <w:rsid w:val="003B6D97"/>
    <w:rsid w:val="00406745"/>
    <w:rsid w:val="00423A56"/>
    <w:rsid w:val="004758F0"/>
    <w:rsid w:val="00480A5C"/>
    <w:rsid w:val="004959EC"/>
    <w:rsid w:val="004A533A"/>
    <w:rsid w:val="004B7189"/>
    <w:rsid w:val="004F0584"/>
    <w:rsid w:val="004F7411"/>
    <w:rsid w:val="00505BA0"/>
    <w:rsid w:val="00517A5E"/>
    <w:rsid w:val="00540201"/>
    <w:rsid w:val="0054499E"/>
    <w:rsid w:val="00564AFB"/>
    <w:rsid w:val="005667D2"/>
    <w:rsid w:val="0058444C"/>
    <w:rsid w:val="005B31E9"/>
    <w:rsid w:val="005D0D50"/>
    <w:rsid w:val="005E2758"/>
    <w:rsid w:val="00602514"/>
    <w:rsid w:val="00605D0C"/>
    <w:rsid w:val="00626D12"/>
    <w:rsid w:val="006314B4"/>
    <w:rsid w:val="006435BE"/>
    <w:rsid w:val="006545B5"/>
    <w:rsid w:val="006656CD"/>
    <w:rsid w:val="00684BBD"/>
    <w:rsid w:val="006B6322"/>
    <w:rsid w:val="006C3A73"/>
    <w:rsid w:val="006E20DC"/>
    <w:rsid w:val="006E6992"/>
    <w:rsid w:val="006F65D4"/>
    <w:rsid w:val="007021BF"/>
    <w:rsid w:val="007441C2"/>
    <w:rsid w:val="00760A7B"/>
    <w:rsid w:val="00761D15"/>
    <w:rsid w:val="007706A2"/>
    <w:rsid w:val="007921E9"/>
    <w:rsid w:val="007933B5"/>
    <w:rsid w:val="007958C6"/>
    <w:rsid w:val="007B3EBA"/>
    <w:rsid w:val="007C24FA"/>
    <w:rsid w:val="007E648E"/>
    <w:rsid w:val="00823424"/>
    <w:rsid w:val="00824E02"/>
    <w:rsid w:val="00852D55"/>
    <w:rsid w:val="00863902"/>
    <w:rsid w:val="00871AB1"/>
    <w:rsid w:val="00873019"/>
    <w:rsid w:val="008814C5"/>
    <w:rsid w:val="008930BE"/>
    <w:rsid w:val="008B4B19"/>
    <w:rsid w:val="008C6119"/>
    <w:rsid w:val="008D0242"/>
    <w:rsid w:val="008D3034"/>
    <w:rsid w:val="008D35E1"/>
    <w:rsid w:val="008E17B5"/>
    <w:rsid w:val="008E1D01"/>
    <w:rsid w:val="009072B8"/>
    <w:rsid w:val="00925638"/>
    <w:rsid w:val="00943B32"/>
    <w:rsid w:val="0094475F"/>
    <w:rsid w:val="009478C0"/>
    <w:rsid w:val="009A339C"/>
    <w:rsid w:val="009A5F2C"/>
    <w:rsid w:val="009C37FA"/>
    <w:rsid w:val="009D1FD7"/>
    <w:rsid w:val="009D7156"/>
    <w:rsid w:val="00A02DAD"/>
    <w:rsid w:val="00A0664B"/>
    <w:rsid w:val="00A32DC5"/>
    <w:rsid w:val="00A61252"/>
    <w:rsid w:val="00A87309"/>
    <w:rsid w:val="00AC0F1B"/>
    <w:rsid w:val="00AE3004"/>
    <w:rsid w:val="00AF0E2D"/>
    <w:rsid w:val="00AF6CD2"/>
    <w:rsid w:val="00B3551B"/>
    <w:rsid w:val="00B65B82"/>
    <w:rsid w:val="00B77A87"/>
    <w:rsid w:val="00B87FA5"/>
    <w:rsid w:val="00BC0C5D"/>
    <w:rsid w:val="00BD4B78"/>
    <w:rsid w:val="00C4234B"/>
    <w:rsid w:val="00C433A5"/>
    <w:rsid w:val="00C46C19"/>
    <w:rsid w:val="00C8799F"/>
    <w:rsid w:val="00C93370"/>
    <w:rsid w:val="00C97640"/>
    <w:rsid w:val="00D06EE7"/>
    <w:rsid w:val="00D1650B"/>
    <w:rsid w:val="00D64633"/>
    <w:rsid w:val="00D70643"/>
    <w:rsid w:val="00D82E3E"/>
    <w:rsid w:val="00DB4B04"/>
    <w:rsid w:val="00DC73CA"/>
    <w:rsid w:val="00DD4D84"/>
    <w:rsid w:val="00DE79DA"/>
    <w:rsid w:val="00E02A93"/>
    <w:rsid w:val="00E0360B"/>
    <w:rsid w:val="00E309DE"/>
    <w:rsid w:val="00E418D3"/>
    <w:rsid w:val="00E540E0"/>
    <w:rsid w:val="00E809D4"/>
    <w:rsid w:val="00E81903"/>
    <w:rsid w:val="00E965D8"/>
    <w:rsid w:val="00ED15A0"/>
    <w:rsid w:val="00EE665A"/>
    <w:rsid w:val="00EF3327"/>
    <w:rsid w:val="00F0396D"/>
    <w:rsid w:val="00F21F8B"/>
    <w:rsid w:val="00F344B8"/>
    <w:rsid w:val="00F5391B"/>
    <w:rsid w:val="00F75F4E"/>
    <w:rsid w:val="00FC7D71"/>
    <w:rsid w:val="00FD0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21F289"/>
  <w15:chartTrackingRefBased/>
  <w15:docId w15:val="{E31E2059-E2FF-4935-A4F1-87C5842821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D4D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D84"/>
  </w:style>
  <w:style w:type="paragraph" w:styleId="Footer">
    <w:name w:val="footer"/>
    <w:basedOn w:val="Normal"/>
    <w:link w:val="FooterChar"/>
    <w:uiPriority w:val="99"/>
    <w:unhideWhenUsed/>
    <w:rsid w:val="00DD4D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D84"/>
  </w:style>
  <w:style w:type="paragraph" w:styleId="FootnoteText">
    <w:name w:val="footnote text"/>
    <w:basedOn w:val="Normal"/>
    <w:link w:val="FootnoteTextChar"/>
    <w:uiPriority w:val="99"/>
    <w:semiHidden/>
    <w:unhideWhenUsed/>
    <w:rsid w:val="008E1D0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E1D01"/>
    <w:rPr>
      <w:sz w:val="20"/>
      <w:szCs w:val="20"/>
    </w:rPr>
  </w:style>
  <w:style w:type="character" w:styleId="FootnoteReference">
    <w:name w:val="footnote reference"/>
    <w:basedOn w:val="DefaultParagraphFont"/>
    <w:uiPriority w:val="99"/>
    <w:semiHidden/>
    <w:unhideWhenUsed/>
    <w:rsid w:val="008E1D01"/>
    <w:rPr>
      <w:vertAlign w:val="superscript"/>
    </w:rPr>
  </w:style>
  <w:style w:type="paragraph" w:styleId="ListParagraph">
    <w:name w:val="List Paragraph"/>
    <w:basedOn w:val="Normal"/>
    <w:uiPriority w:val="34"/>
    <w:qFormat/>
    <w:rsid w:val="006314B4"/>
    <w:pPr>
      <w:ind w:left="720"/>
      <w:contextualSpacing/>
    </w:pPr>
  </w:style>
  <w:style w:type="character" w:styleId="Hyperlink">
    <w:name w:val="Hyperlink"/>
    <w:basedOn w:val="DefaultParagraphFont"/>
    <w:uiPriority w:val="99"/>
    <w:unhideWhenUsed/>
    <w:rsid w:val="002E73A9"/>
    <w:rPr>
      <w:color w:val="0563C1" w:themeColor="hyperlink"/>
      <w:u w:val="single"/>
    </w:rPr>
  </w:style>
  <w:style w:type="character" w:styleId="UnresolvedMention">
    <w:name w:val="Unresolved Mention"/>
    <w:basedOn w:val="DefaultParagraphFont"/>
    <w:uiPriority w:val="99"/>
    <w:semiHidden/>
    <w:unhideWhenUsed/>
    <w:rsid w:val="002E73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westminster-abbey.org/about-the-abbey/history/royal-tomb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tgeorges-windsor.org/featured_articles/heraldry-st-georges-chape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as.edu/scholars/bynu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britishmuseum.org/research/collection_online/collection_object_details.aspx?objectId=47715&amp;partId=1" TargetMode="Externa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319DA7-C67F-4B2E-BA0E-C586BC19B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TotalTime>
  <Pages>14</Pages>
  <Words>4446</Words>
  <Characters>24254</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Kemp</dc:creator>
  <cp:keywords/>
  <dc:description/>
  <cp:lastModifiedBy>Joshua Kemp</cp:lastModifiedBy>
  <cp:revision>147</cp:revision>
  <dcterms:created xsi:type="dcterms:W3CDTF">2019-01-27T16:28:00Z</dcterms:created>
  <dcterms:modified xsi:type="dcterms:W3CDTF">2019-02-01T16:13:00Z</dcterms:modified>
</cp:coreProperties>
</file>