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F26EDF" w14:textId="7B177121" w:rsidR="008A262D" w:rsidRPr="00EB38B8" w:rsidRDefault="007D2331" w:rsidP="007B541E">
      <w:pPr>
        <w:jc w:val="center"/>
        <w:rPr>
          <w:rFonts w:ascii="Calibri" w:hAnsi="Calibri" w:cs="Calibri"/>
          <w:sz w:val="36"/>
          <w:szCs w:val="36"/>
          <w:u w:val="single"/>
        </w:rPr>
      </w:pPr>
      <w:r>
        <w:rPr>
          <w:rFonts w:ascii="Calibri" w:hAnsi="Calibri" w:cs="Calibri"/>
          <w:sz w:val="36"/>
          <w:szCs w:val="36"/>
          <w:u w:val="single"/>
        </w:rPr>
        <w:t>T</w:t>
      </w:r>
      <w:r w:rsidR="007B541E" w:rsidRPr="00EB38B8">
        <w:rPr>
          <w:rFonts w:ascii="Calibri" w:hAnsi="Calibri" w:cs="Calibri"/>
          <w:sz w:val="36"/>
          <w:szCs w:val="36"/>
          <w:u w:val="single"/>
        </w:rPr>
        <w:t xml:space="preserve">he Lefkandi </w:t>
      </w:r>
      <w:r>
        <w:rPr>
          <w:rFonts w:ascii="Calibri" w:hAnsi="Calibri" w:cs="Calibri"/>
          <w:sz w:val="36"/>
          <w:szCs w:val="36"/>
          <w:u w:val="single"/>
        </w:rPr>
        <w:t xml:space="preserve">Toumba </w:t>
      </w:r>
      <w:r w:rsidR="007B541E" w:rsidRPr="00EB38B8">
        <w:rPr>
          <w:rFonts w:ascii="Calibri" w:hAnsi="Calibri" w:cs="Calibri"/>
          <w:sz w:val="36"/>
          <w:szCs w:val="36"/>
          <w:u w:val="single"/>
        </w:rPr>
        <w:t>Tomb</w:t>
      </w:r>
      <w:r w:rsidR="00EB38B8">
        <w:rPr>
          <w:rFonts w:ascii="Calibri" w:hAnsi="Calibri" w:cs="Calibri"/>
          <w:sz w:val="36"/>
          <w:szCs w:val="36"/>
          <w:u w:val="single"/>
        </w:rPr>
        <w:t>s</w:t>
      </w:r>
      <w:r>
        <w:rPr>
          <w:rFonts w:ascii="Calibri" w:hAnsi="Calibri" w:cs="Calibri"/>
          <w:sz w:val="36"/>
          <w:szCs w:val="36"/>
          <w:u w:val="single"/>
        </w:rPr>
        <w:t xml:space="preserve"> 1 and 3</w:t>
      </w:r>
    </w:p>
    <w:p w14:paraId="78AF1590" w14:textId="36EE36C1" w:rsidR="00EB38B8" w:rsidRDefault="00EB38B8" w:rsidP="00EB38B8">
      <w:pPr>
        <w:rPr>
          <w:rFonts w:ascii="Calibri" w:hAnsi="Calibri" w:cs="Calibri"/>
          <w:u w:val="single"/>
        </w:rPr>
      </w:pPr>
    </w:p>
    <w:p w14:paraId="76B500B3" w14:textId="77777777" w:rsidR="007D0370" w:rsidRPr="00EB38B8" w:rsidRDefault="007D0370" w:rsidP="00EB38B8">
      <w:pPr>
        <w:rPr>
          <w:rFonts w:ascii="Calibri" w:hAnsi="Calibri" w:cs="Calibri"/>
        </w:rPr>
      </w:pPr>
    </w:p>
    <w:p w14:paraId="4EA76487" w14:textId="37BF045B" w:rsidR="00934D21" w:rsidRPr="003B017E" w:rsidRDefault="00EB38B8" w:rsidP="003B017E">
      <w:pPr>
        <w:rPr>
          <w:rFonts w:ascii="Calibri" w:hAnsi="Calibri" w:cs="Calibri"/>
        </w:rPr>
      </w:pPr>
      <w:r w:rsidRPr="003B017E">
        <w:rPr>
          <w:rFonts w:ascii="Calibri" w:hAnsi="Calibri" w:cs="Calibri"/>
        </w:rPr>
        <w:t xml:space="preserve">The image </w:t>
      </w:r>
      <w:r w:rsidR="00A560F4" w:rsidRPr="003B017E">
        <w:rPr>
          <w:rFonts w:ascii="Calibri" w:hAnsi="Calibri" w:cs="Calibri"/>
        </w:rPr>
        <w:t>depicts</w:t>
      </w:r>
      <w:r w:rsidR="003324B8">
        <w:rPr>
          <w:rFonts w:ascii="Calibri" w:hAnsi="Calibri" w:cs="Calibri"/>
        </w:rPr>
        <w:t xml:space="preserve"> Iron </w:t>
      </w:r>
      <w:r w:rsidR="00BA559F">
        <w:rPr>
          <w:rFonts w:ascii="Calibri" w:hAnsi="Calibri" w:cs="Calibri"/>
        </w:rPr>
        <w:t>A</w:t>
      </w:r>
      <w:r w:rsidR="003324B8">
        <w:rPr>
          <w:rFonts w:ascii="Calibri" w:hAnsi="Calibri" w:cs="Calibri"/>
        </w:rPr>
        <w:t>ge</w:t>
      </w:r>
      <w:r w:rsidRPr="003B017E">
        <w:rPr>
          <w:rFonts w:ascii="Calibri" w:hAnsi="Calibri" w:cs="Calibri"/>
        </w:rPr>
        <w:t xml:space="preserve"> </w:t>
      </w:r>
      <w:r w:rsidR="00012B6D">
        <w:rPr>
          <w:rFonts w:ascii="Calibri" w:hAnsi="Calibri" w:cs="Calibri"/>
        </w:rPr>
        <w:t>T</w:t>
      </w:r>
      <w:r w:rsidRPr="003B017E">
        <w:rPr>
          <w:rFonts w:ascii="Calibri" w:hAnsi="Calibri" w:cs="Calibri"/>
        </w:rPr>
        <w:t>omb</w:t>
      </w:r>
      <w:r w:rsidR="00AC264F" w:rsidRPr="003B017E">
        <w:rPr>
          <w:rFonts w:ascii="Calibri" w:hAnsi="Calibri" w:cs="Calibri"/>
        </w:rPr>
        <w:t>s</w:t>
      </w:r>
      <w:r w:rsidRPr="003B017E">
        <w:rPr>
          <w:rFonts w:ascii="Calibri" w:hAnsi="Calibri" w:cs="Calibri"/>
        </w:rPr>
        <w:t xml:space="preserve"> 1 and 3 from</w:t>
      </w:r>
      <w:r w:rsidR="00B33959">
        <w:rPr>
          <w:rFonts w:ascii="Calibri" w:hAnsi="Calibri" w:cs="Calibri"/>
        </w:rPr>
        <w:t xml:space="preserve"> a Toumba cemetery in </w:t>
      </w:r>
      <w:r w:rsidRPr="003B017E">
        <w:rPr>
          <w:rFonts w:ascii="Calibri" w:hAnsi="Calibri" w:cs="Calibri"/>
        </w:rPr>
        <w:t>Lefkandi</w:t>
      </w:r>
      <w:r w:rsidR="00AC264F" w:rsidRPr="003B017E">
        <w:rPr>
          <w:rFonts w:ascii="Calibri" w:hAnsi="Calibri" w:cs="Calibri"/>
        </w:rPr>
        <w:t>,</w:t>
      </w:r>
      <w:r w:rsidRPr="003B017E">
        <w:rPr>
          <w:rFonts w:ascii="Calibri" w:hAnsi="Calibri" w:cs="Calibri"/>
        </w:rPr>
        <w:t xml:space="preserve"> </w:t>
      </w:r>
      <w:r w:rsidR="00934D21" w:rsidRPr="003B017E">
        <w:rPr>
          <w:rFonts w:ascii="Calibri" w:hAnsi="Calibri" w:cs="Calibri"/>
        </w:rPr>
        <w:t>Greece</w:t>
      </w:r>
      <w:r w:rsidR="003324B8">
        <w:rPr>
          <w:rFonts w:ascii="Calibri" w:hAnsi="Calibri" w:cs="Calibri"/>
        </w:rPr>
        <w:t>, found in 1964-6 (Popham. M. R. et al. 1980. P 1)</w:t>
      </w:r>
      <w:r w:rsidR="00934D21" w:rsidRPr="003B017E">
        <w:rPr>
          <w:rFonts w:ascii="Calibri" w:hAnsi="Calibri" w:cs="Calibri"/>
        </w:rPr>
        <w:t>.</w:t>
      </w:r>
      <w:r w:rsidR="00AC264F" w:rsidRPr="003B017E">
        <w:rPr>
          <w:rFonts w:ascii="Calibri" w:hAnsi="Calibri" w:cs="Calibri"/>
        </w:rPr>
        <w:t xml:space="preserve"> </w:t>
      </w:r>
      <w:r w:rsidR="00A560F4" w:rsidRPr="003B017E">
        <w:rPr>
          <w:rFonts w:ascii="Calibri" w:hAnsi="Calibri" w:cs="Calibri"/>
        </w:rPr>
        <w:t>It</w:t>
      </w:r>
      <w:r w:rsidR="00AC264F" w:rsidRPr="003B017E">
        <w:rPr>
          <w:rFonts w:ascii="Calibri" w:hAnsi="Calibri" w:cs="Calibri"/>
        </w:rPr>
        <w:t xml:space="preserve"> </w:t>
      </w:r>
      <w:r w:rsidR="007A2C61" w:rsidRPr="003B017E">
        <w:rPr>
          <w:rFonts w:ascii="Calibri" w:hAnsi="Calibri" w:cs="Calibri"/>
        </w:rPr>
        <w:t xml:space="preserve">portrays </w:t>
      </w:r>
      <w:r w:rsidR="00FE767B" w:rsidRPr="003B017E">
        <w:rPr>
          <w:rFonts w:ascii="Calibri" w:hAnsi="Calibri" w:cs="Calibri"/>
        </w:rPr>
        <w:t>two</w:t>
      </w:r>
      <w:r w:rsidR="00AC264F" w:rsidRPr="003B017E">
        <w:rPr>
          <w:rFonts w:ascii="Calibri" w:hAnsi="Calibri" w:cs="Calibri"/>
        </w:rPr>
        <w:t xml:space="preserve"> </w:t>
      </w:r>
      <w:r w:rsidR="00FE767B" w:rsidRPr="003B017E">
        <w:rPr>
          <w:rFonts w:ascii="Calibri" w:hAnsi="Calibri" w:cs="Calibri"/>
        </w:rPr>
        <w:t>tombs</w:t>
      </w:r>
      <w:r w:rsidR="00AC264F" w:rsidRPr="003B017E">
        <w:rPr>
          <w:rFonts w:ascii="Calibri" w:hAnsi="Calibri" w:cs="Calibri"/>
        </w:rPr>
        <w:t xml:space="preserve"> and </w:t>
      </w:r>
      <w:r w:rsidR="00FE767B" w:rsidRPr="003B017E">
        <w:rPr>
          <w:rFonts w:ascii="Calibri" w:hAnsi="Calibri" w:cs="Calibri"/>
        </w:rPr>
        <w:t xml:space="preserve">shows artefacts </w:t>
      </w:r>
      <w:r w:rsidR="00A560F4" w:rsidRPr="003B017E">
        <w:rPr>
          <w:rFonts w:ascii="Calibri" w:hAnsi="Calibri" w:cs="Calibri"/>
        </w:rPr>
        <w:t>from</w:t>
      </w:r>
      <w:r w:rsidR="00FE767B" w:rsidRPr="003B017E">
        <w:rPr>
          <w:rFonts w:ascii="Calibri" w:hAnsi="Calibri" w:cs="Calibri"/>
        </w:rPr>
        <w:t xml:space="preserve"> both tombs and their placement when they were found.</w:t>
      </w:r>
      <w:r w:rsidR="000A3F6F" w:rsidRPr="003B017E">
        <w:rPr>
          <w:rFonts w:ascii="Calibri" w:hAnsi="Calibri" w:cs="Calibri"/>
        </w:rPr>
        <w:t xml:space="preserve"> This essay will </w:t>
      </w:r>
      <w:r w:rsidR="00A560F4" w:rsidRPr="003B017E">
        <w:rPr>
          <w:rFonts w:ascii="Calibri" w:hAnsi="Calibri" w:cs="Calibri"/>
        </w:rPr>
        <w:t>examine</w:t>
      </w:r>
      <w:r w:rsidR="000A3F6F" w:rsidRPr="003B017E">
        <w:rPr>
          <w:rFonts w:ascii="Calibri" w:hAnsi="Calibri" w:cs="Calibri"/>
        </w:rPr>
        <w:t xml:space="preserve"> the </w:t>
      </w:r>
      <w:r w:rsidR="00A560F4" w:rsidRPr="003B017E">
        <w:rPr>
          <w:rFonts w:ascii="Calibri" w:hAnsi="Calibri" w:cs="Calibri"/>
        </w:rPr>
        <w:t>plans made for the two tombs and identify the image’s positives and negatives. By looking at the image, this essay will describe the image and from the description</w:t>
      </w:r>
      <w:r w:rsidR="00B92ABD" w:rsidRPr="003B017E">
        <w:rPr>
          <w:rFonts w:ascii="Calibri" w:hAnsi="Calibri" w:cs="Calibri"/>
        </w:rPr>
        <w:t xml:space="preserve"> will look at the interpretation and </w:t>
      </w:r>
      <w:r w:rsidR="00BC1CE1" w:rsidRPr="003B017E">
        <w:rPr>
          <w:rFonts w:ascii="Calibri" w:hAnsi="Calibri" w:cs="Calibri"/>
        </w:rPr>
        <w:t>issues with the plan and the contents.</w:t>
      </w:r>
      <w:r w:rsidR="003B017E" w:rsidRPr="003B017E">
        <w:rPr>
          <w:rFonts w:ascii="Calibri" w:hAnsi="Calibri" w:cs="Calibri"/>
        </w:rPr>
        <w:t xml:space="preserve"> The content of this essay will present the </w:t>
      </w:r>
      <w:r w:rsidR="00C44E0D" w:rsidRPr="003B017E">
        <w:rPr>
          <w:rFonts w:ascii="Calibri" w:hAnsi="Calibri" w:cs="Calibri"/>
        </w:rPr>
        <w:t>problems</w:t>
      </w:r>
      <w:r w:rsidR="003B017E" w:rsidRPr="003B017E">
        <w:rPr>
          <w:rFonts w:ascii="Calibri" w:hAnsi="Calibri" w:cs="Calibri"/>
        </w:rPr>
        <w:t xml:space="preserve"> and the benefits of the</w:t>
      </w:r>
      <w:r w:rsidR="00366E8B">
        <w:rPr>
          <w:rFonts w:ascii="Calibri" w:hAnsi="Calibri" w:cs="Calibri"/>
        </w:rPr>
        <w:t xml:space="preserve"> burial plans made</w:t>
      </w:r>
      <w:r w:rsidR="00D0124B">
        <w:rPr>
          <w:rFonts w:ascii="Calibri" w:hAnsi="Calibri" w:cs="Calibri"/>
        </w:rPr>
        <w:t xml:space="preserve"> on both tombs and the interpretation o</w:t>
      </w:r>
      <w:r w:rsidR="003324B8">
        <w:rPr>
          <w:rFonts w:ascii="Calibri" w:hAnsi="Calibri" w:cs="Calibri"/>
        </w:rPr>
        <w:t>f</w:t>
      </w:r>
      <w:r w:rsidR="00D0124B">
        <w:rPr>
          <w:rFonts w:ascii="Calibri" w:hAnsi="Calibri" w:cs="Calibri"/>
        </w:rPr>
        <w:t xml:space="preserve"> the burials using publications of the contents</w:t>
      </w:r>
      <w:r w:rsidR="003B017E" w:rsidRPr="003B017E">
        <w:rPr>
          <w:rFonts w:ascii="Calibri" w:hAnsi="Calibri" w:cs="Calibri"/>
        </w:rPr>
        <w:t>.</w:t>
      </w:r>
      <w:r w:rsidR="00366E8B">
        <w:rPr>
          <w:rFonts w:ascii="Calibri" w:hAnsi="Calibri" w:cs="Calibri"/>
        </w:rPr>
        <w:t xml:space="preserve"> </w:t>
      </w:r>
    </w:p>
    <w:p w14:paraId="1F38729D" w14:textId="77777777" w:rsidR="006043EC" w:rsidRPr="00934D21" w:rsidRDefault="006043EC" w:rsidP="00934D21">
      <w:pPr>
        <w:rPr>
          <w:rFonts w:ascii="Calibri" w:hAnsi="Calibri" w:cs="Calibri"/>
          <w:b/>
          <w:bCs/>
        </w:rPr>
      </w:pPr>
    </w:p>
    <w:p w14:paraId="6D41CEE5" w14:textId="3216719A" w:rsidR="00C73C4D" w:rsidRPr="00012B6D" w:rsidRDefault="00B34585" w:rsidP="000A0CC2">
      <w:pPr>
        <w:rPr>
          <w:rFonts w:ascii="Calibri" w:hAnsi="Calibri" w:cs="Calibri"/>
          <w:b/>
          <w:bCs/>
        </w:rPr>
      </w:pPr>
      <w:r w:rsidRPr="00B34585">
        <w:rPr>
          <w:rFonts w:ascii="Calibri" w:hAnsi="Calibri" w:cs="Calibri"/>
        </w:rPr>
        <w:t xml:space="preserve">Both tomb images presented no signs of any </w:t>
      </w:r>
      <w:r w:rsidR="00D01FE7">
        <w:rPr>
          <w:rFonts w:ascii="Calibri" w:hAnsi="Calibri" w:cs="Calibri"/>
        </w:rPr>
        <w:t>human remains.</w:t>
      </w:r>
      <w:r w:rsidR="00980C97">
        <w:rPr>
          <w:rFonts w:ascii="Calibri" w:hAnsi="Calibri" w:cs="Calibri"/>
        </w:rPr>
        <w:t xml:space="preserve"> In Tomb 1, only five ‘scraps’ of bone were found in the tomb (Popham. M. R. et al. 1980. P 168).</w:t>
      </w:r>
      <w:r w:rsidR="005259B7">
        <w:rPr>
          <w:rFonts w:ascii="Calibri" w:hAnsi="Calibri" w:cs="Calibri"/>
        </w:rPr>
        <w:t xml:space="preserve"> Tomb 3 was found with </w:t>
      </w:r>
      <w:r w:rsidR="00D01FE7">
        <w:rPr>
          <w:rFonts w:ascii="Calibri" w:hAnsi="Calibri" w:cs="Calibri"/>
        </w:rPr>
        <w:t xml:space="preserve"> </w:t>
      </w:r>
      <w:r w:rsidR="00FC1D3C">
        <w:rPr>
          <w:rFonts w:ascii="Calibri" w:hAnsi="Calibri" w:cs="Calibri"/>
        </w:rPr>
        <w:t xml:space="preserve">However, in Tomb 1 and </w:t>
      </w:r>
      <w:r w:rsidR="00B33959">
        <w:rPr>
          <w:rFonts w:ascii="Calibri" w:hAnsi="Calibri" w:cs="Calibri"/>
        </w:rPr>
        <w:t>T</w:t>
      </w:r>
      <w:r w:rsidR="00FC1D3C">
        <w:rPr>
          <w:rFonts w:ascii="Calibri" w:hAnsi="Calibri" w:cs="Calibri"/>
        </w:rPr>
        <w:t xml:space="preserve">omb </w:t>
      </w:r>
      <w:r w:rsidR="00B33959">
        <w:rPr>
          <w:rFonts w:ascii="Calibri" w:hAnsi="Calibri" w:cs="Calibri"/>
        </w:rPr>
        <w:t>3,</w:t>
      </w:r>
      <w:r w:rsidR="00FC1D3C">
        <w:rPr>
          <w:rFonts w:ascii="Calibri" w:hAnsi="Calibri" w:cs="Calibri"/>
        </w:rPr>
        <w:t xml:space="preserve"> many grave goods were found. One example is the Centaur</w:t>
      </w:r>
      <w:r w:rsidR="00B33959">
        <w:rPr>
          <w:rFonts w:ascii="Calibri" w:hAnsi="Calibri" w:cs="Calibri"/>
        </w:rPr>
        <w:t xml:space="preserve"> (Lloyd, M. 2021)</w:t>
      </w:r>
      <w:r w:rsidR="00FC1D3C">
        <w:rPr>
          <w:rFonts w:ascii="Calibri" w:hAnsi="Calibri" w:cs="Calibri"/>
        </w:rPr>
        <w:t xml:space="preserve">. </w:t>
      </w:r>
      <w:r w:rsidR="00FE13AB">
        <w:rPr>
          <w:rFonts w:ascii="Calibri" w:hAnsi="Calibri" w:cs="Calibri"/>
        </w:rPr>
        <w:t>The Centaur</w:t>
      </w:r>
      <w:r w:rsidR="00980C97">
        <w:rPr>
          <w:rFonts w:ascii="Calibri" w:hAnsi="Calibri" w:cs="Calibri"/>
        </w:rPr>
        <w:t>’s</w:t>
      </w:r>
      <w:r w:rsidR="00FE13AB">
        <w:rPr>
          <w:rFonts w:ascii="Calibri" w:hAnsi="Calibri" w:cs="Calibri"/>
        </w:rPr>
        <w:t xml:space="preserve"> head was </w:t>
      </w:r>
      <w:r w:rsidR="00980C97">
        <w:rPr>
          <w:rFonts w:ascii="Calibri" w:hAnsi="Calibri" w:cs="Calibri"/>
        </w:rPr>
        <w:t xml:space="preserve">found face-up in </w:t>
      </w:r>
      <w:r w:rsidR="00012B6D">
        <w:rPr>
          <w:rFonts w:ascii="Calibri" w:hAnsi="Calibri" w:cs="Calibri"/>
        </w:rPr>
        <w:t>T</w:t>
      </w:r>
      <w:r w:rsidR="00980C97">
        <w:rPr>
          <w:rFonts w:ascii="Calibri" w:hAnsi="Calibri" w:cs="Calibri"/>
        </w:rPr>
        <w:t xml:space="preserve">omb 1 (Popham. M. R. et al. 1980. P 168). </w:t>
      </w:r>
      <w:r w:rsidR="007A7D27">
        <w:rPr>
          <w:rFonts w:ascii="Calibri" w:hAnsi="Calibri" w:cs="Calibri"/>
        </w:rPr>
        <w:t>L</w:t>
      </w:r>
      <w:r w:rsidR="00980C97">
        <w:rPr>
          <w:rFonts w:ascii="Calibri" w:hAnsi="Calibri" w:cs="Calibri"/>
        </w:rPr>
        <w:t xml:space="preserve">ooking at the plan, </w:t>
      </w:r>
      <w:r w:rsidR="000A0CC2">
        <w:rPr>
          <w:rFonts w:ascii="Calibri" w:hAnsi="Calibri" w:cs="Calibri"/>
        </w:rPr>
        <w:t>we see the Centaur’s head was found with a large oinochoe</w:t>
      </w:r>
      <w:r w:rsidR="005A5CF1">
        <w:rPr>
          <w:rFonts w:ascii="Calibri" w:hAnsi="Calibri" w:cs="Calibri"/>
        </w:rPr>
        <w:t xml:space="preserve"> (Popham. M. R. et al. 1980. P 168). </w:t>
      </w:r>
      <w:r w:rsidR="003D72A6">
        <w:rPr>
          <w:rFonts w:ascii="Calibri" w:hAnsi="Calibri" w:cs="Calibri"/>
        </w:rPr>
        <w:t xml:space="preserve">Tomb 3 was where the Centaur’s body was found broken (Popham. M. R. et al. 1980. P 169). </w:t>
      </w:r>
      <w:r w:rsidR="00E77A55">
        <w:rPr>
          <w:rFonts w:ascii="Calibri" w:hAnsi="Calibri" w:cs="Calibri"/>
        </w:rPr>
        <w:t>Looking at the plan, the body of the centaur was found along with a shell and other artefacts. However, due to the</w:t>
      </w:r>
      <w:r w:rsidR="00EA7267">
        <w:rPr>
          <w:rFonts w:ascii="Calibri" w:hAnsi="Calibri" w:cs="Calibri"/>
        </w:rPr>
        <w:t xml:space="preserve"> failure in labelling the artefacts, it is hard to determine </w:t>
      </w:r>
      <w:r w:rsidR="002B7FA2">
        <w:rPr>
          <w:rFonts w:ascii="Calibri" w:hAnsi="Calibri" w:cs="Calibri"/>
        </w:rPr>
        <w:t xml:space="preserve">what the items were that were found. </w:t>
      </w:r>
      <w:r w:rsidR="00C73C4D">
        <w:rPr>
          <w:rFonts w:ascii="Calibri" w:hAnsi="Calibri" w:cs="Calibri"/>
        </w:rPr>
        <w:t xml:space="preserve">Tomb 1 was cut into by </w:t>
      </w:r>
      <w:r w:rsidR="00012B6D">
        <w:rPr>
          <w:rFonts w:ascii="Calibri" w:hAnsi="Calibri" w:cs="Calibri"/>
        </w:rPr>
        <w:t>T</w:t>
      </w:r>
      <w:r w:rsidR="00C73C4D">
        <w:rPr>
          <w:rFonts w:ascii="Calibri" w:hAnsi="Calibri" w:cs="Calibri"/>
        </w:rPr>
        <w:t xml:space="preserve">omb 5 at the top </w:t>
      </w:r>
      <w:r w:rsidR="00854D73">
        <w:rPr>
          <w:rFonts w:ascii="Calibri" w:hAnsi="Calibri" w:cs="Calibri"/>
        </w:rPr>
        <w:t xml:space="preserve">corner </w:t>
      </w:r>
      <w:r w:rsidR="00C73C4D">
        <w:rPr>
          <w:rFonts w:ascii="Calibri" w:hAnsi="Calibri" w:cs="Calibri"/>
        </w:rPr>
        <w:t xml:space="preserve">of the shaft and </w:t>
      </w:r>
      <w:r w:rsidR="00012B6D">
        <w:rPr>
          <w:rFonts w:ascii="Calibri" w:hAnsi="Calibri" w:cs="Calibri"/>
        </w:rPr>
        <w:t xml:space="preserve">was overlain </w:t>
      </w:r>
      <w:r w:rsidR="00C44E0D">
        <w:rPr>
          <w:rFonts w:ascii="Calibri" w:hAnsi="Calibri" w:cs="Calibri"/>
        </w:rPr>
        <w:t>o</w:t>
      </w:r>
      <w:r w:rsidR="00012B6D">
        <w:rPr>
          <w:rFonts w:ascii="Calibri" w:hAnsi="Calibri" w:cs="Calibri"/>
        </w:rPr>
        <w:t xml:space="preserve">n the surface by Tomb 11 </w:t>
      </w:r>
      <w:r w:rsidR="00012B6D">
        <w:rPr>
          <w:rFonts w:ascii="Calibri" w:hAnsi="Calibri" w:cs="Calibri"/>
        </w:rPr>
        <w:t>(Popham. M. R. et al. 1980. P 168).</w:t>
      </w:r>
      <w:r w:rsidR="00C44E0D">
        <w:rPr>
          <w:rFonts w:ascii="Calibri" w:hAnsi="Calibri" w:cs="Calibri"/>
        </w:rPr>
        <w:t xml:space="preserve"> </w:t>
      </w:r>
      <w:r w:rsidR="006B0A2A">
        <w:rPr>
          <w:rFonts w:ascii="Calibri" w:hAnsi="Calibri" w:cs="Calibri"/>
        </w:rPr>
        <w:t>Tomb 3 was cut near the surface by Tomb 15</w:t>
      </w:r>
      <w:r w:rsidR="003333BD">
        <w:rPr>
          <w:rFonts w:ascii="Calibri" w:hAnsi="Calibri" w:cs="Calibri"/>
        </w:rPr>
        <w:t xml:space="preserve">, which came later </w:t>
      </w:r>
      <w:r w:rsidR="003333BD">
        <w:rPr>
          <w:rFonts w:ascii="Calibri" w:hAnsi="Calibri" w:cs="Calibri"/>
        </w:rPr>
        <w:t>(Popham. M. R. et al. 1980. P 16</w:t>
      </w:r>
      <w:r w:rsidR="003333BD">
        <w:rPr>
          <w:rFonts w:ascii="Calibri" w:hAnsi="Calibri" w:cs="Calibri"/>
        </w:rPr>
        <w:t>9</w:t>
      </w:r>
      <w:r w:rsidR="003333BD">
        <w:rPr>
          <w:rFonts w:ascii="Calibri" w:hAnsi="Calibri" w:cs="Calibri"/>
        </w:rPr>
        <w:t>).</w:t>
      </w:r>
      <w:r w:rsidR="003333BD">
        <w:rPr>
          <w:rFonts w:ascii="Calibri" w:hAnsi="Calibri" w:cs="Calibri"/>
        </w:rPr>
        <w:t xml:space="preserve"> </w:t>
      </w:r>
    </w:p>
    <w:p w14:paraId="106C66F1" w14:textId="77777777" w:rsidR="00C73C4D" w:rsidRDefault="00C73C4D" w:rsidP="000A0CC2">
      <w:pPr>
        <w:rPr>
          <w:rFonts w:ascii="Calibri" w:hAnsi="Calibri" w:cs="Calibri"/>
        </w:rPr>
      </w:pPr>
    </w:p>
    <w:p w14:paraId="7D4F3194" w14:textId="48F4F0FB" w:rsidR="00452B1E" w:rsidRDefault="00B56744" w:rsidP="00934D21">
      <w:pPr>
        <w:rPr>
          <w:rFonts w:ascii="Calibri" w:hAnsi="Calibri" w:cs="Calibri"/>
          <w:b/>
          <w:bCs/>
        </w:rPr>
      </w:pPr>
      <w:r>
        <w:rPr>
          <w:rFonts w:ascii="Calibri" w:hAnsi="Calibri" w:cs="Calibri"/>
        </w:rPr>
        <w:t xml:space="preserve">There was no </w:t>
      </w:r>
      <w:r w:rsidR="000A528A">
        <w:rPr>
          <w:rFonts w:ascii="Calibri" w:hAnsi="Calibri" w:cs="Calibri"/>
        </w:rPr>
        <w:t xml:space="preserve">size bar at the bottom of the </w:t>
      </w:r>
      <w:r w:rsidR="0034453F">
        <w:rPr>
          <w:rFonts w:ascii="Calibri" w:hAnsi="Calibri" w:cs="Calibri"/>
        </w:rPr>
        <w:t xml:space="preserve">image, therefore, determining a size comparison between </w:t>
      </w:r>
      <w:r w:rsidR="00BD2F77">
        <w:rPr>
          <w:rFonts w:ascii="Calibri" w:hAnsi="Calibri" w:cs="Calibri"/>
        </w:rPr>
        <w:t xml:space="preserve">both </w:t>
      </w:r>
      <w:r w:rsidR="001722AC">
        <w:rPr>
          <w:rFonts w:ascii="Calibri" w:hAnsi="Calibri" w:cs="Calibri"/>
        </w:rPr>
        <w:t xml:space="preserve">tombs </w:t>
      </w:r>
      <w:r w:rsidR="00C9742F">
        <w:rPr>
          <w:rFonts w:ascii="Calibri" w:hAnsi="Calibri" w:cs="Calibri"/>
        </w:rPr>
        <w:t xml:space="preserve">is difficult. This is an error in the </w:t>
      </w:r>
      <w:r w:rsidR="00A5769B">
        <w:rPr>
          <w:rFonts w:ascii="Calibri" w:hAnsi="Calibri" w:cs="Calibri"/>
        </w:rPr>
        <w:t>tomb plans as the size index is important for archaeologist</w:t>
      </w:r>
      <w:r w:rsidR="007842C8">
        <w:rPr>
          <w:rFonts w:ascii="Calibri" w:hAnsi="Calibri" w:cs="Calibri"/>
        </w:rPr>
        <w:t>s</w:t>
      </w:r>
      <w:r w:rsidR="00A5769B">
        <w:rPr>
          <w:rFonts w:ascii="Calibri" w:hAnsi="Calibri" w:cs="Calibri"/>
        </w:rPr>
        <w:t xml:space="preserve"> </w:t>
      </w:r>
      <w:r w:rsidR="00927C46">
        <w:rPr>
          <w:rFonts w:ascii="Calibri" w:hAnsi="Calibri" w:cs="Calibri"/>
        </w:rPr>
        <w:t>when interpreting the tombs in later publishing.</w:t>
      </w:r>
      <w:r w:rsidR="00C73C4D">
        <w:rPr>
          <w:rFonts w:ascii="Calibri" w:hAnsi="Calibri" w:cs="Calibri"/>
        </w:rPr>
        <w:t xml:space="preserve"> </w:t>
      </w:r>
      <w:r w:rsidR="005259B7">
        <w:rPr>
          <w:rFonts w:ascii="Calibri" w:hAnsi="Calibri" w:cs="Calibri"/>
        </w:rPr>
        <w:t xml:space="preserve">There is also no plan made for </w:t>
      </w:r>
      <w:r w:rsidR="00452B1E">
        <w:rPr>
          <w:rFonts w:ascii="Calibri" w:hAnsi="Calibri" w:cs="Calibri"/>
        </w:rPr>
        <w:t xml:space="preserve">the </w:t>
      </w:r>
      <w:r w:rsidR="005259B7">
        <w:rPr>
          <w:rFonts w:ascii="Calibri" w:hAnsi="Calibri" w:cs="Calibri"/>
        </w:rPr>
        <w:t>context of layers</w:t>
      </w:r>
      <w:r w:rsidR="00452B1E">
        <w:rPr>
          <w:rFonts w:ascii="Calibri" w:hAnsi="Calibri" w:cs="Calibri"/>
        </w:rPr>
        <w:t>,</w:t>
      </w:r>
      <w:r w:rsidR="005259B7">
        <w:rPr>
          <w:rFonts w:ascii="Calibri" w:hAnsi="Calibri" w:cs="Calibri"/>
        </w:rPr>
        <w:t xml:space="preserve"> which is important for </w:t>
      </w:r>
      <w:r w:rsidR="00452B1E">
        <w:rPr>
          <w:rFonts w:ascii="Calibri" w:hAnsi="Calibri" w:cs="Calibri"/>
        </w:rPr>
        <w:t>interpretation and better understanding of where artefacts were placed.</w:t>
      </w:r>
    </w:p>
    <w:p w14:paraId="26DE0ABE" w14:textId="77777777" w:rsidR="007D0370" w:rsidRDefault="007D0370" w:rsidP="00934D21">
      <w:pPr>
        <w:rPr>
          <w:rFonts w:ascii="Calibri" w:hAnsi="Calibri" w:cs="Calibri"/>
          <w:b/>
          <w:bCs/>
        </w:rPr>
      </w:pPr>
    </w:p>
    <w:p w14:paraId="161C2F36" w14:textId="294C0848" w:rsidR="00452B1E" w:rsidRDefault="00452B1E" w:rsidP="00934D21">
      <w:pPr>
        <w:rPr>
          <w:rFonts w:ascii="Calibri" w:hAnsi="Calibri" w:cs="Calibri"/>
        </w:rPr>
      </w:pPr>
      <w:r>
        <w:rPr>
          <w:rFonts w:ascii="Calibri" w:hAnsi="Calibri" w:cs="Calibri"/>
        </w:rPr>
        <w:t xml:space="preserve">The status of these two burials </w:t>
      </w:r>
      <w:r w:rsidR="00066E56">
        <w:rPr>
          <w:rFonts w:ascii="Calibri" w:hAnsi="Calibri" w:cs="Calibri"/>
        </w:rPr>
        <w:t>is</w:t>
      </w:r>
      <w:r>
        <w:rPr>
          <w:rFonts w:ascii="Calibri" w:hAnsi="Calibri" w:cs="Calibri"/>
        </w:rPr>
        <w:t xml:space="preserve"> hard to determine due to </w:t>
      </w:r>
      <w:r w:rsidR="00066E56">
        <w:rPr>
          <w:rFonts w:ascii="Calibri" w:hAnsi="Calibri" w:cs="Calibri"/>
        </w:rPr>
        <w:t xml:space="preserve">the plans not having any size index. </w:t>
      </w:r>
      <w:r w:rsidR="00C243B5">
        <w:rPr>
          <w:rFonts w:ascii="Calibri" w:hAnsi="Calibri" w:cs="Calibri"/>
        </w:rPr>
        <w:t>Despite the lack of clarity o</w:t>
      </w:r>
      <w:r w:rsidR="00384109">
        <w:rPr>
          <w:rFonts w:ascii="Calibri" w:hAnsi="Calibri" w:cs="Calibri"/>
        </w:rPr>
        <w:t>n</w:t>
      </w:r>
      <w:r w:rsidR="00C243B5">
        <w:rPr>
          <w:rFonts w:ascii="Calibri" w:hAnsi="Calibri" w:cs="Calibri"/>
        </w:rPr>
        <w:t xml:space="preserve"> the size of the tombs in the plan, the proximity between the two tombs and other tombs shows that the tomb might not be as important in status</w:t>
      </w:r>
      <w:r w:rsidR="00384109">
        <w:rPr>
          <w:rFonts w:ascii="Calibri" w:hAnsi="Calibri" w:cs="Calibri"/>
        </w:rPr>
        <w:t xml:space="preserve">. This is </w:t>
      </w:r>
      <w:r w:rsidR="00EE7E8E">
        <w:rPr>
          <w:rFonts w:ascii="Calibri" w:hAnsi="Calibri" w:cs="Calibri"/>
        </w:rPr>
        <w:t>because</w:t>
      </w:r>
      <w:r w:rsidR="00C243B5">
        <w:rPr>
          <w:rFonts w:ascii="Calibri" w:hAnsi="Calibri" w:cs="Calibri"/>
        </w:rPr>
        <w:t xml:space="preserve"> </w:t>
      </w:r>
      <w:r w:rsidR="00384109">
        <w:rPr>
          <w:rFonts w:ascii="Calibri" w:hAnsi="Calibri" w:cs="Calibri"/>
        </w:rPr>
        <w:t>sections</w:t>
      </w:r>
      <w:r w:rsidR="00C243B5">
        <w:rPr>
          <w:rFonts w:ascii="Calibri" w:hAnsi="Calibri" w:cs="Calibri"/>
        </w:rPr>
        <w:t xml:space="preserve"> of both tombs </w:t>
      </w:r>
      <w:r w:rsidR="00CE54D7">
        <w:rPr>
          <w:rFonts w:ascii="Calibri" w:hAnsi="Calibri" w:cs="Calibri"/>
        </w:rPr>
        <w:t xml:space="preserve">have been cut into by </w:t>
      </w:r>
      <w:r w:rsidR="00050D37">
        <w:rPr>
          <w:rFonts w:ascii="Calibri" w:hAnsi="Calibri" w:cs="Calibri"/>
        </w:rPr>
        <w:t>other tombs</w:t>
      </w:r>
      <w:r w:rsidR="00664D65">
        <w:rPr>
          <w:rFonts w:ascii="Calibri" w:hAnsi="Calibri" w:cs="Calibri"/>
        </w:rPr>
        <w:t xml:space="preserve"> (</w:t>
      </w:r>
      <w:r w:rsidR="00050D37">
        <w:rPr>
          <w:rFonts w:ascii="Calibri" w:hAnsi="Calibri" w:cs="Calibri"/>
        </w:rPr>
        <w:t>.</w:t>
      </w:r>
      <w:r w:rsidR="00C50B20">
        <w:rPr>
          <w:rFonts w:ascii="Calibri" w:hAnsi="Calibri" w:cs="Calibri"/>
        </w:rPr>
        <w:t xml:space="preserve"> The burial plan </w:t>
      </w:r>
      <w:r w:rsidR="00772406">
        <w:rPr>
          <w:rFonts w:ascii="Calibri" w:hAnsi="Calibri" w:cs="Calibri"/>
        </w:rPr>
        <w:t xml:space="preserve">shows the cuts made into the tombs. </w:t>
      </w:r>
      <w:r w:rsidR="00250C86">
        <w:rPr>
          <w:rFonts w:ascii="Calibri" w:hAnsi="Calibri" w:cs="Calibri"/>
        </w:rPr>
        <w:t>Both Tombs had bone fragments</w:t>
      </w:r>
      <w:r w:rsidR="00C3068D">
        <w:rPr>
          <w:rFonts w:ascii="Calibri" w:hAnsi="Calibri" w:cs="Calibri"/>
        </w:rPr>
        <w:t>, which could be a question o</w:t>
      </w:r>
      <w:r w:rsidR="0073327F">
        <w:rPr>
          <w:rFonts w:ascii="Calibri" w:hAnsi="Calibri" w:cs="Calibri"/>
        </w:rPr>
        <w:t>f</w:t>
      </w:r>
      <w:r w:rsidR="00087576">
        <w:rPr>
          <w:rFonts w:ascii="Calibri" w:hAnsi="Calibri" w:cs="Calibri"/>
        </w:rPr>
        <w:t xml:space="preserve"> where the bodies went</w:t>
      </w:r>
      <w:r w:rsidR="00664D65">
        <w:rPr>
          <w:rFonts w:ascii="Calibri" w:hAnsi="Calibri" w:cs="Calibri"/>
        </w:rPr>
        <w:t xml:space="preserve"> </w:t>
      </w:r>
      <w:r w:rsidR="00664D65">
        <w:rPr>
          <w:rFonts w:ascii="Calibri" w:hAnsi="Calibri" w:cs="Calibri"/>
        </w:rPr>
        <w:t>(Popham. M. R. et al. 1980. P</w:t>
      </w:r>
      <w:r w:rsidR="00664D65">
        <w:rPr>
          <w:rFonts w:ascii="Calibri" w:hAnsi="Calibri" w:cs="Calibri"/>
        </w:rPr>
        <w:t xml:space="preserve">p </w:t>
      </w:r>
      <w:r w:rsidR="00664D65">
        <w:rPr>
          <w:rFonts w:ascii="Calibri" w:hAnsi="Calibri" w:cs="Calibri"/>
        </w:rPr>
        <w:t>168</w:t>
      </w:r>
      <w:r w:rsidR="00664D65">
        <w:rPr>
          <w:rFonts w:ascii="Calibri" w:hAnsi="Calibri" w:cs="Calibri"/>
        </w:rPr>
        <w:t>- 169</w:t>
      </w:r>
      <w:r w:rsidR="00664D65">
        <w:rPr>
          <w:rFonts w:ascii="Calibri" w:hAnsi="Calibri" w:cs="Calibri"/>
        </w:rPr>
        <w:t>)</w:t>
      </w:r>
      <w:r w:rsidR="00087576">
        <w:rPr>
          <w:rFonts w:ascii="Calibri" w:hAnsi="Calibri" w:cs="Calibri"/>
        </w:rPr>
        <w:t>. Despite this, there were a lot of find</w:t>
      </w:r>
      <w:r w:rsidR="00C80D77">
        <w:rPr>
          <w:rFonts w:ascii="Calibri" w:hAnsi="Calibri" w:cs="Calibri"/>
        </w:rPr>
        <w:t>s</w:t>
      </w:r>
      <w:r w:rsidR="00087576">
        <w:rPr>
          <w:rFonts w:ascii="Calibri" w:hAnsi="Calibri" w:cs="Calibri"/>
        </w:rPr>
        <w:t xml:space="preserve"> </w:t>
      </w:r>
      <w:r w:rsidR="002F3BA7">
        <w:rPr>
          <w:rFonts w:ascii="Calibri" w:hAnsi="Calibri" w:cs="Calibri"/>
        </w:rPr>
        <w:t xml:space="preserve">found in </w:t>
      </w:r>
      <w:r w:rsidR="00B90A2D">
        <w:rPr>
          <w:rFonts w:ascii="Calibri" w:hAnsi="Calibri" w:cs="Calibri"/>
        </w:rPr>
        <w:t>T</w:t>
      </w:r>
      <w:r w:rsidR="002F3BA7">
        <w:rPr>
          <w:rFonts w:ascii="Calibri" w:hAnsi="Calibri" w:cs="Calibri"/>
        </w:rPr>
        <w:t>omb</w:t>
      </w:r>
      <w:r w:rsidR="00B90A2D">
        <w:rPr>
          <w:rFonts w:ascii="Calibri" w:hAnsi="Calibri" w:cs="Calibri"/>
        </w:rPr>
        <w:t>s</w:t>
      </w:r>
      <w:r w:rsidR="002F3BA7">
        <w:rPr>
          <w:rFonts w:ascii="Calibri" w:hAnsi="Calibri" w:cs="Calibri"/>
        </w:rPr>
        <w:t xml:space="preserve"> 1 and 3 </w:t>
      </w:r>
      <w:r w:rsidR="003E3998">
        <w:rPr>
          <w:rFonts w:ascii="Calibri" w:hAnsi="Calibri" w:cs="Calibri"/>
        </w:rPr>
        <w:t xml:space="preserve">that </w:t>
      </w:r>
      <w:r w:rsidR="00B90A2D">
        <w:rPr>
          <w:rFonts w:ascii="Calibri" w:hAnsi="Calibri" w:cs="Calibri"/>
        </w:rPr>
        <w:t>were unique with the centaur and Gold earrings</w:t>
      </w:r>
      <w:r w:rsidR="006B50AB">
        <w:rPr>
          <w:rFonts w:ascii="Calibri" w:hAnsi="Calibri" w:cs="Calibri"/>
        </w:rPr>
        <w:t xml:space="preserve"> </w:t>
      </w:r>
      <w:r w:rsidR="006B50AB">
        <w:rPr>
          <w:rFonts w:ascii="Calibri" w:hAnsi="Calibri" w:cs="Calibri"/>
        </w:rPr>
        <w:t>(Popham. M. R. et al. 1980. P 168)</w:t>
      </w:r>
      <w:r w:rsidR="00B90A2D">
        <w:rPr>
          <w:rFonts w:ascii="Calibri" w:hAnsi="Calibri" w:cs="Calibri"/>
        </w:rPr>
        <w:t xml:space="preserve">. </w:t>
      </w:r>
      <w:r w:rsidR="003E3998">
        <w:rPr>
          <w:rFonts w:ascii="Calibri" w:hAnsi="Calibri" w:cs="Calibri"/>
        </w:rPr>
        <w:t xml:space="preserve">It is difficult to understand how items were found in both tombs due to </w:t>
      </w:r>
      <w:r w:rsidR="00A40F7C">
        <w:rPr>
          <w:rFonts w:ascii="Calibri" w:hAnsi="Calibri" w:cs="Calibri"/>
        </w:rPr>
        <w:t xml:space="preserve">there being no layer context plan to accompany the burial plans. </w:t>
      </w:r>
      <w:r w:rsidR="00A437DB">
        <w:rPr>
          <w:rFonts w:ascii="Calibri" w:hAnsi="Calibri" w:cs="Calibri"/>
        </w:rPr>
        <w:t>The context layer plan is vital for interpreting the Tombs as you can see what items were buried closer to the bone fragments</w:t>
      </w:r>
      <w:r w:rsidR="00280A61">
        <w:rPr>
          <w:rFonts w:ascii="Calibri" w:hAnsi="Calibri" w:cs="Calibri"/>
        </w:rPr>
        <w:t xml:space="preserve"> and any items that are ceremonial due to placement.</w:t>
      </w:r>
    </w:p>
    <w:p w14:paraId="3726A00A" w14:textId="77777777" w:rsidR="00280A61" w:rsidRDefault="00280A61" w:rsidP="00934D21">
      <w:pPr>
        <w:rPr>
          <w:rFonts w:ascii="Calibri" w:hAnsi="Calibri" w:cs="Calibri"/>
        </w:rPr>
      </w:pPr>
    </w:p>
    <w:p w14:paraId="42A5A121" w14:textId="2B88855A" w:rsidR="00280A61" w:rsidRDefault="00280A61" w:rsidP="00934D21">
      <w:pPr>
        <w:rPr>
          <w:rFonts w:ascii="Calibri" w:hAnsi="Calibri" w:cs="Calibri"/>
        </w:rPr>
      </w:pPr>
      <w:r>
        <w:rPr>
          <w:rFonts w:ascii="Calibri" w:hAnsi="Calibri" w:cs="Calibri"/>
        </w:rPr>
        <w:t xml:space="preserve">It is clear to see that there </w:t>
      </w:r>
      <w:r w:rsidR="00B21C1E">
        <w:rPr>
          <w:rFonts w:ascii="Calibri" w:hAnsi="Calibri" w:cs="Calibri"/>
        </w:rPr>
        <w:t xml:space="preserve">are funerary practices being made as both tombs show grave goods and personal objects as well </w:t>
      </w:r>
      <w:r w:rsidR="0075483A">
        <w:rPr>
          <w:rFonts w:ascii="Calibri" w:hAnsi="Calibri" w:cs="Calibri"/>
        </w:rPr>
        <w:t xml:space="preserve">as </w:t>
      </w:r>
      <w:r w:rsidR="00296FBC">
        <w:rPr>
          <w:rFonts w:ascii="Calibri" w:hAnsi="Calibri" w:cs="Calibri"/>
        </w:rPr>
        <w:t xml:space="preserve">the purpose of the tombs. The specific link between belief and </w:t>
      </w:r>
      <w:r w:rsidR="000012E2">
        <w:rPr>
          <w:rFonts w:ascii="Calibri" w:hAnsi="Calibri" w:cs="Calibri"/>
        </w:rPr>
        <w:t xml:space="preserve">the tombs is the centaur. However, the plan is unclear on the importance of the </w:t>
      </w:r>
      <w:r w:rsidR="000012E2">
        <w:rPr>
          <w:rFonts w:ascii="Calibri" w:hAnsi="Calibri" w:cs="Calibri"/>
        </w:rPr>
        <w:lastRenderedPageBreak/>
        <w:t xml:space="preserve">centaur due to the size </w:t>
      </w:r>
      <w:r w:rsidR="000012E2">
        <w:rPr>
          <w:rFonts w:ascii="Calibri" w:hAnsi="Calibri" w:cs="Calibri"/>
        </w:rPr>
        <w:t xml:space="preserve">not being accurate </w:t>
      </w:r>
      <w:r w:rsidR="000012E2">
        <w:rPr>
          <w:rFonts w:ascii="Calibri" w:hAnsi="Calibri" w:cs="Calibri"/>
        </w:rPr>
        <w:t>in the plan. This is important as the whole plan interpretation is hard to determine as there is no</w:t>
      </w:r>
      <w:r w:rsidR="00FA69C9">
        <w:rPr>
          <w:rFonts w:ascii="Calibri" w:hAnsi="Calibri" w:cs="Calibri"/>
        </w:rPr>
        <w:t xml:space="preserve"> </w:t>
      </w:r>
      <w:r w:rsidR="000012E2">
        <w:rPr>
          <w:rFonts w:ascii="Calibri" w:hAnsi="Calibri" w:cs="Calibri"/>
        </w:rPr>
        <w:t xml:space="preserve">context </w:t>
      </w:r>
      <w:r w:rsidR="00FA69C9">
        <w:rPr>
          <w:rFonts w:ascii="Calibri" w:hAnsi="Calibri" w:cs="Calibri"/>
        </w:rPr>
        <w:t xml:space="preserve">layer </w:t>
      </w:r>
      <w:r w:rsidR="000012E2">
        <w:rPr>
          <w:rFonts w:ascii="Calibri" w:hAnsi="Calibri" w:cs="Calibri"/>
        </w:rPr>
        <w:t>which</w:t>
      </w:r>
      <w:r w:rsidR="00FA69C9">
        <w:rPr>
          <w:rFonts w:ascii="Calibri" w:hAnsi="Calibri" w:cs="Calibri"/>
        </w:rPr>
        <w:t xml:space="preserve"> could determine when and how the Centaur head was in Tomb 1 and the body broken in Tomb 3. </w:t>
      </w:r>
    </w:p>
    <w:p w14:paraId="56FC41FB" w14:textId="77777777" w:rsidR="00C92FD5" w:rsidRDefault="00C92FD5" w:rsidP="00934D21">
      <w:pPr>
        <w:rPr>
          <w:rFonts w:ascii="Calibri" w:hAnsi="Calibri" w:cs="Calibri"/>
        </w:rPr>
      </w:pPr>
    </w:p>
    <w:p w14:paraId="2AADD412" w14:textId="3F0662F7" w:rsidR="00934D21" w:rsidRDefault="00C92FD5" w:rsidP="00934D21">
      <w:pPr>
        <w:rPr>
          <w:rFonts w:ascii="Calibri" w:hAnsi="Calibri" w:cs="Calibri"/>
        </w:rPr>
      </w:pPr>
      <w:r>
        <w:rPr>
          <w:rFonts w:ascii="Calibri" w:hAnsi="Calibri" w:cs="Calibri"/>
        </w:rPr>
        <w:t>Because of this Centaur, there could be a link between</w:t>
      </w:r>
      <w:r w:rsidR="005F5145">
        <w:rPr>
          <w:rFonts w:ascii="Calibri" w:hAnsi="Calibri" w:cs="Calibri"/>
        </w:rPr>
        <w:t xml:space="preserve"> </w:t>
      </w:r>
      <w:r w:rsidR="005F5145" w:rsidRPr="003B017E">
        <w:rPr>
          <w:rFonts w:ascii="Calibri" w:hAnsi="Calibri" w:cs="Calibri"/>
        </w:rPr>
        <w:t>Lefkandi</w:t>
      </w:r>
      <w:r w:rsidR="005F5145">
        <w:rPr>
          <w:rFonts w:ascii="Calibri" w:hAnsi="Calibri" w:cs="Calibri"/>
        </w:rPr>
        <w:t xml:space="preserve"> and Classical Greece. </w:t>
      </w:r>
      <w:r w:rsidR="0000705E">
        <w:rPr>
          <w:rFonts w:ascii="Calibri" w:hAnsi="Calibri" w:cs="Calibri"/>
        </w:rPr>
        <w:t xml:space="preserve">The importance of the Centaur is the cause for the head being in </w:t>
      </w:r>
      <w:r w:rsidR="002B76B9">
        <w:rPr>
          <w:rFonts w:ascii="Calibri" w:hAnsi="Calibri" w:cs="Calibri"/>
        </w:rPr>
        <w:t>Tomb 1 and the body being in Tomb 3</w:t>
      </w:r>
      <w:r w:rsidR="000B3EEE">
        <w:rPr>
          <w:rFonts w:ascii="Calibri" w:hAnsi="Calibri" w:cs="Calibri"/>
        </w:rPr>
        <w:t xml:space="preserve"> (</w:t>
      </w:r>
      <w:r w:rsidR="000B3EEE" w:rsidRPr="000B3EEE">
        <w:rPr>
          <w:rFonts w:ascii="Calibri" w:hAnsi="Calibri" w:cs="Calibri"/>
        </w:rPr>
        <w:t>Desborough</w:t>
      </w:r>
      <w:r w:rsidR="000B3EEE">
        <w:rPr>
          <w:rFonts w:ascii="Calibri" w:hAnsi="Calibri" w:cs="Calibri"/>
        </w:rPr>
        <w:t xml:space="preserve">, </w:t>
      </w:r>
      <w:r w:rsidR="000B3EEE" w:rsidRPr="000B3EEE">
        <w:rPr>
          <w:rFonts w:ascii="Calibri" w:hAnsi="Calibri" w:cs="Calibri"/>
        </w:rPr>
        <w:t>V. R</w:t>
      </w:r>
      <w:r w:rsidR="000B3EEE">
        <w:rPr>
          <w:rFonts w:ascii="Calibri" w:hAnsi="Calibri" w:cs="Calibri"/>
        </w:rPr>
        <w:t>. et al, 1970, Pp 21-22)</w:t>
      </w:r>
      <w:r w:rsidR="002B76B9">
        <w:rPr>
          <w:rFonts w:ascii="Calibri" w:hAnsi="Calibri" w:cs="Calibri"/>
        </w:rPr>
        <w:t>. However</w:t>
      </w:r>
      <w:r w:rsidR="007D0370">
        <w:rPr>
          <w:rFonts w:ascii="Calibri" w:hAnsi="Calibri" w:cs="Calibri"/>
        </w:rPr>
        <w:t>,</w:t>
      </w:r>
      <w:r w:rsidR="002B76B9">
        <w:rPr>
          <w:rFonts w:ascii="Calibri" w:hAnsi="Calibri" w:cs="Calibri"/>
        </w:rPr>
        <w:t xml:space="preserve"> the size of the Centaur </w:t>
      </w:r>
      <w:r w:rsidR="007D0370">
        <w:rPr>
          <w:rFonts w:ascii="Calibri" w:hAnsi="Calibri" w:cs="Calibri"/>
        </w:rPr>
        <w:t xml:space="preserve">in the image </w:t>
      </w:r>
      <w:r w:rsidR="002B76B9">
        <w:rPr>
          <w:rFonts w:ascii="Calibri" w:hAnsi="Calibri" w:cs="Calibri"/>
        </w:rPr>
        <w:t>is no</w:t>
      </w:r>
      <w:r w:rsidR="007D0370">
        <w:rPr>
          <w:rFonts w:ascii="Calibri" w:hAnsi="Calibri" w:cs="Calibri"/>
        </w:rPr>
        <w:t xml:space="preserve">t reflective of the actual size </w:t>
      </w:r>
      <w:r w:rsidR="00E40BDC">
        <w:rPr>
          <w:rFonts w:ascii="Calibri" w:hAnsi="Calibri" w:cs="Calibri"/>
        </w:rPr>
        <w:t xml:space="preserve">of the Centaur. The lack of size accuracy and context layer in the plan is an issue for archaeologists as size and accurate images and measurements </w:t>
      </w:r>
      <w:r w:rsidR="00726A9F">
        <w:rPr>
          <w:rFonts w:ascii="Calibri" w:hAnsi="Calibri" w:cs="Calibri"/>
        </w:rPr>
        <w:t>are</w:t>
      </w:r>
      <w:r w:rsidR="00E40BDC">
        <w:rPr>
          <w:rFonts w:ascii="Calibri" w:hAnsi="Calibri" w:cs="Calibri"/>
        </w:rPr>
        <w:t xml:space="preserve"> vital for interpretation. </w:t>
      </w:r>
      <w:r w:rsidR="00726A9F">
        <w:rPr>
          <w:rFonts w:ascii="Calibri" w:hAnsi="Calibri" w:cs="Calibri"/>
        </w:rPr>
        <w:t xml:space="preserve">The lack of labelling also creates issues for interpretation as it presents a lack of clarity when later publishing and interpretation are being presented. </w:t>
      </w:r>
    </w:p>
    <w:p w14:paraId="1A1F8AD1" w14:textId="77777777" w:rsidR="00FE384E" w:rsidRDefault="00FE384E" w:rsidP="00934D21">
      <w:pPr>
        <w:rPr>
          <w:rFonts w:ascii="Calibri" w:hAnsi="Calibri" w:cs="Calibri"/>
          <w:b/>
          <w:bCs/>
        </w:rPr>
      </w:pPr>
    </w:p>
    <w:p w14:paraId="293CD772" w14:textId="76214B77" w:rsidR="00934D21" w:rsidRDefault="00731DCF" w:rsidP="00934D21">
      <w:pPr>
        <w:rPr>
          <w:rFonts w:ascii="Calibri" w:hAnsi="Calibri" w:cs="Calibri"/>
        </w:rPr>
      </w:pPr>
      <w:r>
        <w:rPr>
          <w:rFonts w:ascii="Calibri" w:hAnsi="Calibri" w:cs="Calibri"/>
        </w:rPr>
        <w:t>The</w:t>
      </w:r>
      <w:r w:rsidR="00FE384E">
        <w:rPr>
          <w:rFonts w:ascii="Calibri" w:hAnsi="Calibri" w:cs="Calibri"/>
        </w:rPr>
        <w:t xml:space="preserve"> </w:t>
      </w:r>
      <w:r w:rsidR="005A6CD0">
        <w:rPr>
          <w:rFonts w:ascii="Calibri" w:hAnsi="Calibri" w:cs="Calibri"/>
        </w:rPr>
        <w:t xml:space="preserve">problems </w:t>
      </w:r>
      <w:r w:rsidR="00FE384E">
        <w:rPr>
          <w:rFonts w:ascii="Calibri" w:hAnsi="Calibri" w:cs="Calibri"/>
        </w:rPr>
        <w:t>with the burial plans make it hard t</w:t>
      </w:r>
      <w:r>
        <w:rPr>
          <w:rFonts w:ascii="Calibri" w:hAnsi="Calibri" w:cs="Calibri"/>
        </w:rPr>
        <w:t>o</w:t>
      </w:r>
      <w:r w:rsidR="00FE384E">
        <w:rPr>
          <w:rFonts w:ascii="Calibri" w:hAnsi="Calibri" w:cs="Calibri"/>
        </w:rPr>
        <w:t xml:space="preserve"> </w:t>
      </w:r>
      <w:r w:rsidR="005A6CD0">
        <w:rPr>
          <w:rFonts w:ascii="Calibri" w:hAnsi="Calibri" w:cs="Calibri"/>
        </w:rPr>
        <w:t>interpret</w:t>
      </w:r>
      <w:r>
        <w:rPr>
          <w:rFonts w:ascii="Calibri" w:hAnsi="Calibri" w:cs="Calibri"/>
        </w:rPr>
        <w:t>,</w:t>
      </w:r>
      <w:r w:rsidR="005A6CD0">
        <w:rPr>
          <w:rFonts w:ascii="Calibri" w:hAnsi="Calibri" w:cs="Calibri"/>
        </w:rPr>
        <w:t xml:space="preserve"> and the </w:t>
      </w:r>
      <w:r>
        <w:rPr>
          <w:rFonts w:ascii="Calibri" w:hAnsi="Calibri" w:cs="Calibri"/>
        </w:rPr>
        <w:t>publishings</w:t>
      </w:r>
      <w:r w:rsidR="005A6CD0">
        <w:rPr>
          <w:rFonts w:ascii="Calibri" w:hAnsi="Calibri" w:cs="Calibri"/>
        </w:rPr>
        <w:t xml:space="preserve"> with both tombs. The </w:t>
      </w:r>
      <w:r w:rsidR="00AB7EEE">
        <w:rPr>
          <w:rFonts w:ascii="Calibri" w:hAnsi="Calibri" w:cs="Calibri"/>
        </w:rPr>
        <w:t xml:space="preserve">importance </w:t>
      </w:r>
      <w:r w:rsidR="00127B02">
        <w:rPr>
          <w:rFonts w:ascii="Calibri" w:hAnsi="Calibri" w:cs="Calibri"/>
        </w:rPr>
        <w:t xml:space="preserve">of grave goods </w:t>
      </w:r>
      <w:r w:rsidR="000730A5">
        <w:rPr>
          <w:rFonts w:ascii="Calibri" w:hAnsi="Calibri" w:cs="Calibri"/>
        </w:rPr>
        <w:t>is significant as they can show a person’s wealth and status. The position of the tombs in association with other tombs is importan</w:t>
      </w:r>
      <w:r w:rsidR="001D5F64">
        <w:rPr>
          <w:rFonts w:ascii="Calibri" w:hAnsi="Calibri" w:cs="Calibri"/>
        </w:rPr>
        <w:t>t</w:t>
      </w:r>
      <w:r w:rsidR="000730A5">
        <w:rPr>
          <w:rFonts w:ascii="Calibri" w:hAnsi="Calibri" w:cs="Calibri"/>
        </w:rPr>
        <w:t xml:space="preserve"> as this can tell much about the status and significance of the deceased inside. Because of the lack of </w:t>
      </w:r>
      <w:r w:rsidR="001D5F64">
        <w:rPr>
          <w:rFonts w:ascii="Calibri" w:hAnsi="Calibri" w:cs="Calibri"/>
        </w:rPr>
        <w:t>accurate sizes and contextual information on the images</w:t>
      </w:r>
      <w:r w:rsidR="008854C5">
        <w:rPr>
          <w:rFonts w:ascii="Calibri" w:hAnsi="Calibri" w:cs="Calibri"/>
        </w:rPr>
        <w:t>,</w:t>
      </w:r>
      <w:r w:rsidR="001D5F64">
        <w:rPr>
          <w:rFonts w:ascii="Calibri" w:hAnsi="Calibri" w:cs="Calibri"/>
        </w:rPr>
        <w:t xml:space="preserve"> it is hard to determine </w:t>
      </w:r>
      <w:r w:rsidR="00C965E0">
        <w:rPr>
          <w:rFonts w:ascii="Calibri" w:hAnsi="Calibri" w:cs="Calibri"/>
        </w:rPr>
        <w:t xml:space="preserve">the status of the person and bring an interpretation of the man. Ethnographic evidence is important </w:t>
      </w:r>
      <w:r w:rsidR="00DF102C">
        <w:rPr>
          <w:rFonts w:ascii="Calibri" w:hAnsi="Calibri" w:cs="Calibri"/>
        </w:rPr>
        <w:t xml:space="preserve">due to the information it brings to light the importance of the finds that are found in the </w:t>
      </w:r>
      <w:r w:rsidR="002B0A49">
        <w:rPr>
          <w:rFonts w:ascii="Calibri" w:hAnsi="Calibri" w:cs="Calibri"/>
        </w:rPr>
        <w:t>graves</w:t>
      </w:r>
      <w:r w:rsidR="00296623">
        <w:rPr>
          <w:rFonts w:ascii="Calibri" w:hAnsi="Calibri" w:cs="Calibri"/>
        </w:rPr>
        <w:t xml:space="preserve"> (</w:t>
      </w:r>
      <w:proofErr w:type="spellStart"/>
      <w:r w:rsidR="00296623">
        <w:rPr>
          <w:rFonts w:ascii="Calibri" w:hAnsi="Calibri" w:cs="Calibri"/>
        </w:rPr>
        <w:t>Ucko</w:t>
      </w:r>
      <w:proofErr w:type="spellEnd"/>
      <w:r w:rsidR="00296623">
        <w:rPr>
          <w:rFonts w:ascii="Calibri" w:hAnsi="Calibri" w:cs="Calibri"/>
        </w:rPr>
        <w:t>, P. 1969. P 266)</w:t>
      </w:r>
      <w:r w:rsidR="004B7626">
        <w:rPr>
          <w:rFonts w:ascii="Calibri" w:hAnsi="Calibri" w:cs="Calibri"/>
        </w:rPr>
        <w:t xml:space="preserve">. This allows archaeologists to interpret the </w:t>
      </w:r>
      <w:r w:rsidR="00033D4F">
        <w:rPr>
          <w:rFonts w:ascii="Calibri" w:hAnsi="Calibri" w:cs="Calibri"/>
        </w:rPr>
        <w:t>meaning of the culture and the individual</w:t>
      </w:r>
      <w:r w:rsidR="00296623">
        <w:rPr>
          <w:rFonts w:ascii="Calibri" w:hAnsi="Calibri" w:cs="Calibri"/>
        </w:rPr>
        <w:t>.</w:t>
      </w:r>
      <w:r w:rsidR="006B50AB">
        <w:rPr>
          <w:rFonts w:ascii="Calibri" w:hAnsi="Calibri" w:cs="Calibri"/>
        </w:rPr>
        <w:t xml:space="preserve"> The limitations of the plans </w:t>
      </w:r>
      <w:r w:rsidR="007D2331">
        <w:rPr>
          <w:rFonts w:ascii="Calibri" w:hAnsi="Calibri" w:cs="Calibri"/>
        </w:rPr>
        <w:t>create issues for many reasons. The important issue is there is no Measurement key at the bottom of the images that would give a size comparison between the two tombs and the importance of the size of the object, which could give an indication of where the objects were in relation to the bone fragments. The images didn’t have the bone fragments in the plan which creates issues for later interpretation as items closer to the remains could suggest the status of the person and the culture the person belonged to at the time.</w:t>
      </w:r>
    </w:p>
    <w:p w14:paraId="5243BA24" w14:textId="77777777" w:rsidR="007D2331" w:rsidRDefault="007D2331" w:rsidP="00934D21">
      <w:pPr>
        <w:rPr>
          <w:rFonts w:ascii="Calibri" w:hAnsi="Calibri" w:cs="Calibri"/>
        </w:rPr>
      </w:pPr>
    </w:p>
    <w:p w14:paraId="4706FEB9" w14:textId="05BC6561" w:rsidR="00ED3207" w:rsidRDefault="007D2331" w:rsidP="00934D21">
      <w:pPr>
        <w:rPr>
          <w:rFonts w:ascii="Calibri" w:hAnsi="Calibri" w:cs="Calibri"/>
          <w:sz w:val="32"/>
          <w:szCs w:val="32"/>
          <w:u w:val="single"/>
        </w:rPr>
      </w:pPr>
      <w:r w:rsidRPr="007D2331">
        <w:rPr>
          <w:rFonts w:ascii="Calibri" w:hAnsi="Calibri" w:cs="Calibri"/>
          <w:sz w:val="32"/>
          <w:szCs w:val="32"/>
          <w:u w:val="single"/>
        </w:rPr>
        <w:t>References</w:t>
      </w:r>
    </w:p>
    <w:p w14:paraId="512BD4F0" w14:textId="77777777" w:rsidR="00ED3207" w:rsidRDefault="00ED3207" w:rsidP="00934D21">
      <w:pPr>
        <w:rPr>
          <w:rFonts w:ascii="Calibri" w:hAnsi="Calibri" w:cs="Calibri"/>
          <w:sz w:val="32"/>
          <w:szCs w:val="32"/>
          <w:u w:val="single"/>
        </w:rPr>
      </w:pPr>
    </w:p>
    <w:p w14:paraId="0B425D24" w14:textId="1385A9EF" w:rsidR="00ED3207" w:rsidRPr="00ED3207" w:rsidRDefault="00ED3207" w:rsidP="00ED3207">
      <w:pPr>
        <w:pStyle w:val="ListParagraph"/>
        <w:numPr>
          <w:ilvl w:val="0"/>
          <w:numId w:val="14"/>
        </w:numPr>
        <w:rPr>
          <w:rFonts w:ascii="Calibri" w:hAnsi="Calibri" w:cs="Calibri"/>
          <w:sz w:val="21"/>
          <w:szCs w:val="21"/>
        </w:rPr>
      </w:pPr>
      <w:r w:rsidRPr="00ED3207">
        <w:rPr>
          <w:rFonts w:ascii="Calibri" w:hAnsi="Calibri" w:cs="Calibri"/>
          <w:sz w:val="21"/>
          <w:szCs w:val="21"/>
        </w:rPr>
        <w:t>Desborough, V.R., Nicholls, R.V. and Popham, M. (1970</w:t>
      </w:r>
      <w:r w:rsidRPr="000507F9">
        <w:rPr>
          <w:rFonts w:ascii="Calibri" w:hAnsi="Calibri" w:cs="Calibri"/>
          <w:i/>
          <w:iCs/>
          <w:sz w:val="21"/>
          <w:szCs w:val="21"/>
        </w:rPr>
        <w:t>) ‘A Euboean Centaur’</w:t>
      </w:r>
      <w:r w:rsidRPr="00ED3207">
        <w:rPr>
          <w:rFonts w:ascii="Calibri" w:hAnsi="Calibri" w:cs="Calibri"/>
          <w:sz w:val="21"/>
          <w:szCs w:val="21"/>
        </w:rPr>
        <w:t xml:space="preserve">, The Annual of the British School at Athens, 65, pp. 21–30. Available at: </w:t>
      </w:r>
      <w:hyperlink r:id="rId7" w:history="1">
        <w:r w:rsidRPr="00ED3207">
          <w:rPr>
            <w:rStyle w:val="Hyperlink"/>
            <w:rFonts w:ascii="Calibri" w:eastAsiaTheme="majorEastAsia" w:hAnsi="Calibri" w:cs="Calibri"/>
            <w:sz w:val="21"/>
            <w:szCs w:val="21"/>
          </w:rPr>
          <w:t>https://www.jstor.org/stable/30103206</w:t>
        </w:r>
      </w:hyperlink>
      <w:r w:rsidRPr="00ED3207">
        <w:rPr>
          <w:rFonts w:ascii="Calibri" w:hAnsi="Calibri" w:cs="Calibri"/>
          <w:sz w:val="21"/>
          <w:szCs w:val="21"/>
        </w:rPr>
        <w:t xml:space="preserve"> (Accessed: 11 March 2025).</w:t>
      </w:r>
      <w:r w:rsidR="000507F9">
        <w:rPr>
          <w:rFonts w:ascii="Calibri" w:hAnsi="Calibri" w:cs="Calibri"/>
          <w:sz w:val="21"/>
          <w:szCs w:val="21"/>
        </w:rPr>
        <w:t xml:space="preserve"> </w:t>
      </w:r>
    </w:p>
    <w:p w14:paraId="2BC7D55E" w14:textId="77777777" w:rsidR="00ED3207" w:rsidRPr="00ED3207" w:rsidRDefault="00ED3207" w:rsidP="00ED3207">
      <w:pPr>
        <w:rPr>
          <w:rFonts w:ascii="Calibri" w:hAnsi="Calibri" w:cs="Calibri"/>
          <w:sz w:val="21"/>
          <w:szCs w:val="21"/>
        </w:rPr>
      </w:pPr>
    </w:p>
    <w:p w14:paraId="0BFBED05" w14:textId="56A0BFBC" w:rsidR="00ED3207" w:rsidRPr="00ED3207" w:rsidRDefault="00ED3207" w:rsidP="00ED3207">
      <w:pPr>
        <w:pStyle w:val="ListParagraph"/>
        <w:numPr>
          <w:ilvl w:val="0"/>
          <w:numId w:val="14"/>
        </w:numPr>
        <w:rPr>
          <w:rFonts w:ascii="Calibri" w:hAnsi="Calibri" w:cs="Calibri"/>
          <w:sz w:val="21"/>
          <w:szCs w:val="21"/>
        </w:rPr>
      </w:pPr>
      <w:r w:rsidRPr="00ED3207">
        <w:rPr>
          <w:rFonts w:ascii="Calibri" w:hAnsi="Calibri" w:cs="Calibri"/>
          <w:sz w:val="21"/>
          <w:szCs w:val="21"/>
        </w:rPr>
        <w:t xml:space="preserve">Lloyd, M. (2021) </w:t>
      </w:r>
      <w:r w:rsidRPr="000507F9">
        <w:rPr>
          <w:rFonts w:ascii="Calibri" w:hAnsi="Calibri" w:cs="Calibri"/>
          <w:i/>
          <w:iCs/>
          <w:sz w:val="21"/>
          <w:szCs w:val="21"/>
        </w:rPr>
        <w:t xml:space="preserve">The Centaur of Lefkandi - A remarkable Late </w:t>
      </w:r>
      <w:proofErr w:type="spellStart"/>
      <w:r w:rsidRPr="000507F9">
        <w:rPr>
          <w:rFonts w:ascii="Calibri" w:hAnsi="Calibri" w:cs="Calibri"/>
          <w:i/>
          <w:iCs/>
          <w:sz w:val="21"/>
          <w:szCs w:val="21"/>
        </w:rPr>
        <w:t>Protogeometric</w:t>
      </w:r>
      <w:proofErr w:type="spellEnd"/>
      <w:r w:rsidRPr="000507F9">
        <w:rPr>
          <w:rFonts w:ascii="Calibri" w:hAnsi="Calibri" w:cs="Calibri"/>
          <w:i/>
          <w:iCs/>
          <w:sz w:val="21"/>
          <w:szCs w:val="21"/>
        </w:rPr>
        <w:t xml:space="preserve"> figurine</w:t>
      </w:r>
      <w:r w:rsidRPr="00ED3207">
        <w:rPr>
          <w:rFonts w:ascii="Calibri" w:hAnsi="Calibri" w:cs="Calibri"/>
          <w:sz w:val="21"/>
          <w:szCs w:val="21"/>
        </w:rPr>
        <w:t xml:space="preserve">, Ancient World Magazine. Available at: </w:t>
      </w:r>
      <w:hyperlink r:id="rId8" w:history="1">
        <w:r w:rsidRPr="00ED3207">
          <w:rPr>
            <w:rStyle w:val="Hyperlink"/>
            <w:rFonts w:ascii="Calibri" w:eastAsiaTheme="majorEastAsia" w:hAnsi="Calibri" w:cs="Calibri"/>
            <w:sz w:val="21"/>
            <w:szCs w:val="21"/>
          </w:rPr>
          <w:t>https://www.ancientw</w:t>
        </w:r>
        <w:r w:rsidRPr="00ED3207">
          <w:rPr>
            <w:rStyle w:val="Hyperlink"/>
            <w:rFonts w:ascii="Calibri" w:eastAsiaTheme="majorEastAsia" w:hAnsi="Calibri" w:cs="Calibri"/>
            <w:sz w:val="21"/>
            <w:szCs w:val="21"/>
          </w:rPr>
          <w:t>o</w:t>
        </w:r>
        <w:r w:rsidRPr="00ED3207">
          <w:rPr>
            <w:rStyle w:val="Hyperlink"/>
            <w:rFonts w:ascii="Calibri" w:eastAsiaTheme="majorEastAsia" w:hAnsi="Calibri" w:cs="Calibri"/>
            <w:sz w:val="21"/>
            <w:szCs w:val="21"/>
          </w:rPr>
          <w:t>rldmagazine.com/articles/centaur-lefkandi/</w:t>
        </w:r>
      </w:hyperlink>
      <w:r w:rsidRPr="00ED3207">
        <w:rPr>
          <w:rFonts w:ascii="Calibri" w:hAnsi="Calibri" w:cs="Calibri"/>
          <w:sz w:val="21"/>
          <w:szCs w:val="21"/>
        </w:rPr>
        <w:t xml:space="preserve"> </w:t>
      </w:r>
      <w:r w:rsidRPr="00ED3207">
        <w:rPr>
          <w:rFonts w:ascii="Calibri" w:hAnsi="Calibri" w:cs="Calibri"/>
          <w:sz w:val="21"/>
          <w:szCs w:val="21"/>
        </w:rPr>
        <w:t>(Accessed: 10 March 2025).</w:t>
      </w:r>
    </w:p>
    <w:p w14:paraId="43D10BC9" w14:textId="77777777" w:rsidR="00ED3207" w:rsidRPr="00ED3207" w:rsidRDefault="00ED3207" w:rsidP="00ED3207">
      <w:pPr>
        <w:rPr>
          <w:rFonts w:ascii="Calibri" w:hAnsi="Calibri" w:cs="Calibri"/>
          <w:sz w:val="21"/>
          <w:szCs w:val="21"/>
        </w:rPr>
      </w:pPr>
    </w:p>
    <w:p w14:paraId="5AC0A278" w14:textId="77777777" w:rsidR="00ED3207" w:rsidRPr="00ED3207" w:rsidRDefault="00ED3207" w:rsidP="00ED3207">
      <w:pPr>
        <w:pStyle w:val="ListParagraph"/>
        <w:numPr>
          <w:ilvl w:val="0"/>
          <w:numId w:val="14"/>
        </w:numPr>
        <w:rPr>
          <w:rFonts w:ascii="Calibri" w:hAnsi="Calibri" w:cs="Calibri"/>
          <w:sz w:val="21"/>
          <w:szCs w:val="21"/>
        </w:rPr>
      </w:pPr>
      <w:r w:rsidRPr="00ED3207">
        <w:rPr>
          <w:rFonts w:ascii="Calibri" w:hAnsi="Calibri" w:cs="Calibri"/>
          <w:sz w:val="21"/>
          <w:szCs w:val="21"/>
        </w:rPr>
        <w:t>Popham, M.R. et al. (1980</w:t>
      </w:r>
      <w:r w:rsidRPr="000507F9">
        <w:rPr>
          <w:rFonts w:ascii="Calibri" w:hAnsi="Calibri" w:cs="Calibri"/>
          <w:i/>
          <w:iCs/>
          <w:sz w:val="21"/>
          <w:szCs w:val="21"/>
        </w:rPr>
        <w:t>) ‘Lefkandi I. the Iron Age. Text. the Settlement. the Cemeteries’</w:t>
      </w:r>
      <w:r w:rsidRPr="00ED3207">
        <w:rPr>
          <w:rFonts w:ascii="Calibri" w:hAnsi="Calibri" w:cs="Calibri"/>
          <w:sz w:val="21"/>
          <w:szCs w:val="21"/>
        </w:rPr>
        <w:t xml:space="preserve">, The British School at Athens. Supplementary Volumes, (11), pp. iii–464. Available at: </w:t>
      </w:r>
      <w:hyperlink r:id="rId9" w:history="1">
        <w:r w:rsidRPr="00ED3207">
          <w:rPr>
            <w:rStyle w:val="Hyperlink"/>
            <w:rFonts w:ascii="Calibri" w:eastAsiaTheme="majorEastAsia" w:hAnsi="Calibri" w:cs="Calibri"/>
            <w:sz w:val="21"/>
            <w:szCs w:val="21"/>
          </w:rPr>
          <w:t>https://www.jstor.org/stable/40855973</w:t>
        </w:r>
      </w:hyperlink>
      <w:r w:rsidRPr="00ED3207">
        <w:rPr>
          <w:rFonts w:ascii="Calibri" w:hAnsi="Calibri" w:cs="Calibri"/>
          <w:sz w:val="21"/>
          <w:szCs w:val="21"/>
        </w:rPr>
        <w:t xml:space="preserve"> (Accessed: 10 March 2025).</w:t>
      </w:r>
    </w:p>
    <w:p w14:paraId="2256760E" w14:textId="77777777" w:rsidR="00ED3207" w:rsidRPr="00ED3207" w:rsidRDefault="00ED3207" w:rsidP="00ED3207">
      <w:pPr>
        <w:rPr>
          <w:rFonts w:ascii="Calibri" w:hAnsi="Calibri" w:cs="Calibri"/>
          <w:sz w:val="21"/>
          <w:szCs w:val="21"/>
        </w:rPr>
      </w:pPr>
    </w:p>
    <w:p w14:paraId="2B25C4A4" w14:textId="77777777" w:rsidR="00ED3207" w:rsidRPr="00ED3207" w:rsidRDefault="00ED3207" w:rsidP="00ED3207">
      <w:pPr>
        <w:pStyle w:val="ListParagraph"/>
        <w:numPr>
          <w:ilvl w:val="0"/>
          <w:numId w:val="14"/>
        </w:numPr>
        <w:rPr>
          <w:rFonts w:ascii="Calibri" w:hAnsi="Calibri" w:cs="Calibri"/>
          <w:sz w:val="21"/>
          <w:szCs w:val="21"/>
        </w:rPr>
      </w:pPr>
      <w:proofErr w:type="spellStart"/>
      <w:r w:rsidRPr="00ED3207">
        <w:rPr>
          <w:rFonts w:ascii="Calibri" w:hAnsi="Calibri" w:cs="Calibri"/>
          <w:sz w:val="21"/>
          <w:szCs w:val="21"/>
        </w:rPr>
        <w:t>Ucko</w:t>
      </w:r>
      <w:proofErr w:type="spellEnd"/>
      <w:r w:rsidRPr="00ED3207">
        <w:rPr>
          <w:rFonts w:ascii="Calibri" w:hAnsi="Calibri" w:cs="Calibri"/>
          <w:sz w:val="21"/>
          <w:szCs w:val="21"/>
        </w:rPr>
        <w:t>, P.J. (1969) ‘</w:t>
      </w:r>
      <w:r w:rsidRPr="000507F9">
        <w:rPr>
          <w:rFonts w:ascii="Calibri" w:hAnsi="Calibri" w:cs="Calibri"/>
          <w:i/>
          <w:iCs/>
          <w:sz w:val="21"/>
          <w:szCs w:val="21"/>
        </w:rPr>
        <w:t>Ethnography and Archaeological Interpretation of Funerary Remains’,</w:t>
      </w:r>
      <w:r w:rsidRPr="00ED3207">
        <w:rPr>
          <w:rFonts w:ascii="Calibri" w:hAnsi="Calibri" w:cs="Calibri"/>
          <w:sz w:val="21"/>
          <w:szCs w:val="21"/>
        </w:rPr>
        <w:t xml:space="preserve"> World Archaeology, 1(2), pp. 262–280. Available at: </w:t>
      </w:r>
      <w:hyperlink r:id="rId10" w:history="1">
        <w:r w:rsidRPr="00ED3207">
          <w:rPr>
            <w:rStyle w:val="Hyperlink"/>
            <w:rFonts w:ascii="Calibri" w:eastAsiaTheme="majorEastAsia" w:hAnsi="Calibri" w:cs="Calibri"/>
            <w:sz w:val="21"/>
            <w:szCs w:val="21"/>
          </w:rPr>
          <w:t>https://www.jstor.org/stable/123966</w:t>
        </w:r>
      </w:hyperlink>
      <w:r w:rsidRPr="00ED3207">
        <w:rPr>
          <w:rFonts w:ascii="Calibri" w:hAnsi="Calibri" w:cs="Calibri"/>
          <w:sz w:val="21"/>
          <w:szCs w:val="21"/>
        </w:rPr>
        <w:t xml:space="preserve"> (Accessed: 11 March 2025).</w:t>
      </w:r>
    </w:p>
    <w:p w14:paraId="00526179" w14:textId="77777777" w:rsidR="00ED3207" w:rsidRPr="00ED3207" w:rsidRDefault="00ED3207" w:rsidP="00934D21">
      <w:pPr>
        <w:rPr>
          <w:rFonts w:ascii="Calibri" w:hAnsi="Calibri" w:cs="Calibri"/>
          <w:u w:val="single"/>
        </w:rPr>
      </w:pPr>
    </w:p>
    <w:sectPr w:rsidR="00ED3207" w:rsidRPr="00ED320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E28E5" w14:textId="77777777" w:rsidR="001E354E" w:rsidRDefault="001E354E" w:rsidP="00BF2233">
      <w:r>
        <w:separator/>
      </w:r>
    </w:p>
  </w:endnote>
  <w:endnote w:type="continuationSeparator" w:id="0">
    <w:p w14:paraId="2C9C266C" w14:textId="77777777" w:rsidR="001E354E" w:rsidRDefault="001E354E" w:rsidP="00BF2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4C33B" w14:textId="77777777" w:rsidR="00BF2233" w:rsidRDefault="00BF22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539E0" w14:textId="77777777" w:rsidR="00BF2233" w:rsidRDefault="00BF22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43ED4" w14:textId="77777777" w:rsidR="00BF2233" w:rsidRDefault="00BF2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29D5C1" w14:textId="77777777" w:rsidR="001E354E" w:rsidRDefault="001E354E" w:rsidP="00BF2233">
      <w:r>
        <w:separator/>
      </w:r>
    </w:p>
  </w:footnote>
  <w:footnote w:type="continuationSeparator" w:id="0">
    <w:p w14:paraId="7F6793CD" w14:textId="77777777" w:rsidR="001E354E" w:rsidRDefault="001E354E" w:rsidP="00BF22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6B1B08" w14:textId="77777777" w:rsidR="00BF2233" w:rsidRDefault="00BF22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E2885" w14:textId="77777777" w:rsidR="00BF2233" w:rsidRDefault="00BF22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57EF8" w14:textId="77777777" w:rsidR="00BF2233" w:rsidRDefault="00BF22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C33D4"/>
    <w:multiLevelType w:val="hybridMultilevel"/>
    <w:tmpl w:val="26BAFF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A14B94"/>
    <w:multiLevelType w:val="multilevel"/>
    <w:tmpl w:val="630C4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2A2953"/>
    <w:multiLevelType w:val="hybridMultilevel"/>
    <w:tmpl w:val="FF6219D8"/>
    <w:lvl w:ilvl="0" w:tplc="1E7E0F3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FA7E72"/>
    <w:multiLevelType w:val="multilevel"/>
    <w:tmpl w:val="5168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05131B"/>
    <w:multiLevelType w:val="hybridMultilevel"/>
    <w:tmpl w:val="8C2C164A"/>
    <w:lvl w:ilvl="0" w:tplc="51E638D4">
      <w:numFmt w:val="bullet"/>
      <w:lvlText w:val=""/>
      <w:lvlJc w:val="left"/>
      <w:pPr>
        <w:ind w:left="400" w:hanging="360"/>
      </w:pPr>
      <w:rPr>
        <w:rFonts w:ascii="Aptos" w:eastAsiaTheme="minorHAnsi" w:hAnsi="Aptos"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5" w15:restartNumberingAfterBreak="0">
    <w:nsid w:val="3CB24426"/>
    <w:multiLevelType w:val="hybridMultilevel"/>
    <w:tmpl w:val="51DCBE9A"/>
    <w:lvl w:ilvl="0" w:tplc="08090001">
      <w:start w:val="1"/>
      <w:numFmt w:val="bullet"/>
      <w:lvlText w:val=""/>
      <w:lvlJc w:val="left"/>
      <w:pPr>
        <w:ind w:left="400" w:hanging="360"/>
      </w:pPr>
      <w:rPr>
        <w:rFonts w:ascii="Symbol" w:hAnsi="Symbol" w:hint="default"/>
      </w:rPr>
    </w:lvl>
    <w:lvl w:ilvl="1" w:tplc="FFFFFFFF" w:tentative="1">
      <w:start w:val="1"/>
      <w:numFmt w:val="bullet"/>
      <w:lvlText w:val="o"/>
      <w:lvlJc w:val="left"/>
      <w:pPr>
        <w:ind w:left="1120" w:hanging="360"/>
      </w:pPr>
      <w:rPr>
        <w:rFonts w:ascii="Courier New" w:hAnsi="Courier New" w:cs="Courier New" w:hint="default"/>
      </w:rPr>
    </w:lvl>
    <w:lvl w:ilvl="2" w:tplc="FFFFFFFF" w:tentative="1">
      <w:start w:val="1"/>
      <w:numFmt w:val="bullet"/>
      <w:lvlText w:val=""/>
      <w:lvlJc w:val="left"/>
      <w:pPr>
        <w:ind w:left="1840" w:hanging="360"/>
      </w:pPr>
      <w:rPr>
        <w:rFonts w:ascii="Wingdings" w:hAnsi="Wingdings" w:hint="default"/>
      </w:rPr>
    </w:lvl>
    <w:lvl w:ilvl="3" w:tplc="FFFFFFFF" w:tentative="1">
      <w:start w:val="1"/>
      <w:numFmt w:val="bullet"/>
      <w:lvlText w:val=""/>
      <w:lvlJc w:val="left"/>
      <w:pPr>
        <w:ind w:left="2560" w:hanging="360"/>
      </w:pPr>
      <w:rPr>
        <w:rFonts w:ascii="Symbol" w:hAnsi="Symbol" w:hint="default"/>
      </w:rPr>
    </w:lvl>
    <w:lvl w:ilvl="4" w:tplc="FFFFFFFF" w:tentative="1">
      <w:start w:val="1"/>
      <w:numFmt w:val="bullet"/>
      <w:lvlText w:val="o"/>
      <w:lvlJc w:val="left"/>
      <w:pPr>
        <w:ind w:left="3280" w:hanging="360"/>
      </w:pPr>
      <w:rPr>
        <w:rFonts w:ascii="Courier New" w:hAnsi="Courier New" w:cs="Courier New" w:hint="default"/>
      </w:rPr>
    </w:lvl>
    <w:lvl w:ilvl="5" w:tplc="FFFFFFFF" w:tentative="1">
      <w:start w:val="1"/>
      <w:numFmt w:val="bullet"/>
      <w:lvlText w:val=""/>
      <w:lvlJc w:val="left"/>
      <w:pPr>
        <w:ind w:left="4000" w:hanging="360"/>
      </w:pPr>
      <w:rPr>
        <w:rFonts w:ascii="Wingdings" w:hAnsi="Wingdings" w:hint="default"/>
      </w:rPr>
    </w:lvl>
    <w:lvl w:ilvl="6" w:tplc="FFFFFFFF" w:tentative="1">
      <w:start w:val="1"/>
      <w:numFmt w:val="bullet"/>
      <w:lvlText w:val=""/>
      <w:lvlJc w:val="left"/>
      <w:pPr>
        <w:ind w:left="4720" w:hanging="360"/>
      </w:pPr>
      <w:rPr>
        <w:rFonts w:ascii="Symbol" w:hAnsi="Symbol" w:hint="default"/>
      </w:rPr>
    </w:lvl>
    <w:lvl w:ilvl="7" w:tplc="FFFFFFFF" w:tentative="1">
      <w:start w:val="1"/>
      <w:numFmt w:val="bullet"/>
      <w:lvlText w:val="o"/>
      <w:lvlJc w:val="left"/>
      <w:pPr>
        <w:ind w:left="5440" w:hanging="360"/>
      </w:pPr>
      <w:rPr>
        <w:rFonts w:ascii="Courier New" w:hAnsi="Courier New" w:cs="Courier New" w:hint="default"/>
      </w:rPr>
    </w:lvl>
    <w:lvl w:ilvl="8" w:tplc="FFFFFFFF" w:tentative="1">
      <w:start w:val="1"/>
      <w:numFmt w:val="bullet"/>
      <w:lvlText w:val=""/>
      <w:lvlJc w:val="left"/>
      <w:pPr>
        <w:ind w:left="6160" w:hanging="360"/>
      </w:pPr>
      <w:rPr>
        <w:rFonts w:ascii="Wingdings" w:hAnsi="Wingdings" w:hint="default"/>
      </w:rPr>
    </w:lvl>
  </w:abstractNum>
  <w:abstractNum w:abstractNumId="6" w15:restartNumberingAfterBreak="0">
    <w:nsid w:val="446E6B35"/>
    <w:multiLevelType w:val="hybridMultilevel"/>
    <w:tmpl w:val="5C1AB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C459CF"/>
    <w:multiLevelType w:val="hybridMultilevel"/>
    <w:tmpl w:val="3E14C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C72DEF"/>
    <w:multiLevelType w:val="hybridMultilevel"/>
    <w:tmpl w:val="574A1800"/>
    <w:lvl w:ilvl="0" w:tplc="1E7E0F3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84F4C"/>
    <w:multiLevelType w:val="multilevel"/>
    <w:tmpl w:val="97EA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261DE6"/>
    <w:multiLevelType w:val="multilevel"/>
    <w:tmpl w:val="56904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A52584"/>
    <w:multiLevelType w:val="multilevel"/>
    <w:tmpl w:val="FD98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E73FC9"/>
    <w:multiLevelType w:val="hybridMultilevel"/>
    <w:tmpl w:val="78FCE718"/>
    <w:lvl w:ilvl="0" w:tplc="EB2205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9035EE"/>
    <w:multiLevelType w:val="multilevel"/>
    <w:tmpl w:val="334E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999179">
    <w:abstractNumId w:val="6"/>
  </w:num>
  <w:num w:numId="2" w16cid:durableId="533155478">
    <w:abstractNumId w:val="8"/>
  </w:num>
  <w:num w:numId="3" w16cid:durableId="1021276599">
    <w:abstractNumId w:val="10"/>
  </w:num>
  <w:num w:numId="4" w16cid:durableId="1715888298">
    <w:abstractNumId w:val="2"/>
  </w:num>
  <w:num w:numId="5" w16cid:durableId="1817138535">
    <w:abstractNumId w:val="4"/>
  </w:num>
  <w:num w:numId="6" w16cid:durableId="487136788">
    <w:abstractNumId w:val="5"/>
  </w:num>
  <w:num w:numId="7" w16cid:durableId="1374623230">
    <w:abstractNumId w:val="3"/>
  </w:num>
  <w:num w:numId="8" w16cid:durableId="1696148964">
    <w:abstractNumId w:val="11"/>
  </w:num>
  <w:num w:numId="9" w16cid:durableId="1384329979">
    <w:abstractNumId w:val="9"/>
  </w:num>
  <w:num w:numId="10" w16cid:durableId="1404328453">
    <w:abstractNumId w:val="13"/>
  </w:num>
  <w:num w:numId="11" w16cid:durableId="1680040255">
    <w:abstractNumId w:val="1"/>
  </w:num>
  <w:num w:numId="12" w16cid:durableId="114176987">
    <w:abstractNumId w:val="0"/>
  </w:num>
  <w:num w:numId="13" w16cid:durableId="24600743">
    <w:abstractNumId w:val="7"/>
  </w:num>
  <w:num w:numId="14" w16cid:durableId="16154808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233"/>
    <w:rsid w:val="000012E2"/>
    <w:rsid w:val="0000705E"/>
    <w:rsid w:val="00012B6D"/>
    <w:rsid w:val="000270EE"/>
    <w:rsid w:val="00033D4F"/>
    <w:rsid w:val="000507F9"/>
    <w:rsid w:val="00050D37"/>
    <w:rsid w:val="00066E56"/>
    <w:rsid w:val="000730A5"/>
    <w:rsid w:val="00087576"/>
    <w:rsid w:val="000A0CC2"/>
    <w:rsid w:val="000A3F6F"/>
    <w:rsid w:val="000A528A"/>
    <w:rsid w:val="000B3EEE"/>
    <w:rsid w:val="00111C3F"/>
    <w:rsid w:val="00125E34"/>
    <w:rsid w:val="00127B02"/>
    <w:rsid w:val="0013489B"/>
    <w:rsid w:val="001722AC"/>
    <w:rsid w:val="001C7836"/>
    <w:rsid w:val="001D5F64"/>
    <w:rsid w:val="001E354E"/>
    <w:rsid w:val="00250C86"/>
    <w:rsid w:val="00280A61"/>
    <w:rsid w:val="00281382"/>
    <w:rsid w:val="00296623"/>
    <w:rsid w:val="00296FBC"/>
    <w:rsid w:val="002A28A8"/>
    <w:rsid w:val="002B0A49"/>
    <w:rsid w:val="002B76B9"/>
    <w:rsid w:val="002B7FA2"/>
    <w:rsid w:val="002F2108"/>
    <w:rsid w:val="002F3BA7"/>
    <w:rsid w:val="002F51FE"/>
    <w:rsid w:val="0032389E"/>
    <w:rsid w:val="003324B8"/>
    <w:rsid w:val="00332D1A"/>
    <w:rsid w:val="003333BD"/>
    <w:rsid w:val="0034453F"/>
    <w:rsid w:val="00366E8B"/>
    <w:rsid w:val="00384109"/>
    <w:rsid w:val="003B017E"/>
    <w:rsid w:val="003C7BBA"/>
    <w:rsid w:val="003D72A6"/>
    <w:rsid w:val="003E3998"/>
    <w:rsid w:val="00452B1E"/>
    <w:rsid w:val="004A51AE"/>
    <w:rsid w:val="004A5EAC"/>
    <w:rsid w:val="004A780A"/>
    <w:rsid w:val="004B7626"/>
    <w:rsid w:val="005259B7"/>
    <w:rsid w:val="005A5CF1"/>
    <w:rsid w:val="005A6CD0"/>
    <w:rsid w:val="005F5145"/>
    <w:rsid w:val="006043EC"/>
    <w:rsid w:val="0063605E"/>
    <w:rsid w:val="00664D65"/>
    <w:rsid w:val="006B0A2A"/>
    <w:rsid w:val="006B50AB"/>
    <w:rsid w:val="0071259B"/>
    <w:rsid w:val="00726A9F"/>
    <w:rsid w:val="00731DCF"/>
    <w:rsid w:val="0073327F"/>
    <w:rsid w:val="007358A0"/>
    <w:rsid w:val="0075483A"/>
    <w:rsid w:val="00772406"/>
    <w:rsid w:val="007842C8"/>
    <w:rsid w:val="0079353B"/>
    <w:rsid w:val="007A2C61"/>
    <w:rsid w:val="007A7D27"/>
    <w:rsid w:val="007B541E"/>
    <w:rsid w:val="007C543F"/>
    <w:rsid w:val="007D0370"/>
    <w:rsid w:val="007D2331"/>
    <w:rsid w:val="007D3594"/>
    <w:rsid w:val="007F41BF"/>
    <w:rsid w:val="00812367"/>
    <w:rsid w:val="00854D73"/>
    <w:rsid w:val="008854C5"/>
    <w:rsid w:val="008A262D"/>
    <w:rsid w:val="00927C46"/>
    <w:rsid w:val="00934D21"/>
    <w:rsid w:val="00947727"/>
    <w:rsid w:val="00972A6B"/>
    <w:rsid w:val="00980C97"/>
    <w:rsid w:val="00A07508"/>
    <w:rsid w:val="00A40F7C"/>
    <w:rsid w:val="00A437DB"/>
    <w:rsid w:val="00A560F4"/>
    <w:rsid w:val="00A5769B"/>
    <w:rsid w:val="00AB7EEE"/>
    <w:rsid w:val="00AC264F"/>
    <w:rsid w:val="00AE2779"/>
    <w:rsid w:val="00B21C1E"/>
    <w:rsid w:val="00B33959"/>
    <w:rsid w:val="00B34585"/>
    <w:rsid w:val="00B56744"/>
    <w:rsid w:val="00B90A2D"/>
    <w:rsid w:val="00B92ABD"/>
    <w:rsid w:val="00BA559F"/>
    <w:rsid w:val="00BC1CE1"/>
    <w:rsid w:val="00BD2F77"/>
    <w:rsid w:val="00BF2233"/>
    <w:rsid w:val="00C243B5"/>
    <w:rsid w:val="00C3068D"/>
    <w:rsid w:val="00C35E4C"/>
    <w:rsid w:val="00C44E0D"/>
    <w:rsid w:val="00C50B20"/>
    <w:rsid w:val="00C72E9F"/>
    <w:rsid w:val="00C73C4D"/>
    <w:rsid w:val="00C80D77"/>
    <w:rsid w:val="00C92FD5"/>
    <w:rsid w:val="00C965E0"/>
    <w:rsid w:val="00C9742F"/>
    <w:rsid w:val="00CA2423"/>
    <w:rsid w:val="00CA7B4B"/>
    <w:rsid w:val="00CE54D7"/>
    <w:rsid w:val="00D0124B"/>
    <w:rsid w:val="00D01FE7"/>
    <w:rsid w:val="00D70978"/>
    <w:rsid w:val="00D8521D"/>
    <w:rsid w:val="00DF102C"/>
    <w:rsid w:val="00E40BDC"/>
    <w:rsid w:val="00E77A55"/>
    <w:rsid w:val="00E935F4"/>
    <w:rsid w:val="00EA7267"/>
    <w:rsid w:val="00EB38B8"/>
    <w:rsid w:val="00ED3207"/>
    <w:rsid w:val="00ED4FFE"/>
    <w:rsid w:val="00EE7E8E"/>
    <w:rsid w:val="00F2740A"/>
    <w:rsid w:val="00F547F9"/>
    <w:rsid w:val="00F9113F"/>
    <w:rsid w:val="00FA69C9"/>
    <w:rsid w:val="00FC1D3C"/>
    <w:rsid w:val="00FE13AB"/>
    <w:rsid w:val="00FE384E"/>
    <w:rsid w:val="00FE7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B9D2F"/>
  <w15:chartTrackingRefBased/>
  <w15:docId w15:val="{7C7340DD-CE0E-D540-AA90-5DE039EB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207"/>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3605E"/>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3605E"/>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3605E"/>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3605E"/>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3605E"/>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3605E"/>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3605E"/>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3605E"/>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3605E"/>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0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60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60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0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0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05E"/>
    <w:rPr>
      <w:rFonts w:eastAsiaTheme="majorEastAsia" w:cstheme="majorBidi"/>
      <w:color w:val="272727" w:themeColor="text1" w:themeTint="D8"/>
    </w:rPr>
  </w:style>
  <w:style w:type="paragraph" w:styleId="Title">
    <w:name w:val="Title"/>
    <w:basedOn w:val="Normal"/>
    <w:next w:val="Normal"/>
    <w:link w:val="TitleChar"/>
    <w:uiPriority w:val="10"/>
    <w:qFormat/>
    <w:rsid w:val="0063605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360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05E"/>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3605E"/>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63605E"/>
    <w:pPr>
      <w:ind w:left="720"/>
      <w:contextualSpacing/>
    </w:pPr>
    <w:rPr>
      <w:rFonts w:asciiTheme="minorHAnsi" w:eastAsiaTheme="minorHAnsi" w:hAnsiTheme="minorHAnsi" w:cstheme="minorBidi"/>
      <w:kern w:val="2"/>
      <w:lang w:eastAsia="en-US"/>
      <w14:ligatures w14:val="standardContextual"/>
    </w:rPr>
  </w:style>
  <w:style w:type="paragraph" w:styleId="Quote">
    <w:name w:val="Quote"/>
    <w:basedOn w:val="Normal"/>
    <w:next w:val="Normal"/>
    <w:link w:val="QuoteChar"/>
    <w:uiPriority w:val="29"/>
    <w:qFormat/>
    <w:rsid w:val="0063605E"/>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3605E"/>
    <w:rPr>
      <w:i/>
      <w:iCs/>
      <w:color w:val="404040" w:themeColor="text1" w:themeTint="BF"/>
    </w:rPr>
  </w:style>
  <w:style w:type="paragraph" w:styleId="IntenseQuote">
    <w:name w:val="Intense Quote"/>
    <w:basedOn w:val="Normal"/>
    <w:next w:val="Normal"/>
    <w:link w:val="IntenseQuoteChar"/>
    <w:uiPriority w:val="30"/>
    <w:qFormat/>
    <w:rsid w:val="0063605E"/>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3605E"/>
    <w:rPr>
      <w:i/>
      <w:iCs/>
      <w:color w:val="0F4761" w:themeColor="accent1" w:themeShade="BF"/>
    </w:rPr>
  </w:style>
  <w:style w:type="character" w:styleId="IntenseEmphasis">
    <w:name w:val="Intense Emphasis"/>
    <w:basedOn w:val="DefaultParagraphFont"/>
    <w:uiPriority w:val="21"/>
    <w:qFormat/>
    <w:rsid w:val="0063605E"/>
    <w:rPr>
      <w:i/>
      <w:iCs/>
      <w:color w:val="0F4761" w:themeColor="accent1" w:themeShade="BF"/>
    </w:rPr>
  </w:style>
  <w:style w:type="character" w:styleId="IntenseReference">
    <w:name w:val="Intense Reference"/>
    <w:basedOn w:val="DefaultParagraphFont"/>
    <w:uiPriority w:val="32"/>
    <w:qFormat/>
    <w:rsid w:val="0063605E"/>
    <w:rPr>
      <w:b/>
      <w:bCs/>
      <w:smallCaps/>
      <w:color w:val="0F4761" w:themeColor="accent1" w:themeShade="BF"/>
      <w:spacing w:val="5"/>
    </w:rPr>
  </w:style>
  <w:style w:type="paragraph" w:styleId="Header">
    <w:name w:val="header"/>
    <w:basedOn w:val="Normal"/>
    <w:link w:val="HeaderChar"/>
    <w:uiPriority w:val="99"/>
    <w:unhideWhenUsed/>
    <w:rsid w:val="00BF2233"/>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BF2233"/>
  </w:style>
  <w:style w:type="paragraph" w:styleId="Footer">
    <w:name w:val="footer"/>
    <w:basedOn w:val="Normal"/>
    <w:link w:val="FooterChar"/>
    <w:uiPriority w:val="99"/>
    <w:unhideWhenUsed/>
    <w:rsid w:val="00BF2233"/>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BF2233"/>
  </w:style>
  <w:style w:type="character" w:styleId="Hyperlink">
    <w:name w:val="Hyperlink"/>
    <w:basedOn w:val="DefaultParagraphFont"/>
    <w:uiPriority w:val="99"/>
    <w:semiHidden/>
    <w:unhideWhenUsed/>
    <w:rsid w:val="00ED3207"/>
    <w:rPr>
      <w:color w:val="0000FF"/>
      <w:u w:val="single"/>
    </w:rPr>
  </w:style>
  <w:style w:type="character" w:styleId="FollowedHyperlink">
    <w:name w:val="FollowedHyperlink"/>
    <w:basedOn w:val="DefaultParagraphFont"/>
    <w:uiPriority w:val="99"/>
    <w:semiHidden/>
    <w:unhideWhenUsed/>
    <w:rsid w:val="00ED320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90668">
      <w:bodyDiv w:val="1"/>
      <w:marLeft w:val="0"/>
      <w:marRight w:val="0"/>
      <w:marTop w:val="0"/>
      <w:marBottom w:val="0"/>
      <w:divBdr>
        <w:top w:val="none" w:sz="0" w:space="0" w:color="auto"/>
        <w:left w:val="none" w:sz="0" w:space="0" w:color="auto"/>
        <w:bottom w:val="none" w:sz="0" w:space="0" w:color="auto"/>
        <w:right w:val="none" w:sz="0" w:space="0" w:color="auto"/>
      </w:divBdr>
    </w:div>
    <w:div w:id="213584106">
      <w:bodyDiv w:val="1"/>
      <w:marLeft w:val="0"/>
      <w:marRight w:val="0"/>
      <w:marTop w:val="0"/>
      <w:marBottom w:val="0"/>
      <w:divBdr>
        <w:top w:val="none" w:sz="0" w:space="0" w:color="auto"/>
        <w:left w:val="none" w:sz="0" w:space="0" w:color="auto"/>
        <w:bottom w:val="none" w:sz="0" w:space="0" w:color="auto"/>
        <w:right w:val="none" w:sz="0" w:space="0" w:color="auto"/>
      </w:divBdr>
    </w:div>
    <w:div w:id="255209876">
      <w:bodyDiv w:val="1"/>
      <w:marLeft w:val="0"/>
      <w:marRight w:val="0"/>
      <w:marTop w:val="0"/>
      <w:marBottom w:val="0"/>
      <w:divBdr>
        <w:top w:val="none" w:sz="0" w:space="0" w:color="auto"/>
        <w:left w:val="none" w:sz="0" w:space="0" w:color="auto"/>
        <w:bottom w:val="none" w:sz="0" w:space="0" w:color="auto"/>
        <w:right w:val="none" w:sz="0" w:space="0" w:color="auto"/>
      </w:divBdr>
      <w:divsChild>
        <w:div w:id="280965761">
          <w:marLeft w:val="0"/>
          <w:marRight w:val="0"/>
          <w:marTop w:val="0"/>
          <w:marBottom w:val="0"/>
          <w:divBdr>
            <w:top w:val="none" w:sz="0" w:space="0" w:color="auto"/>
            <w:left w:val="none" w:sz="0" w:space="0" w:color="auto"/>
            <w:bottom w:val="none" w:sz="0" w:space="0" w:color="auto"/>
            <w:right w:val="none" w:sz="0" w:space="0" w:color="auto"/>
          </w:divBdr>
          <w:divsChild>
            <w:div w:id="831718571">
              <w:marLeft w:val="0"/>
              <w:marRight w:val="0"/>
              <w:marTop w:val="0"/>
              <w:marBottom w:val="240"/>
              <w:divBdr>
                <w:top w:val="none" w:sz="0" w:space="0" w:color="auto"/>
                <w:left w:val="none" w:sz="0" w:space="0" w:color="auto"/>
                <w:bottom w:val="none" w:sz="0" w:space="0" w:color="auto"/>
                <w:right w:val="none" w:sz="0" w:space="0" w:color="auto"/>
              </w:divBdr>
            </w:div>
            <w:div w:id="477957849">
              <w:marLeft w:val="0"/>
              <w:marRight w:val="0"/>
              <w:marTop w:val="0"/>
              <w:marBottom w:val="240"/>
              <w:divBdr>
                <w:top w:val="none" w:sz="0" w:space="0" w:color="auto"/>
                <w:left w:val="none" w:sz="0" w:space="0" w:color="auto"/>
                <w:bottom w:val="none" w:sz="0" w:space="0" w:color="auto"/>
                <w:right w:val="none" w:sz="0" w:space="0" w:color="auto"/>
              </w:divBdr>
            </w:div>
            <w:div w:id="817846517">
              <w:marLeft w:val="0"/>
              <w:marRight w:val="0"/>
              <w:marTop w:val="0"/>
              <w:marBottom w:val="240"/>
              <w:divBdr>
                <w:top w:val="none" w:sz="0" w:space="0" w:color="auto"/>
                <w:left w:val="none" w:sz="0" w:space="0" w:color="auto"/>
                <w:bottom w:val="none" w:sz="0" w:space="0" w:color="auto"/>
                <w:right w:val="none" w:sz="0" w:space="0" w:color="auto"/>
              </w:divBdr>
            </w:div>
            <w:div w:id="145394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195125">
      <w:bodyDiv w:val="1"/>
      <w:marLeft w:val="0"/>
      <w:marRight w:val="0"/>
      <w:marTop w:val="0"/>
      <w:marBottom w:val="0"/>
      <w:divBdr>
        <w:top w:val="none" w:sz="0" w:space="0" w:color="auto"/>
        <w:left w:val="none" w:sz="0" w:space="0" w:color="auto"/>
        <w:bottom w:val="none" w:sz="0" w:space="0" w:color="auto"/>
        <w:right w:val="none" w:sz="0" w:space="0" w:color="auto"/>
      </w:divBdr>
    </w:div>
    <w:div w:id="484010814">
      <w:bodyDiv w:val="1"/>
      <w:marLeft w:val="0"/>
      <w:marRight w:val="0"/>
      <w:marTop w:val="0"/>
      <w:marBottom w:val="0"/>
      <w:divBdr>
        <w:top w:val="none" w:sz="0" w:space="0" w:color="auto"/>
        <w:left w:val="none" w:sz="0" w:space="0" w:color="auto"/>
        <w:bottom w:val="none" w:sz="0" w:space="0" w:color="auto"/>
        <w:right w:val="none" w:sz="0" w:space="0" w:color="auto"/>
      </w:divBdr>
    </w:div>
    <w:div w:id="516192649">
      <w:bodyDiv w:val="1"/>
      <w:marLeft w:val="0"/>
      <w:marRight w:val="0"/>
      <w:marTop w:val="0"/>
      <w:marBottom w:val="0"/>
      <w:divBdr>
        <w:top w:val="none" w:sz="0" w:space="0" w:color="auto"/>
        <w:left w:val="none" w:sz="0" w:space="0" w:color="auto"/>
        <w:bottom w:val="none" w:sz="0" w:space="0" w:color="auto"/>
        <w:right w:val="none" w:sz="0" w:space="0" w:color="auto"/>
      </w:divBdr>
    </w:div>
    <w:div w:id="643319292">
      <w:bodyDiv w:val="1"/>
      <w:marLeft w:val="0"/>
      <w:marRight w:val="0"/>
      <w:marTop w:val="0"/>
      <w:marBottom w:val="0"/>
      <w:divBdr>
        <w:top w:val="none" w:sz="0" w:space="0" w:color="auto"/>
        <w:left w:val="none" w:sz="0" w:space="0" w:color="auto"/>
        <w:bottom w:val="none" w:sz="0" w:space="0" w:color="auto"/>
        <w:right w:val="none" w:sz="0" w:space="0" w:color="auto"/>
      </w:divBdr>
    </w:div>
    <w:div w:id="725877294">
      <w:bodyDiv w:val="1"/>
      <w:marLeft w:val="0"/>
      <w:marRight w:val="0"/>
      <w:marTop w:val="0"/>
      <w:marBottom w:val="0"/>
      <w:divBdr>
        <w:top w:val="none" w:sz="0" w:space="0" w:color="auto"/>
        <w:left w:val="none" w:sz="0" w:space="0" w:color="auto"/>
        <w:bottom w:val="none" w:sz="0" w:space="0" w:color="auto"/>
        <w:right w:val="none" w:sz="0" w:space="0" w:color="auto"/>
      </w:divBdr>
    </w:div>
    <w:div w:id="729770305">
      <w:bodyDiv w:val="1"/>
      <w:marLeft w:val="0"/>
      <w:marRight w:val="0"/>
      <w:marTop w:val="0"/>
      <w:marBottom w:val="0"/>
      <w:divBdr>
        <w:top w:val="none" w:sz="0" w:space="0" w:color="auto"/>
        <w:left w:val="none" w:sz="0" w:space="0" w:color="auto"/>
        <w:bottom w:val="none" w:sz="0" w:space="0" w:color="auto"/>
        <w:right w:val="none" w:sz="0" w:space="0" w:color="auto"/>
      </w:divBdr>
    </w:div>
    <w:div w:id="781920854">
      <w:bodyDiv w:val="1"/>
      <w:marLeft w:val="0"/>
      <w:marRight w:val="0"/>
      <w:marTop w:val="0"/>
      <w:marBottom w:val="0"/>
      <w:divBdr>
        <w:top w:val="none" w:sz="0" w:space="0" w:color="auto"/>
        <w:left w:val="none" w:sz="0" w:space="0" w:color="auto"/>
        <w:bottom w:val="none" w:sz="0" w:space="0" w:color="auto"/>
        <w:right w:val="none" w:sz="0" w:space="0" w:color="auto"/>
      </w:divBdr>
    </w:div>
    <w:div w:id="918060677">
      <w:bodyDiv w:val="1"/>
      <w:marLeft w:val="0"/>
      <w:marRight w:val="0"/>
      <w:marTop w:val="0"/>
      <w:marBottom w:val="0"/>
      <w:divBdr>
        <w:top w:val="none" w:sz="0" w:space="0" w:color="auto"/>
        <w:left w:val="none" w:sz="0" w:space="0" w:color="auto"/>
        <w:bottom w:val="none" w:sz="0" w:space="0" w:color="auto"/>
        <w:right w:val="none" w:sz="0" w:space="0" w:color="auto"/>
      </w:divBdr>
    </w:div>
    <w:div w:id="973943197">
      <w:bodyDiv w:val="1"/>
      <w:marLeft w:val="0"/>
      <w:marRight w:val="0"/>
      <w:marTop w:val="0"/>
      <w:marBottom w:val="0"/>
      <w:divBdr>
        <w:top w:val="none" w:sz="0" w:space="0" w:color="auto"/>
        <w:left w:val="none" w:sz="0" w:space="0" w:color="auto"/>
        <w:bottom w:val="none" w:sz="0" w:space="0" w:color="auto"/>
        <w:right w:val="none" w:sz="0" w:space="0" w:color="auto"/>
      </w:divBdr>
    </w:div>
    <w:div w:id="1095129921">
      <w:bodyDiv w:val="1"/>
      <w:marLeft w:val="0"/>
      <w:marRight w:val="0"/>
      <w:marTop w:val="0"/>
      <w:marBottom w:val="0"/>
      <w:divBdr>
        <w:top w:val="none" w:sz="0" w:space="0" w:color="auto"/>
        <w:left w:val="none" w:sz="0" w:space="0" w:color="auto"/>
        <w:bottom w:val="none" w:sz="0" w:space="0" w:color="auto"/>
        <w:right w:val="none" w:sz="0" w:space="0" w:color="auto"/>
      </w:divBdr>
    </w:div>
    <w:div w:id="1238175368">
      <w:bodyDiv w:val="1"/>
      <w:marLeft w:val="0"/>
      <w:marRight w:val="0"/>
      <w:marTop w:val="0"/>
      <w:marBottom w:val="0"/>
      <w:divBdr>
        <w:top w:val="none" w:sz="0" w:space="0" w:color="auto"/>
        <w:left w:val="none" w:sz="0" w:space="0" w:color="auto"/>
        <w:bottom w:val="none" w:sz="0" w:space="0" w:color="auto"/>
        <w:right w:val="none" w:sz="0" w:space="0" w:color="auto"/>
      </w:divBdr>
    </w:div>
    <w:div w:id="1333726073">
      <w:bodyDiv w:val="1"/>
      <w:marLeft w:val="0"/>
      <w:marRight w:val="0"/>
      <w:marTop w:val="0"/>
      <w:marBottom w:val="0"/>
      <w:divBdr>
        <w:top w:val="none" w:sz="0" w:space="0" w:color="auto"/>
        <w:left w:val="none" w:sz="0" w:space="0" w:color="auto"/>
        <w:bottom w:val="none" w:sz="0" w:space="0" w:color="auto"/>
        <w:right w:val="none" w:sz="0" w:space="0" w:color="auto"/>
      </w:divBdr>
    </w:div>
    <w:div w:id="1559127914">
      <w:bodyDiv w:val="1"/>
      <w:marLeft w:val="0"/>
      <w:marRight w:val="0"/>
      <w:marTop w:val="0"/>
      <w:marBottom w:val="0"/>
      <w:divBdr>
        <w:top w:val="none" w:sz="0" w:space="0" w:color="auto"/>
        <w:left w:val="none" w:sz="0" w:space="0" w:color="auto"/>
        <w:bottom w:val="none" w:sz="0" w:space="0" w:color="auto"/>
        <w:right w:val="none" w:sz="0" w:space="0" w:color="auto"/>
      </w:divBdr>
    </w:div>
    <w:div w:id="1709376302">
      <w:bodyDiv w:val="1"/>
      <w:marLeft w:val="0"/>
      <w:marRight w:val="0"/>
      <w:marTop w:val="0"/>
      <w:marBottom w:val="0"/>
      <w:divBdr>
        <w:top w:val="none" w:sz="0" w:space="0" w:color="auto"/>
        <w:left w:val="none" w:sz="0" w:space="0" w:color="auto"/>
        <w:bottom w:val="none" w:sz="0" w:space="0" w:color="auto"/>
        <w:right w:val="none" w:sz="0" w:space="0" w:color="auto"/>
      </w:divBdr>
    </w:div>
    <w:div w:id="1784180668">
      <w:bodyDiv w:val="1"/>
      <w:marLeft w:val="0"/>
      <w:marRight w:val="0"/>
      <w:marTop w:val="0"/>
      <w:marBottom w:val="0"/>
      <w:divBdr>
        <w:top w:val="none" w:sz="0" w:space="0" w:color="auto"/>
        <w:left w:val="none" w:sz="0" w:space="0" w:color="auto"/>
        <w:bottom w:val="none" w:sz="0" w:space="0" w:color="auto"/>
        <w:right w:val="none" w:sz="0" w:space="0" w:color="auto"/>
      </w:divBdr>
    </w:div>
    <w:div w:id="1837919733">
      <w:bodyDiv w:val="1"/>
      <w:marLeft w:val="0"/>
      <w:marRight w:val="0"/>
      <w:marTop w:val="0"/>
      <w:marBottom w:val="0"/>
      <w:divBdr>
        <w:top w:val="none" w:sz="0" w:space="0" w:color="auto"/>
        <w:left w:val="none" w:sz="0" w:space="0" w:color="auto"/>
        <w:bottom w:val="none" w:sz="0" w:space="0" w:color="auto"/>
        <w:right w:val="none" w:sz="0" w:space="0" w:color="auto"/>
      </w:divBdr>
    </w:div>
    <w:div w:id="2045592503">
      <w:bodyDiv w:val="1"/>
      <w:marLeft w:val="0"/>
      <w:marRight w:val="0"/>
      <w:marTop w:val="0"/>
      <w:marBottom w:val="0"/>
      <w:divBdr>
        <w:top w:val="none" w:sz="0" w:space="0" w:color="auto"/>
        <w:left w:val="none" w:sz="0" w:space="0" w:color="auto"/>
        <w:bottom w:val="none" w:sz="0" w:space="0" w:color="auto"/>
        <w:right w:val="none" w:sz="0" w:space="0" w:color="auto"/>
      </w:divBdr>
    </w:div>
    <w:div w:id="212712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cientworldmagazine.com/articles/centaur-lefkandi/"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stor.org/stable/30103206"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jstor.org/stable/123966" TargetMode="External"/><Relationship Id="rId4" Type="http://schemas.openxmlformats.org/officeDocument/2006/relationships/webSettings" Target="webSettings.xml"/><Relationship Id="rId9" Type="http://schemas.openxmlformats.org/officeDocument/2006/relationships/hyperlink" Target="https://www.jstor.org/stable/4085597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1008</Words>
  <Characters>5750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Gaff (2203979)</dc:creator>
  <cp:keywords/>
  <dc:description/>
  <cp:lastModifiedBy>Matt Gaff (2203979)</cp:lastModifiedBy>
  <cp:revision>3</cp:revision>
  <dcterms:created xsi:type="dcterms:W3CDTF">2025-03-11T15:07:00Z</dcterms:created>
  <dcterms:modified xsi:type="dcterms:W3CDTF">2025-03-11T15:07:00Z</dcterms:modified>
</cp:coreProperties>
</file>