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DB299" w14:textId="77777777" w:rsidR="00D06997" w:rsidRPr="00F15E7B" w:rsidRDefault="00D06997" w:rsidP="00D06997">
      <w:pPr>
        <w:jc w:val="center"/>
        <w:rPr>
          <w:b/>
          <w:bCs/>
          <w:sz w:val="32"/>
          <w:szCs w:val="32"/>
        </w:rPr>
      </w:pPr>
      <w:r w:rsidRPr="00F15E7B">
        <w:rPr>
          <w:noProof/>
          <w:lang w:eastAsia="en-IN"/>
        </w:rPr>
        <w:drawing>
          <wp:inline distT="0" distB="0" distL="0" distR="0" wp14:anchorId="27D2173D" wp14:editId="41D24E23">
            <wp:extent cx="2133600" cy="1016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133600" cy="1016000"/>
                    </a:xfrm>
                    <a:prstGeom prst="rect">
                      <a:avLst/>
                    </a:prstGeom>
                  </pic:spPr>
                </pic:pic>
              </a:graphicData>
            </a:graphic>
          </wp:inline>
        </w:drawing>
      </w:r>
    </w:p>
    <w:p w14:paraId="6E598533" w14:textId="77777777" w:rsidR="00D06997" w:rsidRPr="00F15E7B" w:rsidRDefault="00D06997" w:rsidP="00D06997">
      <w:pPr>
        <w:jc w:val="center"/>
        <w:rPr>
          <w:b/>
          <w:bCs/>
          <w:sz w:val="32"/>
          <w:szCs w:val="32"/>
        </w:rPr>
      </w:pPr>
    </w:p>
    <w:p w14:paraId="7B57EBC3" w14:textId="77777777" w:rsidR="00D06997" w:rsidRPr="00F15E7B" w:rsidRDefault="00D06997" w:rsidP="00D06997">
      <w:pPr>
        <w:jc w:val="center"/>
        <w:rPr>
          <w:b/>
          <w:bCs/>
          <w:sz w:val="32"/>
          <w:szCs w:val="32"/>
        </w:rPr>
      </w:pPr>
    </w:p>
    <w:p w14:paraId="76FC89F4" w14:textId="77777777" w:rsidR="00D06997" w:rsidRPr="00F15E7B" w:rsidRDefault="00D06997" w:rsidP="00D06997">
      <w:pPr>
        <w:jc w:val="center"/>
        <w:rPr>
          <w:b/>
          <w:bCs/>
          <w:sz w:val="32"/>
          <w:szCs w:val="32"/>
        </w:rPr>
      </w:pPr>
    </w:p>
    <w:p w14:paraId="5145480E" w14:textId="77777777" w:rsidR="00D06997" w:rsidRPr="00F15E7B" w:rsidRDefault="00D06997" w:rsidP="00D06997">
      <w:pPr>
        <w:jc w:val="center"/>
        <w:rPr>
          <w:b/>
          <w:bCs/>
          <w:sz w:val="32"/>
          <w:szCs w:val="32"/>
        </w:rPr>
      </w:pPr>
    </w:p>
    <w:p w14:paraId="69EA2902" w14:textId="50248E2D" w:rsidR="00D06997" w:rsidRPr="00F15E7B" w:rsidRDefault="00D06997" w:rsidP="00D06997">
      <w:pPr>
        <w:jc w:val="center"/>
        <w:rPr>
          <w:b/>
          <w:bCs/>
          <w:sz w:val="32"/>
          <w:szCs w:val="32"/>
        </w:rPr>
      </w:pPr>
      <w:r>
        <w:rPr>
          <w:b/>
          <w:bCs/>
          <w:sz w:val="32"/>
          <w:szCs w:val="32"/>
        </w:rPr>
        <w:t>MARKETING MANAGEMENT</w:t>
      </w:r>
    </w:p>
    <w:p w14:paraId="080D6D67" w14:textId="77777777" w:rsidR="00D06997" w:rsidRPr="00F15E7B" w:rsidRDefault="00D06997" w:rsidP="00D06997">
      <w:pPr>
        <w:jc w:val="center"/>
        <w:rPr>
          <w:b/>
          <w:bCs/>
          <w:sz w:val="32"/>
          <w:szCs w:val="32"/>
        </w:rPr>
      </w:pPr>
    </w:p>
    <w:p w14:paraId="062AD05A" w14:textId="33BF0AF5" w:rsidR="00D06997" w:rsidRPr="00F15E7B" w:rsidRDefault="00D06997" w:rsidP="00D06997">
      <w:pPr>
        <w:jc w:val="center"/>
        <w:rPr>
          <w:b/>
          <w:bCs/>
          <w:sz w:val="26"/>
          <w:szCs w:val="26"/>
        </w:rPr>
      </w:pPr>
      <w:r w:rsidRPr="00F15E7B">
        <w:rPr>
          <w:b/>
          <w:bCs/>
          <w:sz w:val="26"/>
          <w:szCs w:val="26"/>
        </w:rPr>
        <w:t>Module Code: LCMB702</w:t>
      </w:r>
      <w:r>
        <w:rPr>
          <w:b/>
          <w:bCs/>
          <w:sz w:val="26"/>
          <w:szCs w:val="26"/>
        </w:rPr>
        <w:t>4</w:t>
      </w:r>
    </w:p>
    <w:p w14:paraId="3387CE8F" w14:textId="77777777" w:rsidR="00D06997" w:rsidRPr="00F15E7B" w:rsidRDefault="00D06997" w:rsidP="00D06997">
      <w:pPr>
        <w:jc w:val="center"/>
        <w:rPr>
          <w:b/>
          <w:bCs/>
          <w:sz w:val="26"/>
          <w:szCs w:val="26"/>
        </w:rPr>
      </w:pPr>
      <w:r w:rsidRPr="00F15E7B">
        <w:rPr>
          <w:b/>
          <w:bCs/>
          <w:sz w:val="26"/>
          <w:szCs w:val="26"/>
        </w:rPr>
        <w:t>Programme : Master of Business Administration(MBA)</w:t>
      </w:r>
    </w:p>
    <w:p w14:paraId="7C0C10D3" w14:textId="77777777" w:rsidR="00D06997" w:rsidRPr="00F15E7B" w:rsidRDefault="00D06997" w:rsidP="00D06997">
      <w:pPr>
        <w:jc w:val="center"/>
        <w:rPr>
          <w:b/>
          <w:bCs/>
          <w:sz w:val="26"/>
          <w:szCs w:val="26"/>
        </w:rPr>
      </w:pPr>
    </w:p>
    <w:p w14:paraId="75EE566D" w14:textId="77777777" w:rsidR="00D06997" w:rsidRPr="00F15E7B" w:rsidRDefault="00D06997" w:rsidP="00D06997">
      <w:pPr>
        <w:jc w:val="center"/>
        <w:rPr>
          <w:b/>
          <w:bCs/>
          <w:sz w:val="26"/>
          <w:szCs w:val="26"/>
        </w:rPr>
      </w:pPr>
    </w:p>
    <w:p w14:paraId="53768377" w14:textId="77777777" w:rsidR="00D06997" w:rsidRPr="00F15E7B" w:rsidRDefault="00D06997" w:rsidP="00D06997">
      <w:pPr>
        <w:jc w:val="center"/>
        <w:rPr>
          <w:b/>
          <w:bCs/>
          <w:sz w:val="26"/>
          <w:szCs w:val="26"/>
        </w:rPr>
      </w:pPr>
      <w:r w:rsidRPr="00F15E7B">
        <w:rPr>
          <w:b/>
          <w:bCs/>
          <w:sz w:val="26"/>
          <w:szCs w:val="26"/>
        </w:rPr>
        <w:t>Student Name : Kinjal Rama Bokhariya</w:t>
      </w:r>
    </w:p>
    <w:p w14:paraId="049E4D6B" w14:textId="77777777" w:rsidR="00D06997" w:rsidRPr="00F15E7B" w:rsidRDefault="00D06997" w:rsidP="00D06997">
      <w:pPr>
        <w:jc w:val="center"/>
        <w:rPr>
          <w:b/>
          <w:bCs/>
          <w:sz w:val="26"/>
          <w:szCs w:val="26"/>
        </w:rPr>
      </w:pPr>
    </w:p>
    <w:p w14:paraId="480CA589" w14:textId="77777777" w:rsidR="00D06997" w:rsidRPr="00F15E7B" w:rsidRDefault="00D06997" w:rsidP="00D06997">
      <w:pPr>
        <w:jc w:val="center"/>
        <w:rPr>
          <w:b/>
          <w:bCs/>
          <w:sz w:val="26"/>
          <w:szCs w:val="26"/>
        </w:rPr>
      </w:pPr>
      <w:r w:rsidRPr="00F15E7B">
        <w:rPr>
          <w:b/>
          <w:bCs/>
          <w:sz w:val="26"/>
          <w:szCs w:val="26"/>
        </w:rPr>
        <w:t>Student ID : 2529401</w:t>
      </w:r>
    </w:p>
    <w:p w14:paraId="2837644B" w14:textId="77777777" w:rsidR="00D06997" w:rsidRPr="00F15E7B" w:rsidRDefault="00D06997" w:rsidP="00D06997">
      <w:pPr>
        <w:jc w:val="center"/>
        <w:rPr>
          <w:b/>
          <w:bCs/>
          <w:sz w:val="26"/>
          <w:szCs w:val="26"/>
        </w:rPr>
      </w:pPr>
    </w:p>
    <w:p w14:paraId="700F5DD2" w14:textId="24264FA4" w:rsidR="00D06997" w:rsidRPr="00F15E7B" w:rsidRDefault="00D06997" w:rsidP="00D06997">
      <w:pPr>
        <w:jc w:val="center"/>
        <w:rPr>
          <w:b/>
          <w:bCs/>
          <w:sz w:val="26"/>
          <w:szCs w:val="26"/>
        </w:rPr>
      </w:pPr>
      <w:r w:rsidRPr="00F15E7B">
        <w:rPr>
          <w:b/>
          <w:bCs/>
          <w:sz w:val="26"/>
          <w:szCs w:val="26"/>
        </w:rPr>
        <w:t xml:space="preserve">Lecturer : </w:t>
      </w:r>
      <w:r w:rsidR="000E4F21">
        <w:rPr>
          <w:b/>
          <w:bCs/>
          <w:sz w:val="26"/>
          <w:szCs w:val="26"/>
        </w:rPr>
        <w:t>Dr. Tola Odugbsesan</w:t>
      </w:r>
    </w:p>
    <w:p w14:paraId="188F338F" w14:textId="77777777" w:rsidR="00D06997" w:rsidRPr="00F15E7B" w:rsidRDefault="00D06997" w:rsidP="00D06997">
      <w:pPr>
        <w:jc w:val="center"/>
        <w:rPr>
          <w:b/>
          <w:bCs/>
          <w:sz w:val="26"/>
          <w:szCs w:val="26"/>
        </w:rPr>
      </w:pPr>
    </w:p>
    <w:p w14:paraId="48B9A893" w14:textId="77777777" w:rsidR="00D06997" w:rsidRPr="00F15E7B" w:rsidRDefault="00D06997" w:rsidP="00D06997">
      <w:pPr>
        <w:jc w:val="center"/>
        <w:rPr>
          <w:b/>
          <w:bCs/>
          <w:sz w:val="26"/>
          <w:szCs w:val="26"/>
        </w:rPr>
      </w:pPr>
      <w:r w:rsidRPr="00F15E7B">
        <w:rPr>
          <w:b/>
          <w:bCs/>
          <w:sz w:val="26"/>
          <w:szCs w:val="26"/>
        </w:rPr>
        <w:t>University : University of Wales Trinity saint David</w:t>
      </w:r>
    </w:p>
    <w:p w14:paraId="1584EF04" w14:textId="77777777" w:rsidR="00D06997" w:rsidRPr="00F15E7B" w:rsidRDefault="00D06997" w:rsidP="00D06997">
      <w:pPr>
        <w:jc w:val="center"/>
        <w:rPr>
          <w:b/>
          <w:bCs/>
          <w:sz w:val="26"/>
          <w:szCs w:val="26"/>
        </w:rPr>
      </w:pPr>
      <w:r w:rsidRPr="00F15E7B">
        <w:rPr>
          <w:b/>
          <w:bCs/>
          <w:sz w:val="26"/>
          <w:szCs w:val="26"/>
        </w:rPr>
        <w:t>March 2026</w:t>
      </w:r>
    </w:p>
    <w:p w14:paraId="147BE409" w14:textId="77777777" w:rsidR="008616CD" w:rsidRDefault="00CB01F0">
      <w:pPr>
        <w:spacing w:line="240" w:lineRule="auto"/>
        <w:jc w:val="left"/>
        <w:rPr>
          <w:rFonts w:asciiTheme="minorBidi" w:hAnsiTheme="minorBidi"/>
          <w:highlight w:val="yellow"/>
        </w:rPr>
      </w:pPr>
      <w:r w:rsidRPr="00F4799C">
        <w:rPr>
          <w:rFonts w:asciiTheme="minorBidi" w:hAnsiTheme="minorBidi"/>
          <w:highlight w:val="yellow"/>
        </w:rPr>
        <w:br w:type="page"/>
      </w:r>
      <w:bookmarkStart w:id="0" w:name="_Toc222732273"/>
    </w:p>
    <w:sdt>
      <w:sdtPr>
        <w:rPr>
          <w:rFonts w:eastAsiaTheme="minorHAnsi" w:cstheme="minorBidi"/>
          <w:bCs w:val="0"/>
          <w:kern w:val="2"/>
          <w:sz w:val="24"/>
          <w:szCs w:val="24"/>
          <w:lang w:val="en-GB"/>
          <w14:ligatures w14:val="standardContextual"/>
        </w:rPr>
        <w:id w:val="1126440126"/>
        <w:docPartObj>
          <w:docPartGallery w:val="Table of Contents"/>
          <w:docPartUnique/>
        </w:docPartObj>
      </w:sdtPr>
      <w:sdtEndPr>
        <w:rPr>
          <w:b/>
          <w:noProof/>
        </w:rPr>
      </w:sdtEndPr>
      <w:sdtContent>
        <w:p w14:paraId="6FE7F8B8" w14:textId="1346E381" w:rsidR="008616CD" w:rsidRPr="008616CD" w:rsidRDefault="008616CD" w:rsidP="008616CD">
          <w:pPr>
            <w:pStyle w:val="TOCHeading"/>
            <w:spacing w:line="360" w:lineRule="auto"/>
            <w:jc w:val="center"/>
            <w:rPr>
              <w:rFonts w:cs="Arial"/>
              <w:b/>
              <w:bCs w:val="0"/>
            </w:rPr>
          </w:pPr>
          <w:r w:rsidRPr="008616CD">
            <w:rPr>
              <w:rFonts w:cs="Arial"/>
              <w:b/>
              <w:bCs w:val="0"/>
            </w:rPr>
            <w:t>Table of Contents</w:t>
          </w:r>
        </w:p>
        <w:p w14:paraId="72669054" w14:textId="776512E3" w:rsidR="008616CD" w:rsidRDefault="008616CD">
          <w:pPr>
            <w:pStyle w:val="TOC1"/>
            <w:tabs>
              <w:tab w:val="right" w:leader="dot" w:pos="9016"/>
            </w:tabs>
            <w:rPr>
              <w:rFonts w:asciiTheme="minorHAnsi" w:eastAsiaTheme="minorEastAsia" w:hAnsiTheme="minorHAnsi"/>
              <w:b w:val="0"/>
              <w:bCs w:val="0"/>
              <w:caps w:val="0"/>
              <w:noProof/>
              <w:color w:val="auto"/>
              <w:sz w:val="24"/>
              <w:szCs w:val="24"/>
              <w:lang w:val="en-US"/>
            </w:rPr>
          </w:pPr>
          <w:r>
            <w:fldChar w:fldCharType="begin"/>
          </w:r>
          <w:r>
            <w:instrText xml:space="preserve"> TOC \o "1-3" \h \z \u </w:instrText>
          </w:r>
          <w:r>
            <w:fldChar w:fldCharType="separate"/>
          </w:r>
          <w:hyperlink w:anchor="_Toc225279771" w:history="1">
            <w:r w:rsidRPr="0080606F">
              <w:rPr>
                <w:rStyle w:val="Hyperlink"/>
                <w:noProof/>
              </w:rPr>
              <w:t>1. Introduction</w:t>
            </w:r>
            <w:r>
              <w:rPr>
                <w:noProof/>
                <w:webHidden/>
              </w:rPr>
              <w:tab/>
            </w:r>
            <w:r>
              <w:rPr>
                <w:noProof/>
                <w:webHidden/>
              </w:rPr>
              <w:fldChar w:fldCharType="begin"/>
            </w:r>
            <w:r>
              <w:rPr>
                <w:noProof/>
                <w:webHidden/>
              </w:rPr>
              <w:instrText xml:space="preserve"> PAGEREF _Toc225279771 \h </w:instrText>
            </w:r>
            <w:r>
              <w:rPr>
                <w:noProof/>
                <w:webHidden/>
              </w:rPr>
            </w:r>
            <w:r>
              <w:rPr>
                <w:noProof/>
                <w:webHidden/>
              </w:rPr>
              <w:fldChar w:fldCharType="separate"/>
            </w:r>
            <w:r>
              <w:rPr>
                <w:noProof/>
                <w:webHidden/>
              </w:rPr>
              <w:t>3</w:t>
            </w:r>
            <w:r>
              <w:rPr>
                <w:noProof/>
                <w:webHidden/>
              </w:rPr>
              <w:fldChar w:fldCharType="end"/>
            </w:r>
          </w:hyperlink>
        </w:p>
        <w:p w14:paraId="63BBD7A8" w14:textId="3CDA7183" w:rsidR="008616CD" w:rsidRDefault="008616CD">
          <w:pPr>
            <w:pStyle w:val="TOC1"/>
            <w:tabs>
              <w:tab w:val="right" w:leader="dot" w:pos="9016"/>
            </w:tabs>
            <w:rPr>
              <w:rFonts w:asciiTheme="minorHAnsi" w:eastAsiaTheme="minorEastAsia" w:hAnsiTheme="minorHAnsi"/>
              <w:b w:val="0"/>
              <w:bCs w:val="0"/>
              <w:caps w:val="0"/>
              <w:noProof/>
              <w:color w:val="auto"/>
              <w:sz w:val="24"/>
              <w:szCs w:val="24"/>
              <w:lang w:val="en-US"/>
            </w:rPr>
          </w:pPr>
          <w:hyperlink w:anchor="_Toc225279772" w:history="1">
            <w:r w:rsidRPr="0080606F">
              <w:rPr>
                <w:rStyle w:val="Hyperlink"/>
                <w:noProof/>
              </w:rPr>
              <w:t>2. Task 1: Critical Analysis of the Macro Marketing Environment</w:t>
            </w:r>
            <w:r>
              <w:rPr>
                <w:noProof/>
                <w:webHidden/>
              </w:rPr>
              <w:tab/>
            </w:r>
            <w:r>
              <w:rPr>
                <w:noProof/>
                <w:webHidden/>
              </w:rPr>
              <w:fldChar w:fldCharType="begin"/>
            </w:r>
            <w:r>
              <w:rPr>
                <w:noProof/>
                <w:webHidden/>
              </w:rPr>
              <w:instrText xml:space="preserve"> PAGEREF _Toc225279772 \h </w:instrText>
            </w:r>
            <w:r>
              <w:rPr>
                <w:noProof/>
                <w:webHidden/>
              </w:rPr>
            </w:r>
            <w:r>
              <w:rPr>
                <w:noProof/>
                <w:webHidden/>
              </w:rPr>
              <w:fldChar w:fldCharType="separate"/>
            </w:r>
            <w:r>
              <w:rPr>
                <w:noProof/>
                <w:webHidden/>
              </w:rPr>
              <w:t>3</w:t>
            </w:r>
            <w:r>
              <w:rPr>
                <w:noProof/>
                <w:webHidden/>
              </w:rPr>
              <w:fldChar w:fldCharType="end"/>
            </w:r>
          </w:hyperlink>
        </w:p>
        <w:p w14:paraId="384D2CA9" w14:textId="22BD056A" w:rsidR="008616CD" w:rsidRDefault="008616CD">
          <w:pPr>
            <w:pStyle w:val="TOC2"/>
            <w:tabs>
              <w:tab w:val="right" w:leader="dot" w:pos="9016"/>
            </w:tabs>
            <w:rPr>
              <w:rFonts w:asciiTheme="minorHAnsi" w:eastAsiaTheme="minorEastAsia" w:hAnsiTheme="minorHAnsi"/>
              <w:smallCaps w:val="0"/>
              <w:noProof/>
              <w:color w:val="auto"/>
              <w:sz w:val="24"/>
              <w:szCs w:val="24"/>
              <w:lang w:val="en-US"/>
            </w:rPr>
          </w:pPr>
          <w:hyperlink w:anchor="_Toc225279773" w:history="1">
            <w:r w:rsidRPr="0080606F">
              <w:rPr>
                <w:rStyle w:val="Hyperlink"/>
                <w:noProof/>
              </w:rPr>
              <w:t>2.1 Macro Marketing Environment</w:t>
            </w:r>
            <w:r>
              <w:rPr>
                <w:noProof/>
                <w:webHidden/>
              </w:rPr>
              <w:tab/>
            </w:r>
            <w:r>
              <w:rPr>
                <w:noProof/>
                <w:webHidden/>
              </w:rPr>
              <w:fldChar w:fldCharType="begin"/>
            </w:r>
            <w:r>
              <w:rPr>
                <w:noProof/>
                <w:webHidden/>
              </w:rPr>
              <w:instrText xml:space="preserve"> PAGEREF _Toc225279773 \h </w:instrText>
            </w:r>
            <w:r>
              <w:rPr>
                <w:noProof/>
                <w:webHidden/>
              </w:rPr>
            </w:r>
            <w:r>
              <w:rPr>
                <w:noProof/>
                <w:webHidden/>
              </w:rPr>
              <w:fldChar w:fldCharType="separate"/>
            </w:r>
            <w:r>
              <w:rPr>
                <w:noProof/>
                <w:webHidden/>
              </w:rPr>
              <w:t>3</w:t>
            </w:r>
            <w:r>
              <w:rPr>
                <w:noProof/>
                <w:webHidden/>
              </w:rPr>
              <w:fldChar w:fldCharType="end"/>
            </w:r>
          </w:hyperlink>
        </w:p>
        <w:p w14:paraId="03B72711" w14:textId="41569D03" w:rsidR="008616CD" w:rsidRDefault="008616CD">
          <w:pPr>
            <w:pStyle w:val="TOC2"/>
            <w:tabs>
              <w:tab w:val="right" w:leader="dot" w:pos="9016"/>
            </w:tabs>
            <w:rPr>
              <w:rFonts w:asciiTheme="minorHAnsi" w:eastAsiaTheme="minorEastAsia" w:hAnsiTheme="minorHAnsi"/>
              <w:smallCaps w:val="0"/>
              <w:noProof/>
              <w:color w:val="auto"/>
              <w:sz w:val="24"/>
              <w:szCs w:val="24"/>
              <w:lang w:val="en-US"/>
            </w:rPr>
          </w:pPr>
          <w:hyperlink w:anchor="_Toc225279774" w:history="1">
            <w:r w:rsidRPr="0080606F">
              <w:rPr>
                <w:rStyle w:val="Hyperlink"/>
                <w:noProof/>
              </w:rPr>
              <w:t>2.2 Analysis of macro factor 1: Pestle</w:t>
            </w:r>
            <w:r>
              <w:rPr>
                <w:noProof/>
                <w:webHidden/>
              </w:rPr>
              <w:tab/>
            </w:r>
            <w:r>
              <w:rPr>
                <w:noProof/>
                <w:webHidden/>
              </w:rPr>
              <w:fldChar w:fldCharType="begin"/>
            </w:r>
            <w:r>
              <w:rPr>
                <w:noProof/>
                <w:webHidden/>
              </w:rPr>
              <w:instrText xml:space="preserve"> PAGEREF _Toc225279774 \h </w:instrText>
            </w:r>
            <w:r>
              <w:rPr>
                <w:noProof/>
                <w:webHidden/>
              </w:rPr>
            </w:r>
            <w:r>
              <w:rPr>
                <w:noProof/>
                <w:webHidden/>
              </w:rPr>
              <w:fldChar w:fldCharType="separate"/>
            </w:r>
            <w:r>
              <w:rPr>
                <w:noProof/>
                <w:webHidden/>
              </w:rPr>
              <w:t>4</w:t>
            </w:r>
            <w:r>
              <w:rPr>
                <w:noProof/>
                <w:webHidden/>
              </w:rPr>
              <w:fldChar w:fldCharType="end"/>
            </w:r>
          </w:hyperlink>
        </w:p>
        <w:p w14:paraId="24625839" w14:textId="49402841" w:rsidR="008616CD" w:rsidRDefault="008616CD">
          <w:pPr>
            <w:pStyle w:val="TOC3"/>
            <w:tabs>
              <w:tab w:val="right" w:leader="dot" w:pos="9016"/>
            </w:tabs>
            <w:rPr>
              <w:rFonts w:asciiTheme="minorHAnsi" w:eastAsiaTheme="minorEastAsia" w:hAnsiTheme="minorHAnsi"/>
              <w:i w:val="0"/>
              <w:iCs w:val="0"/>
              <w:noProof/>
              <w:color w:val="auto"/>
              <w:sz w:val="24"/>
              <w:szCs w:val="24"/>
              <w:lang w:val="en-US"/>
            </w:rPr>
          </w:pPr>
          <w:hyperlink w:anchor="_Toc225279775" w:history="1">
            <w:r w:rsidRPr="0080606F">
              <w:rPr>
                <w:rStyle w:val="Hyperlink"/>
                <w:noProof/>
              </w:rPr>
              <w:t>2.2.1 Impact on the pioneer organisation</w:t>
            </w:r>
            <w:r>
              <w:rPr>
                <w:noProof/>
                <w:webHidden/>
              </w:rPr>
              <w:tab/>
            </w:r>
            <w:r>
              <w:rPr>
                <w:noProof/>
                <w:webHidden/>
              </w:rPr>
              <w:fldChar w:fldCharType="begin"/>
            </w:r>
            <w:r>
              <w:rPr>
                <w:noProof/>
                <w:webHidden/>
              </w:rPr>
              <w:instrText xml:space="preserve"> PAGEREF _Toc225279775 \h </w:instrText>
            </w:r>
            <w:r>
              <w:rPr>
                <w:noProof/>
                <w:webHidden/>
              </w:rPr>
            </w:r>
            <w:r>
              <w:rPr>
                <w:noProof/>
                <w:webHidden/>
              </w:rPr>
              <w:fldChar w:fldCharType="separate"/>
            </w:r>
            <w:r>
              <w:rPr>
                <w:noProof/>
                <w:webHidden/>
              </w:rPr>
              <w:t>4</w:t>
            </w:r>
            <w:r>
              <w:rPr>
                <w:noProof/>
                <w:webHidden/>
              </w:rPr>
              <w:fldChar w:fldCharType="end"/>
            </w:r>
          </w:hyperlink>
        </w:p>
        <w:p w14:paraId="6BDF3A27" w14:textId="06F1E7D1" w:rsidR="008616CD" w:rsidRDefault="008616CD">
          <w:pPr>
            <w:pStyle w:val="TOC3"/>
            <w:tabs>
              <w:tab w:val="right" w:leader="dot" w:pos="9016"/>
            </w:tabs>
            <w:rPr>
              <w:rFonts w:asciiTheme="minorHAnsi" w:eastAsiaTheme="minorEastAsia" w:hAnsiTheme="minorHAnsi"/>
              <w:i w:val="0"/>
              <w:iCs w:val="0"/>
              <w:noProof/>
              <w:color w:val="auto"/>
              <w:sz w:val="24"/>
              <w:szCs w:val="24"/>
              <w:lang w:val="en-US"/>
            </w:rPr>
          </w:pPr>
          <w:hyperlink w:anchor="_Toc225279776" w:history="1">
            <w:r w:rsidRPr="0080606F">
              <w:rPr>
                <w:rStyle w:val="Hyperlink"/>
                <w:noProof/>
              </w:rPr>
              <w:t>2.2.2 Impact on the follower organisation</w:t>
            </w:r>
            <w:r>
              <w:rPr>
                <w:noProof/>
                <w:webHidden/>
              </w:rPr>
              <w:tab/>
            </w:r>
            <w:r>
              <w:rPr>
                <w:noProof/>
                <w:webHidden/>
              </w:rPr>
              <w:fldChar w:fldCharType="begin"/>
            </w:r>
            <w:r>
              <w:rPr>
                <w:noProof/>
                <w:webHidden/>
              </w:rPr>
              <w:instrText xml:space="preserve"> PAGEREF _Toc225279776 \h </w:instrText>
            </w:r>
            <w:r>
              <w:rPr>
                <w:noProof/>
                <w:webHidden/>
              </w:rPr>
            </w:r>
            <w:r>
              <w:rPr>
                <w:noProof/>
                <w:webHidden/>
              </w:rPr>
              <w:fldChar w:fldCharType="separate"/>
            </w:r>
            <w:r>
              <w:rPr>
                <w:noProof/>
                <w:webHidden/>
              </w:rPr>
              <w:t>5</w:t>
            </w:r>
            <w:r>
              <w:rPr>
                <w:noProof/>
                <w:webHidden/>
              </w:rPr>
              <w:fldChar w:fldCharType="end"/>
            </w:r>
          </w:hyperlink>
        </w:p>
        <w:p w14:paraId="6DC6D3E4" w14:textId="6499D062" w:rsidR="008616CD" w:rsidRDefault="008616CD">
          <w:pPr>
            <w:pStyle w:val="TOC2"/>
            <w:tabs>
              <w:tab w:val="right" w:leader="dot" w:pos="9016"/>
            </w:tabs>
            <w:rPr>
              <w:rFonts w:asciiTheme="minorHAnsi" w:eastAsiaTheme="minorEastAsia" w:hAnsiTheme="minorHAnsi"/>
              <w:smallCaps w:val="0"/>
              <w:noProof/>
              <w:color w:val="auto"/>
              <w:sz w:val="24"/>
              <w:szCs w:val="24"/>
              <w:lang w:val="en-US"/>
            </w:rPr>
          </w:pPr>
          <w:hyperlink w:anchor="_Toc225279777" w:history="1">
            <w:r w:rsidRPr="0080606F">
              <w:rPr>
                <w:rStyle w:val="Hyperlink"/>
                <w:noProof/>
              </w:rPr>
              <w:t>2.3 Analysis of macro factor 2: Porter’s Five Forces</w:t>
            </w:r>
            <w:r>
              <w:rPr>
                <w:noProof/>
                <w:webHidden/>
              </w:rPr>
              <w:tab/>
            </w:r>
            <w:r>
              <w:rPr>
                <w:noProof/>
                <w:webHidden/>
              </w:rPr>
              <w:fldChar w:fldCharType="begin"/>
            </w:r>
            <w:r>
              <w:rPr>
                <w:noProof/>
                <w:webHidden/>
              </w:rPr>
              <w:instrText xml:space="preserve"> PAGEREF _Toc225279777 \h </w:instrText>
            </w:r>
            <w:r>
              <w:rPr>
                <w:noProof/>
                <w:webHidden/>
              </w:rPr>
            </w:r>
            <w:r>
              <w:rPr>
                <w:noProof/>
                <w:webHidden/>
              </w:rPr>
              <w:fldChar w:fldCharType="separate"/>
            </w:r>
            <w:r>
              <w:rPr>
                <w:noProof/>
                <w:webHidden/>
              </w:rPr>
              <w:t>6</w:t>
            </w:r>
            <w:r>
              <w:rPr>
                <w:noProof/>
                <w:webHidden/>
              </w:rPr>
              <w:fldChar w:fldCharType="end"/>
            </w:r>
          </w:hyperlink>
        </w:p>
        <w:p w14:paraId="7FBBB70D" w14:textId="4B71948B" w:rsidR="008616CD" w:rsidRDefault="008616CD">
          <w:pPr>
            <w:pStyle w:val="TOC3"/>
            <w:tabs>
              <w:tab w:val="right" w:leader="dot" w:pos="9016"/>
            </w:tabs>
            <w:rPr>
              <w:rFonts w:asciiTheme="minorHAnsi" w:eastAsiaTheme="minorEastAsia" w:hAnsiTheme="minorHAnsi"/>
              <w:i w:val="0"/>
              <w:iCs w:val="0"/>
              <w:noProof/>
              <w:color w:val="auto"/>
              <w:sz w:val="24"/>
              <w:szCs w:val="24"/>
              <w:lang w:val="en-US"/>
            </w:rPr>
          </w:pPr>
          <w:hyperlink w:anchor="_Toc225279778" w:history="1">
            <w:r w:rsidRPr="0080606F">
              <w:rPr>
                <w:rStyle w:val="Hyperlink"/>
                <w:noProof/>
              </w:rPr>
              <w:t>2.3.1 Impact on the pioneer organisation</w:t>
            </w:r>
            <w:r>
              <w:rPr>
                <w:noProof/>
                <w:webHidden/>
              </w:rPr>
              <w:tab/>
            </w:r>
            <w:r>
              <w:rPr>
                <w:noProof/>
                <w:webHidden/>
              </w:rPr>
              <w:fldChar w:fldCharType="begin"/>
            </w:r>
            <w:r>
              <w:rPr>
                <w:noProof/>
                <w:webHidden/>
              </w:rPr>
              <w:instrText xml:space="preserve"> PAGEREF _Toc225279778 \h </w:instrText>
            </w:r>
            <w:r>
              <w:rPr>
                <w:noProof/>
                <w:webHidden/>
              </w:rPr>
            </w:r>
            <w:r>
              <w:rPr>
                <w:noProof/>
                <w:webHidden/>
              </w:rPr>
              <w:fldChar w:fldCharType="separate"/>
            </w:r>
            <w:r>
              <w:rPr>
                <w:noProof/>
                <w:webHidden/>
              </w:rPr>
              <w:t>6</w:t>
            </w:r>
            <w:r>
              <w:rPr>
                <w:noProof/>
                <w:webHidden/>
              </w:rPr>
              <w:fldChar w:fldCharType="end"/>
            </w:r>
          </w:hyperlink>
        </w:p>
        <w:p w14:paraId="5F6A7D35" w14:textId="77C0A8BD" w:rsidR="008616CD" w:rsidRDefault="008616CD">
          <w:pPr>
            <w:pStyle w:val="TOC3"/>
            <w:tabs>
              <w:tab w:val="right" w:leader="dot" w:pos="9016"/>
            </w:tabs>
            <w:rPr>
              <w:rFonts w:asciiTheme="minorHAnsi" w:eastAsiaTheme="minorEastAsia" w:hAnsiTheme="minorHAnsi"/>
              <w:i w:val="0"/>
              <w:iCs w:val="0"/>
              <w:noProof/>
              <w:color w:val="auto"/>
              <w:sz w:val="24"/>
              <w:szCs w:val="24"/>
              <w:lang w:val="en-US"/>
            </w:rPr>
          </w:pPr>
          <w:hyperlink w:anchor="_Toc225279779" w:history="1">
            <w:r w:rsidRPr="0080606F">
              <w:rPr>
                <w:rStyle w:val="Hyperlink"/>
                <w:noProof/>
              </w:rPr>
              <w:t>2.3.2 Impact on the follower organisation</w:t>
            </w:r>
            <w:r>
              <w:rPr>
                <w:noProof/>
                <w:webHidden/>
              </w:rPr>
              <w:tab/>
            </w:r>
            <w:r>
              <w:rPr>
                <w:noProof/>
                <w:webHidden/>
              </w:rPr>
              <w:fldChar w:fldCharType="begin"/>
            </w:r>
            <w:r>
              <w:rPr>
                <w:noProof/>
                <w:webHidden/>
              </w:rPr>
              <w:instrText xml:space="preserve"> PAGEREF _Toc225279779 \h </w:instrText>
            </w:r>
            <w:r>
              <w:rPr>
                <w:noProof/>
                <w:webHidden/>
              </w:rPr>
            </w:r>
            <w:r>
              <w:rPr>
                <w:noProof/>
                <w:webHidden/>
              </w:rPr>
              <w:fldChar w:fldCharType="separate"/>
            </w:r>
            <w:r>
              <w:rPr>
                <w:noProof/>
                <w:webHidden/>
              </w:rPr>
              <w:t>8</w:t>
            </w:r>
            <w:r>
              <w:rPr>
                <w:noProof/>
                <w:webHidden/>
              </w:rPr>
              <w:fldChar w:fldCharType="end"/>
            </w:r>
          </w:hyperlink>
        </w:p>
        <w:p w14:paraId="13525477" w14:textId="3688D7F2" w:rsidR="008616CD" w:rsidRDefault="008616CD">
          <w:pPr>
            <w:pStyle w:val="TOC1"/>
            <w:tabs>
              <w:tab w:val="right" w:leader="dot" w:pos="9016"/>
            </w:tabs>
            <w:rPr>
              <w:rFonts w:asciiTheme="minorHAnsi" w:eastAsiaTheme="minorEastAsia" w:hAnsiTheme="minorHAnsi"/>
              <w:b w:val="0"/>
              <w:bCs w:val="0"/>
              <w:caps w:val="0"/>
              <w:noProof/>
              <w:color w:val="auto"/>
              <w:sz w:val="24"/>
              <w:szCs w:val="24"/>
              <w:lang w:val="en-US"/>
            </w:rPr>
          </w:pPr>
          <w:hyperlink w:anchor="_Toc225279780" w:history="1">
            <w:r w:rsidRPr="0080606F">
              <w:rPr>
                <w:rStyle w:val="Hyperlink"/>
                <w:noProof/>
              </w:rPr>
              <w:t>3. Task 2: Strategic responses implemented by the pioneering and follower organisations</w:t>
            </w:r>
            <w:r>
              <w:rPr>
                <w:noProof/>
                <w:webHidden/>
              </w:rPr>
              <w:tab/>
            </w:r>
            <w:r>
              <w:rPr>
                <w:noProof/>
                <w:webHidden/>
              </w:rPr>
              <w:fldChar w:fldCharType="begin"/>
            </w:r>
            <w:r>
              <w:rPr>
                <w:noProof/>
                <w:webHidden/>
              </w:rPr>
              <w:instrText xml:space="preserve"> PAGEREF _Toc225279780 \h </w:instrText>
            </w:r>
            <w:r>
              <w:rPr>
                <w:noProof/>
                <w:webHidden/>
              </w:rPr>
            </w:r>
            <w:r>
              <w:rPr>
                <w:noProof/>
                <w:webHidden/>
              </w:rPr>
              <w:fldChar w:fldCharType="separate"/>
            </w:r>
            <w:r>
              <w:rPr>
                <w:noProof/>
                <w:webHidden/>
              </w:rPr>
              <w:t>8</w:t>
            </w:r>
            <w:r>
              <w:rPr>
                <w:noProof/>
                <w:webHidden/>
              </w:rPr>
              <w:fldChar w:fldCharType="end"/>
            </w:r>
          </w:hyperlink>
        </w:p>
        <w:p w14:paraId="587F1685" w14:textId="064783A0" w:rsidR="008616CD" w:rsidRDefault="008616CD">
          <w:pPr>
            <w:pStyle w:val="TOC2"/>
            <w:tabs>
              <w:tab w:val="right" w:leader="dot" w:pos="9016"/>
            </w:tabs>
            <w:rPr>
              <w:rFonts w:asciiTheme="minorHAnsi" w:eastAsiaTheme="minorEastAsia" w:hAnsiTheme="minorHAnsi"/>
              <w:smallCaps w:val="0"/>
              <w:noProof/>
              <w:color w:val="auto"/>
              <w:sz w:val="24"/>
              <w:szCs w:val="24"/>
              <w:lang w:val="en-US"/>
            </w:rPr>
          </w:pPr>
          <w:hyperlink w:anchor="_Toc225279781" w:history="1">
            <w:r w:rsidRPr="0080606F">
              <w:rPr>
                <w:rStyle w:val="Hyperlink"/>
                <w:noProof/>
              </w:rPr>
              <w:t>3.1 Pioneering organisation’s strategic responses</w:t>
            </w:r>
            <w:r>
              <w:rPr>
                <w:noProof/>
                <w:webHidden/>
              </w:rPr>
              <w:tab/>
            </w:r>
            <w:r>
              <w:rPr>
                <w:noProof/>
                <w:webHidden/>
              </w:rPr>
              <w:fldChar w:fldCharType="begin"/>
            </w:r>
            <w:r>
              <w:rPr>
                <w:noProof/>
                <w:webHidden/>
              </w:rPr>
              <w:instrText xml:space="preserve"> PAGEREF _Toc225279781 \h </w:instrText>
            </w:r>
            <w:r>
              <w:rPr>
                <w:noProof/>
                <w:webHidden/>
              </w:rPr>
            </w:r>
            <w:r>
              <w:rPr>
                <w:noProof/>
                <w:webHidden/>
              </w:rPr>
              <w:fldChar w:fldCharType="separate"/>
            </w:r>
            <w:r>
              <w:rPr>
                <w:noProof/>
                <w:webHidden/>
              </w:rPr>
              <w:t>8</w:t>
            </w:r>
            <w:r>
              <w:rPr>
                <w:noProof/>
                <w:webHidden/>
              </w:rPr>
              <w:fldChar w:fldCharType="end"/>
            </w:r>
          </w:hyperlink>
        </w:p>
        <w:p w14:paraId="1E8FDC7D" w14:textId="62C799AC" w:rsidR="008616CD" w:rsidRDefault="008616CD">
          <w:pPr>
            <w:pStyle w:val="TOC2"/>
            <w:tabs>
              <w:tab w:val="right" w:leader="dot" w:pos="9016"/>
            </w:tabs>
            <w:rPr>
              <w:rFonts w:asciiTheme="minorHAnsi" w:eastAsiaTheme="minorEastAsia" w:hAnsiTheme="minorHAnsi"/>
              <w:smallCaps w:val="0"/>
              <w:noProof/>
              <w:color w:val="auto"/>
              <w:sz w:val="24"/>
              <w:szCs w:val="24"/>
              <w:lang w:val="en-US"/>
            </w:rPr>
          </w:pPr>
          <w:hyperlink w:anchor="_Toc225279782" w:history="1">
            <w:r w:rsidRPr="0080606F">
              <w:rPr>
                <w:rStyle w:val="Hyperlink"/>
                <w:noProof/>
              </w:rPr>
              <w:t>3.2 Follower organisation’s strategic responses</w:t>
            </w:r>
            <w:r>
              <w:rPr>
                <w:noProof/>
                <w:webHidden/>
              </w:rPr>
              <w:tab/>
            </w:r>
            <w:r>
              <w:rPr>
                <w:noProof/>
                <w:webHidden/>
              </w:rPr>
              <w:fldChar w:fldCharType="begin"/>
            </w:r>
            <w:r>
              <w:rPr>
                <w:noProof/>
                <w:webHidden/>
              </w:rPr>
              <w:instrText xml:space="preserve"> PAGEREF _Toc225279782 \h </w:instrText>
            </w:r>
            <w:r>
              <w:rPr>
                <w:noProof/>
                <w:webHidden/>
              </w:rPr>
            </w:r>
            <w:r>
              <w:rPr>
                <w:noProof/>
                <w:webHidden/>
              </w:rPr>
              <w:fldChar w:fldCharType="separate"/>
            </w:r>
            <w:r>
              <w:rPr>
                <w:noProof/>
                <w:webHidden/>
              </w:rPr>
              <w:t>10</w:t>
            </w:r>
            <w:r>
              <w:rPr>
                <w:noProof/>
                <w:webHidden/>
              </w:rPr>
              <w:fldChar w:fldCharType="end"/>
            </w:r>
          </w:hyperlink>
        </w:p>
        <w:p w14:paraId="100A57AB" w14:textId="482B5028" w:rsidR="008616CD" w:rsidRDefault="008616CD">
          <w:pPr>
            <w:pStyle w:val="TOC1"/>
            <w:tabs>
              <w:tab w:val="right" w:leader="dot" w:pos="9016"/>
            </w:tabs>
            <w:rPr>
              <w:rFonts w:asciiTheme="minorHAnsi" w:eastAsiaTheme="minorEastAsia" w:hAnsiTheme="minorHAnsi"/>
              <w:b w:val="0"/>
              <w:bCs w:val="0"/>
              <w:caps w:val="0"/>
              <w:noProof/>
              <w:color w:val="auto"/>
              <w:sz w:val="24"/>
              <w:szCs w:val="24"/>
              <w:lang w:val="en-US"/>
            </w:rPr>
          </w:pPr>
          <w:hyperlink w:anchor="_Toc225279783" w:history="1">
            <w:r w:rsidRPr="0080606F">
              <w:rPr>
                <w:rStyle w:val="Hyperlink"/>
                <w:noProof/>
              </w:rPr>
              <w:t>4. Conclusion</w:t>
            </w:r>
            <w:r>
              <w:rPr>
                <w:noProof/>
                <w:webHidden/>
              </w:rPr>
              <w:tab/>
            </w:r>
            <w:r>
              <w:rPr>
                <w:noProof/>
                <w:webHidden/>
              </w:rPr>
              <w:fldChar w:fldCharType="begin"/>
            </w:r>
            <w:r>
              <w:rPr>
                <w:noProof/>
                <w:webHidden/>
              </w:rPr>
              <w:instrText xml:space="preserve"> PAGEREF _Toc225279783 \h </w:instrText>
            </w:r>
            <w:r>
              <w:rPr>
                <w:noProof/>
                <w:webHidden/>
              </w:rPr>
            </w:r>
            <w:r>
              <w:rPr>
                <w:noProof/>
                <w:webHidden/>
              </w:rPr>
              <w:fldChar w:fldCharType="separate"/>
            </w:r>
            <w:r>
              <w:rPr>
                <w:noProof/>
                <w:webHidden/>
              </w:rPr>
              <w:t>12</w:t>
            </w:r>
            <w:r>
              <w:rPr>
                <w:noProof/>
                <w:webHidden/>
              </w:rPr>
              <w:fldChar w:fldCharType="end"/>
            </w:r>
          </w:hyperlink>
        </w:p>
        <w:p w14:paraId="77D1EDB2" w14:textId="0FA566BE" w:rsidR="008616CD" w:rsidRDefault="008616CD">
          <w:pPr>
            <w:pStyle w:val="TOC1"/>
            <w:tabs>
              <w:tab w:val="right" w:leader="dot" w:pos="9016"/>
            </w:tabs>
            <w:rPr>
              <w:rFonts w:asciiTheme="minorHAnsi" w:eastAsiaTheme="minorEastAsia" w:hAnsiTheme="minorHAnsi"/>
              <w:b w:val="0"/>
              <w:bCs w:val="0"/>
              <w:caps w:val="0"/>
              <w:noProof/>
              <w:color w:val="auto"/>
              <w:sz w:val="24"/>
              <w:szCs w:val="24"/>
              <w:lang w:val="en-US"/>
            </w:rPr>
          </w:pPr>
          <w:hyperlink w:anchor="_Toc225279784" w:history="1">
            <w:r w:rsidRPr="0080606F">
              <w:rPr>
                <w:rStyle w:val="Hyperlink"/>
                <w:noProof/>
              </w:rPr>
              <w:t>5. Reference List</w:t>
            </w:r>
            <w:r>
              <w:rPr>
                <w:noProof/>
                <w:webHidden/>
              </w:rPr>
              <w:tab/>
            </w:r>
            <w:r>
              <w:rPr>
                <w:noProof/>
                <w:webHidden/>
              </w:rPr>
              <w:fldChar w:fldCharType="begin"/>
            </w:r>
            <w:r>
              <w:rPr>
                <w:noProof/>
                <w:webHidden/>
              </w:rPr>
              <w:instrText xml:space="preserve"> PAGEREF _Toc225279784 \h </w:instrText>
            </w:r>
            <w:r>
              <w:rPr>
                <w:noProof/>
                <w:webHidden/>
              </w:rPr>
            </w:r>
            <w:r>
              <w:rPr>
                <w:noProof/>
                <w:webHidden/>
              </w:rPr>
              <w:fldChar w:fldCharType="separate"/>
            </w:r>
            <w:r>
              <w:rPr>
                <w:noProof/>
                <w:webHidden/>
              </w:rPr>
              <w:t>13</w:t>
            </w:r>
            <w:r>
              <w:rPr>
                <w:noProof/>
                <w:webHidden/>
              </w:rPr>
              <w:fldChar w:fldCharType="end"/>
            </w:r>
          </w:hyperlink>
        </w:p>
        <w:p w14:paraId="313DA7AD" w14:textId="57633075" w:rsidR="008616CD" w:rsidRDefault="008616CD">
          <w:r>
            <w:rPr>
              <w:b/>
              <w:bCs/>
              <w:noProof/>
            </w:rPr>
            <w:fldChar w:fldCharType="end"/>
          </w:r>
        </w:p>
      </w:sdtContent>
    </w:sdt>
    <w:p w14:paraId="794B9709" w14:textId="5459CF8B" w:rsidR="00FB7008" w:rsidRDefault="00FB7008">
      <w:pPr>
        <w:spacing w:line="240" w:lineRule="auto"/>
        <w:jc w:val="left"/>
        <w:rPr>
          <w:rFonts w:asciiTheme="minorBidi" w:hAnsiTheme="minorBidi"/>
          <w:highlight w:val="yellow"/>
        </w:rPr>
      </w:pPr>
      <w:r>
        <w:rPr>
          <w:rFonts w:asciiTheme="minorBidi" w:hAnsiTheme="minorBidi"/>
          <w:highlight w:val="yellow"/>
        </w:rPr>
        <w:br w:type="page"/>
      </w:r>
    </w:p>
    <w:p w14:paraId="42BF9269" w14:textId="77777777" w:rsidR="001B7BF6" w:rsidRPr="000D03A7" w:rsidRDefault="001B7BF6" w:rsidP="001B7BF6">
      <w:pPr>
        <w:pStyle w:val="Heading1"/>
      </w:pPr>
      <w:bookmarkStart w:id="1" w:name="_Toc225279771"/>
      <w:bookmarkEnd w:id="0"/>
      <w:r w:rsidRPr="000D03A7">
        <w:lastRenderedPageBreak/>
        <w:t>1. Introduction</w:t>
      </w:r>
      <w:bookmarkEnd w:id="1"/>
      <w:r w:rsidRPr="000D03A7">
        <w:t xml:space="preserve"> </w:t>
      </w:r>
    </w:p>
    <w:p w14:paraId="4A608B61" w14:textId="77777777" w:rsidR="001B7BF6" w:rsidRPr="000D03A7" w:rsidRDefault="001B7BF6" w:rsidP="001B7BF6">
      <w:r w:rsidRPr="000D03A7">
        <w:t>The current report critically analyses the contribution of the macro marketing environment in influencing the strategic marketing management in the electric vehicle (EV) industry. It specifically looks at Tesla and follows as an organisation, and assesses the reaction of the two firms to the external pressures of the environment. It is aimed at evaluating the impact of macro-level forces on competitive positioning and strategic decision-making in a fast-shifting market.</w:t>
      </w:r>
    </w:p>
    <w:p w14:paraId="74CFDBC8" w14:textId="77777777" w:rsidR="001B7BF6" w:rsidRPr="000D03A7" w:rsidRDefault="001B7BF6" w:rsidP="001B7BF6">
      <w:r w:rsidRPr="000D03A7">
        <w:t>The EV market can be defined as something with booming growth, regulation, and intense competition in technology. With a high level of innovation, scale, and vertical integration, Tesla has remained dominant to create a place that yields about revenues of about $96.7billion dollars in the year 2024 (Annual Report, 2024). Contrary to this, Ford competes on transitional grounds and registers more than $170 billion in revenue with huge losses of almost $4.7 billion in EVs (Annual Report, 2024a). This presents us with a structurally asymmetric competitive environment where first-mover advantage has a great effect on market results.</w:t>
      </w:r>
    </w:p>
    <w:p w14:paraId="652F75CD" w14:textId="77777777" w:rsidR="001B7BF6" w:rsidRPr="000D03A7" w:rsidRDefault="001B7BF6" w:rsidP="001B7BF6">
      <w:r w:rsidRPr="000D03A7">
        <w:t>It is a strategic point to analyse the macro marketing environment as external forces like regulation and competitive forces influence the opportunities, risks, and long-term sustainability directly. When firms do not undertake an organised environmental scanning, there is a chance that there will be an imbalance between the market environment and strategy.</w:t>
      </w:r>
    </w:p>
    <w:p w14:paraId="68C713E9" w14:textId="77777777" w:rsidR="001B7BF6" w:rsidRPr="000D03A7" w:rsidRDefault="001B7BF6" w:rsidP="001B7BF6">
      <w:r w:rsidRPr="000D03A7">
        <w:t>There are two primary tasks in the report. Task 1 critically examines some of the major macro forces, such as PESTLE, as well as industry forces, and how they affect Tesla and Ford differently. Task 2 considers the strategic reactions of the two organisations in relation to pertinent marketing frameworks in order to determine their performance with regard to sustaining competitiveness.</w:t>
      </w:r>
    </w:p>
    <w:p w14:paraId="3853B4B3" w14:textId="77777777" w:rsidR="001B7BF6" w:rsidRPr="000D03A7" w:rsidRDefault="001B7BF6" w:rsidP="001B7BF6">
      <w:pPr>
        <w:pStyle w:val="Heading1"/>
      </w:pPr>
      <w:bookmarkStart w:id="2" w:name="_isc61cbop8hz" w:colFirst="0" w:colLast="0"/>
      <w:bookmarkStart w:id="3" w:name="_Toc225279772"/>
      <w:bookmarkEnd w:id="2"/>
      <w:r w:rsidRPr="000D03A7">
        <w:t>2. Task 1: Critical Analysis of the Macro Marketing Environment</w:t>
      </w:r>
      <w:bookmarkEnd w:id="3"/>
      <w:r w:rsidRPr="000D03A7">
        <w:t xml:space="preserve">   </w:t>
      </w:r>
    </w:p>
    <w:p w14:paraId="7E4815CF" w14:textId="77777777" w:rsidR="001B7BF6" w:rsidRPr="000D03A7" w:rsidRDefault="001B7BF6" w:rsidP="001B7BF6">
      <w:pPr>
        <w:pStyle w:val="Heading2"/>
      </w:pPr>
      <w:bookmarkStart w:id="4" w:name="_dsexmkhiqsf0" w:colFirst="0" w:colLast="0"/>
      <w:bookmarkStart w:id="5" w:name="_Toc225279773"/>
      <w:bookmarkEnd w:id="4"/>
      <w:r w:rsidRPr="000D03A7">
        <w:t>2.1 Macro Marketing Environment</w:t>
      </w:r>
      <w:bookmarkEnd w:id="5"/>
      <w:r w:rsidRPr="000D03A7">
        <w:t xml:space="preserve"> </w:t>
      </w:r>
    </w:p>
    <w:p w14:paraId="2E799DC9" w14:textId="77777777" w:rsidR="001B7BF6" w:rsidRPr="000D03A7" w:rsidRDefault="001B7BF6" w:rsidP="001B7BF6">
      <w:r w:rsidRPr="000D03A7">
        <w:t xml:space="preserve">The macro marketing environment is the environment of external restraints and opportunities that inform strategic marketing decisions. The PESTEL model allows the systematic analysis of the forces affecting the performance of firms in the political, economic, social, technological, legal, and environmental spheres (Giménez, 2022). </w:t>
      </w:r>
      <w:r w:rsidRPr="000D03A7">
        <w:lastRenderedPageBreak/>
        <w:t>These forces are not equal in the EV industry because they do not impact equally on the innovation-based Tesla model and the legacy-based structure of Ford.</w:t>
      </w:r>
    </w:p>
    <w:tbl>
      <w:tblPr>
        <w:tblW w:w="8775" w:type="dxa"/>
        <w:jc w:val="center"/>
        <w:tblBorders>
          <w:top w:val="nil"/>
          <w:left w:val="nil"/>
          <w:bottom w:val="nil"/>
          <w:right w:val="nil"/>
          <w:insideH w:val="nil"/>
          <w:insideV w:val="nil"/>
        </w:tblBorders>
        <w:tblLayout w:type="fixed"/>
        <w:tblLook w:val="0600" w:firstRow="0" w:lastRow="0" w:firstColumn="0" w:lastColumn="0" w:noHBand="1" w:noVBand="1"/>
      </w:tblPr>
      <w:tblGrid>
        <w:gridCol w:w="1665"/>
        <w:gridCol w:w="3615"/>
        <w:gridCol w:w="3495"/>
      </w:tblGrid>
      <w:tr w:rsidR="001B7BF6" w:rsidRPr="000D03A7" w14:paraId="31B7DA5B" w14:textId="77777777" w:rsidTr="009517B8">
        <w:trPr>
          <w:trHeight w:val="390"/>
          <w:jc w:val="center"/>
        </w:trPr>
        <w:tc>
          <w:tcPr>
            <w:tcW w:w="1665" w:type="dxa"/>
            <w:tcBorders>
              <w:top w:val="single" w:sz="9" w:space="0" w:color="000000"/>
              <w:left w:val="single" w:sz="9" w:space="0" w:color="000000"/>
              <w:bottom w:val="single" w:sz="9" w:space="0" w:color="000000"/>
              <w:right w:val="single" w:sz="9" w:space="0" w:color="000000"/>
            </w:tcBorders>
            <w:shd w:val="clear" w:color="auto" w:fill="D9D9D9" w:themeFill="background1" w:themeFillShade="D9"/>
            <w:tcMar>
              <w:top w:w="0" w:type="dxa"/>
              <w:left w:w="100" w:type="dxa"/>
              <w:bottom w:w="0" w:type="dxa"/>
              <w:right w:w="100" w:type="dxa"/>
            </w:tcMar>
          </w:tcPr>
          <w:p w14:paraId="0AA6FDF7" w14:textId="77777777" w:rsidR="001B7BF6" w:rsidRPr="000D03A7" w:rsidRDefault="001B7BF6" w:rsidP="009517B8">
            <w:pPr>
              <w:jc w:val="center"/>
              <w:rPr>
                <w:b/>
                <w:bCs/>
              </w:rPr>
            </w:pPr>
            <w:r w:rsidRPr="000D03A7">
              <w:rPr>
                <w:b/>
                <w:bCs/>
              </w:rPr>
              <w:t>Factor</w:t>
            </w:r>
          </w:p>
        </w:tc>
        <w:tc>
          <w:tcPr>
            <w:tcW w:w="3615" w:type="dxa"/>
            <w:tcBorders>
              <w:top w:val="single" w:sz="9" w:space="0" w:color="000000"/>
              <w:left w:val="nil"/>
              <w:bottom w:val="single" w:sz="9" w:space="0" w:color="000000"/>
              <w:right w:val="single" w:sz="9" w:space="0" w:color="000000"/>
            </w:tcBorders>
            <w:shd w:val="clear" w:color="auto" w:fill="D9D9D9" w:themeFill="background1" w:themeFillShade="D9"/>
            <w:tcMar>
              <w:top w:w="0" w:type="dxa"/>
              <w:left w:w="100" w:type="dxa"/>
              <w:bottom w:w="0" w:type="dxa"/>
              <w:right w:w="100" w:type="dxa"/>
            </w:tcMar>
          </w:tcPr>
          <w:p w14:paraId="4369AD52" w14:textId="77777777" w:rsidR="001B7BF6" w:rsidRPr="000D03A7" w:rsidRDefault="001B7BF6" w:rsidP="009517B8">
            <w:pPr>
              <w:jc w:val="center"/>
              <w:rPr>
                <w:b/>
                <w:bCs/>
              </w:rPr>
            </w:pPr>
            <w:r w:rsidRPr="000D03A7">
              <w:rPr>
                <w:b/>
                <w:bCs/>
              </w:rPr>
              <w:t>Tesla (Pioneer)</w:t>
            </w:r>
          </w:p>
        </w:tc>
        <w:tc>
          <w:tcPr>
            <w:tcW w:w="3495" w:type="dxa"/>
            <w:tcBorders>
              <w:top w:val="single" w:sz="9" w:space="0" w:color="000000"/>
              <w:left w:val="nil"/>
              <w:bottom w:val="single" w:sz="9" w:space="0" w:color="000000"/>
              <w:right w:val="single" w:sz="9" w:space="0" w:color="000000"/>
            </w:tcBorders>
            <w:shd w:val="clear" w:color="auto" w:fill="D9D9D9" w:themeFill="background1" w:themeFillShade="D9"/>
            <w:tcMar>
              <w:top w:w="0" w:type="dxa"/>
              <w:left w:w="100" w:type="dxa"/>
              <w:bottom w:w="0" w:type="dxa"/>
              <w:right w:w="100" w:type="dxa"/>
            </w:tcMar>
          </w:tcPr>
          <w:p w14:paraId="482AEC4B" w14:textId="77777777" w:rsidR="001B7BF6" w:rsidRPr="000D03A7" w:rsidRDefault="001B7BF6" w:rsidP="009517B8">
            <w:pPr>
              <w:jc w:val="center"/>
              <w:rPr>
                <w:b/>
                <w:bCs/>
              </w:rPr>
            </w:pPr>
            <w:r w:rsidRPr="000D03A7">
              <w:rPr>
                <w:b/>
                <w:bCs/>
              </w:rPr>
              <w:t>Ford (Follower)</w:t>
            </w:r>
          </w:p>
        </w:tc>
      </w:tr>
      <w:tr w:rsidR="001B7BF6" w:rsidRPr="000D03A7" w14:paraId="2E0CD832" w14:textId="77777777" w:rsidTr="009517B8">
        <w:trPr>
          <w:trHeight w:val="1110"/>
          <w:jc w:val="center"/>
        </w:trPr>
        <w:tc>
          <w:tcPr>
            <w:tcW w:w="1665" w:type="dxa"/>
            <w:tcBorders>
              <w:top w:val="nil"/>
              <w:left w:val="single" w:sz="9" w:space="0" w:color="000000"/>
              <w:bottom w:val="single" w:sz="9" w:space="0" w:color="000000"/>
              <w:right w:val="single" w:sz="9" w:space="0" w:color="000000"/>
            </w:tcBorders>
            <w:shd w:val="clear" w:color="auto" w:fill="B3E5A1" w:themeFill="accent6" w:themeFillTint="66"/>
            <w:tcMar>
              <w:top w:w="0" w:type="dxa"/>
              <w:left w:w="100" w:type="dxa"/>
              <w:bottom w:w="0" w:type="dxa"/>
              <w:right w:w="100" w:type="dxa"/>
            </w:tcMar>
          </w:tcPr>
          <w:p w14:paraId="7540981E" w14:textId="77777777" w:rsidR="001B7BF6" w:rsidRPr="000D03A7" w:rsidRDefault="001B7BF6" w:rsidP="009517B8">
            <w:pPr>
              <w:jc w:val="center"/>
              <w:rPr>
                <w:b/>
                <w:bCs/>
                <w:i/>
                <w:iCs/>
              </w:rPr>
            </w:pPr>
            <w:r w:rsidRPr="000D03A7">
              <w:rPr>
                <w:b/>
                <w:bCs/>
                <w:i/>
                <w:iCs/>
              </w:rPr>
              <w:t>Political</w:t>
            </w:r>
          </w:p>
        </w:tc>
        <w:tc>
          <w:tcPr>
            <w:tcW w:w="3615" w:type="dxa"/>
            <w:tcBorders>
              <w:top w:val="nil"/>
              <w:left w:val="nil"/>
              <w:bottom w:val="single" w:sz="9" w:space="0" w:color="000000"/>
              <w:right w:val="single" w:sz="9" w:space="0" w:color="000000"/>
            </w:tcBorders>
            <w:shd w:val="clear" w:color="auto" w:fill="83CAEB" w:themeFill="accent1" w:themeFillTint="66"/>
            <w:tcMar>
              <w:top w:w="0" w:type="dxa"/>
              <w:left w:w="100" w:type="dxa"/>
              <w:bottom w:w="0" w:type="dxa"/>
              <w:right w:w="100" w:type="dxa"/>
            </w:tcMar>
          </w:tcPr>
          <w:p w14:paraId="4A18A68B" w14:textId="77777777" w:rsidR="001B7BF6" w:rsidRPr="000D03A7" w:rsidRDefault="001B7BF6" w:rsidP="009517B8">
            <w:r w:rsidRPr="000D03A7">
              <w:t>Earned $1.79 billion from regulatory credits in 2024, converting policy into revenue</w:t>
            </w:r>
          </w:p>
        </w:tc>
        <w:tc>
          <w:tcPr>
            <w:tcW w:w="3495" w:type="dxa"/>
            <w:tcBorders>
              <w:top w:val="nil"/>
              <w:left w:val="nil"/>
              <w:bottom w:val="single" w:sz="9" w:space="0" w:color="000000"/>
              <w:right w:val="single" w:sz="9" w:space="0" w:color="000000"/>
            </w:tcBorders>
            <w:shd w:val="clear" w:color="auto" w:fill="47D459" w:themeFill="accent3" w:themeFillTint="99"/>
            <w:tcMar>
              <w:top w:w="0" w:type="dxa"/>
              <w:left w:w="100" w:type="dxa"/>
              <w:bottom w:w="0" w:type="dxa"/>
              <w:right w:w="100" w:type="dxa"/>
            </w:tcMar>
          </w:tcPr>
          <w:p w14:paraId="2EB9EED9" w14:textId="77777777" w:rsidR="001B7BF6" w:rsidRPr="000D03A7" w:rsidRDefault="001B7BF6" w:rsidP="009517B8">
            <w:r w:rsidRPr="000D03A7">
              <w:t>Faces compliance costs without equivalent credit monetisation</w:t>
            </w:r>
          </w:p>
        </w:tc>
      </w:tr>
      <w:tr w:rsidR="001B7BF6" w:rsidRPr="000D03A7" w14:paraId="2566AD77" w14:textId="77777777" w:rsidTr="009517B8">
        <w:trPr>
          <w:trHeight w:val="1110"/>
          <w:jc w:val="center"/>
        </w:trPr>
        <w:tc>
          <w:tcPr>
            <w:tcW w:w="1665" w:type="dxa"/>
            <w:tcBorders>
              <w:top w:val="nil"/>
              <w:left w:val="single" w:sz="9" w:space="0" w:color="000000"/>
              <w:bottom w:val="single" w:sz="9" w:space="0" w:color="000000"/>
              <w:right w:val="single" w:sz="9" w:space="0" w:color="000000"/>
            </w:tcBorders>
            <w:shd w:val="clear" w:color="auto" w:fill="B3E5A1" w:themeFill="accent6" w:themeFillTint="66"/>
            <w:tcMar>
              <w:top w:w="0" w:type="dxa"/>
              <w:left w:w="100" w:type="dxa"/>
              <w:bottom w:w="0" w:type="dxa"/>
              <w:right w:w="100" w:type="dxa"/>
            </w:tcMar>
          </w:tcPr>
          <w:p w14:paraId="3DCEB614" w14:textId="77777777" w:rsidR="001B7BF6" w:rsidRPr="000D03A7" w:rsidRDefault="001B7BF6" w:rsidP="009517B8">
            <w:pPr>
              <w:jc w:val="center"/>
              <w:rPr>
                <w:b/>
                <w:bCs/>
                <w:i/>
                <w:iCs/>
              </w:rPr>
            </w:pPr>
            <w:r w:rsidRPr="000D03A7">
              <w:rPr>
                <w:b/>
                <w:bCs/>
                <w:i/>
                <w:iCs/>
              </w:rPr>
              <w:t>Economic</w:t>
            </w:r>
          </w:p>
        </w:tc>
        <w:tc>
          <w:tcPr>
            <w:tcW w:w="3615" w:type="dxa"/>
            <w:tcBorders>
              <w:top w:val="nil"/>
              <w:left w:val="nil"/>
              <w:bottom w:val="single" w:sz="9" w:space="0" w:color="000000"/>
              <w:right w:val="single" w:sz="9" w:space="0" w:color="000000"/>
            </w:tcBorders>
            <w:shd w:val="clear" w:color="auto" w:fill="83CAEB" w:themeFill="accent1" w:themeFillTint="66"/>
            <w:tcMar>
              <w:top w:w="0" w:type="dxa"/>
              <w:left w:w="100" w:type="dxa"/>
              <w:bottom w:w="0" w:type="dxa"/>
              <w:right w:w="100" w:type="dxa"/>
            </w:tcMar>
          </w:tcPr>
          <w:p w14:paraId="3E2BF4C8" w14:textId="77777777" w:rsidR="001B7BF6" w:rsidRPr="000D03A7" w:rsidRDefault="001B7BF6" w:rsidP="009517B8">
            <w:r w:rsidRPr="000D03A7">
              <w:t>Generated $96.7 billion in revenue with a flexible pricing strategy</w:t>
            </w:r>
          </w:p>
        </w:tc>
        <w:tc>
          <w:tcPr>
            <w:tcW w:w="3495" w:type="dxa"/>
            <w:tcBorders>
              <w:top w:val="nil"/>
              <w:left w:val="nil"/>
              <w:bottom w:val="single" w:sz="9" w:space="0" w:color="000000"/>
              <w:right w:val="single" w:sz="9" w:space="0" w:color="000000"/>
            </w:tcBorders>
            <w:shd w:val="clear" w:color="auto" w:fill="47D459" w:themeFill="accent3" w:themeFillTint="99"/>
            <w:tcMar>
              <w:top w:w="0" w:type="dxa"/>
              <w:left w:w="100" w:type="dxa"/>
              <w:bottom w:w="0" w:type="dxa"/>
              <w:right w:w="100" w:type="dxa"/>
            </w:tcMar>
          </w:tcPr>
          <w:p w14:paraId="375A7C7E" w14:textId="77777777" w:rsidR="001B7BF6" w:rsidRPr="000D03A7" w:rsidRDefault="001B7BF6" w:rsidP="009517B8">
            <w:r w:rsidRPr="000D03A7">
              <w:t>Generated over $170 billion in revenue but constrained by high EV transition costs</w:t>
            </w:r>
          </w:p>
        </w:tc>
      </w:tr>
      <w:tr w:rsidR="001B7BF6" w:rsidRPr="000D03A7" w14:paraId="7467D517" w14:textId="77777777" w:rsidTr="009517B8">
        <w:trPr>
          <w:trHeight w:val="750"/>
          <w:jc w:val="center"/>
        </w:trPr>
        <w:tc>
          <w:tcPr>
            <w:tcW w:w="1665" w:type="dxa"/>
            <w:tcBorders>
              <w:top w:val="nil"/>
              <w:left w:val="single" w:sz="9" w:space="0" w:color="000000"/>
              <w:bottom w:val="single" w:sz="9" w:space="0" w:color="000000"/>
              <w:right w:val="single" w:sz="9" w:space="0" w:color="000000"/>
            </w:tcBorders>
            <w:shd w:val="clear" w:color="auto" w:fill="B3E5A1" w:themeFill="accent6" w:themeFillTint="66"/>
            <w:tcMar>
              <w:top w:w="0" w:type="dxa"/>
              <w:left w:w="100" w:type="dxa"/>
              <w:bottom w:w="0" w:type="dxa"/>
              <w:right w:w="100" w:type="dxa"/>
            </w:tcMar>
          </w:tcPr>
          <w:p w14:paraId="6F1970D7" w14:textId="77777777" w:rsidR="001B7BF6" w:rsidRPr="000D03A7" w:rsidRDefault="001B7BF6" w:rsidP="009517B8">
            <w:pPr>
              <w:jc w:val="center"/>
              <w:rPr>
                <w:b/>
                <w:bCs/>
                <w:i/>
                <w:iCs/>
              </w:rPr>
            </w:pPr>
            <w:r w:rsidRPr="000D03A7">
              <w:rPr>
                <w:b/>
                <w:bCs/>
                <w:i/>
                <w:iCs/>
              </w:rPr>
              <w:t>Social</w:t>
            </w:r>
          </w:p>
        </w:tc>
        <w:tc>
          <w:tcPr>
            <w:tcW w:w="3615" w:type="dxa"/>
            <w:tcBorders>
              <w:top w:val="nil"/>
              <w:left w:val="nil"/>
              <w:bottom w:val="single" w:sz="9" w:space="0" w:color="000000"/>
              <w:right w:val="single" w:sz="9" w:space="0" w:color="000000"/>
            </w:tcBorders>
            <w:shd w:val="clear" w:color="auto" w:fill="83CAEB" w:themeFill="accent1" w:themeFillTint="66"/>
            <w:tcMar>
              <w:top w:w="0" w:type="dxa"/>
              <w:left w:w="100" w:type="dxa"/>
              <w:bottom w:w="0" w:type="dxa"/>
              <w:right w:w="100" w:type="dxa"/>
            </w:tcMar>
          </w:tcPr>
          <w:p w14:paraId="3E0AD44D" w14:textId="77777777" w:rsidR="001B7BF6" w:rsidRPr="000D03A7" w:rsidRDefault="001B7BF6" w:rsidP="009517B8">
            <w:r w:rsidRPr="000D03A7">
              <w:t>Strong alignment with sustainability-driven consumers</w:t>
            </w:r>
          </w:p>
        </w:tc>
        <w:tc>
          <w:tcPr>
            <w:tcW w:w="3495" w:type="dxa"/>
            <w:tcBorders>
              <w:top w:val="nil"/>
              <w:left w:val="nil"/>
              <w:bottom w:val="single" w:sz="9" w:space="0" w:color="000000"/>
              <w:right w:val="single" w:sz="9" w:space="0" w:color="000000"/>
            </w:tcBorders>
            <w:shd w:val="clear" w:color="auto" w:fill="47D459" w:themeFill="accent3" w:themeFillTint="99"/>
            <w:tcMar>
              <w:top w:w="0" w:type="dxa"/>
              <w:left w:w="100" w:type="dxa"/>
              <w:bottom w:w="0" w:type="dxa"/>
              <w:right w:w="100" w:type="dxa"/>
            </w:tcMar>
          </w:tcPr>
          <w:p w14:paraId="407F72E7" w14:textId="77777777" w:rsidR="001B7BF6" w:rsidRPr="000D03A7" w:rsidRDefault="001B7BF6" w:rsidP="009517B8">
            <w:r w:rsidRPr="000D03A7">
              <w:t>Mixed brand perception due to legacy ICE vehicles</w:t>
            </w:r>
          </w:p>
        </w:tc>
      </w:tr>
      <w:tr w:rsidR="001B7BF6" w:rsidRPr="000D03A7" w14:paraId="4C50E89C" w14:textId="77777777" w:rsidTr="009517B8">
        <w:trPr>
          <w:trHeight w:val="750"/>
          <w:jc w:val="center"/>
        </w:trPr>
        <w:tc>
          <w:tcPr>
            <w:tcW w:w="1665" w:type="dxa"/>
            <w:tcBorders>
              <w:top w:val="nil"/>
              <w:left w:val="single" w:sz="9" w:space="0" w:color="000000"/>
              <w:bottom w:val="single" w:sz="9" w:space="0" w:color="000000"/>
              <w:right w:val="single" w:sz="9" w:space="0" w:color="000000"/>
            </w:tcBorders>
            <w:shd w:val="clear" w:color="auto" w:fill="B3E5A1" w:themeFill="accent6" w:themeFillTint="66"/>
            <w:tcMar>
              <w:top w:w="0" w:type="dxa"/>
              <w:left w:w="100" w:type="dxa"/>
              <w:bottom w:w="0" w:type="dxa"/>
              <w:right w:w="100" w:type="dxa"/>
            </w:tcMar>
          </w:tcPr>
          <w:p w14:paraId="4E66D701" w14:textId="77777777" w:rsidR="001B7BF6" w:rsidRPr="000D03A7" w:rsidRDefault="001B7BF6" w:rsidP="009517B8">
            <w:pPr>
              <w:jc w:val="center"/>
              <w:rPr>
                <w:b/>
                <w:bCs/>
                <w:i/>
                <w:iCs/>
              </w:rPr>
            </w:pPr>
            <w:r w:rsidRPr="000D03A7">
              <w:rPr>
                <w:b/>
                <w:bCs/>
                <w:i/>
                <w:iCs/>
              </w:rPr>
              <w:t>Technological</w:t>
            </w:r>
          </w:p>
        </w:tc>
        <w:tc>
          <w:tcPr>
            <w:tcW w:w="3615" w:type="dxa"/>
            <w:tcBorders>
              <w:top w:val="nil"/>
              <w:left w:val="nil"/>
              <w:bottom w:val="single" w:sz="9" w:space="0" w:color="000000"/>
              <w:right w:val="single" w:sz="9" w:space="0" w:color="000000"/>
            </w:tcBorders>
            <w:shd w:val="clear" w:color="auto" w:fill="83CAEB" w:themeFill="accent1" w:themeFillTint="66"/>
            <w:tcMar>
              <w:top w:w="0" w:type="dxa"/>
              <w:left w:w="100" w:type="dxa"/>
              <w:bottom w:w="0" w:type="dxa"/>
              <w:right w:w="100" w:type="dxa"/>
            </w:tcMar>
          </w:tcPr>
          <w:p w14:paraId="5A5320BF" w14:textId="77777777" w:rsidR="001B7BF6" w:rsidRPr="000D03A7" w:rsidRDefault="001B7BF6" w:rsidP="009517B8">
            <w:r w:rsidRPr="000D03A7">
              <w:t>Vertical integration and AI-driven innovation leadership</w:t>
            </w:r>
          </w:p>
        </w:tc>
        <w:tc>
          <w:tcPr>
            <w:tcW w:w="3495" w:type="dxa"/>
            <w:tcBorders>
              <w:top w:val="nil"/>
              <w:left w:val="nil"/>
              <w:bottom w:val="single" w:sz="9" w:space="0" w:color="000000"/>
              <w:right w:val="single" w:sz="9" w:space="0" w:color="000000"/>
            </w:tcBorders>
            <w:shd w:val="clear" w:color="auto" w:fill="47D459" w:themeFill="accent3" w:themeFillTint="99"/>
            <w:tcMar>
              <w:top w:w="0" w:type="dxa"/>
              <w:left w:w="100" w:type="dxa"/>
              <w:bottom w:w="0" w:type="dxa"/>
              <w:right w:w="100" w:type="dxa"/>
            </w:tcMar>
          </w:tcPr>
          <w:p w14:paraId="421C21FE" w14:textId="77777777" w:rsidR="001B7BF6" w:rsidRPr="000D03A7" w:rsidRDefault="001B7BF6" w:rsidP="009517B8">
            <w:r w:rsidRPr="000D03A7">
              <w:t>Dependent on suppliers, slower technological adoption</w:t>
            </w:r>
          </w:p>
        </w:tc>
      </w:tr>
      <w:tr w:rsidR="001B7BF6" w:rsidRPr="000D03A7" w14:paraId="2A0E7BC1" w14:textId="77777777" w:rsidTr="009517B8">
        <w:trPr>
          <w:trHeight w:val="1110"/>
          <w:jc w:val="center"/>
        </w:trPr>
        <w:tc>
          <w:tcPr>
            <w:tcW w:w="1665" w:type="dxa"/>
            <w:tcBorders>
              <w:top w:val="nil"/>
              <w:left w:val="single" w:sz="9" w:space="0" w:color="000000"/>
              <w:bottom w:val="single" w:sz="9" w:space="0" w:color="000000"/>
              <w:right w:val="single" w:sz="9" w:space="0" w:color="000000"/>
            </w:tcBorders>
            <w:shd w:val="clear" w:color="auto" w:fill="B3E5A1" w:themeFill="accent6" w:themeFillTint="66"/>
            <w:tcMar>
              <w:top w:w="0" w:type="dxa"/>
              <w:left w:w="100" w:type="dxa"/>
              <w:bottom w:w="0" w:type="dxa"/>
              <w:right w:w="100" w:type="dxa"/>
            </w:tcMar>
          </w:tcPr>
          <w:p w14:paraId="56F8929F" w14:textId="77777777" w:rsidR="001B7BF6" w:rsidRPr="000D03A7" w:rsidRDefault="001B7BF6" w:rsidP="009517B8">
            <w:pPr>
              <w:jc w:val="center"/>
              <w:rPr>
                <w:b/>
                <w:bCs/>
                <w:i/>
                <w:iCs/>
              </w:rPr>
            </w:pPr>
            <w:r w:rsidRPr="000D03A7">
              <w:rPr>
                <w:b/>
                <w:bCs/>
                <w:i/>
                <w:iCs/>
              </w:rPr>
              <w:t>Legal</w:t>
            </w:r>
          </w:p>
        </w:tc>
        <w:tc>
          <w:tcPr>
            <w:tcW w:w="3615" w:type="dxa"/>
            <w:tcBorders>
              <w:top w:val="nil"/>
              <w:left w:val="nil"/>
              <w:bottom w:val="single" w:sz="9" w:space="0" w:color="000000"/>
              <w:right w:val="single" w:sz="9" w:space="0" w:color="000000"/>
            </w:tcBorders>
            <w:shd w:val="clear" w:color="auto" w:fill="83CAEB" w:themeFill="accent1" w:themeFillTint="66"/>
            <w:tcMar>
              <w:top w:w="0" w:type="dxa"/>
              <w:left w:w="100" w:type="dxa"/>
              <w:bottom w:w="0" w:type="dxa"/>
              <w:right w:w="100" w:type="dxa"/>
            </w:tcMar>
          </w:tcPr>
          <w:p w14:paraId="191DB176" w14:textId="77777777" w:rsidR="001B7BF6" w:rsidRPr="000D03A7" w:rsidRDefault="001B7BF6" w:rsidP="009517B8">
            <w:r w:rsidRPr="000D03A7">
              <w:t>Benefits from early EV compliance and regulatory alignment</w:t>
            </w:r>
          </w:p>
        </w:tc>
        <w:tc>
          <w:tcPr>
            <w:tcW w:w="3495" w:type="dxa"/>
            <w:tcBorders>
              <w:top w:val="nil"/>
              <w:left w:val="nil"/>
              <w:bottom w:val="single" w:sz="9" w:space="0" w:color="000000"/>
              <w:right w:val="single" w:sz="9" w:space="0" w:color="000000"/>
            </w:tcBorders>
            <w:shd w:val="clear" w:color="auto" w:fill="47D459" w:themeFill="accent3" w:themeFillTint="99"/>
            <w:tcMar>
              <w:top w:w="0" w:type="dxa"/>
              <w:left w:w="100" w:type="dxa"/>
              <w:bottom w:w="0" w:type="dxa"/>
              <w:right w:w="100" w:type="dxa"/>
            </w:tcMar>
          </w:tcPr>
          <w:p w14:paraId="232DAB39" w14:textId="77777777" w:rsidR="001B7BF6" w:rsidRPr="000D03A7" w:rsidRDefault="001B7BF6" w:rsidP="009517B8">
            <w:r w:rsidRPr="000D03A7">
              <w:t>Exposed to stricter emissions regulations and compliance costs</w:t>
            </w:r>
          </w:p>
        </w:tc>
      </w:tr>
      <w:tr w:rsidR="001B7BF6" w:rsidRPr="000D03A7" w14:paraId="7343899E" w14:textId="77777777" w:rsidTr="009517B8">
        <w:trPr>
          <w:trHeight w:val="750"/>
          <w:jc w:val="center"/>
        </w:trPr>
        <w:tc>
          <w:tcPr>
            <w:tcW w:w="1665" w:type="dxa"/>
            <w:tcBorders>
              <w:top w:val="nil"/>
              <w:left w:val="single" w:sz="9" w:space="0" w:color="000000"/>
              <w:bottom w:val="single" w:sz="9" w:space="0" w:color="000000"/>
              <w:right w:val="single" w:sz="9" w:space="0" w:color="000000"/>
            </w:tcBorders>
            <w:shd w:val="clear" w:color="auto" w:fill="B3E5A1" w:themeFill="accent6" w:themeFillTint="66"/>
            <w:tcMar>
              <w:top w:w="0" w:type="dxa"/>
              <w:left w:w="100" w:type="dxa"/>
              <w:bottom w:w="0" w:type="dxa"/>
              <w:right w:w="100" w:type="dxa"/>
            </w:tcMar>
          </w:tcPr>
          <w:p w14:paraId="08AE70FC" w14:textId="77777777" w:rsidR="001B7BF6" w:rsidRPr="000D03A7" w:rsidRDefault="001B7BF6" w:rsidP="009517B8">
            <w:pPr>
              <w:jc w:val="center"/>
              <w:rPr>
                <w:b/>
                <w:bCs/>
                <w:i/>
                <w:iCs/>
              </w:rPr>
            </w:pPr>
            <w:r w:rsidRPr="000D03A7">
              <w:rPr>
                <w:b/>
                <w:bCs/>
                <w:i/>
                <w:iCs/>
              </w:rPr>
              <w:t>Environmental</w:t>
            </w:r>
          </w:p>
        </w:tc>
        <w:tc>
          <w:tcPr>
            <w:tcW w:w="3615" w:type="dxa"/>
            <w:tcBorders>
              <w:top w:val="nil"/>
              <w:left w:val="nil"/>
              <w:bottom w:val="single" w:sz="9" w:space="0" w:color="000000"/>
              <w:right w:val="single" w:sz="9" w:space="0" w:color="000000"/>
            </w:tcBorders>
            <w:shd w:val="clear" w:color="auto" w:fill="83CAEB" w:themeFill="accent1" w:themeFillTint="66"/>
            <w:tcMar>
              <w:top w:w="0" w:type="dxa"/>
              <w:left w:w="100" w:type="dxa"/>
              <w:bottom w:w="0" w:type="dxa"/>
              <w:right w:w="100" w:type="dxa"/>
            </w:tcMar>
          </w:tcPr>
          <w:p w14:paraId="27312D2B" w14:textId="77777777" w:rsidR="001B7BF6" w:rsidRPr="000D03A7" w:rsidRDefault="001B7BF6" w:rsidP="009517B8">
            <w:r w:rsidRPr="000D03A7">
              <w:t>Fully aligned with the zero-emission transition</w:t>
            </w:r>
          </w:p>
        </w:tc>
        <w:tc>
          <w:tcPr>
            <w:tcW w:w="3495" w:type="dxa"/>
            <w:tcBorders>
              <w:top w:val="nil"/>
              <w:left w:val="nil"/>
              <w:bottom w:val="single" w:sz="9" w:space="0" w:color="000000"/>
              <w:right w:val="single" w:sz="9" w:space="0" w:color="000000"/>
            </w:tcBorders>
            <w:shd w:val="clear" w:color="auto" w:fill="47D459" w:themeFill="accent3" w:themeFillTint="99"/>
            <w:tcMar>
              <w:top w:w="0" w:type="dxa"/>
              <w:left w:w="100" w:type="dxa"/>
              <w:bottom w:w="0" w:type="dxa"/>
              <w:right w:w="100" w:type="dxa"/>
            </w:tcMar>
          </w:tcPr>
          <w:p w14:paraId="249E9840" w14:textId="77777777" w:rsidR="001B7BF6" w:rsidRPr="000D03A7" w:rsidRDefault="001B7BF6" w:rsidP="009517B8">
            <w:r w:rsidRPr="000D03A7">
              <w:t>Transitioning, but still reliant on the traditional vehicle portfolio</w:t>
            </w:r>
          </w:p>
        </w:tc>
      </w:tr>
    </w:tbl>
    <w:p w14:paraId="01035F59" w14:textId="77777777" w:rsidR="001B7BF6" w:rsidRPr="000D03A7" w:rsidRDefault="001B7BF6" w:rsidP="001B7BF6">
      <w:pPr>
        <w:jc w:val="center"/>
        <w:rPr>
          <w:b/>
          <w:bCs/>
        </w:rPr>
      </w:pPr>
      <w:r w:rsidRPr="000D03A7">
        <w:rPr>
          <w:b/>
          <w:bCs/>
        </w:rPr>
        <w:t>Table 1: PESTLE Analysis of Tesla and Ford</w:t>
      </w:r>
    </w:p>
    <w:p w14:paraId="796D9100" w14:textId="77777777" w:rsidR="001B7BF6" w:rsidRPr="000D03A7" w:rsidRDefault="001B7BF6" w:rsidP="001B7BF6">
      <w:pPr>
        <w:jc w:val="center"/>
      </w:pPr>
      <w:r w:rsidRPr="000D03A7">
        <w:t>(Source: Created by the learner)</w:t>
      </w:r>
    </w:p>
    <w:p w14:paraId="7B60ABA0" w14:textId="77777777" w:rsidR="001B7BF6" w:rsidRPr="000D03A7" w:rsidRDefault="001B7BF6" w:rsidP="001B7BF6">
      <w:r w:rsidRPr="000D03A7">
        <w:t>Political/Legal and Competitive Structure (Porters Forces) are some of the key macro factors that will be selected through the analysis. These are strategically important, as the regulation directly influences both the EV demand and its profitability, whereas industry structure predetermines the long-term competitive positioning (Levchenko and Yanchuk, 2024). These forces characterise entry barriers and potential profitability in a market that is capital-intensive and policy-centred.</w:t>
      </w:r>
    </w:p>
    <w:p w14:paraId="46A523D1" w14:textId="77777777" w:rsidR="001B7BF6" w:rsidRPr="000D03A7" w:rsidRDefault="001B7BF6" w:rsidP="001B7BF6">
      <w:pPr>
        <w:pStyle w:val="Heading2"/>
      </w:pPr>
      <w:bookmarkStart w:id="6" w:name="_lm7cn63a4q7f" w:colFirst="0" w:colLast="0"/>
      <w:bookmarkStart w:id="7" w:name="_Toc225279774"/>
      <w:bookmarkEnd w:id="6"/>
      <w:r w:rsidRPr="000D03A7">
        <w:t>2.2 Analysis of macro factor 1: Pestle</w:t>
      </w:r>
      <w:bookmarkEnd w:id="7"/>
      <w:r w:rsidRPr="000D03A7">
        <w:t xml:space="preserve">  </w:t>
      </w:r>
    </w:p>
    <w:p w14:paraId="485BEB28" w14:textId="77777777" w:rsidR="001B7BF6" w:rsidRPr="000D03A7" w:rsidRDefault="001B7BF6" w:rsidP="001B7BF6">
      <w:pPr>
        <w:pStyle w:val="Heading3"/>
      </w:pPr>
      <w:bookmarkStart w:id="8" w:name="_gncsb4rk0v5p" w:colFirst="0" w:colLast="0"/>
      <w:bookmarkStart w:id="9" w:name="_Toc225279775"/>
      <w:bookmarkEnd w:id="8"/>
      <w:r w:rsidRPr="000D03A7">
        <w:t>2.2.1 Impact on the pioneer organisation</w:t>
      </w:r>
      <w:bookmarkEnd w:id="9"/>
      <w:r w:rsidRPr="000D03A7">
        <w:t xml:space="preserve"> </w:t>
      </w:r>
    </w:p>
    <w:p w14:paraId="09593C65" w14:textId="77777777" w:rsidR="001B7BF6" w:rsidRPr="000D03A7" w:rsidRDefault="001B7BF6" w:rsidP="001B7BF6">
      <w:r w:rsidRPr="000D03A7">
        <w:t xml:space="preserve">There is also an evident opportunity in regulatory frameworks that Tesla has. Such financial capacity has enabled the firm to realise regulatory credit revenue of about $1.79 billion in 2024, showing that it can exploit compliance benefits (Annual </w:t>
      </w:r>
      <w:r w:rsidRPr="000D03A7">
        <w:lastRenderedPageBreak/>
        <w:t>Report,2024a). This commonly demonstrates a structural imbalance of Tesla, turning the regulatory pressure into revenue instead of expense (Abratt and Bendixen, 2018).</w:t>
      </w:r>
    </w:p>
    <w:p w14:paraId="3F6EA085" w14:textId="77777777" w:rsidR="001B7BF6" w:rsidRPr="000D03A7" w:rsidRDefault="001B7BF6" w:rsidP="001B7BF6">
      <w:r w:rsidRPr="000D03A7">
        <w:t>It is not just a revenue generation opportunity. The timely fulfilment will further reinforce Tesla as a sustainability leader in the brand positioning, securing customer loyalty and a premium idea (Sushil and Dhir, 2024). This strengthens the competitive advantage as it aligns the direction of the marketing strategy with the direction of the policy.</w:t>
      </w:r>
    </w:p>
    <w:p w14:paraId="1210E024" w14:textId="77777777" w:rsidR="001B7BF6" w:rsidRPr="000D03A7" w:rsidRDefault="001B7BF6" w:rsidP="001B7BF6">
      <w:pPr>
        <w:jc w:val="center"/>
      </w:pPr>
      <w:r w:rsidRPr="000D03A7">
        <w:rPr>
          <w:noProof/>
          <w:lang w:val="en-IN" w:eastAsia="en-IN"/>
        </w:rPr>
        <w:drawing>
          <wp:inline distT="114300" distB="114300" distL="114300" distR="114300" wp14:anchorId="03A23976" wp14:editId="01831181">
            <wp:extent cx="5943600" cy="42672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4267200"/>
                    </a:xfrm>
                    <a:prstGeom prst="rect">
                      <a:avLst/>
                    </a:prstGeom>
                    <a:ln w="25400">
                      <a:solidFill>
                        <a:srgbClr val="000000"/>
                      </a:solidFill>
                      <a:prstDash val="solid"/>
                    </a:ln>
                  </pic:spPr>
                </pic:pic>
              </a:graphicData>
            </a:graphic>
          </wp:inline>
        </w:drawing>
      </w:r>
    </w:p>
    <w:p w14:paraId="2C73860B" w14:textId="77777777" w:rsidR="001B7BF6" w:rsidRPr="000D03A7" w:rsidRDefault="001B7BF6" w:rsidP="001B7BF6">
      <w:pPr>
        <w:jc w:val="center"/>
        <w:rPr>
          <w:b/>
          <w:bCs/>
        </w:rPr>
      </w:pPr>
      <w:r w:rsidRPr="000D03A7">
        <w:rPr>
          <w:b/>
          <w:bCs/>
        </w:rPr>
        <w:t>Figure 1: Comparison of 60 Months Cumulative Total Return</w:t>
      </w:r>
    </w:p>
    <w:p w14:paraId="66EA19FA" w14:textId="77777777" w:rsidR="001B7BF6" w:rsidRPr="000D03A7" w:rsidRDefault="001B7BF6" w:rsidP="001B7BF6">
      <w:pPr>
        <w:jc w:val="center"/>
      </w:pPr>
      <w:r w:rsidRPr="000D03A7">
        <w:t>(Source: Annual Report, 2024a)</w:t>
      </w:r>
    </w:p>
    <w:p w14:paraId="3DF37EB0" w14:textId="77777777" w:rsidR="001B7BF6" w:rsidRPr="000D03A7" w:rsidRDefault="001B7BF6" w:rsidP="001B7BF6">
      <w:r w:rsidRPr="000D03A7">
        <w:t xml:space="preserve">Regulatory dependence, however, is risky. Switching subsidy systems or alterations in the policy might lead to a decrease in this revenue flow, which will leave Tesla vulnerable to external fluctuations (Li </w:t>
      </w:r>
      <w:r w:rsidRPr="000D03A7">
        <w:rPr>
          <w:i/>
          <w:iCs/>
        </w:rPr>
        <w:t>et al.</w:t>
      </w:r>
      <w:r w:rsidRPr="000D03A7">
        <w:t xml:space="preserve">, 2023). </w:t>
      </w:r>
    </w:p>
    <w:p w14:paraId="414FEADF" w14:textId="77777777" w:rsidR="001B7BF6" w:rsidRPr="000D03A7" w:rsidRDefault="001B7BF6" w:rsidP="001B7BF6">
      <w:pPr>
        <w:pStyle w:val="Heading3"/>
      </w:pPr>
      <w:bookmarkStart w:id="10" w:name="_4un1pbh5p18z" w:colFirst="0" w:colLast="0"/>
      <w:bookmarkStart w:id="11" w:name="_Toc225279776"/>
      <w:bookmarkEnd w:id="10"/>
      <w:r w:rsidRPr="000D03A7">
        <w:t>2.2.2 Impact on the follower organisation</w:t>
      </w:r>
      <w:bookmarkEnd w:id="11"/>
      <w:r w:rsidRPr="000D03A7">
        <w:t xml:space="preserve"> </w:t>
      </w:r>
    </w:p>
    <w:p w14:paraId="31F24B0C" w14:textId="77777777" w:rsidR="001B7BF6" w:rsidRPr="000D03A7" w:rsidRDefault="001B7BF6" w:rsidP="001B7BF6">
      <w:r w:rsidRPr="000D03A7">
        <w:t xml:space="preserve">In the case of Ford, regulation change is a major threat to the company. In 2024, the company recorded losses of over $4.7 billion in its EV division, which were mainly a result of investment to meet the necessary requirements regarding regulatory </w:t>
      </w:r>
      <w:r w:rsidRPr="000D03A7">
        <w:lastRenderedPageBreak/>
        <w:t>expectations (Annual Report, 2024). Ford is not able to capitalise on compliance at scale like Tesla, which causes an imbalance of the financial.</w:t>
      </w:r>
    </w:p>
    <w:p w14:paraId="3735E3A0" w14:textId="77777777" w:rsidR="001B7BF6" w:rsidRPr="000D03A7" w:rsidRDefault="001B7BF6" w:rsidP="001B7BF6">
      <w:r w:rsidRPr="000D03A7">
        <w:t>The weaknesses of Ford are associated with legacy operations. In order to comply, they have to invest in EV technology at the same time, continuing to produce traditional vehicles (Tuncalp, 2025). This split load lowers flexibility and slows down the profitability in the EV market.</w:t>
      </w:r>
    </w:p>
    <w:p w14:paraId="296A49EB" w14:textId="77777777" w:rsidR="001B7BF6" w:rsidRPr="000D03A7" w:rsidRDefault="001B7BF6" w:rsidP="001B7BF6">
      <w:pPr>
        <w:jc w:val="center"/>
      </w:pPr>
      <w:r w:rsidRPr="000D03A7">
        <w:rPr>
          <w:noProof/>
          <w:lang w:val="en-IN" w:eastAsia="en-IN"/>
        </w:rPr>
        <w:drawing>
          <wp:inline distT="114300" distB="114300" distL="114300" distR="114300" wp14:anchorId="1C4326BB" wp14:editId="5731957F">
            <wp:extent cx="5943600" cy="30226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022600"/>
                    </a:xfrm>
                    <a:prstGeom prst="rect">
                      <a:avLst/>
                    </a:prstGeom>
                    <a:ln w="25400">
                      <a:solidFill>
                        <a:srgbClr val="000000"/>
                      </a:solidFill>
                      <a:prstDash val="solid"/>
                    </a:ln>
                  </pic:spPr>
                </pic:pic>
              </a:graphicData>
            </a:graphic>
          </wp:inline>
        </w:drawing>
      </w:r>
    </w:p>
    <w:p w14:paraId="6DA27936" w14:textId="77777777" w:rsidR="001B7BF6" w:rsidRPr="000D03A7" w:rsidRDefault="001B7BF6" w:rsidP="001B7BF6">
      <w:pPr>
        <w:jc w:val="center"/>
        <w:rPr>
          <w:b/>
          <w:bCs/>
        </w:rPr>
      </w:pPr>
      <w:r w:rsidRPr="000D03A7">
        <w:rPr>
          <w:b/>
          <w:bCs/>
        </w:rPr>
        <w:t>Figure 2: Comparison of Cumulative Five-Year Total Return</w:t>
      </w:r>
    </w:p>
    <w:p w14:paraId="0D10F957" w14:textId="77777777" w:rsidR="001B7BF6" w:rsidRPr="000D03A7" w:rsidRDefault="001B7BF6" w:rsidP="001B7BF6">
      <w:pPr>
        <w:jc w:val="center"/>
      </w:pPr>
      <w:r w:rsidRPr="000D03A7">
        <w:t>(Source: Annual Report, 2024)</w:t>
      </w:r>
    </w:p>
    <w:p w14:paraId="5F3A47A9" w14:textId="77777777" w:rsidR="001B7BF6" w:rsidRPr="000D03A7" w:rsidRDefault="001B7BF6" w:rsidP="001B7BF6">
      <w:r w:rsidRPr="000D03A7">
        <w:t>Regulatory pressure puts Ford into a reactive position, as far as market positioning efforts are concerned. Although it hastens the adoption of EVs, it does not gain a similar strategic benefit, reducing its capacity to compete with Tesla in terms of price and brand dissimilarity (Adekoya, 2024).</w:t>
      </w:r>
    </w:p>
    <w:p w14:paraId="59DBFC0E" w14:textId="77777777" w:rsidR="001B7BF6" w:rsidRPr="000D03A7" w:rsidRDefault="001B7BF6" w:rsidP="001B7BF6">
      <w:pPr>
        <w:pStyle w:val="Heading2"/>
      </w:pPr>
      <w:bookmarkStart w:id="12" w:name="_h0e3giicx3eh" w:colFirst="0" w:colLast="0"/>
      <w:bookmarkStart w:id="13" w:name="_Toc225279777"/>
      <w:bookmarkEnd w:id="12"/>
      <w:r w:rsidRPr="000D03A7">
        <w:t>2.3 Analysis of macro factor 2: Porter’s Five Forces</w:t>
      </w:r>
      <w:bookmarkEnd w:id="13"/>
      <w:r w:rsidRPr="000D03A7">
        <w:t xml:space="preserve"> </w:t>
      </w:r>
    </w:p>
    <w:p w14:paraId="676180DF" w14:textId="77777777" w:rsidR="001B7BF6" w:rsidRPr="000D03A7" w:rsidRDefault="001B7BF6" w:rsidP="001B7BF6">
      <w:pPr>
        <w:pStyle w:val="Heading3"/>
      </w:pPr>
      <w:bookmarkStart w:id="14" w:name="_dyqzps9vvpsf" w:colFirst="0" w:colLast="0"/>
      <w:bookmarkStart w:id="15" w:name="_Toc225279778"/>
      <w:bookmarkEnd w:id="14"/>
      <w:r w:rsidRPr="000D03A7">
        <w:t>2.3.1 Impact on the pioneer organisation</w:t>
      </w:r>
      <w:bookmarkEnd w:id="15"/>
      <w:r w:rsidRPr="000D03A7">
        <w:t xml:space="preserve"> </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374"/>
        <w:gridCol w:w="1908"/>
        <w:gridCol w:w="1907"/>
        <w:gridCol w:w="2149"/>
        <w:gridCol w:w="2022"/>
      </w:tblGrid>
      <w:tr w:rsidR="001B7BF6" w:rsidRPr="000D03A7" w14:paraId="4C27F9C7" w14:textId="77777777" w:rsidTr="009517B8">
        <w:trPr>
          <w:trHeight w:val="960"/>
        </w:trPr>
        <w:tc>
          <w:tcPr>
            <w:tcW w:w="1373" w:type="dxa"/>
            <w:tcBorders>
              <w:top w:val="single" w:sz="9" w:space="0" w:color="000000"/>
              <w:left w:val="single" w:sz="9" w:space="0" w:color="000000"/>
              <w:bottom w:val="single" w:sz="9" w:space="0" w:color="000000"/>
              <w:right w:val="single" w:sz="9" w:space="0" w:color="000000"/>
            </w:tcBorders>
            <w:shd w:val="clear" w:color="auto" w:fill="D9D9D9"/>
            <w:tcMar>
              <w:top w:w="0" w:type="dxa"/>
              <w:left w:w="100" w:type="dxa"/>
              <w:bottom w:w="0" w:type="dxa"/>
              <w:right w:w="100" w:type="dxa"/>
            </w:tcMar>
          </w:tcPr>
          <w:p w14:paraId="2299D869" w14:textId="77777777" w:rsidR="001B7BF6" w:rsidRPr="000D03A7" w:rsidRDefault="001B7BF6" w:rsidP="009517B8">
            <w:pPr>
              <w:jc w:val="center"/>
              <w:rPr>
                <w:b/>
                <w:bCs/>
              </w:rPr>
            </w:pPr>
            <w:r w:rsidRPr="000D03A7">
              <w:rPr>
                <w:b/>
                <w:bCs/>
              </w:rPr>
              <w:t>Force</w:t>
            </w:r>
          </w:p>
        </w:tc>
        <w:tc>
          <w:tcPr>
            <w:tcW w:w="1907" w:type="dxa"/>
            <w:tcBorders>
              <w:top w:val="single" w:sz="9" w:space="0" w:color="000000"/>
              <w:left w:val="nil"/>
              <w:bottom w:val="single" w:sz="9" w:space="0" w:color="000000"/>
              <w:right w:val="single" w:sz="9" w:space="0" w:color="000000"/>
            </w:tcBorders>
            <w:shd w:val="clear" w:color="auto" w:fill="D9D9D9"/>
            <w:tcMar>
              <w:top w:w="0" w:type="dxa"/>
              <w:left w:w="100" w:type="dxa"/>
              <w:bottom w:w="0" w:type="dxa"/>
              <w:right w:w="100" w:type="dxa"/>
            </w:tcMar>
          </w:tcPr>
          <w:p w14:paraId="030FEF1E" w14:textId="77777777" w:rsidR="001B7BF6" w:rsidRPr="000D03A7" w:rsidRDefault="001B7BF6" w:rsidP="009517B8">
            <w:pPr>
              <w:jc w:val="center"/>
              <w:rPr>
                <w:b/>
                <w:bCs/>
              </w:rPr>
            </w:pPr>
            <w:r w:rsidRPr="000D03A7">
              <w:rPr>
                <w:b/>
                <w:bCs/>
              </w:rPr>
              <w:t>Parameter</w:t>
            </w:r>
          </w:p>
        </w:tc>
        <w:tc>
          <w:tcPr>
            <w:tcW w:w="1907" w:type="dxa"/>
            <w:tcBorders>
              <w:top w:val="single" w:sz="9" w:space="0" w:color="000000"/>
              <w:left w:val="nil"/>
              <w:bottom w:val="single" w:sz="9" w:space="0" w:color="000000"/>
              <w:right w:val="single" w:sz="9" w:space="0" w:color="000000"/>
            </w:tcBorders>
            <w:shd w:val="clear" w:color="auto" w:fill="D9D9D9"/>
            <w:tcMar>
              <w:top w:w="0" w:type="dxa"/>
              <w:left w:w="100" w:type="dxa"/>
              <w:bottom w:w="0" w:type="dxa"/>
              <w:right w:w="100" w:type="dxa"/>
            </w:tcMar>
          </w:tcPr>
          <w:p w14:paraId="15550381" w14:textId="77777777" w:rsidR="001B7BF6" w:rsidRPr="000D03A7" w:rsidRDefault="001B7BF6" w:rsidP="009517B8">
            <w:pPr>
              <w:jc w:val="center"/>
              <w:rPr>
                <w:b/>
                <w:bCs/>
              </w:rPr>
            </w:pPr>
            <w:r w:rsidRPr="000D03A7">
              <w:rPr>
                <w:b/>
                <w:bCs/>
              </w:rPr>
              <w:t>Strategic Condition in the EV Industry</w:t>
            </w:r>
          </w:p>
        </w:tc>
        <w:tc>
          <w:tcPr>
            <w:tcW w:w="2149" w:type="dxa"/>
            <w:tcBorders>
              <w:top w:val="single" w:sz="9" w:space="0" w:color="000000"/>
              <w:left w:val="nil"/>
              <w:bottom w:val="single" w:sz="9" w:space="0" w:color="000000"/>
              <w:right w:val="single" w:sz="9" w:space="0" w:color="000000"/>
            </w:tcBorders>
            <w:shd w:val="clear" w:color="auto" w:fill="D9D9D9"/>
            <w:tcMar>
              <w:top w:w="0" w:type="dxa"/>
              <w:left w:w="100" w:type="dxa"/>
              <w:bottom w:w="0" w:type="dxa"/>
              <w:right w:w="100" w:type="dxa"/>
            </w:tcMar>
          </w:tcPr>
          <w:p w14:paraId="797428C7" w14:textId="77777777" w:rsidR="001B7BF6" w:rsidRPr="000D03A7" w:rsidRDefault="001B7BF6" w:rsidP="009517B8">
            <w:pPr>
              <w:jc w:val="center"/>
              <w:rPr>
                <w:b/>
                <w:bCs/>
              </w:rPr>
            </w:pPr>
            <w:r w:rsidRPr="000D03A7">
              <w:rPr>
                <w:b/>
                <w:bCs/>
              </w:rPr>
              <w:t>Tesla’s Response</w:t>
            </w:r>
          </w:p>
        </w:tc>
        <w:tc>
          <w:tcPr>
            <w:tcW w:w="2022" w:type="dxa"/>
            <w:tcBorders>
              <w:top w:val="single" w:sz="9" w:space="0" w:color="000000"/>
              <w:left w:val="nil"/>
              <w:bottom w:val="single" w:sz="9" w:space="0" w:color="000000"/>
              <w:right w:val="single" w:sz="9" w:space="0" w:color="000000"/>
            </w:tcBorders>
            <w:shd w:val="clear" w:color="auto" w:fill="D9D9D9"/>
            <w:tcMar>
              <w:top w:w="0" w:type="dxa"/>
              <w:left w:w="100" w:type="dxa"/>
              <w:bottom w:w="0" w:type="dxa"/>
              <w:right w:w="100" w:type="dxa"/>
            </w:tcMar>
          </w:tcPr>
          <w:p w14:paraId="784D64FB" w14:textId="77777777" w:rsidR="001B7BF6" w:rsidRPr="000D03A7" w:rsidRDefault="001B7BF6" w:rsidP="009517B8">
            <w:pPr>
              <w:jc w:val="center"/>
              <w:rPr>
                <w:b/>
                <w:bCs/>
              </w:rPr>
            </w:pPr>
            <w:r w:rsidRPr="000D03A7">
              <w:rPr>
                <w:b/>
                <w:bCs/>
              </w:rPr>
              <w:t>Critical Impact on Competitive Advantage</w:t>
            </w:r>
          </w:p>
        </w:tc>
      </w:tr>
      <w:tr w:rsidR="001B7BF6" w:rsidRPr="000D03A7" w14:paraId="7DC35F31" w14:textId="77777777" w:rsidTr="009517B8">
        <w:trPr>
          <w:trHeight w:val="1455"/>
        </w:trPr>
        <w:tc>
          <w:tcPr>
            <w:tcW w:w="1373" w:type="dxa"/>
            <w:tcBorders>
              <w:top w:val="nil"/>
              <w:left w:val="single" w:sz="9" w:space="0" w:color="000000"/>
              <w:bottom w:val="single" w:sz="9" w:space="0" w:color="000000"/>
              <w:right w:val="single" w:sz="9" w:space="0" w:color="000000"/>
            </w:tcBorders>
            <w:shd w:val="clear" w:color="auto" w:fill="CFE2F3"/>
            <w:tcMar>
              <w:top w:w="0" w:type="dxa"/>
              <w:left w:w="100" w:type="dxa"/>
              <w:bottom w:w="0" w:type="dxa"/>
              <w:right w:w="100" w:type="dxa"/>
            </w:tcMar>
          </w:tcPr>
          <w:p w14:paraId="34A6263A" w14:textId="77777777" w:rsidR="001B7BF6" w:rsidRPr="000D03A7" w:rsidRDefault="001B7BF6" w:rsidP="009517B8">
            <w:pPr>
              <w:jc w:val="center"/>
              <w:rPr>
                <w:b/>
                <w:bCs/>
                <w:i/>
                <w:iCs/>
              </w:rPr>
            </w:pPr>
            <w:r w:rsidRPr="000D03A7">
              <w:rPr>
                <w:b/>
                <w:bCs/>
                <w:i/>
                <w:iCs/>
              </w:rPr>
              <w:lastRenderedPageBreak/>
              <w:t>Threat of New Entrants</w:t>
            </w:r>
          </w:p>
        </w:tc>
        <w:tc>
          <w:tcPr>
            <w:tcW w:w="1907" w:type="dxa"/>
            <w:tcBorders>
              <w:top w:val="nil"/>
              <w:left w:val="nil"/>
              <w:bottom w:val="single" w:sz="9" w:space="0" w:color="000000"/>
              <w:right w:val="single" w:sz="9" w:space="0" w:color="000000"/>
            </w:tcBorders>
            <w:shd w:val="clear" w:color="auto" w:fill="FF0000"/>
            <w:tcMar>
              <w:top w:w="0" w:type="dxa"/>
              <w:left w:w="100" w:type="dxa"/>
              <w:bottom w:w="0" w:type="dxa"/>
              <w:right w:w="100" w:type="dxa"/>
            </w:tcMar>
          </w:tcPr>
          <w:p w14:paraId="65155E3A" w14:textId="77777777" w:rsidR="001B7BF6" w:rsidRPr="000D03A7" w:rsidRDefault="001B7BF6" w:rsidP="009517B8">
            <w:pPr>
              <w:jc w:val="center"/>
            </w:pPr>
            <w:r w:rsidRPr="000D03A7">
              <w:t>High</w:t>
            </w:r>
          </w:p>
        </w:tc>
        <w:tc>
          <w:tcPr>
            <w:tcW w:w="1907"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7FCCCB21" w14:textId="77777777" w:rsidR="001B7BF6" w:rsidRPr="000D03A7" w:rsidRDefault="001B7BF6" w:rsidP="009517B8">
            <w:r w:rsidRPr="000D03A7">
              <w:t>High capital requirements and technological complexity create strong entry barriers</w:t>
            </w:r>
          </w:p>
        </w:tc>
        <w:tc>
          <w:tcPr>
            <w:tcW w:w="2149"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6E99BF0D" w14:textId="77777777" w:rsidR="001B7BF6" w:rsidRPr="000D03A7" w:rsidRDefault="001B7BF6" w:rsidP="009517B8">
            <w:r w:rsidRPr="000D03A7">
              <w:t>Investment in gigafactories and proprietary battery systems reinforces barriers</w:t>
            </w:r>
          </w:p>
        </w:tc>
        <w:tc>
          <w:tcPr>
            <w:tcW w:w="2022"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1B433E8D" w14:textId="77777777" w:rsidR="001B7BF6" w:rsidRPr="000D03A7" w:rsidRDefault="001B7BF6" w:rsidP="009517B8">
            <w:r w:rsidRPr="000D03A7">
              <w:t>Protects market leadership and limits new competition, sustaining first-mover advantage</w:t>
            </w:r>
          </w:p>
        </w:tc>
      </w:tr>
      <w:tr w:rsidR="001B7BF6" w:rsidRPr="000D03A7" w14:paraId="56B60BBB" w14:textId="77777777" w:rsidTr="009517B8">
        <w:trPr>
          <w:trHeight w:val="1710"/>
        </w:trPr>
        <w:tc>
          <w:tcPr>
            <w:tcW w:w="1373" w:type="dxa"/>
            <w:tcBorders>
              <w:top w:val="nil"/>
              <w:left w:val="single" w:sz="9" w:space="0" w:color="000000"/>
              <w:bottom w:val="single" w:sz="9" w:space="0" w:color="000000"/>
              <w:right w:val="single" w:sz="9" w:space="0" w:color="000000"/>
            </w:tcBorders>
            <w:shd w:val="clear" w:color="auto" w:fill="CFE2F3"/>
            <w:tcMar>
              <w:top w:w="0" w:type="dxa"/>
              <w:left w:w="100" w:type="dxa"/>
              <w:bottom w:w="0" w:type="dxa"/>
              <w:right w:w="100" w:type="dxa"/>
            </w:tcMar>
          </w:tcPr>
          <w:p w14:paraId="4B27CEF0" w14:textId="77777777" w:rsidR="001B7BF6" w:rsidRPr="000D03A7" w:rsidRDefault="001B7BF6" w:rsidP="009517B8">
            <w:pPr>
              <w:jc w:val="center"/>
              <w:rPr>
                <w:b/>
                <w:bCs/>
                <w:i/>
                <w:iCs/>
              </w:rPr>
            </w:pPr>
            <w:r w:rsidRPr="000D03A7">
              <w:rPr>
                <w:b/>
                <w:bCs/>
                <w:i/>
                <w:iCs/>
              </w:rPr>
              <w:t>Competitive Rivalry</w:t>
            </w:r>
          </w:p>
        </w:tc>
        <w:tc>
          <w:tcPr>
            <w:tcW w:w="1907" w:type="dxa"/>
            <w:tcBorders>
              <w:top w:val="nil"/>
              <w:left w:val="nil"/>
              <w:bottom w:val="single" w:sz="9" w:space="0" w:color="000000"/>
              <w:right w:val="single" w:sz="9" w:space="0" w:color="000000"/>
            </w:tcBorders>
            <w:shd w:val="clear" w:color="auto" w:fill="FF9900"/>
            <w:tcMar>
              <w:top w:w="0" w:type="dxa"/>
              <w:left w:w="100" w:type="dxa"/>
              <w:bottom w:w="0" w:type="dxa"/>
              <w:right w:w="100" w:type="dxa"/>
            </w:tcMar>
          </w:tcPr>
          <w:p w14:paraId="513ABC01" w14:textId="77777777" w:rsidR="001B7BF6" w:rsidRPr="000D03A7" w:rsidRDefault="001B7BF6" w:rsidP="009517B8">
            <w:pPr>
              <w:jc w:val="center"/>
            </w:pPr>
            <w:r w:rsidRPr="000D03A7">
              <w:t>Intense</w:t>
            </w:r>
          </w:p>
        </w:tc>
        <w:tc>
          <w:tcPr>
            <w:tcW w:w="1907"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554B6501" w14:textId="77777777" w:rsidR="001B7BF6" w:rsidRPr="000D03A7" w:rsidRDefault="001B7BF6" w:rsidP="009517B8">
            <w:r w:rsidRPr="000D03A7">
              <w:t>Intense price competition and rapid innovation across EV firms</w:t>
            </w:r>
          </w:p>
        </w:tc>
        <w:tc>
          <w:tcPr>
            <w:tcW w:w="2149"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486EADC1" w14:textId="77777777" w:rsidR="001B7BF6" w:rsidRPr="000D03A7" w:rsidRDefault="001B7BF6" w:rsidP="009517B8">
            <w:r w:rsidRPr="000D03A7">
              <w:t>Utilises scale to reduce prices while maintaining production volume, supported by $96.7 billion in revenue</w:t>
            </w:r>
          </w:p>
        </w:tc>
        <w:tc>
          <w:tcPr>
            <w:tcW w:w="2022"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590CAF83" w14:textId="77777777" w:rsidR="001B7BF6" w:rsidRPr="000D03A7" w:rsidRDefault="001B7BF6" w:rsidP="009517B8">
            <w:r w:rsidRPr="000D03A7">
              <w:t>Weakens competitors with higher cost structures, strengthening Tesla’s cost leadership position</w:t>
            </w:r>
          </w:p>
        </w:tc>
      </w:tr>
      <w:tr w:rsidR="001B7BF6" w:rsidRPr="000D03A7" w14:paraId="678ECB6D" w14:textId="77777777" w:rsidTr="009517B8">
        <w:trPr>
          <w:trHeight w:val="1455"/>
        </w:trPr>
        <w:tc>
          <w:tcPr>
            <w:tcW w:w="1373" w:type="dxa"/>
            <w:tcBorders>
              <w:top w:val="nil"/>
              <w:left w:val="single" w:sz="9" w:space="0" w:color="000000"/>
              <w:bottom w:val="single" w:sz="9" w:space="0" w:color="000000"/>
              <w:right w:val="single" w:sz="9" w:space="0" w:color="000000"/>
            </w:tcBorders>
            <w:shd w:val="clear" w:color="auto" w:fill="CFE2F3"/>
            <w:tcMar>
              <w:top w:w="0" w:type="dxa"/>
              <w:left w:w="100" w:type="dxa"/>
              <w:bottom w:w="0" w:type="dxa"/>
              <w:right w:w="100" w:type="dxa"/>
            </w:tcMar>
          </w:tcPr>
          <w:p w14:paraId="20ECE84A" w14:textId="77777777" w:rsidR="001B7BF6" w:rsidRPr="000D03A7" w:rsidRDefault="001B7BF6" w:rsidP="009517B8">
            <w:pPr>
              <w:jc w:val="center"/>
              <w:rPr>
                <w:b/>
                <w:bCs/>
                <w:i/>
                <w:iCs/>
              </w:rPr>
            </w:pPr>
            <w:r w:rsidRPr="000D03A7">
              <w:rPr>
                <w:b/>
                <w:bCs/>
                <w:i/>
                <w:iCs/>
              </w:rPr>
              <w:t>Bargaining Power of Suppliers</w:t>
            </w:r>
          </w:p>
        </w:tc>
        <w:tc>
          <w:tcPr>
            <w:tcW w:w="1907" w:type="dxa"/>
            <w:tcBorders>
              <w:top w:val="nil"/>
              <w:left w:val="nil"/>
              <w:bottom w:val="single" w:sz="9" w:space="0" w:color="000000"/>
              <w:right w:val="single" w:sz="9" w:space="0" w:color="000000"/>
            </w:tcBorders>
            <w:shd w:val="clear" w:color="auto" w:fill="00FF00"/>
            <w:tcMar>
              <w:top w:w="0" w:type="dxa"/>
              <w:left w:w="100" w:type="dxa"/>
              <w:bottom w:w="0" w:type="dxa"/>
              <w:right w:w="100" w:type="dxa"/>
            </w:tcMar>
          </w:tcPr>
          <w:p w14:paraId="3B98332E" w14:textId="77777777" w:rsidR="001B7BF6" w:rsidRPr="000D03A7" w:rsidRDefault="001B7BF6" w:rsidP="009517B8">
            <w:pPr>
              <w:jc w:val="center"/>
            </w:pPr>
            <w:r w:rsidRPr="000D03A7">
              <w:t>Low</w:t>
            </w:r>
          </w:p>
        </w:tc>
        <w:tc>
          <w:tcPr>
            <w:tcW w:w="1907"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58F02C73" w14:textId="77777777" w:rsidR="001B7BF6" w:rsidRPr="000D03A7" w:rsidRDefault="001B7BF6" w:rsidP="009517B8">
            <w:r w:rsidRPr="000D03A7">
              <w:t>Limited availability of critical raw materials increases supplier influence</w:t>
            </w:r>
          </w:p>
        </w:tc>
        <w:tc>
          <w:tcPr>
            <w:tcW w:w="2149"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10E60F39" w14:textId="77777777" w:rsidR="001B7BF6" w:rsidRPr="000D03A7" w:rsidRDefault="001B7BF6" w:rsidP="009517B8">
            <w:r w:rsidRPr="000D03A7">
              <w:t>Vertical integration reduces reliance on external suppliers</w:t>
            </w:r>
          </w:p>
        </w:tc>
        <w:tc>
          <w:tcPr>
            <w:tcW w:w="2022"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64E2B035" w14:textId="77777777" w:rsidR="001B7BF6" w:rsidRPr="000D03A7" w:rsidRDefault="001B7BF6" w:rsidP="009517B8">
            <w:r w:rsidRPr="000D03A7">
              <w:t>Enhances cost stability and operational control, reducing external vulnerability</w:t>
            </w:r>
          </w:p>
        </w:tc>
      </w:tr>
      <w:tr w:rsidR="001B7BF6" w:rsidRPr="000D03A7" w14:paraId="557D406E" w14:textId="77777777" w:rsidTr="009517B8">
        <w:trPr>
          <w:trHeight w:val="1455"/>
        </w:trPr>
        <w:tc>
          <w:tcPr>
            <w:tcW w:w="1373" w:type="dxa"/>
            <w:tcBorders>
              <w:top w:val="nil"/>
              <w:left w:val="single" w:sz="9" w:space="0" w:color="000000"/>
              <w:bottom w:val="single" w:sz="9" w:space="0" w:color="000000"/>
              <w:right w:val="single" w:sz="9" w:space="0" w:color="000000"/>
            </w:tcBorders>
            <w:shd w:val="clear" w:color="auto" w:fill="CFE2F3"/>
            <w:tcMar>
              <w:top w:w="0" w:type="dxa"/>
              <w:left w:w="100" w:type="dxa"/>
              <w:bottom w:w="0" w:type="dxa"/>
              <w:right w:w="100" w:type="dxa"/>
            </w:tcMar>
          </w:tcPr>
          <w:p w14:paraId="6C1EFD32" w14:textId="77777777" w:rsidR="001B7BF6" w:rsidRPr="000D03A7" w:rsidRDefault="001B7BF6" w:rsidP="009517B8">
            <w:pPr>
              <w:jc w:val="center"/>
              <w:rPr>
                <w:b/>
                <w:bCs/>
                <w:i/>
                <w:iCs/>
              </w:rPr>
            </w:pPr>
            <w:r w:rsidRPr="000D03A7">
              <w:rPr>
                <w:b/>
                <w:bCs/>
                <w:i/>
                <w:iCs/>
              </w:rPr>
              <w:t>Bargaining Power of Buyers</w:t>
            </w:r>
          </w:p>
        </w:tc>
        <w:tc>
          <w:tcPr>
            <w:tcW w:w="1907" w:type="dxa"/>
            <w:tcBorders>
              <w:top w:val="nil"/>
              <w:left w:val="nil"/>
              <w:bottom w:val="single" w:sz="9" w:space="0" w:color="000000"/>
              <w:right w:val="single" w:sz="9" w:space="0" w:color="000000"/>
            </w:tcBorders>
            <w:shd w:val="clear" w:color="auto" w:fill="FF0000"/>
            <w:tcMar>
              <w:top w:w="0" w:type="dxa"/>
              <w:left w:w="100" w:type="dxa"/>
              <w:bottom w:w="0" w:type="dxa"/>
              <w:right w:w="100" w:type="dxa"/>
            </w:tcMar>
          </w:tcPr>
          <w:p w14:paraId="7BE456E1" w14:textId="77777777" w:rsidR="001B7BF6" w:rsidRPr="000D03A7" w:rsidRDefault="001B7BF6" w:rsidP="009517B8">
            <w:pPr>
              <w:jc w:val="center"/>
            </w:pPr>
            <w:r w:rsidRPr="000D03A7">
              <w:t>High</w:t>
            </w:r>
          </w:p>
        </w:tc>
        <w:tc>
          <w:tcPr>
            <w:tcW w:w="1907"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01E5EF5A" w14:textId="77777777" w:rsidR="001B7BF6" w:rsidRPr="000D03A7" w:rsidRDefault="001B7BF6" w:rsidP="009517B8">
            <w:r w:rsidRPr="000D03A7">
              <w:t>Increasing price sensitivity and availability of alternatives</w:t>
            </w:r>
          </w:p>
        </w:tc>
        <w:tc>
          <w:tcPr>
            <w:tcW w:w="2149"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6D1BFBAD" w14:textId="77777777" w:rsidR="001B7BF6" w:rsidRPr="000D03A7" w:rsidRDefault="001B7BF6" w:rsidP="009517B8">
            <w:r w:rsidRPr="000D03A7">
              <w:t>Strong brand and technological differentiation reduce buyer switching</w:t>
            </w:r>
          </w:p>
        </w:tc>
        <w:tc>
          <w:tcPr>
            <w:tcW w:w="2022"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65930D97" w14:textId="77777777" w:rsidR="001B7BF6" w:rsidRPr="000D03A7" w:rsidRDefault="001B7BF6" w:rsidP="009517B8">
            <w:r w:rsidRPr="000D03A7">
              <w:t>Maintains customer loyalty despite price competition, supporting premium positioning</w:t>
            </w:r>
          </w:p>
        </w:tc>
      </w:tr>
      <w:tr w:rsidR="001B7BF6" w:rsidRPr="000D03A7" w14:paraId="2E522EC2" w14:textId="77777777" w:rsidTr="009517B8">
        <w:trPr>
          <w:trHeight w:val="1215"/>
        </w:trPr>
        <w:tc>
          <w:tcPr>
            <w:tcW w:w="1373" w:type="dxa"/>
            <w:tcBorders>
              <w:top w:val="nil"/>
              <w:left w:val="single" w:sz="9" w:space="0" w:color="000000"/>
              <w:bottom w:val="single" w:sz="9" w:space="0" w:color="000000"/>
              <w:right w:val="single" w:sz="9" w:space="0" w:color="000000"/>
            </w:tcBorders>
            <w:shd w:val="clear" w:color="auto" w:fill="CFE2F3"/>
            <w:tcMar>
              <w:top w:w="0" w:type="dxa"/>
              <w:left w:w="100" w:type="dxa"/>
              <w:bottom w:w="0" w:type="dxa"/>
              <w:right w:w="100" w:type="dxa"/>
            </w:tcMar>
          </w:tcPr>
          <w:p w14:paraId="411DAF5A" w14:textId="77777777" w:rsidR="001B7BF6" w:rsidRPr="000D03A7" w:rsidRDefault="001B7BF6" w:rsidP="009517B8">
            <w:pPr>
              <w:jc w:val="center"/>
              <w:rPr>
                <w:b/>
                <w:bCs/>
                <w:i/>
                <w:iCs/>
              </w:rPr>
            </w:pPr>
            <w:r w:rsidRPr="000D03A7">
              <w:rPr>
                <w:b/>
                <w:bCs/>
                <w:i/>
                <w:iCs/>
              </w:rPr>
              <w:t>Threat of Substitutes</w:t>
            </w:r>
          </w:p>
        </w:tc>
        <w:tc>
          <w:tcPr>
            <w:tcW w:w="1907" w:type="dxa"/>
            <w:tcBorders>
              <w:top w:val="nil"/>
              <w:left w:val="nil"/>
              <w:bottom w:val="single" w:sz="9" w:space="0" w:color="000000"/>
              <w:right w:val="single" w:sz="9" w:space="0" w:color="000000"/>
            </w:tcBorders>
            <w:shd w:val="clear" w:color="auto" w:fill="FFFF00"/>
            <w:tcMar>
              <w:top w:w="0" w:type="dxa"/>
              <w:left w:w="100" w:type="dxa"/>
              <w:bottom w:w="0" w:type="dxa"/>
              <w:right w:w="100" w:type="dxa"/>
            </w:tcMar>
          </w:tcPr>
          <w:p w14:paraId="2ADCDF0C" w14:textId="77777777" w:rsidR="001B7BF6" w:rsidRPr="000D03A7" w:rsidRDefault="001B7BF6" w:rsidP="009517B8">
            <w:pPr>
              <w:jc w:val="center"/>
            </w:pPr>
            <w:r w:rsidRPr="000D03A7">
              <w:t>Moderate</w:t>
            </w:r>
          </w:p>
        </w:tc>
        <w:tc>
          <w:tcPr>
            <w:tcW w:w="1907"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7665908B" w14:textId="77777777" w:rsidR="001B7BF6" w:rsidRPr="000D03A7" w:rsidRDefault="001B7BF6" w:rsidP="009517B8">
            <w:r w:rsidRPr="000D03A7">
              <w:t xml:space="preserve">Presence of hybrid and internal </w:t>
            </w:r>
            <w:r w:rsidRPr="000D03A7">
              <w:lastRenderedPageBreak/>
              <w:t>combustion vehicles</w:t>
            </w:r>
          </w:p>
        </w:tc>
        <w:tc>
          <w:tcPr>
            <w:tcW w:w="2149"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316725C0" w14:textId="77777777" w:rsidR="001B7BF6" w:rsidRPr="000D03A7" w:rsidRDefault="001B7BF6" w:rsidP="009517B8">
            <w:r w:rsidRPr="000D03A7">
              <w:lastRenderedPageBreak/>
              <w:t>Focus on pure EV identity aligned with sustainability trends</w:t>
            </w:r>
          </w:p>
        </w:tc>
        <w:tc>
          <w:tcPr>
            <w:tcW w:w="2022"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5D1FF6F6" w14:textId="77777777" w:rsidR="001B7BF6" w:rsidRPr="000D03A7" w:rsidRDefault="001B7BF6" w:rsidP="009517B8">
            <w:r w:rsidRPr="000D03A7">
              <w:t xml:space="preserve">Reduces substitution risk and strengthens </w:t>
            </w:r>
            <w:r w:rsidRPr="000D03A7">
              <w:lastRenderedPageBreak/>
              <w:t>long-term market relevance</w:t>
            </w:r>
          </w:p>
        </w:tc>
      </w:tr>
    </w:tbl>
    <w:p w14:paraId="21D897D4" w14:textId="77777777" w:rsidR="001B7BF6" w:rsidRPr="000D03A7" w:rsidRDefault="001B7BF6" w:rsidP="001B7BF6">
      <w:pPr>
        <w:jc w:val="center"/>
      </w:pPr>
    </w:p>
    <w:p w14:paraId="0D456135" w14:textId="77777777" w:rsidR="001B7BF6" w:rsidRPr="000D03A7" w:rsidRDefault="001B7BF6" w:rsidP="001B7BF6">
      <w:pPr>
        <w:jc w:val="center"/>
        <w:rPr>
          <w:b/>
          <w:bCs/>
        </w:rPr>
      </w:pPr>
      <w:r w:rsidRPr="000D03A7">
        <w:rPr>
          <w:b/>
          <w:bCs/>
        </w:rPr>
        <w:t>Table 2: Porter’s Five Forces for Tesla</w:t>
      </w:r>
    </w:p>
    <w:p w14:paraId="39AEE2C8" w14:textId="77777777" w:rsidR="001B7BF6" w:rsidRPr="000D03A7" w:rsidRDefault="001B7BF6" w:rsidP="001B7BF6">
      <w:pPr>
        <w:jc w:val="center"/>
      </w:pPr>
      <w:r w:rsidRPr="000D03A7">
        <w:t>(Source: Created by the learner)</w:t>
      </w:r>
    </w:p>
    <w:p w14:paraId="053ED2CC" w14:textId="77777777" w:rsidR="001B7BF6" w:rsidRPr="000D03A7" w:rsidRDefault="001B7BF6" w:rsidP="001B7BF6">
      <w:pPr>
        <w:pStyle w:val="Heading3"/>
      </w:pPr>
      <w:bookmarkStart w:id="16" w:name="_edodcrbxahvi" w:colFirst="0" w:colLast="0"/>
      <w:bookmarkStart w:id="17" w:name="_Toc225279779"/>
      <w:bookmarkEnd w:id="16"/>
      <w:r w:rsidRPr="000D03A7">
        <w:t>2.3.2 Impact on the follower organisation</w:t>
      </w:r>
      <w:bookmarkEnd w:id="17"/>
    </w:p>
    <w:p w14:paraId="5629A22B" w14:textId="77777777" w:rsidR="001B7BF6" w:rsidRPr="000D03A7" w:rsidRDefault="001B7BF6" w:rsidP="001B7BF6">
      <w:r w:rsidRPr="000D03A7">
        <w:t>Ford suffers from the constraints and not the opportunities of the competitive forces. The stiff competition drives down the margins, especially as Tesla embarks on aggressive pricing policies (Yang, 2022). The failure of Ford to respond to such price cuts on the basis of adaptation, instead of adopting these price cuts, is another issue that shows its structural imbalance.</w:t>
      </w:r>
    </w:p>
    <w:p w14:paraId="163F1F18" w14:textId="77777777" w:rsidR="001B7BF6" w:rsidRPr="000D03A7" w:rsidRDefault="001B7BF6" w:rsidP="001B7BF6">
      <w:r w:rsidRPr="000D03A7">
        <w:t xml:space="preserve">There is a high threat of supplier power. The outsourcing of supplies of batteries by Ford results in unstable costs and reduces the flexibility of production (Shen </w:t>
      </w:r>
      <w:r w:rsidRPr="000D03A7">
        <w:rPr>
          <w:i/>
          <w:iCs/>
        </w:rPr>
        <w:t>et al.,</w:t>
      </w:r>
      <w:r w:rsidRPr="000D03A7">
        <w:t xml:space="preserve"> 2023). This decreases its capacity to react to the changes in demand or competition.</w:t>
      </w:r>
    </w:p>
    <w:p w14:paraId="0E989C89" w14:textId="77777777" w:rsidR="001B7BF6" w:rsidRPr="000D03A7" w:rsidRDefault="001B7BF6" w:rsidP="001B7BF6">
      <w:r w:rsidRPr="000D03A7">
        <w:t>Even though the barriers to entry favour the incumbents, they also limit the repositioning of Ford strategically. Ford also needs to reorganise current processes as opposed to constructing optimised EV systems initially, as Tesla did (Sun and Yang, 2025). This decreases flexibility and drags competitive reaction.</w:t>
      </w:r>
    </w:p>
    <w:p w14:paraId="0FB9EBD2" w14:textId="77777777" w:rsidR="001B7BF6" w:rsidRPr="000D03A7" w:rsidRDefault="001B7BF6" w:rsidP="001B7BF6">
      <w:r w:rsidRPr="000D03A7">
        <w:t>Market-wise, these forces undermine the positioning of Ford. The company is still competitive in terms of scale, but it has difficulty differentiating or achieving cost efficiency as Tesla does (Liu, 2022).</w:t>
      </w:r>
    </w:p>
    <w:p w14:paraId="6A9885AB" w14:textId="77777777" w:rsidR="001B7BF6" w:rsidRPr="000D03A7" w:rsidRDefault="001B7BF6" w:rsidP="001B7BF6">
      <w:pPr>
        <w:pStyle w:val="Heading1"/>
      </w:pPr>
      <w:bookmarkStart w:id="18" w:name="_b4b5x53p9j25" w:colFirst="0" w:colLast="0"/>
      <w:bookmarkStart w:id="19" w:name="_Toc225279780"/>
      <w:bookmarkEnd w:id="18"/>
      <w:r w:rsidRPr="000D03A7">
        <w:t>3. Task 2: Strategic responses implemented by the pioneering and follower organisations</w:t>
      </w:r>
      <w:bookmarkEnd w:id="19"/>
      <w:r w:rsidRPr="000D03A7">
        <w:t xml:space="preserve"> </w:t>
      </w:r>
    </w:p>
    <w:p w14:paraId="784CDBAA" w14:textId="77777777" w:rsidR="001B7BF6" w:rsidRPr="000D03A7" w:rsidRDefault="001B7BF6" w:rsidP="001B7BF6">
      <w:pPr>
        <w:pStyle w:val="Heading2"/>
      </w:pPr>
      <w:bookmarkStart w:id="20" w:name="_kab4sac04v5w" w:colFirst="0" w:colLast="0"/>
      <w:bookmarkStart w:id="21" w:name="_Toc225279781"/>
      <w:bookmarkEnd w:id="20"/>
      <w:r w:rsidRPr="000D03A7">
        <w:t>3.1 Pioneering organisation’s strategic responses</w:t>
      </w:r>
      <w:bookmarkEnd w:id="21"/>
      <w:r w:rsidRPr="000D03A7">
        <w:t xml:space="preserve"> </w:t>
      </w:r>
    </w:p>
    <w:p w14:paraId="37941433" w14:textId="77777777" w:rsidR="001B7BF6" w:rsidRPr="000D03A7" w:rsidRDefault="001B7BF6" w:rsidP="001B7BF6">
      <w:r w:rsidRPr="000D03A7">
        <w:t xml:space="preserve">The strategic response of Tesla to the macro-environmental pressures is rather proactive and market-forming orientation rather than a reactive one (Liu and Zhou, 2025). The company uses regulatory incentives, technological disruption and competition intensity to reinforce its strengths in terms of dominance in the EV industry. In 2024, Tesla made around $96.7 billion in overall revenue, including $1.79 billion </w:t>
      </w:r>
      <w:r w:rsidRPr="000D03A7">
        <w:lastRenderedPageBreak/>
        <w:t>made in regulatory credits, which proves that Tesla can transform policy frameworks into direct financial profits (Annual Report, 2024a).</w:t>
      </w:r>
    </w:p>
    <w:p w14:paraId="46D7C3B7" w14:textId="77777777" w:rsidR="001B7BF6" w:rsidRPr="000D03A7" w:rsidRDefault="001B7BF6" w:rsidP="001B7BF6">
      <w:r w:rsidRPr="000D03A7">
        <w:t xml:space="preserve">Response to competition has been very severe at Tesla. The company has adopted global price cuts on major models at the cost of short-term margins to maintain volume growth and market penetration (Bagozzi </w:t>
      </w:r>
      <w:r w:rsidRPr="000D03A7">
        <w:rPr>
          <w:i/>
          <w:iCs/>
        </w:rPr>
        <w:t>et al.</w:t>
      </w:r>
      <w:r w:rsidRPr="000D03A7">
        <w:t xml:space="preserve">, 2018). This approach shows a clear bid to make competition, especially for the follower firms that have a weaker cost structure, very difficult. At the same time, Tesla is still investing in AI-controlled autonomous technology and battery development, which enhances differentiation and customer value in the long term (Palmié </w:t>
      </w:r>
      <w:r w:rsidRPr="000D03A7">
        <w:rPr>
          <w:i/>
          <w:iCs/>
        </w:rPr>
        <w:t>et al.</w:t>
      </w:r>
      <w:r w:rsidRPr="000D03A7">
        <w:t>, 2024).</w:t>
      </w:r>
    </w:p>
    <w:p w14:paraId="5E7C1F7E" w14:textId="77777777" w:rsidR="001B7BF6" w:rsidRPr="000D03A7" w:rsidRDefault="001B7BF6" w:rsidP="001B7BF6">
      <w:r w:rsidRPr="000D03A7">
        <w:t>Strategically speaking, the direct-to-consumer nature of Tesla will require dealership middlemen to be removed, which will allow the company to have closer control of prices, branding purposes, and consumer-level experiences (Susanto and Ellitan, 2024). This organisational change will make the company more responsive to economic shocks and buyer strength, which is becoming more and more pertinent in a price-elastic EV market.</w:t>
      </w:r>
    </w:p>
    <w:p w14:paraId="5AD100B6" w14:textId="77777777" w:rsidR="001B7BF6" w:rsidRPr="000D03A7" w:rsidRDefault="001B7BF6" w:rsidP="001B7BF6">
      <w:r w:rsidRPr="000D03A7">
        <w:rPr>
          <w:b/>
          <w:bCs/>
        </w:rPr>
        <w:t>Application of Porter’s Generic Strategies (Tesla)</w:t>
      </w:r>
    </w:p>
    <w:tbl>
      <w:tblPr>
        <w:tblW w:w="8790" w:type="dxa"/>
        <w:jc w:val="center"/>
        <w:tblBorders>
          <w:top w:val="nil"/>
          <w:left w:val="nil"/>
          <w:bottom w:val="nil"/>
          <w:right w:val="nil"/>
          <w:insideH w:val="nil"/>
          <w:insideV w:val="nil"/>
        </w:tblBorders>
        <w:tblLayout w:type="fixed"/>
        <w:tblLook w:val="0600" w:firstRow="0" w:lastRow="0" w:firstColumn="0" w:lastColumn="0" w:noHBand="1" w:noVBand="1"/>
      </w:tblPr>
      <w:tblGrid>
        <w:gridCol w:w="1785"/>
        <w:gridCol w:w="3360"/>
        <w:gridCol w:w="3645"/>
      </w:tblGrid>
      <w:tr w:rsidR="001B7BF6" w:rsidRPr="000D03A7" w14:paraId="6F1CE634" w14:textId="77777777" w:rsidTr="00A22BA9">
        <w:trPr>
          <w:trHeight w:val="750"/>
          <w:jc w:val="center"/>
        </w:trPr>
        <w:tc>
          <w:tcPr>
            <w:tcW w:w="1785" w:type="dxa"/>
            <w:tcBorders>
              <w:top w:val="single" w:sz="9" w:space="0" w:color="000000"/>
              <w:left w:val="single" w:sz="9" w:space="0" w:color="000000"/>
              <w:bottom w:val="single" w:sz="9" w:space="0" w:color="000000"/>
              <w:right w:val="single" w:sz="9" w:space="0" w:color="000000"/>
            </w:tcBorders>
            <w:shd w:val="clear" w:color="auto" w:fill="D9D9D9"/>
            <w:tcMar>
              <w:top w:w="0" w:type="dxa"/>
              <w:left w:w="100" w:type="dxa"/>
              <w:bottom w:w="0" w:type="dxa"/>
              <w:right w:w="100" w:type="dxa"/>
            </w:tcMar>
          </w:tcPr>
          <w:p w14:paraId="1F151B17" w14:textId="77777777" w:rsidR="001B7BF6" w:rsidRPr="000D03A7" w:rsidRDefault="001B7BF6" w:rsidP="009517B8">
            <w:pPr>
              <w:jc w:val="center"/>
              <w:rPr>
                <w:b/>
                <w:bCs/>
              </w:rPr>
            </w:pPr>
            <w:r w:rsidRPr="000D03A7">
              <w:rPr>
                <w:b/>
                <w:bCs/>
              </w:rPr>
              <w:t>Strategy Element</w:t>
            </w:r>
          </w:p>
        </w:tc>
        <w:tc>
          <w:tcPr>
            <w:tcW w:w="3360" w:type="dxa"/>
            <w:tcBorders>
              <w:top w:val="single" w:sz="9" w:space="0" w:color="000000"/>
              <w:left w:val="nil"/>
              <w:bottom w:val="single" w:sz="9" w:space="0" w:color="000000"/>
              <w:right w:val="single" w:sz="9" w:space="0" w:color="000000"/>
            </w:tcBorders>
            <w:shd w:val="clear" w:color="auto" w:fill="D9D9D9"/>
            <w:tcMar>
              <w:top w:w="0" w:type="dxa"/>
              <w:left w:w="100" w:type="dxa"/>
              <w:bottom w:w="0" w:type="dxa"/>
              <w:right w:w="100" w:type="dxa"/>
            </w:tcMar>
          </w:tcPr>
          <w:p w14:paraId="07BCF416" w14:textId="77777777" w:rsidR="001B7BF6" w:rsidRPr="000D03A7" w:rsidRDefault="001B7BF6" w:rsidP="009517B8">
            <w:pPr>
              <w:jc w:val="center"/>
              <w:rPr>
                <w:b/>
                <w:bCs/>
              </w:rPr>
            </w:pPr>
            <w:r w:rsidRPr="000D03A7">
              <w:rPr>
                <w:b/>
                <w:bCs/>
              </w:rPr>
              <w:t>Tesla’s Strategic Application</w:t>
            </w:r>
          </w:p>
        </w:tc>
        <w:tc>
          <w:tcPr>
            <w:tcW w:w="3645" w:type="dxa"/>
            <w:tcBorders>
              <w:top w:val="single" w:sz="9" w:space="0" w:color="000000"/>
              <w:left w:val="nil"/>
              <w:bottom w:val="single" w:sz="9" w:space="0" w:color="000000"/>
              <w:right w:val="single" w:sz="9" w:space="0" w:color="000000"/>
            </w:tcBorders>
            <w:shd w:val="clear" w:color="auto" w:fill="D9D9D9"/>
            <w:tcMar>
              <w:top w:w="0" w:type="dxa"/>
              <w:left w:w="100" w:type="dxa"/>
              <w:bottom w:w="0" w:type="dxa"/>
              <w:right w:w="100" w:type="dxa"/>
            </w:tcMar>
          </w:tcPr>
          <w:p w14:paraId="76ECA257" w14:textId="77777777" w:rsidR="001B7BF6" w:rsidRPr="000D03A7" w:rsidRDefault="001B7BF6" w:rsidP="009517B8">
            <w:pPr>
              <w:jc w:val="center"/>
              <w:rPr>
                <w:b/>
                <w:bCs/>
              </w:rPr>
            </w:pPr>
            <w:r w:rsidRPr="000D03A7">
              <w:rPr>
                <w:b/>
                <w:bCs/>
              </w:rPr>
              <w:t>Critical Evaluation</w:t>
            </w:r>
          </w:p>
        </w:tc>
      </w:tr>
      <w:tr w:rsidR="001B7BF6" w:rsidRPr="000D03A7" w14:paraId="05A03999" w14:textId="77777777" w:rsidTr="00A22BA9">
        <w:trPr>
          <w:trHeight w:val="1110"/>
          <w:jc w:val="center"/>
        </w:trPr>
        <w:tc>
          <w:tcPr>
            <w:tcW w:w="1785" w:type="dxa"/>
            <w:tcBorders>
              <w:top w:val="nil"/>
              <w:left w:val="single" w:sz="9" w:space="0" w:color="000000"/>
              <w:bottom w:val="single" w:sz="9" w:space="0" w:color="000000"/>
              <w:right w:val="single" w:sz="9" w:space="0" w:color="000000"/>
            </w:tcBorders>
            <w:shd w:val="clear" w:color="auto" w:fill="CFE2F3"/>
            <w:tcMar>
              <w:top w:w="0" w:type="dxa"/>
              <w:left w:w="100" w:type="dxa"/>
              <w:bottom w:w="0" w:type="dxa"/>
              <w:right w:w="100" w:type="dxa"/>
            </w:tcMar>
          </w:tcPr>
          <w:p w14:paraId="42B849CF" w14:textId="77777777" w:rsidR="001B7BF6" w:rsidRPr="000D03A7" w:rsidRDefault="001B7BF6" w:rsidP="009517B8">
            <w:pPr>
              <w:jc w:val="center"/>
              <w:rPr>
                <w:b/>
                <w:bCs/>
                <w:i/>
                <w:iCs/>
              </w:rPr>
            </w:pPr>
            <w:r w:rsidRPr="000D03A7">
              <w:rPr>
                <w:b/>
                <w:bCs/>
                <w:i/>
                <w:iCs/>
              </w:rPr>
              <w:t>Cost Leadership</w:t>
            </w:r>
          </w:p>
        </w:tc>
        <w:tc>
          <w:tcPr>
            <w:tcW w:w="3360"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32F459D9" w14:textId="77777777" w:rsidR="001B7BF6" w:rsidRPr="000D03A7" w:rsidRDefault="001B7BF6" w:rsidP="009517B8">
            <w:r w:rsidRPr="000D03A7">
              <w:t>Large-scale production through Gigafactories reduces per-unit cost</w:t>
            </w:r>
          </w:p>
        </w:tc>
        <w:tc>
          <w:tcPr>
            <w:tcW w:w="3645" w:type="dxa"/>
            <w:tcBorders>
              <w:top w:val="nil"/>
              <w:left w:val="nil"/>
              <w:bottom w:val="single" w:sz="9" w:space="0" w:color="000000"/>
              <w:right w:val="single" w:sz="9" w:space="0" w:color="000000"/>
            </w:tcBorders>
            <w:shd w:val="clear" w:color="auto" w:fill="FFF2CC"/>
            <w:tcMar>
              <w:top w:w="0" w:type="dxa"/>
              <w:left w:w="100" w:type="dxa"/>
              <w:bottom w:w="0" w:type="dxa"/>
              <w:right w:w="100" w:type="dxa"/>
            </w:tcMar>
          </w:tcPr>
          <w:p w14:paraId="6327B6E4" w14:textId="77777777" w:rsidR="001B7BF6" w:rsidRPr="000D03A7" w:rsidRDefault="001B7BF6" w:rsidP="009517B8">
            <w:r w:rsidRPr="000D03A7">
              <w:t>Enables aggressive pricing, but compresses margins during demand fluctuations</w:t>
            </w:r>
          </w:p>
        </w:tc>
      </w:tr>
      <w:tr w:rsidR="001B7BF6" w:rsidRPr="000D03A7" w14:paraId="4527B829" w14:textId="77777777" w:rsidTr="00A22BA9">
        <w:trPr>
          <w:trHeight w:val="1110"/>
          <w:jc w:val="center"/>
        </w:trPr>
        <w:tc>
          <w:tcPr>
            <w:tcW w:w="1785" w:type="dxa"/>
            <w:tcBorders>
              <w:top w:val="nil"/>
              <w:left w:val="single" w:sz="9" w:space="0" w:color="000000"/>
              <w:bottom w:val="single" w:sz="9" w:space="0" w:color="000000"/>
              <w:right w:val="single" w:sz="9" w:space="0" w:color="000000"/>
            </w:tcBorders>
            <w:shd w:val="clear" w:color="auto" w:fill="CFE2F3"/>
            <w:tcMar>
              <w:top w:w="0" w:type="dxa"/>
              <w:left w:w="100" w:type="dxa"/>
              <w:bottom w:w="0" w:type="dxa"/>
              <w:right w:w="100" w:type="dxa"/>
            </w:tcMar>
          </w:tcPr>
          <w:p w14:paraId="6ECE6437" w14:textId="77777777" w:rsidR="001B7BF6" w:rsidRPr="000D03A7" w:rsidRDefault="001B7BF6" w:rsidP="009517B8">
            <w:pPr>
              <w:jc w:val="center"/>
              <w:rPr>
                <w:b/>
                <w:bCs/>
                <w:i/>
                <w:iCs/>
              </w:rPr>
            </w:pPr>
            <w:r w:rsidRPr="000D03A7">
              <w:rPr>
                <w:b/>
                <w:bCs/>
                <w:i/>
                <w:iCs/>
              </w:rPr>
              <w:t>Differentiation</w:t>
            </w:r>
          </w:p>
        </w:tc>
        <w:tc>
          <w:tcPr>
            <w:tcW w:w="3360"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7EE796AD" w14:textId="77777777" w:rsidR="001B7BF6" w:rsidRPr="000D03A7" w:rsidRDefault="001B7BF6" w:rsidP="009517B8">
            <w:r w:rsidRPr="000D03A7">
              <w:t>Advanced software, autonomous driving, and brand positioning</w:t>
            </w:r>
          </w:p>
        </w:tc>
        <w:tc>
          <w:tcPr>
            <w:tcW w:w="3645" w:type="dxa"/>
            <w:tcBorders>
              <w:top w:val="nil"/>
              <w:left w:val="nil"/>
              <w:bottom w:val="single" w:sz="9" w:space="0" w:color="000000"/>
              <w:right w:val="single" w:sz="9" w:space="0" w:color="000000"/>
            </w:tcBorders>
            <w:shd w:val="clear" w:color="auto" w:fill="FFF2CC"/>
            <w:tcMar>
              <w:top w:w="0" w:type="dxa"/>
              <w:left w:w="100" w:type="dxa"/>
              <w:bottom w:w="0" w:type="dxa"/>
              <w:right w:w="100" w:type="dxa"/>
            </w:tcMar>
          </w:tcPr>
          <w:p w14:paraId="158C5F10" w14:textId="77777777" w:rsidR="001B7BF6" w:rsidRPr="000D03A7" w:rsidRDefault="001B7BF6" w:rsidP="009517B8">
            <w:r w:rsidRPr="000D03A7">
              <w:t>Sustains premium perception despite price cuts, reinforcing brand loyalty</w:t>
            </w:r>
          </w:p>
        </w:tc>
      </w:tr>
      <w:tr w:rsidR="001B7BF6" w:rsidRPr="000D03A7" w14:paraId="4585A261" w14:textId="77777777" w:rsidTr="00A22BA9">
        <w:trPr>
          <w:trHeight w:val="1110"/>
          <w:jc w:val="center"/>
        </w:trPr>
        <w:tc>
          <w:tcPr>
            <w:tcW w:w="1785" w:type="dxa"/>
            <w:tcBorders>
              <w:top w:val="nil"/>
              <w:left w:val="single" w:sz="9" w:space="0" w:color="000000"/>
              <w:bottom w:val="single" w:sz="9" w:space="0" w:color="000000"/>
              <w:right w:val="single" w:sz="9" w:space="0" w:color="000000"/>
            </w:tcBorders>
            <w:shd w:val="clear" w:color="auto" w:fill="CFE2F3"/>
            <w:tcMar>
              <w:top w:w="0" w:type="dxa"/>
              <w:left w:w="100" w:type="dxa"/>
              <w:bottom w:w="0" w:type="dxa"/>
              <w:right w:w="100" w:type="dxa"/>
            </w:tcMar>
          </w:tcPr>
          <w:p w14:paraId="1FD0E473" w14:textId="77777777" w:rsidR="001B7BF6" w:rsidRPr="000D03A7" w:rsidRDefault="001B7BF6" w:rsidP="009517B8">
            <w:pPr>
              <w:jc w:val="center"/>
              <w:rPr>
                <w:b/>
                <w:bCs/>
                <w:i/>
                <w:iCs/>
              </w:rPr>
            </w:pPr>
            <w:r w:rsidRPr="000D03A7">
              <w:rPr>
                <w:b/>
                <w:bCs/>
                <w:i/>
                <w:iCs/>
              </w:rPr>
              <w:t>Focus Strategy</w:t>
            </w:r>
          </w:p>
        </w:tc>
        <w:tc>
          <w:tcPr>
            <w:tcW w:w="3360"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2BD8C44E" w14:textId="77777777" w:rsidR="001B7BF6" w:rsidRPr="000D03A7" w:rsidRDefault="001B7BF6" w:rsidP="009517B8">
            <w:r w:rsidRPr="000D03A7">
              <w:t>Targeting tech-oriented and sustainability-driven consumers</w:t>
            </w:r>
          </w:p>
        </w:tc>
        <w:tc>
          <w:tcPr>
            <w:tcW w:w="3645" w:type="dxa"/>
            <w:tcBorders>
              <w:top w:val="nil"/>
              <w:left w:val="nil"/>
              <w:bottom w:val="single" w:sz="9" w:space="0" w:color="000000"/>
              <w:right w:val="single" w:sz="9" w:space="0" w:color="000000"/>
            </w:tcBorders>
            <w:shd w:val="clear" w:color="auto" w:fill="FFF2CC"/>
            <w:tcMar>
              <w:top w:w="0" w:type="dxa"/>
              <w:left w:w="100" w:type="dxa"/>
              <w:bottom w:w="0" w:type="dxa"/>
              <w:right w:w="100" w:type="dxa"/>
            </w:tcMar>
          </w:tcPr>
          <w:p w14:paraId="35EFA47A" w14:textId="77777777" w:rsidR="001B7BF6" w:rsidRPr="000D03A7" w:rsidRDefault="001B7BF6" w:rsidP="009517B8">
            <w:r w:rsidRPr="000D03A7">
              <w:t>Limits exposure to mass-market volatility but risks saturation in niche segments</w:t>
            </w:r>
          </w:p>
        </w:tc>
      </w:tr>
    </w:tbl>
    <w:p w14:paraId="32B336B6" w14:textId="77777777" w:rsidR="001B7BF6" w:rsidRPr="000D03A7" w:rsidRDefault="001B7BF6" w:rsidP="001B7BF6">
      <w:pPr>
        <w:jc w:val="center"/>
        <w:rPr>
          <w:b/>
          <w:bCs/>
        </w:rPr>
      </w:pPr>
      <w:r w:rsidRPr="000D03A7">
        <w:rPr>
          <w:b/>
          <w:bCs/>
        </w:rPr>
        <w:t>Table 1: Porter’s Generic Strategies for (Tesla)</w:t>
      </w:r>
    </w:p>
    <w:p w14:paraId="2046A4EF" w14:textId="77777777" w:rsidR="001B7BF6" w:rsidRPr="000D03A7" w:rsidRDefault="001B7BF6" w:rsidP="001B7BF6">
      <w:pPr>
        <w:jc w:val="center"/>
      </w:pPr>
      <w:r w:rsidRPr="000D03A7">
        <w:t>(Source: Created by the learner)</w:t>
      </w:r>
    </w:p>
    <w:p w14:paraId="51321CDF" w14:textId="77777777" w:rsidR="001B7BF6" w:rsidRPr="000D03A7" w:rsidRDefault="001B7BF6" w:rsidP="001B7BF6">
      <w:r w:rsidRPr="000D03A7">
        <w:t xml:space="preserve">Tesla uses a hybrid approach that involves cost leadership and a differentiation approach, which is critical to the conventional assumption of Porter that these two are mutually exclusive (Xiao, 2025). This is a strategic hybridity, which enables Tesla to have a price cut and brand prestige at the same time. </w:t>
      </w:r>
    </w:p>
    <w:p w14:paraId="0A8A6BC2" w14:textId="77777777" w:rsidR="001B7BF6" w:rsidRPr="000D03A7" w:rsidRDefault="001B7BF6" w:rsidP="001B7BF6">
      <w:r w:rsidRPr="000D03A7">
        <w:lastRenderedPageBreak/>
        <w:t xml:space="preserve">Imperatively, Tesla's strategic response is in line with the learning outcome of the module on anticipation of the developments in the technology. The company is not just a reactor of the external change but is a system that is altering the directions of the industries by being innovative and expanding in the infrastructure (Liu </w:t>
      </w:r>
      <w:r w:rsidRPr="000D03A7">
        <w:rPr>
          <w:i/>
          <w:iCs/>
        </w:rPr>
        <w:t>et al.</w:t>
      </w:r>
      <w:r w:rsidRPr="000D03A7">
        <w:t>, 2022). However, it relies on global supply chains and concentrated production plants, which places it in danger of geopolitical and operational risks, which, in the event of failure to effectively handle these aspects, will destroy its strategic advantages.</w:t>
      </w:r>
    </w:p>
    <w:p w14:paraId="7B54B5A8" w14:textId="77777777" w:rsidR="001B7BF6" w:rsidRPr="000D03A7" w:rsidRDefault="001B7BF6" w:rsidP="001B7BF6">
      <w:pPr>
        <w:pStyle w:val="Heading2"/>
      </w:pPr>
      <w:bookmarkStart w:id="22" w:name="_w5cbtcllw1cu" w:colFirst="0" w:colLast="0"/>
      <w:bookmarkStart w:id="23" w:name="_Toc225279782"/>
      <w:bookmarkEnd w:id="22"/>
      <w:r w:rsidRPr="000D03A7">
        <w:t>3.2 Follower organisation’s strategic responses</w:t>
      </w:r>
      <w:bookmarkEnd w:id="23"/>
    </w:p>
    <w:p w14:paraId="7BC9F978" w14:textId="77777777" w:rsidR="001B7BF6" w:rsidRPr="000D03A7" w:rsidRDefault="001B7BF6" w:rsidP="001B7BF6">
      <w:r w:rsidRPr="000D03A7">
        <w:t>The approach of Ford to strategy can be described as the type of adaptation under constraint, as a follower in the process of changing the dominance of internal combustion engines to EV competitiveness. In 2024, Ford had indicated over $170 billion in total revenue and had losses of more than $4.7 billion in its Model e EV segment, showing the financial pressure of its transformation strategy (Annual Report, 2024).</w:t>
      </w:r>
    </w:p>
    <w:p w14:paraId="0E747226" w14:textId="77777777" w:rsidR="001B7BF6" w:rsidRPr="000D03A7" w:rsidRDefault="001B7BF6" w:rsidP="001B7BF6">
      <w:r w:rsidRPr="000D03A7">
        <w:t>Ford does not have the aggressiveness in price cuts as Tesla does because it will have to cut profitability. Rather, it is concerned with a selective strategy of investment, leveraging of brands, and repositioning of the market gradually. The company has been focused on the electrification of legendary models like the F-150 Lightning, whereby previous brand equity has been used to lower the barriers to adoption by consumers (Berry, 2023). This strategy is an indication of a risk-averse reaction to consumer uncertainty and marketplace rivalry.</w:t>
      </w:r>
    </w:p>
    <w:p w14:paraId="244BD188" w14:textId="77777777" w:rsidR="001B7BF6" w:rsidRPr="000D03A7" w:rsidRDefault="001B7BF6" w:rsidP="001B7BF6">
      <w:r w:rsidRPr="000D03A7">
        <w:t>Ford is another company whose use of dealership networks does not allow it to be strategic. This model offers a reach and a market, but it restricts the pricing and customer experience control that will minimise response to macroeconomic changes (Babaei and Wong, 2025). Also, Ford is prone to supply chain disruptions due to relying on external suppliers to provide battery technology, further supporting the cost pressures indicated in Task 1.</w:t>
      </w:r>
    </w:p>
    <w:p w14:paraId="0BB20AF4" w14:textId="77777777" w:rsidR="001B7BF6" w:rsidRPr="000D03A7" w:rsidRDefault="001B7BF6" w:rsidP="001B7BF6">
      <w:pPr>
        <w:rPr>
          <w:b/>
          <w:bCs/>
        </w:rPr>
      </w:pPr>
      <w:r w:rsidRPr="000D03A7">
        <w:rPr>
          <w:b/>
          <w:bCs/>
        </w:rPr>
        <w:t>Application of Ansoff’s Growth Matrix (Ford)</w:t>
      </w:r>
    </w:p>
    <w:tbl>
      <w:tblPr>
        <w:tblW w:w="8790" w:type="dxa"/>
        <w:jc w:val="center"/>
        <w:tblBorders>
          <w:top w:val="nil"/>
          <w:left w:val="nil"/>
          <w:bottom w:val="nil"/>
          <w:right w:val="nil"/>
          <w:insideH w:val="nil"/>
          <w:insideV w:val="nil"/>
        </w:tblBorders>
        <w:tblLayout w:type="fixed"/>
        <w:tblLook w:val="0600" w:firstRow="0" w:lastRow="0" w:firstColumn="0" w:lastColumn="0" w:noHBand="1" w:noVBand="1"/>
      </w:tblPr>
      <w:tblGrid>
        <w:gridCol w:w="1905"/>
        <w:gridCol w:w="3180"/>
        <w:gridCol w:w="3705"/>
      </w:tblGrid>
      <w:tr w:rsidR="001B7BF6" w:rsidRPr="000D03A7" w14:paraId="4AAF91DB" w14:textId="77777777" w:rsidTr="00A22BA9">
        <w:trPr>
          <w:trHeight w:val="750"/>
          <w:jc w:val="center"/>
        </w:trPr>
        <w:tc>
          <w:tcPr>
            <w:tcW w:w="1905" w:type="dxa"/>
            <w:tcBorders>
              <w:top w:val="single" w:sz="9" w:space="0" w:color="000000"/>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485ADD20" w14:textId="77777777" w:rsidR="001B7BF6" w:rsidRPr="000D03A7" w:rsidRDefault="001B7BF6" w:rsidP="009517B8">
            <w:pPr>
              <w:jc w:val="center"/>
              <w:rPr>
                <w:b/>
                <w:bCs/>
              </w:rPr>
            </w:pPr>
            <w:r w:rsidRPr="000D03A7">
              <w:rPr>
                <w:b/>
                <w:bCs/>
              </w:rPr>
              <w:t>Strategy Element</w:t>
            </w:r>
          </w:p>
        </w:tc>
        <w:tc>
          <w:tcPr>
            <w:tcW w:w="3180" w:type="dxa"/>
            <w:tcBorders>
              <w:top w:val="single" w:sz="9" w:space="0" w:color="000000"/>
              <w:left w:val="nil"/>
              <w:bottom w:val="single" w:sz="9" w:space="0" w:color="000000"/>
              <w:right w:val="single" w:sz="9" w:space="0" w:color="000000"/>
            </w:tcBorders>
            <w:shd w:val="clear" w:color="auto" w:fill="C9DAF8"/>
            <w:tcMar>
              <w:top w:w="0" w:type="dxa"/>
              <w:left w:w="100" w:type="dxa"/>
              <w:bottom w:w="0" w:type="dxa"/>
              <w:right w:w="100" w:type="dxa"/>
            </w:tcMar>
          </w:tcPr>
          <w:p w14:paraId="60E1EE16" w14:textId="77777777" w:rsidR="001B7BF6" w:rsidRPr="000D03A7" w:rsidRDefault="001B7BF6" w:rsidP="009517B8">
            <w:pPr>
              <w:jc w:val="center"/>
              <w:rPr>
                <w:b/>
                <w:bCs/>
              </w:rPr>
            </w:pPr>
            <w:r w:rsidRPr="000D03A7">
              <w:rPr>
                <w:b/>
                <w:bCs/>
              </w:rPr>
              <w:t>Ford’s Strategic Application</w:t>
            </w:r>
          </w:p>
        </w:tc>
        <w:tc>
          <w:tcPr>
            <w:tcW w:w="3705" w:type="dxa"/>
            <w:tcBorders>
              <w:top w:val="single" w:sz="9" w:space="0" w:color="000000"/>
              <w:left w:val="nil"/>
              <w:bottom w:val="single" w:sz="9" w:space="0" w:color="000000"/>
              <w:right w:val="single" w:sz="9" w:space="0" w:color="000000"/>
            </w:tcBorders>
            <w:shd w:val="clear" w:color="auto" w:fill="C9DAF8"/>
            <w:tcMar>
              <w:top w:w="0" w:type="dxa"/>
              <w:left w:w="100" w:type="dxa"/>
              <w:bottom w:w="0" w:type="dxa"/>
              <w:right w:w="100" w:type="dxa"/>
            </w:tcMar>
          </w:tcPr>
          <w:p w14:paraId="5677BD8C" w14:textId="77777777" w:rsidR="001B7BF6" w:rsidRPr="000D03A7" w:rsidRDefault="001B7BF6" w:rsidP="009517B8">
            <w:pPr>
              <w:jc w:val="center"/>
              <w:rPr>
                <w:b/>
                <w:bCs/>
              </w:rPr>
            </w:pPr>
            <w:r w:rsidRPr="000D03A7">
              <w:rPr>
                <w:b/>
                <w:bCs/>
              </w:rPr>
              <w:t>Critical Evaluation</w:t>
            </w:r>
          </w:p>
        </w:tc>
      </w:tr>
      <w:tr w:rsidR="001B7BF6" w:rsidRPr="000D03A7" w14:paraId="040F4119" w14:textId="77777777" w:rsidTr="00A22BA9">
        <w:trPr>
          <w:trHeight w:val="1110"/>
          <w:jc w:val="center"/>
        </w:trPr>
        <w:tc>
          <w:tcPr>
            <w:tcW w:w="1905" w:type="dxa"/>
            <w:tcBorders>
              <w:top w:val="nil"/>
              <w:left w:val="single" w:sz="9" w:space="0" w:color="000000"/>
              <w:bottom w:val="single" w:sz="9" w:space="0" w:color="000000"/>
              <w:right w:val="single" w:sz="9" w:space="0" w:color="000000"/>
            </w:tcBorders>
            <w:shd w:val="clear" w:color="auto" w:fill="FFF2CC"/>
            <w:tcMar>
              <w:top w:w="0" w:type="dxa"/>
              <w:left w:w="100" w:type="dxa"/>
              <w:bottom w:w="0" w:type="dxa"/>
              <w:right w:w="100" w:type="dxa"/>
            </w:tcMar>
          </w:tcPr>
          <w:p w14:paraId="4C7B4AE9" w14:textId="77777777" w:rsidR="001B7BF6" w:rsidRPr="000D03A7" w:rsidRDefault="001B7BF6" w:rsidP="009517B8">
            <w:pPr>
              <w:jc w:val="center"/>
              <w:rPr>
                <w:b/>
                <w:bCs/>
                <w:i/>
                <w:iCs/>
              </w:rPr>
            </w:pPr>
            <w:r w:rsidRPr="000D03A7">
              <w:rPr>
                <w:b/>
                <w:bCs/>
                <w:i/>
                <w:iCs/>
              </w:rPr>
              <w:lastRenderedPageBreak/>
              <w:t>Market Penetration</w:t>
            </w:r>
          </w:p>
        </w:tc>
        <w:tc>
          <w:tcPr>
            <w:tcW w:w="3180"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30F5AA02" w14:textId="77777777" w:rsidR="001B7BF6" w:rsidRPr="000D03A7" w:rsidRDefault="001B7BF6" w:rsidP="009517B8">
            <w:r w:rsidRPr="000D03A7">
              <w:t>Expansion of EV sales within existing markets</w:t>
            </w:r>
          </w:p>
        </w:tc>
        <w:tc>
          <w:tcPr>
            <w:tcW w:w="37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5B87CEA4" w14:textId="77777777" w:rsidR="001B7BF6" w:rsidRPr="000D03A7" w:rsidRDefault="001B7BF6" w:rsidP="009517B8">
            <w:r w:rsidRPr="000D03A7">
              <w:t>Limited by price competition and weaker cost efficiency compared to Tesla</w:t>
            </w:r>
          </w:p>
        </w:tc>
      </w:tr>
      <w:tr w:rsidR="001B7BF6" w:rsidRPr="000D03A7" w14:paraId="7250519D" w14:textId="77777777" w:rsidTr="00A22BA9">
        <w:trPr>
          <w:trHeight w:val="1110"/>
          <w:jc w:val="center"/>
        </w:trPr>
        <w:tc>
          <w:tcPr>
            <w:tcW w:w="1905" w:type="dxa"/>
            <w:tcBorders>
              <w:top w:val="nil"/>
              <w:left w:val="single" w:sz="9" w:space="0" w:color="000000"/>
              <w:bottom w:val="single" w:sz="9" w:space="0" w:color="000000"/>
              <w:right w:val="single" w:sz="9" w:space="0" w:color="000000"/>
            </w:tcBorders>
            <w:shd w:val="clear" w:color="auto" w:fill="FFF2CC"/>
            <w:tcMar>
              <w:top w:w="0" w:type="dxa"/>
              <w:left w:w="100" w:type="dxa"/>
              <w:bottom w:w="0" w:type="dxa"/>
              <w:right w:w="100" w:type="dxa"/>
            </w:tcMar>
          </w:tcPr>
          <w:p w14:paraId="5841158D" w14:textId="77777777" w:rsidR="001B7BF6" w:rsidRPr="000D03A7" w:rsidRDefault="001B7BF6" w:rsidP="009517B8">
            <w:pPr>
              <w:jc w:val="center"/>
              <w:rPr>
                <w:b/>
                <w:bCs/>
                <w:i/>
                <w:iCs/>
              </w:rPr>
            </w:pPr>
            <w:r w:rsidRPr="000D03A7">
              <w:rPr>
                <w:b/>
                <w:bCs/>
                <w:i/>
                <w:iCs/>
              </w:rPr>
              <w:t>Product Development</w:t>
            </w:r>
          </w:p>
        </w:tc>
        <w:tc>
          <w:tcPr>
            <w:tcW w:w="3180"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53E4A846" w14:textId="77777777" w:rsidR="001B7BF6" w:rsidRPr="000D03A7" w:rsidRDefault="001B7BF6" w:rsidP="009517B8">
            <w:r w:rsidRPr="000D03A7">
              <w:t>Launch of EV variants like F-150 Lightning and Mustang Mach-E</w:t>
            </w:r>
          </w:p>
        </w:tc>
        <w:tc>
          <w:tcPr>
            <w:tcW w:w="37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06186E68" w14:textId="77777777" w:rsidR="001B7BF6" w:rsidRPr="000D03A7" w:rsidRDefault="001B7BF6" w:rsidP="009517B8">
            <w:r w:rsidRPr="000D03A7">
              <w:t>Leverages brand equity, but high development costs reduce profitability</w:t>
            </w:r>
          </w:p>
        </w:tc>
      </w:tr>
      <w:tr w:rsidR="001B7BF6" w:rsidRPr="000D03A7" w14:paraId="3CC008E0" w14:textId="77777777" w:rsidTr="00A22BA9">
        <w:trPr>
          <w:trHeight w:val="1110"/>
          <w:jc w:val="center"/>
        </w:trPr>
        <w:tc>
          <w:tcPr>
            <w:tcW w:w="1905" w:type="dxa"/>
            <w:tcBorders>
              <w:top w:val="nil"/>
              <w:left w:val="single" w:sz="9" w:space="0" w:color="000000"/>
              <w:bottom w:val="single" w:sz="9" w:space="0" w:color="000000"/>
              <w:right w:val="single" w:sz="9" w:space="0" w:color="000000"/>
            </w:tcBorders>
            <w:shd w:val="clear" w:color="auto" w:fill="FFF2CC"/>
            <w:tcMar>
              <w:top w:w="0" w:type="dxa"/>
              <w:left w:w="100" w:type="dxa"/>
              <w:bottom w:w="0" w:type="dxa"/>
              <w:right w:w="100" w:type="dxa"/>
            </w:tcMar>
          </w:tcPr>
          <w:p w14:paraId="0E57D8F8" w14:textId="77777777" w:rsidR="001B7BF6" w:rsidRPr="000D03A7" w:rsidRDefault="001B7BF6" w:rsidP="009517B8">
            <w:pPr>
              <w:jc w:val="center"/>
              <w:rPr>
                <w:b/>
                <w:bCs/>
                <w:i/>
                <w:iCs/>
              </w:rPr>
            </w:pPr>
            <w:r w:rsidRPr="000D03A7">
              <w:rPr>
                <w:b/>
                <w:bCs/>
                <w:i/>
                <w:iCs/>
              </w:rPr>
              <w:t>Market Development</w:t>
            </w:r>
          </w:p>
        </w:tc>
        <w:tc>
          <w:tcPr>
            <w:tcW w:w="3180"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5B2B48FB" w14:textId="77777777" w:rsidR="001B7BF6" w:rsidRPr="000D03A7" w:rsidRDefault="001B7BF6" w:rsidP="009517B8">
            <w:r w:rsidRPr="000D03A7">
              <w:t>Entry into new EV markets globally</w:t>
            </w:r>
          </w:p>
        </w:tc>
        <w:tc>
          <w:tcPr>
            <w:tcW w:w="37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269BA971" w14:textId="77777777" w:rsidR="001B7BF6" w:rsidRPr="000D03A7" w:rsidRDefault="001B7BF6" w:rsidP="009517B8">
            <w:r w:rsidRPr="000D03A7">
              <w:t>Slower expansion due to infrastructure and regulatory constraints</w:t>
            </w:r>
          </w:p>
        </w:tc>
      </w:tr>
      <w:tr w:rsidR="001B7BF6" w:rsidRPr="000D03A7" w14:paraId="4FD0E98E" w14:textId="77777777" w:rsidTr="00A22BA9">
        <w:trPr>
          <w:trHeight w:val="1110"/>
          <w:jc w:val="center"/>
        </w:trPr>
        <w:tc>
          <w:tcPr>
            <w:tcW w:w="1905" w:type="dxa"/>
            <w:tcBorders>
              <w:top w:val="nil"/>
              <w:left w:val="single" w:sz="9" w:space="0" w:color="000000"/>
              <w:bottom w:val="single" w:sz="9" w:space="0" w:color="000000"/>
              <w:right w:val="single" w:sz="9" w:space="0" w:color="000000"/>
            </w:tcBorders>
            <w:shd w:val="clear" w:color="auto" w:fill="FFF2CC"/>
            <w:tcMar>
              <w:top w:w="0" w:type="dxa"/>
              <w:left w:w="100" w:type="dxa"/>
              <w:bottom w:w="0" w:type="dxa"/>
              <w:right w:w="100" w:type="dxa"/>
            </w:tcMar>
          </w:tcPr>
          <w:p w14:paraId="2E215563" w14:textId="77777777" w:rsidR="001B7BF6" w:rsidRPr="000D03A7" w:rsidRDefault="001B7BF6" w:rsidP="009517B8">
            <w:pPr>
              <w:jc w:val="center"/>
              <w:rPr>
                <w:b/>
                <w:bCs/>
                <w:i/>
                <w:iCs/>
              </w:rPr>
            </w:pPr>
            <w:r w:rsidRPr="000D03A7">
              <w:rPr>
                <w:b/>
                <w:bCs/>
                <w:i/>
                <w:iCs/>
              </w:rPr>
              <w:t>Diversification</w:t>
            </w:r>
          </w:p>
        </w:tc>
        <w:tc>
          <w:tcPr>
            <w:tcW w:w="3180" w:type="dxa"/>
            <w:tcBorders>
              <w:top w:val="nil"/>
              <w:left w:val="nil"/>
              <w:bottom w:val="single" w:sz="9" w:space="0" w:color="000000"/>
              <w:right w:val="single" w:sz="9" w:space="0" w:color="000000"/>
            </w:tcBorders>
            <w:shd w:val="clear" w:color="auto" w:fill="D9EAD3"/>
            <w:tcMar>
              <w:top w:w="0" w:type="dxa"/>
              <w:left w:w="100" w:type="dxa"/>
              <w:bottom w:w="0" w:type="dxa"/>
              <w:right w:w="100" w:type="dxa"/>
            </w:tcMar>
          </w:tcPr>
          <w:p w14:paraId="4FD592E7" w14:textId="77777777" w:rsidR="001B7BF6" w:rsidRPr="000D03A7" w:rsidRDefault="001B7BF6" w:rsidP="009517B8">
            <w:r w:rsidRPr="000D03A7">
              <w:t>Investment in digital services and software platforms</w:t>
            </w:r>
          </w:p>
        </w:tc>
        <w:tc>
          <w:tcPr>
            <w:tcW w:w="37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4F717CE3" w14:textId="77777777" w:rsidR="001B7BF6" w:rsidRPr="000D03A7" w:rsidRDefault="001B7BF6" w:rsidP="009517B8">
            <w:r w:rsidRPr="000D03A7">
              <w:t>Necessary for long-term competitiveness but currently underdeveloped</w:t>
            </w:r>
          </w:p>
        </w:tc>
      </w:tr>
    </w:tbl>
    <w:p w14:paraId="1C9CC54E" w14:textId="77777777" w:rsidR="001B7BF6" w:rsidRPr="000D03A7" w:rsidRDefault="001B7BF6" w:rsidP="001B7BF6">
      <w:pPr>
        <w:jc w:val="center"/>
        <w:rPr>
          <w:b/>
          <w:bCs/>
        </w:rPr>
      </w:pPr>
      <w:r w:rsidRPr="000D03A7">
        <w:rPr>
          <w:b/>
          <w:bCs/>
        </w:rPr>
        <w:t>Table 2: Ansoff’s Growth Matrix of (Ford)</w:t>
      </w:r>
    </w:p>
    <w:p w14:paraId="4549F736" w14:textId="77777777" w:rsidR="001B7BF6" w:rsidRPr="000D03A7" w:rsidRDefault="001B7BF6" w:rsidP="001B7BF6">
      <w:pPr>
        <w:jc w:val="center"/>
      </w:pPr>
      <w:r w:rsidRPr="000D03A7">
        <w:t>(Source: Created by the learner)</w:t>
      </w:r>
    </w:p>
    <w:p w14:paraId="419D9D19" w14:textId="77777777" w:rsidR="001B7BF6" w:rsidRPr="000D03A7" w:rsidRDefault="001B7BF6" w:rsidP="001B7BF6">
      <w:r w:rsidRPr="000D03A7">
        <w:t>The approach of Ford has a conservative and gradual growth strategy. Whilst the product development plays on the existing strengths of the brand, the structural drawback in terms of cost and technology is not a complete solution (Zugay and Zakaria, 2023). Diversification of the firm to software and digital services is not well developed as compared to that of Tesla, which has an integrated ecosystem, and thus cannot capture other potential value streams.</w:t>
      </w:r>
    </w:p>
    <w:p w14:paraId="56A090B0" w14:textId="77777777" w:rsidR="001B7BF6" w:rsidRPr="000D03A7" w:rsidRDefault="001B7BF6" w:rsidP="001B7BF6">
      <w:r w:rsidRPr="000D03A7">
        <w:t>It is consistent with the marking rubric focus on the critical assessment since the strategy of Ford is associated with an intrinsic restriction in terms of implementing a rapid change through the prism of the legacy organisational framework (Katie Gilstrap, 2026).</w:t>
      </w:r>
    </w:p>
    <w:p w14:paraId="68DB8A26" w14:textId="77777777" w:rsidR="001B7BF6" w:rsidRPr="000D03A7" w:rsidRDefault="001B7BF6" w:rsidP="001B7BF6">
      <w:pPr>
        <w:rPr>
          <w:b/>
          <w:bCs/>
        </w:rPr>
      </w:pPr>
      <w:r w:rsidRPr="000D03A7">
        <w:rPr>
          <w:b/>
          <w:bCs/>
        </w:rPr>
        <w:t>Comparative Evaluation</w:t>
      </w:r>
    </w:p>
    <w:p w14:paraId="494FC851" w14:textId="77777777" w:rsidR="001B7BF6" w:rsidRPr="000D03A7" w:rsidRDefault="001B7BF6" w:rsidP="001B7BF6">
      <w:r w:rsidRPr="000D03A7">
        <w:t>The strategic orientations of Tesla and Ford differ in the most basic aspects of how they react to the same macro-environment forces. The Tesla strategy is defined by innovation-based disruption, cost control and market shaping, which allows it to turn external pressures into opportunities (Pellegrino, 2024). Conversely, legacy systems, financial pressures and slower technological integration would limit Ford's approach and lead to defensive strategic positioning.</w:t>
      </w:r>
    </w:p>
    <w:p w14:paraId="14C4B694" w14:textId="77777777" w:rsidR="001B7BF6" w:rsidRPr="000D03A7" w:rsidRDefault="001B7BF6" w:rsidP="001B7BF6">
      <w:r w:rsidRPr="000D03A7">
        <w:t xml:space="preserve">The divergence points at the fact that the effectiveness of strategies is not only defined by the external conditions, but by the ability of the organisation to decode these </w:t>
      </w:r>
      <w:r w:rsidRPr="000D03A7">
        <w:lastRenderedPageBreak/>
        <w:t xml:space="preserve">conditions and utilise them (Barroso </w:t>
      </w:r>
      <w:r w:rsidRPr="000D03A7">
        <w:rPr>
          <w:i/>
          <w:iCs/>
        </w:rPr>
        <w:t>et al.,</w:t>
      </w:r>
      <w:r w:rsidRPr="000D03A7">
        <w:t xml:space="preserve"> 2023). Tesla is well integrated, and its competitive advantage is dynamic and based on cost leadership and differentiation, whereas a lot of the competition is not that dynamic, and its gap is closed by incremental adaptation, as is the case with Ford.</w:t>
      </w:r>
    </w:p>
    <w:p w14:paraId="599CF580" w14:textId="77777777" w:rsidR="001B7BF6" w:rsidRPr="000D03A7" w:rsidRDefault="001B7BF6" w:rsidP="001B7BF6">
      <w:pPr>
        <w:pStyle w:val="Heading1"/>
      </w:pPr>
      <w:bookmarkStart w:id="24" w:name="_c3xehb3wvyi7" w:colFirst="0" w:colLast="0"/>
      <w:bookmarkStart w:id="25" w:name="_Toc225279783"/>
      <w:bookmarkEnd w:id="24"/>
      <w:r w:rsidRPr="000D03A7">
        <w:t>4. Conclusion</w:t>
      </w:r>
      <w:bookmarkEnd w:id="25"/>
      <w:r w:rsidRPr="000D03A7">
        <w:t xml:space="preserve"> </w:t>
      </w:r>
    </w:p>
    <w:p w14:paraId="75831001" w14:textId="77777777" w:rsidR="001B7BF6" w:rsidRPr="000D03A7" w:rsidRDefault="001B7BF6" w:rsidP="001B7BF6">
      <w:r w:rsidRPr="000D03A7">
        <w:t>Through the analysis, it can be seen that the force of macro marketing creates disparities in the strategic implications of pioneering and follower organisations in the EV industry. Task 1 determined that political, legal and competitive drivers present enormous opportunities to Tesla, especially with the credit monetisation of regulations and good positioning in the industry. These forces, on the contrary, have financial and operational constraints on Ford, and that is why it is in a state of transition and has structural limitations.</w:t>
      </w:r>
    </w:p>
    <w:p w14:paraId="4009F4C5" w14:textId="77777777" w:rsidR="001B7BF6" w:rsidRPr="000D03A7" w:rsidRDefault="001B7BF6" w:rsidP="001B7BF6">
      <w:r w:rsidRPr="000D03A7">
        <w:t>Task 2 also demonstrated that Tesla follows an innovative approach, which is proactive and embraces cost leadership and differentiation strategies in maintaining its competitive advantage. Its capacity to translate the foreign threats into strategic chances strengthens its position in the market. In their turn, strategic responses of Ford can be described as thoughtful adaptation, where it capitalises on brand equity and addresses significant financial risks related to EV conversion.</w:t>
      </w:r>
    </w:p>
    <w:p w14:paraId="58FFED86" w14:textId="77777777" w:rsidR="001B7BF6" w:rsidRPr="000D03A7" w:rsidRDefault="001B7BF6" w:rsidP="001B7BF6">
      <w:r w:rsidRPr="000D03A7">
        <w:t>This data underscores why it is so strategic to conduct constant environmental scanning in dynamic industries. By predicting and influencing the macro-environment, the firms will be able to gain a sustainable competitive advantage. On the contrary, organisations that have a reactive approach are restricted in such a way that they limit their strategic flexibility and performance over time.</w:t>
      </w:r>
    </w:p>
    <w:p w14:paraId="6D482437" w14:textId="77777777" w:rsidR="001B7BF6" w:rsidRPr="000D03A7" w:rsidRDefault="001B7BF6" w:rsidP="001B7BF6">
      <w:r w:rsidRPr="000D03A7">
        <w:t>All in all, in the report, it is indicated that strategic marketing management involves more than merely understanding what is taking place outside and being able to turn that into action and differentiated strategies.</w:t>
      </w:r>
      <w:bookmarkStart w:id="26" w:name="_bk7ls82pwaao" w:colFirst="0" w:colLast="0"/>
      <w:bookmarkEnd w:id="26"/>
    </w:p>
    <w:p w14:paraId="0C03752D" w14:textId="77777777" w:rsidR="00A60998" w:rsidRPr="000D03A7" w:rsidRDefault="00A60998" w:rsidP="00A60998">
      <w:pPr>
        <w:pStyle w:val="Heading1"/>
      </w:pPr>
      <w:bookmarkStart w:id="27" w:name="_Toc225279784"/>
      <w:r w:rsidRPr="000D03A7">
        <w:t>5. Reference List</w:t>
      </w:r>
      <w:bookmarkEnd w:id="27"/>
    </w:p>
    <w:p w14:paraId="7BB304CE" w14:textId="77777777" w:rsidR="00A60998" w:rsidRPr="000D03A7" w:rsidRDefault="00A60998" w:rsidP="00A60998">
      <w:pPr>
        <w:spacing w:before="240" w:after="240"/>
      </w:pPr>
      <w:r w:rsidRPr="000D03A7">
        <w:t xml:space="preserve">Abratt, R. and Bendixen, M., (2018). Strategic marketing: Concepts and cases. Routledge. Available at: </w:t>
      </w:r>
      <w:hyperlink r:id="rId11">
        <w:r w:rsidRPr="000D03A7">
          <w:rPr>
            <w:color w:val="1155CC"/>
            <w:u w:val="single"/>
          </w:rPr>
          <w:t>https://api.taylorfrancis.com/content/books/mono/download?identifierName=doi&amp;identifierValue=10.4324/9780429489327&amp;type=googlepdf</w:t>
        </w:r>
      </w:hyperlink>
      <w:r w:rsidRPr="000D03A7">
        <w:t>. (Accessed: 24 March 2026).</w:t>
      </w:r>
    </w:p>
    <w:p w14:paraId="1DCC3B4A" w14:textId="77777777" w:rsidR="00A60998" w:rsidRPr="000D03A7" w:rsidRDefault="00A60998" w:rsidP="00A60998">
      <w:pPr>
        <w:spacing w:before="240" w:after="240"/>
      </w:pPr>
      <w:r w:rsidRPr="000D03A7">
        <w:t xml:space="preserve">Adekoya, D.O., (2024). Leveraging SWOT Analysis for Effective Electric Vehicle Marketing: A Literature Review. </w:t>
      </w:r>
      <w:r w:rsidRPr="000D03A7">
        <w:rPr>
          <w:i/>
          <w:iCs/>
        </w:rPr>
        <w:t>Journal of Business, Innovation and Sustainability (JBIS)</w:t>
      </w:r>
      <w:r w:rsidRPr="000D03A7">
        <w:t xml:space="preserve">, </w:t>
      </w:r>
      <w:r w:rsidRPr="000D03A7">
        <w:rPr>
          <w:i/>
          <w:iCs/>
        </w:rPr>
        <w:t>19</w:t>
      </w:r>
      <w:r w:rsidRPr="000D03A7">
        <w:t>(4). Available at:</w:t>
      </w:r>
      <w:hyperlink r:id="rId12">
        <w:r w:rsidRPr="000D03A7">
          <w:t xml:space="preserve"> </w:t>
        </w:r>
      </w:hyperlink>
      <w:hyperlink r:id="rId13">
        <w:r w:rsidRPr="000D03A7">
          <w:rPr>
            <w:color w:val="1155CC"/>
            <w:u w:val="single"/>
          </w:rPr>
          <w:t>https://so02.tci-thaijo.org/index.php/BECJournal/article/download/269013/183334</w:t>
        </w:r>
      </w:hyperlink>
      <w:r w:rsidRPr="000D03A7">
        <w:t xml:space="preserve">  (Accessed: 24 March 2026).</w:t>
      </w:r>
    </w:p>
    <w:p w14:paraId="3F0B4174" w14:textId="77777777" w:rsidR="00A60998" w:rsidRPr="000D03A7" w:rsidRDefault="00A60998" w:rsidP="00A60998">
      <w:pPr>
        <w:spacing w:before="240" w:after="240"/>
      </w:pPr>
      <w:r w:rsidRPr="000D03A7">
        <w:t xml:space="preserve">Annual Report, (2024). </w:t>
      </w:r>
      <w:r w:rsidRPr="000D03A7">
        <w:rPr>
          <w:i/>
          <w:iCs/>
        </w:rPr>
        <w:t>Ford Motor Company.</w:t>
      </w:r>
      <w:r w:rsidRPr="000D03A7">
        <w:t xml:space="preserve"> Available at:</w:t>
      </w:r>
      <w:hyperlink r:id="rId14">
        <w:r w:rsidRPr="000D03A7">
          <w:t xml:space="preserve"> </w:t>
        </w:r>
      </w:hyperlink>
      <w:hyperlink r:id="rId15">
        <w:r w:rsidRPr="000D03A7">
          <w:rPr>
            <w:color w:val="1155CC"/>
            <w:u w:val="single"/>
          </w:rPr>
          <w:t>https://www.annualreports.com/Company/ford-motor-company</w:t>
        </w:r>
      </w:hyperlink>
      <w:r w:rsidRPr="000D03A7">
        <w:t xml:space="preserve">. [Accessed 24 March 2026]. </w:t>
      </w:r>
    </w:p>
    <w:p w14:paraId="2DDAC221" w14:textId="77777777" w:rsidR="00A60998" w:rsidRPr="000D03A7" w:rsidRDefault="00A60998" w:rsidP="00A60998">
      <w:pPr>
        <w:spacing w:before="240" w:after="240"/>
      </w:pPr>
      <w:r w:rsidRPr="000D03A7">
        <w:t xml:space="preserve">Annual Report, (2024a). </w:t>
      </w:r>
      <w:r w:rsidRPr="000D03A7">
        <w:rPr>
          <w:i/>
          <w:iCs/>
        </w:rPr>
        <w:t>Tesla Inc. Company.</w:t>
      </w:r>
      <w:r w:rsidRPr="000D03A7">
        <w:t xml:space="preserve"> Available at:</w:t>
      </w:r>
      <w:hyperlink r:id="rId16">
        <w:r w:rsidRPr="000D03A7">
          <w:t xml:space="preserve"> </w:t>
        </w:r>
      </w:hyperlink>
      <w:hyperlink r:id="rId17">
        <w:r w:rsidRPr="000D03A7">
          <w:rPr>
            <w:color w:val="1155CC"/>
            <w:u w:val="single"/>
          </w:rPr>
          <w:t>https://www.annualreports.com/Company/tesla-inc</w:t>
        </w:r>
      </w:hyperlink>
      <w:r w:rsidRPr="000D03A7">
        <w:t>.  [Accessed 24 March 2026].</w:t>
      </w:r>
    </w:p>
    <w:p w14:paraId="3C562E4D" w14:textId="77777777" w:rsidR="00A60998" w:rsidRPr="000D03A7" w:rsidRDefault="00A60998" w:rsidP="00A60998">
      <w:pPr>
        <w:spacing w:before="240" w:after="240"/>
        <w:rPr>
          <w:color w:val="1155CC"/>
          <w:u w:val="single"/>
        </w:rPr>
      </w:pPr>
      <w:r w:rsidRPr="000D03A7">
        <w:t xml:space="preserve">Babaei, M.H. and Wong, S.D., (2025). Electric vehicles in emergencies and evacuations: a review of resilience and future research directions. </w:t>
      </w:r>
      <w:r w:rsidRPr="000D03A7">
        <w:rPr>
          <w:i/>
          <w:iCs/>
        </w:rPr>
        <w:t>Transportation Letters</w:t>
      </w:r>
      <w:r w:rsidRPr="000D03A7">
        <w:t xml:space="preserve">, </w:t>
      </w:r>
      <w:r w:rsidRPr="000D03A7">
        <w:rPr>
          <w:i/>
          <w:iCs/>
        </w:rPr>
        <w:t>17</w:t>
      </w:r>
      <w:r w:rsidRPr="000D03A7">
        <w:t>(6), pp.1101-1113.</w:t>
      </w:r>
      <w:hyperlink r:id="rId18">
        <w:r w:rsidRPr="000D03A7">
          <w:t xml:space="preserve"> </w:t>
        </w:r>
      </w:hyperlink>
      <w:hyperlink r:id="rId19">
        <w:r w:rsidRPr="000D03A7">
          <w:rPr>
            <w:color w:val="1155CC"/>
            <w:u w:val="single"/>
          </w:rPr>
          <w:t>https://www.tandfonline.com/doi/pdf/10.1080/19427867.2024.2415753</w:t>
        </w:r>
      </w:hyperlink>
    </w:p>
    <w:p w14:paraId="513B104C" w14:textId="77777777" w:rsidR="00A60998" w:rsidRPr="000D03A7" w:rsidRDefault="00A60998" w:rsidP="00A60998">
      <w:pPr>
        <w:spacing w:before="240" w:after="240"/>
      </w:pPr>
      <w:r w:rsidRPr="000D03A7">
        <w:t xml:space="preserve">Bagozzi, R.P., Rosa, J.A., Celly, K.S. and Coronel, F., (2018). </w:t>
      </w:r>
      <w:r w:rsidRPr="000D03A7">
        <w:rPr>
          <w:i/>
          <w:iCs/>
        </w:rPr>
        <w:t>Marketing-Management</w:t>
      </w:r>
      <w:r w:rsidRPr="000D03A7">
        <w:t>. Walter de Gruyter GmbH &amp; Co KG. Available at:</w:t>
      </w:r>
      <w:hyperlink r:id="rId20">
        <w:r w:rsidRPr="000D03A7">
          <w:t xml:space="preserve"> </w:t>
        </w:r>
      </w:hyperlink>
      <w:hyperlink r:id="rId21">
        <w:r w:rsidRPr="000D03A7">
          <w:rPr>
            <w:color w:val="1155CC"/>
            <w:u w:val="single"/>
          </w:rPr>
          <w:t>https://books.google.com/books?hl=en&amp;lr=&amp;id=vYRfDwAAQBAJ&amp;oi=fnd&amp;pg=PR5&amp;dq=Bagozzi,+R.P.,+Rosa,+J.A.,+Celly,+K.S.+and+Coronel,+F.+(2018).+Marketing-Management.+Walter+de+Gruyter+GmbH+%26+Co+KG.&amp;ots=iXF7FCbeET&amp;sig=oJCvxufhYWKJLY6PEta8d1OsiDc</w:t>
        </w:r>
      </w:hyperlink>
      <w:r w:rsidRPr="000D03A7">
        <w:t xml:space="preserve"> (Accessed: 24 March 2026).</w:t>
      </w:r>
    </w:p>
    <w:p w14:paraId="61ED02A8" w14:textId="77777777" w:rsidR="00A60998" w:rsidRPr="000D03A7" w:rsidRDefault="00A60998" w:rsidP="00A60998">
      <w:pPr>
        <w:spacing w:before="240" w:after="240"/>
      </w:pPr>
      <w:r w:rsidRPr="000D03A7">
        <w:t xml:space="preserve">Barroso, S., Castro, G., Corrêa, M., Godinho, R.S., Niemann, L., Rocha, R. and Barbosa, B., (2023). Blockchain in Supply Chain Management: A Case Study in the Automotive Industry. In </w:t>
      </w:r>
      <w:r w:rsidRPr="000D03A7">
        <w:rPr>
          <w:i/>
          <w:iCs/>
        </w:rPr>
        <w:t>Integrating Intelligence and Sustainability in Supply Chains</w:t>
      </w:r>
      <w:r w:rsidRPr="000D03A7">
        <w:t xml:space="preserve"> (pp. 106-125). IGI Global. Available at:</w:t>
      </w:r>
      <w:hyperlink r:id="rId22">
        <w:r w:rsidRPr="000D03A7">
          <w:t xml:space="preserve"> </w:t>
        </w:r>
      </w:hyperlink>
      <w:hyperlink r:id="rId23">
        <w:r w:rsidRPr="000D03A7">
          <w:rPr>
            <w:color w:val="1155CC"/>
            <w:u w:val="single"/>
          </w:rPr>
          <w:t>https://www.igi-global.com/viewtitle.aspx?titleid=331982</w:t>
        </w:r>
      </w:hyperlink>
      <w:r w:rsidRPr="000D03A7">
        <w:t xml:space="preserve"> (Accessed: 24 March 2026).</w:t>
      </w:r>
    </w:p>
    <w:p w14:paraId="5C8BD912" w14:textId="77777777" w:rsidR="00A60998" w:rsidRPr="000D03A7" w:rsidRDefault="00A60998" w:rsidP="00A60998">
      <w:pPr>
        <w:spacing w:before="240" w:after="240"/>
      </w:pPr>
      <w:r w:rsidRPr="000D03A7">
        <w:t xml:space="preserve">Berry, I.S., (2023). </w:t>
      </w:r>
      <w:r w:rsidRPr="000D03A7">
        <w:rPr>
          <w:i/>
          <w:iCs/>
        </w:rPr>
        <w:t>Mythologies of the EV truck: A semiotic analysis of the first mass-produced electric trucks in the United States</w:t>
      </w:r>
      <w:r w:rsidRPr="000D03A7">
        <w:t xml:space="preserve">. North Dakota State University. Available </w:t>
      </w:r>
      <w:r w:rsidRPr="000D03A7">
        <w:lastRenderedPageBreak/>
        <w:t>at:</w:t>
      </w:r>
      <w:hyperlink r:id="rId24">
        <w:r w:rsidRPr="000D03A7">
          <w:t xml:space="preserve"> </w:t>
        </w:r>
      </w:hyperlink>
      <w:hyperlink r:id="rId25">
        <w:r w:rsidRPr="000D03A7">
          <w:rPr>
            <w:color w:val="1155CC"/>
            <w:u w:val="single"/>
          </w:rPr>
          <w:t>https://search.proquest.com/openview/fd1d1ab7526d404ffb5eebc2885bff58/1?pq-origsite=gscholar&amp;cbl=18750&amp;diss=y</w:t>
        </w:r>
      </w:hyperlink>
      <w:r w:rsidRPr="000D03A7">
        <w:t xml:space="preserve"> (Accessed: 24 March 2026).</w:t>
      </w:r>
    </w:p>
    <w:p w14:paraId="7C1372E8" w14:textId="77777777" w:rsidR="00A60998" w:rsidRPr="000D03A7" w:rsidRDefault="00A60998" w:rsidP="00A60998">
      <w:pPr>
        <w:spacing w:before="240" w:after="200"/>
      </w:pPr>
      <w:r w:rsidRPr="000D03A7">
        <w:t xml:space="preserve">Giménez, M.C., (2022). Case Study: A Five Year Business Strategic Plan for Tesla. Available at: </w:t>
      </w:r>
      <w:hyperlink r:id="rId26">
        <w:r w:rsidRPr="000D03A7">
          <w:rPr>
            <w:color w:val="1155CC"/>
            <w:u w:val="single"/>
          </w:rPr>
          <w:t xml:space="preserve"> https://www.researchgate.net/profile/Maurizio-Casalino/publication/362657395_Case_Study_A_Five_Year_Business_Strategic_Plan_for_Tesla_Module_Principles_of_Management/links/62f699f1c6f6732999c6a2cb/Case-Study-A-Five-Year-Business-Strategic-Plan-for-Tesla-Module-Principles-of-Management.pdf</w:t>
        </w:r>
      </w:hyperlink>
      <w:r w:rsidRPr="000D03A7">
        <w:t xml:space="preserve"> (Accessed: 24 March 2026).</w:t>
      </w:r>
    </w:p>
    <w:p w14:paraId="112C39A7" w14:textId="77777777" w:rsidR="00A60998" w:rsidRPr="000D03A7" w:rsidRDefault="00A60998" w:rsidP="00A60998">
      <w:pPr>
        <w:spacing w:before="240" w:after="240"/>
      </w:pPr>
      <w:r w:rsidRPr="000D03A7">
        <w:t xml:space="preserve">Katie Gilstrap, M.B.A., (2026). –Strategic Planning. </w:t>
      </w:r>
      <w:r w:rsidRPr="000D03A7">
        <w:rPr>
          <w:i/>
          <w:iCs/>
        </w:rPr>
        <w:t>Marketing Principles From The River City</w:t>
      </w:r>
      <w:r w:rsidRPr="000D03A7">
        <w:t>. Available at:</w:t>
      </w:r>
      <w:hyperlink r:id="rId27">
        <w:r w:rsidRPr="000D03A7">
          <w:t xml:space="preserve"> </w:t>
        </w:r>
      </w:hyperlink>
      <w:hyperlink r:id="rId28">
        <w:r w:rsidRPr="000D03A7">
          <w:rPr>
            <w:color w:val="1155CC"/>
            <w:u w:val="single"/>
          </w:rPr>
          <w:t>https://pressbooks.library.vcu.edu/marketingprinciples/chapter/chapter-5-strategic-planning/</w:t>
        </w:r>
      </w:hyperlink>
      <w:r w:rsidRPr="000D03A7">
        <w:t xml:space="preserve"> (Accessed: 24 March 2026).</w:t>
      </w:r>
    </w:p>
    <w:p w14:paraId="68AC6972" w14:textId="77777777" w:rsidR="00A60998" w:rsidRPr="000D03A7" w:rsidRDefault="00A60998" w:rsidP="00A60998">
      <w:pPr>
        <w:spacing w:before="240" w:after="240"/>
      </w:pPr>
      <w:r w:rsidRPr="000D03A7">
        <w:t xml:space="preserve">Levchenko, N. and Yanchuk, T., (2024). Strategy for increasing the competitiveness of the Tesla electric vehicle. </w:t>
      </w:r>
      <w:r w:rsidRPr="000D03A7">
        <w:rPr>
          <w:i/>
          <w:iCs/>
        </w:rPr>
        <w:t>Three Seas Economic Journal</w:t>
      </w:r>
      <w:r w:rsidRPr="000D03A7">
        <w:t xml:space="preserve">, </w:t>
      </w:r>
      <w:r w:rsidRPr="000D03A7">
        <w:rPr>
          <w:i/>
          <w:iCs/>
        </w:rPr>
        <w:t>5</w:t>
      </w:r>
      <w:r w:rsidRPr="000D03A7">
        <w:t>(2), pp.7-13. Available at:</w:t>
      </w:r>
      <w:hyperlink r:id="rId29">
        <w:r w:rsidRPr="000D03A7">
          <w:t xml:space="preserve"> </w:t>
        </w:r>
      </w:hyperlink>
      <w:hyperlink r:id="rId30">
        <w:r w:rsidRPr="000D03A7">
          <w:rPr>
            <w:color w:val="1155CC"/>
            <w:u w:val="single"/>
          </w:rPr>
          <w:t>http://www.baltijapublishing.lv/index.php/threeseas/article/download/2471/2464</w:t>
        </w:r>
      </w:hyperlink>
      <w:r w:rsidRPr="000D03A7">
        <w:t xml:space="preserve"> (Accessed: 24 March 2026).</w:t>
      </w:r>
    </w:p>
    <w:p w14:paraId="395639F1" w14:textId="77777777" w:rsidR="00A60998" w:rsidRPr="000D03A7" w:rsidRDefault="00A60998" w:rsidP="00A60998">
      <w:pPr>
        <w:spacing w:before="240" w:after="240"/>
      </w:pPr>
      <w:r w:rsidRPr="000D03A7">
        <w:t xml:space="preserve">Li, W., Yang, S., Chen, Y., Li, C. and Wang, Z., (2023). Tesla valves and capillary structures-activated thermal regulator. </w:t>
      </w:r>
      <w:r w:rsidRPr="000D03A7">
        <w:rPr>
          <w:i/>
          <w:iCs/>
        </w:rPr>
        <w:t>Nature communications</w:t>
      </w:r>
      <w:r w:rsidRPr="000D03A7">
        <w:t xml:space="preserve">, </w:t>
      </w:r>
      <w:r w:rsidRPr="000D03A7">
        <w:rPr>
          <w:i/>
          <w:iCs/>
        </w:rPr>
        <w:t>14</w:t>
      </w:r>
      <w:r w:rsidRPr="000D03A7">
        <w:t>(1), p.3996. Available at:</w:t>
      </w:r>
      <w:hyperlink r:id="rId31">
        <w:r w:rsidRPr="000D03A7">
          <w:t xml:space="preserve"> </w:t>
        </w:r>
      </w:hyperlink>
      <w:hyperlink r:id="rId32">
        <w:r w:rsidRPr="000D03A7">
          <w:rPr>
            <w:color w:val="1155CC"/>
            <w:u w:val="single"/>
          </w:rPr>
          <w:t>https://www.nature.com/articles/s41467-023-39289-5.pdf</w:t>
        </w:r>
      </w:hyperlink>
      <w:r w:rsidRPr="000D03A7">
        <w:t xml:space="preserve"> (Accessed: 24 March 2026).</w:t>
      </w:r>
    </w:p>
    <w:p w14:paraId="3BF9B23C" w14:textId="77777777" w:rsidR="00A60998" w:rsidRPr="000D03A7" w:rsidRDefault="00A60998" w:rsidP="00A60998">
      <w:pPr>
        <w:spacing w:before="240" w:after="240"/>
      </w:pPr>
      <w:r w:rsidRPr="000D03A7">
        <w:t xml:space="preserve">Liu, J., (2022), December. Research on the Tesla's Business Model Analysis. In </w:t>
      </w:r>
      <w:r w:rsidRPr="000D03A7">
        <w:rPr>
          <w:i/>
          <w:iCs/>
        </w:rPr>
        <w:t>2022 4th International Conference on Economic Management and Cultural Industry (ICEMCI 2022)</w:t>
      </w:r>
      <w:r w:rsidRPr="000D03A7">
        <w:t xml:space="preserve"> (pp. 828-835). Atlantis Press. Available at:</w:t>
      </w:r>
      <w:hyperlink r:id="rId33">
        <w:r w:rsidRPr="000D03A7">
          <w:t xml:space="preserve"> </w:t>
        </w:r>
      </w:hyperlink>
      <w:hyperlink r:id="rId34">
        <w:r w:rsidRPr="000D03A7">
          <w:rPr>
            <w:color w:val="1155CC"/>
            <w:u w:val="single"/>
          </w:rPr>
          <w:t>https://www.atlantis-press.com/article/125981279.pdf</w:t>
        </w:r>
      </w:hyperlink>
      <w:r w:rsidRPr="000D03A7">
        <w:t xml:space="preserve">  (Accessed: 24 March 2026).</w:t>
      </w:r>
    </w:p>
    <w:p w14:paraId="75377FE9" w14:textId="77777777" w:rsidR="00A60998" w:rsidRPr="000D03A7" w:rsidRDefault="00A60998" w:rsidP="00A60998">
      <w:pPr>
        <w:spacing w:before="240" w:after="240"/>
      </w:pPr>
      <w:r w:rsidRPr="000D03A7">
        <w:t xml:space="preserve">Liu, X. and Zhou, Y., (2025). The Impact of Strategic Corporate Social Responsibility on Organizational Resilience—An Exploratory Case Study Based on Tesla. </w:t>
      </w:r>
      <w:r w:rsidRPr="000D03A7">
        <w:rPr>
          <w:i/>
          <w:iCs/>
        </w:rPr>
        <w:t>Administrative Sciences</w:t>
      </w:r>
      <w:r w:rsidRPr="000D03A7">
        <w:t xml:space="preserve">, </w:t>
      </w:r>
      <w:r w:rsidRPr="000D03A7">
        <w:rPr>
          <w:i/>
          <w:iCs/>
        </w:rPr>
        <w:t>15</w:t>
      </w:r>
      <w:r w:rsidRPr="000D03A7">
        <w:t>(6), p.212. Available at:</w:t>
      </w:r>
      <w:hyperlink r:id="rId35">
        <w:r w:rsidRPr="000D03A7">
          <w:t xml:space="preserve"> </w:t>
        </w:r>
      </w:hyperlink>
      <w:hyperlink r:id="rId36">
        <w:r w:rsidRPr="000D03A7">
          <w:rPr>
            <w:color w:val="1155CC"/>
            <w:u w:val="single"/>
          </w:rPr>
          <w:t>https://www.mdpi.com/2076-3387/15/6/212</w:t>
        </w:r>
      </w:hyperlink>
      <w:r w:rsidRPr="000D03A7">
        <w:t xml:space="preserve"> (Accessed: 24 March 2026).</w:t>
      </w:r>
    </w:p>
    <w:p w14:paraId="6D32FEDC" w14:textId="77777777" w:rsidR="00A60998" w:rsidRPr="000D03A7" w:rsidRDefault="00A60998" w:rsidP="00A60998">
      <w:pPr>
        <w:spacing w:before="240" w:after="240"/>
      </w:pPr>
      <w:r w:rsidRPr="000D03A7">
        <w:lastRenderedPageBreak/>
        <w:t xml:space="preserve">Liu, Y., Shen, Y., Zhang, L. and Zhang, Y., (2022), December. A comprehensive analysis of Tesla. In </w:t>
      </w:r>
      <w:r w:rsidRPr="000D03A7">
        <w:rPr>
          <w:i/>
          <w:iCs/>
        </w:rPr>
        <w:t>2022 2nd International Conference on Financial Management and Economic Transition (FMET 2022)</w:t>
      </w:r>
      <w:r w:rsidRPr="000D03A7">
        <w:t xml:space="preserve"> (pp. 344-356). Atlantis Press. Available at:</w:t>
      </w:r>
      <w:hyperlink r:id="rId37">
        <w:r w:rsidRPr="000D03A7">
          <w:t xml:space="preserve"> </w:t>
        </w:r>
      </w:hyperlink>
      <w:hyperlink r:id="rId38">
        <w:r w:rsidRPr="000D03A7">
          <w:rPr>
            <w:color w:val="1155CC"/>
            <w:u w:val="single"/>
          </w:rPr>
          <w:t>https://www.atlantis-press.com/article/125978296.pdf</w:t>
        </w:r>
      </w:hyperlink>
      <w:r w:rsidRPr="000D03A7">
        <w:t xml:space="preserve"> (Accessed: 24 March 2026).</w:t>
      </w:r>
    </w:p>
    <w:p w14:paraId="58682971" w14:textId="77777777" w:rsidR="00A60998" w:rsidRPr="000D03A7" w:rsidRDefault="00A60998" w:rsidP="00A60998">
      <w:pPr>
        <w:spacing w:before="240" w:after="240"/>
      </w:pPr>
      <w:r w:rsidRPr="000D03A7">
        <w:t>Palmié, M., Miehé, L., Mair, J. and Wincent, J., (2024). Valuation entrepreneurship through product</w:t>
      </w:r>
      <w:r w:rsidRPr="000D03A7">
        <w:rPr>
          <w:rFonts w:ascii="Cambria Math" w:hAnsi="Cambria Math" w:cs="Cambria Math"/>
        </w:rPr>
        <w:t>‐</w:t>
      </w:r>
      <w:r w:rsidRPr="000D03A7">
        <w:t>design and blame</w:t>
      </w:r>
      <w:r w:rsidRPr="000D03A7">
        <w:rPr>
          <w:rFonts w:ascii="Cambria Math" w:hAnsi="Cambria Math" w:cs="Cambria Math"/>
        </w:rPr>
        <w:t>‐</w:t>
      </w:r>
      <w:r w:rsidRPr="000D03A7">
        <w:t xml:space="preserve">avoidance strategies: How Tesla managed to change the public perception of sustainable innovations. </w:t>
      </w:r>
      <w:r w:rsidRPr="000D03A7">
        <w:rPr>
          <w:i/>
          <w:iCs/>
        </w:rPr>
        <w:t>Journal of Product Innovation Management</w:t>
      </w:r>
      <w:r w:rsidRPr="000D03A7">
        <w:t xml:space="preserve">, </w:t>
      </w:r>
      <w:r w:rsidRPr="000D03A7">
        <w:rPr>
          <w:i/>
          <w:iCs/>
        </w:rPr>
        <w:t>41</w:t>
      </w:r>
      <w:r w:rsidRPr="000D03A7">
        <w:t>(3), pp.644-676. Available at:</w:t>
      </w:r>
      <w:hyperlink r:id="rId39">
        <w:r w:rsidRPr="000D03A7">
          <w:t xml:space="preserve"> </w:t>
        </w:r>
      </w:hyperlink>
      <w:hyperlink r:id="rId40">
        <w:r w:rsidRPr="000D03A7">
          <w:rPr>
            <w:color w:val="1155CC"/>
            <w:u w:val="single"/>
          </w:rPr>
          <w:t>https://onlinelibrary.wiley.com/doi/pdf/10.1111/jpim.12732</w:t>
        </w:r>
      </w:hyperlink>
      <w:r w:rsidRPr="000D03A7">
        <w:t xml:space="preserve">  (Accessed: 24 March 2026).</w:t>
      </w:r>
    </w:p>
    <w:p w14:paraId="2F0AC711" w14:textId="77777777" w:rsidR="00A60998" w:rsidRPr="000D03A7" w:rsidRDefault="00A60998" w:rsidP="00A60998">
      <w:pPr>
        <w:spacing w:before="240" w:after="240"/>
      </w:pPr>
      <w:r w:rsidRPr="000D03A7">
        <w:t xml:space="preserve">Pellegrino, A., (2024). Evolution of Marketing. In </w:t>
      </w:r>
      <w:r w:rsidRPr="000D03A7">
        <w:rPr>
          <w:i/>
          <w:iCs/>
        </w:rPr>
        <w:t>Decoding Digital Consumer Behavior: Bridging Theory and Practice</w:t>
      </w:r>
      <w:r w:rsidRPr="000D03A7">
        <w:t xml:space="preserve"> (pp. 1-13). Singapore: Springer Nature Singapore. Available at:</w:t>
      </w:r>
      <w:hyperlink r:id="rId41">
        <w:r w:rsidRPr="000D03A7">
          <w:t xml:space="preserve"> </w:t>
        </w:r>
      </w:hyperlink>
      <w:hyperlink r:id="rId42">
        <w:r w:rsidRPr="000D03A7">
          <w:rPr>
            <w:color w:val="1155CC"/>
            <w:u w:val="single"/>
          </w:rPr>
          <w:t>https://link.springer.com/chapter/10.1007/978-981-97-3454-2_1</w:t>
        </w:r>
      </w:hyperlink>
      <w:r w:rsidRPr="000D03A7">
        <w:t xml:space="preserve"> (Accessed: 24 March 2026).</w:t>
      </w:r>
    </w:p>
    <w:p w14:paraId="4B83AA0C" w14:textId="77777777" w:rsidR="00A60998" w:rsidRPr="000D03A7" w:rsidRDefault="00A60998" w:rsidP="00A60998">
      <w:pPr>
        <w:spacing w:before="240" w:after="240"/>
      </w:pPr>
      <w:r w:rsidRPr="000D03A7">
        <w:t xml:space="preserve">Shen, Y.L.Y., Zhang, L. and Zhang, Y., (2023), February. A Comprehensive Analysis of Tesla. In </w:t>
      </w:r>
      <w:r w:rsidRPr="000D03A7">
        <w:rPr>
          <w:i/>
          <w:iCs/>
        </w:rPr>
        <w:t>Proceedings of the 2022 2nd International Conference on Financial Management and Economic Transition (FMET 2022)</w:t>
      </w:r>
      <w:r w:rsidRPr="000D03A7">
        <w:t xml:space="preserve"> (p. 344). Springer Nature. Available at:</w:t>
      </w:r>
      <w:hyperlink r:id="rId43">
        <w:r w:rsidRPr="000D03A7">
          <w:t xml:space="preserve"> </w:t>
        </w:r>
      </w:hyperlink>
      <w:hyperlink r:id="rId44">
        <w:r w:rsidRPr="000D03A7">
          <w:rPr>
            <w:color w:val="1155CC"/>
            <w:u w:val="single"/>
          </w:rPr>
          <w:t>https://books.google.com/books?hl=en&amp;lr=&amp;id=l_ChEAAAQBAJ&amp;oi=fnd&amp;pg=PA344&amp;dq=Porter%E2%80%99s+Five+Forces+for+Tesla&amp;ots=WbQB22kYZ4&amp;sig=KRw8qhRwe4np6oa9bNk-IhOzXiE</w:t>
        </w:r>
      </w:hyperlink>
      <w:r w:rsidRPr="000D03A7">
        <w:t xml:space="preserve"> (Accessed: 24 March 2026).</w:t>
      </w:r>
    </w:p>
    <w:p w14:paraId="151F6428" w14:textId="77777777" w:rsidR="00A60998" w:rsidRPr="000D03A7" w:rsidRDefault="00A60998" w:rsidP="00A60998">
      <w:pPr>
        <w:spacing w:before="240" w:after="240"/>
      </w:pPr>
      <w:r w:rsidRPr="000D03A7">
        <w:t xml:space="preserve">Sun, L. and Yang, Q., (2025). Strategic Synergy between Financial Leverage and Technological Innovation: Analysing BYD's Competitive Edge in the Global EV Market: A Mixed-Methods Study Integrating Porter's Five Forces Analysis with a Financial Strategy Matrix (2018--2024). </w:t>
      </w:r>
      <w:r w:rsidRPr="000D03A7">
        <w:rPr>
          <w:i/>
          <w:iCs/>
        </w:rPr>
        <w:t>Financial Economics Research</w:t>
      </w:r>
      <w:r w:rsidRPr="000D03A7">
        <w:t xml:space="preserve">, </w:t>
      </w:r>
      <w:r w:rsidRPr="000D03A7">
        <w:rPr>
          <w:i/>
          <w:iCs/>
        </w:rPr>
        <w:t>2</w:t>
      </w:r>
      <w:r w:rsidRPr="000D03A7">
        <w:t>(1), pp.57-66. Available at:</w:t>
      </w:r>
      <w:hyperlink r:id="rId45">
        <w:r w:rsidRPr="000D03A7">
          <w:t xml:space="preserve"> </w:t>
        </w:r>
      </w:hyperlink>
      <w:hyperlink r:id="rId46">
        <w:r w:rsidRPr="000D03A7">
          <w:rPr>
            <w:color w:val="1155CC"/>
            <w:u w:val="single"/>
          </w:rPr>
          <w:t>https://journals.zeuspress.org/index.php/FER/article/download/214/195</w:t>
        </w:r>
      </w:hyperlink>
      <w:r w:rsidRPr="000D03A7">
        <w:t xml:space="preserve">  (Accessed: 24 March 2026).</w:t>
      </w:r>
    </w:p>
    <w:p w14:paraId="7052052E" w14:textId="77777777" w:rsidR="00A60998" w:rsidRPr="000D03A7" w:rsidRDefault="00A60998" w:rsidP="00A60998">
      <w:pPr>
        <w:spacing w:before="240" w:after="240"/>
      </w:pPr>
      <w:r w:rsidRPr="000D03A7">
        <w:t xml:space="preserve">Susanto, M. and Ellitan, L., (2024). Unveiling the tesla touch in supply chain effectiveness. </w:t>
      </w:r>
      <w:r w:rsidRPr="000D03A7">
        <w:rPr>
          <w:i/>
          <w:iCs/>
        </w:rPr>
        <w:t>Int J Res</w:t>
      </w:r>
      <w:r w:rsidRPr="000D03A7">
        <w:t xml:space="preserve">, </w:t>
      </w:r>
      <w:r w:rsidRPr="000D03A7">
        <w:rPr>
          <w:i/>
          <w:iCs/>
        </w:rPr>
        <w:t>11</w:t>
      </w:r>
      <w:r w:rsidRPr="000D03A7">
        <w:t>, pp.71-90. Available at:</w:t>
      </w:r>
      <w:hyperlink r:id="rId47">
        <w:r w:rsidRPr="000D03A7">
          <w:t xml:space="preserve"> </w:t>
        </w:r>
      </w:hyperlink>
      <w:hyperlink r:id="rId48">
        <w:r w:rsidRPr="000D03A7">
          <w:rPr>
            <w:color w:val="1155CC"/>
            <w:u w:val="single"/>
          </w:rPr>
          <w:t>https://www.researchgate.net/profile/Lena-</w:t>
        </w:r>
        <w:r w:rsidRPr="000D03A7">
          <w:rPr>
            <w:color w:val="1155CC"/>
            <w:u w:val="single"/>
          </w:rPr>
          <w:lastRenderedPageBreak/>
          <w:t>Ellitan/publication/378141517_Unveiling_the_Tesla_Touch_in_Supply_Chain_Effectiveness/links/65c9650f790074549771ea14/Unveiling-the-Tesla-Touch-in-Supply-Chain-Effectiveness.pdf</w:t>
        </w:r>
      </w:hyperlink>
      <w:r w:rsidRPr="000D03A7">
        <w:t xml:space="preserve"> (Accessed: 24 March 2026).</w:t>
      </w:r>
    </w:p>
    <w:p w14:paraId="159DADD3" w14:textId="77777777" w:rsidR="00A60998" w:rsidRPr="000D03A7" w:rsidRDefault="00A60998" w:rsidP="00A60998">
      <w:pPr>
        <w:spacing w:before="240" w:after="240"/>
      </w:pPr>
      <w:r w:rsidRPr="000D03A7">
        <w:t xml:space="preserve">Sushil and Dhir, S., (2024). Learning about the external situation. In </w:t>
      </w:r>
      <w:r w:rsidRPr="000D03A7">
        <w:rPr>
          <w:i/>
          <w:iCs/>
        </w:rPr>
        <w:t>Strategic Management: Reflecting Strategic Flexibility, Innovation and Entrepreneurship</w:t>
      </w:r>
      <w:r w:rsidRPr="000D03A7">
        <w:t xml:space="preserve"> (pp. 131-151). Singapore: Springer Nature Singapore. Available at:</w:t>
      </w:r>
      <w:hyperlink r:id="rId49">
        <w:r w:rsidRPr="000D03A7">
          <w:t xml:space="preserve"> </w:t>
        </w:r>
      </w:hyperlink>
      <w:hyperlink r:id="rId50">
        <w:r w:rsidRPr="000D03A7">
          <w:rPr>
            <w:color w:val="1155CC"/>
            <w:u w:val="single"/>
          </w:rPr>
          <w:t>https://link.springer.com/chapter/10.1007/978-981-97-4788-7_8</w:t>
        </w:r>
      </w:hyperlink>
      <w:r w:rsidRPr="000D03A7">
        <w:t xml:space="preserve"> (Accessed: 24 March 2026).</w:t>
      </w:r>
    </w:p>
    <w:p w14:paraId="5D2231B8" w14:textId="77777777" w:rsidR="00A60998" w:rsidRPr="000D03A7" w:rsidRDefault="00A60998" w:rsidP="00A60998">
      <w:pPr>
        <w:spacing w:before="240" w:after="240"/>
      </w:pPr>
      <w:r w:rsidRPr="000D03A7">
        <w:t xml:space="preserve">Tuncalp, D., (2025). </w:t>
      </w:r>
      <w:r w:rsidRPr="000D03A7">
        <w:rPr>
          <w:i/>
          <w:iCs/>
        </w:rPr>
        <w:t>Revolution on Wheels: Navigating Ford’s Electrified Future</w:t>
      </w:r>
      <w:r w:rsidRPr="000D03A7">
        <w:t>. SAGE Publications: SAGE Business Cases Originals. Available at:</w:t>
      </w:r>
      <w:hyperlink r:id="rId51">
        <w:r w:rsidRPr="000D03A7">
          <w:t xml:space="preserve"> </w:t>
        </w:r>
      </w:hyperlink>
      <w:hyperlink r:id="rId52">
        <w:r w:rsidRPr="000D03A7">
          <w:rPr>
            <w:color w:val="1155CC"/>
            <w:u w:val="single"/>
          </w:rPr>
          <w:t>https://sk.sagepub.com/cases/embed/revolution-on-wheels-navigating-fords-electrified-future</w:t>
        </w:r>
      </w:hyperlink>
      <w:r w:rsidRPr="000D03A7">
        <w:t xml:space="preserve">  (Accessed: 24 March 2026).</w:t>
      </w:r>
    </w:p>
    <w:p w14:paraId="03DA5749" w14:textId="77777777" w:rsidR="00A60998" w:rsidRPr="000D03A7" w:rsidRDefault="00A60998" w:rsidP="00A60998">
      <w:pPr>
        <w:spacing w:before="240" w:after="240"/>
      </w:pPr>
      <w:r w:rsidRPr="000D03A7">
        <w:t xml:space="preserve">Xiao, Y., (2025). A Case-study on Tesla Inc. Based on the Value Chain Theory. </w:t>
      </w:r>
      <w:r w:rsidRPr="000D03A7">
        <w:rPr>
          <w:i/>
          <w:iCs/>
        </w:rPr>
        <w:t>Academic Journal of Business &amp; Management</w:t>
      </w:r>
      <w:r w:rsidRPr="000D03A7">
        <w:t xml:space="preserve">, </w:t>
      </w:r>
      <w:r w:rsidRPr="000D03A7">
        <w:rPr>
          <w:i/>
          <w:iCs/>
        </w:rPr>
        <w:t>7</w:t>
      </w:r>
      <w:r w:rsidRPr="000D03A7">
        <w:t>(10), pp.35-40. Available at:</w:t>
      </w:r>
      <w:hyperlink r:id="rId53">
        <w:r w:rsidRPr="000D03A7">
          <w:t xml:space="preserve"> </w:t>
        </w:r>
      </w:hyperlink>
      <w:hyperlink r:id="rId54">
        <w:r w:rsidRPr="000D03A7">
          <w:rPr>
            <w:color w:val="1155CC"/>
            <w:u w:val="single"/>
          </w:rPr>
          <w:t>https://francis-press.com/uploads/papers/jGqe9rYXp8PFC9zZlXBttXIYFZ69IyQ6eZ2tgps2.pdf</w:t>
        </w:r>
      </w:hyperlink>
      <w:r w:rsidRPr="000D03A7">
        <w:t xml:space="preserve">  (Accessed: 24 March 2026).</w:t>
      </w:r>
    </w:p>
    <w:p w14:paraId="6A532D29" w14:textId="77777777" w:rsidR="00A60998" w:rsidRPr="000D03A7" w:rsidRDefault="00A60998" w:rsidP="00A60998">
      <w:pPr>
        <w:spacing w:before="240" w:after="240"/>
      </w:pPr>
      <w:r w:rsidRPr="000D03A7">
        <w:t xml:space="preserve">Yang, X., (2022), July. Research on Tesla’s Market—Based on Porter’s Five Forces and Ratio Analysis Model. In </w:t>
      </w:r>
      <w:r w:rsidRPr="000D03A7">
        <w:rPr>
          <w:i/>
          <w:iCs/>
        </w:rPr>
        <w:t>2022 2nd International Conference on Enterprise Management and Economic Development (ICEMED 2022)</w:t>
      </w:r>
      <w:r w:rsidRPr="000D03A7">
        <w:t xml:space="preserve"> (pp. 773-777). Atlantis Press. Available at:</w:t>
      </w:r>
      <w:hyperlink r:id="rId55">
        <w:r w:rsidRPr="000D03A7">
          <w:t xml:space="preserve"> </w:t>
        </w:r>
      </w:hyperlink>
      <w:hyperlink r:id="rId56">
        <w:r w:rsidRPr="000D03A7">
          <w:rPr>
            <w:color w:val="1155CC"/>
            <w:u w:val="single"/>
          </w:rPr>
          <w:t>https://www.atlantis-press.com/article/125975532.pdf</w:t>
        </w:r>
      </w:hyperlink>
      <w:r w:rsidRPr="000D03A7">
        <w:t xml:space="preserve">  (Accessed: 24 March 2026).</w:t>
      </w:r>
    </w:p>
    <w:p w14:paraId="04FD7F26" w14:textId="682908A3" w:rsidR="00646406" w:rsidRPr="005F310C" w:rsidRDefault="00A60998" w:rsidP="005F310C">
      <w:pPr>
        <w:spacing w:before="240" w:after="240"/>
      </w:pPr>
      <w:r w:rsidRPr="000D03A7">
        <w:t xml:space="preserve">Zugay, B. and Zakaria, R., (2023). </w:t>
      </w:r>
      <w:r w:rsidRPr="000D03A7">
        <w:rPr>
          <w:i/>
          <w:iCs/>
        </w:rPr>
        <w:t>Ansoff matrix</w:t>
      </w:r>
      <w:r w:rsidRPr="000D03A7">
        <w:t>. SAGE Publications, Inc.. Available at:</w:t>
      </w:r>
      <w:hyperlink r:id="rId57">
        <w:r w:rsidRPr="000D03A7">
          <w:t xml:space="preserve"> </w:t>
        </w:r>
      </w:hyperlink>
      <w:hyperlink r:id="rId58">
        <w:r w:rsidRPr="000D03A7">
          <w:rPr>
            <w:color w:val="1155CC"/>
            <w:u w:val="single"/>
          </w:rPr>
          <w:t>https://sk.sagepub.com/foundations/ansoff-matrix?tab=Theory+In+Practice</w:t>
        </w:r>
      </w:hyperlink>
      <w:r w:rsidRPr="000D03A7">
        <w:t xml:space="preserve"> (Accessed: 24 March 2026).</w:t>
      </w:r>
    </w:p>
    <w:sectPr w:rsidR="00646406" w:rsidRPr="005F310C" w:rsidSect="00FB7008">
      <w:footerReference w:type="default" r:id="rId5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131C9C" w14:textId="77777777" w:rsidR="00B41DE2" w:rsidRDefault="00B41DE2" w:rsidP="00F4799C">
      <w:r>
        <w:separator/>
      </w:r>
    </w:p>
  </w:endnote>
  <w:endnote w:type="continuationSeparator" w:id="0">
    <w:p w14:paraId="33F46860" w14:textId="77777777" w:rsidR="00B41DE2" w:rsidRDefault="00B41DE2" w:rsidP="00F47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Aptos Display">
    <w:altName w:val="Arial"/>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5277108"/>
      <w:docPartObj>
        <w:docPartGallery w:val="Page Numbers (Bottom of Page)"/>
        <w:docPartUnique/>
      </w:docPartObj>
    </w:sdtPr>
    <w:sdtEndPr>
      <w:rPr>
        <w:noProof/>
      </w:rPr>
    </w:sdtEndPr>
    <w:sdtContent>
      <w:p w14:paraId="3BEA3231" w14:textId="538F18CD" w:rsidR="00FB7008" w:rsidRDefault="00FB7008">
        <w:pPr>
          <w:pStyle w:val="Footer"/>
          <w:jc w:val="right"/>
        </w:pPr>
        <w:r>
          <w:fldChar w:fldCharType="begin"/>
        </w:r>
        <w:r>
          <w:instrText xml:space="preserve"> PAGE   \* MERGEFORMAT </w:instrText>
        </w:r>
        <w:r>
          <w:fldChar w:fldCharType="separate"/>
        </w:r>
        <w:r w:rsidR="00A22BA9">
          <w:rPr>
            <w:noProof/>
          </w:rPr>
          <w:t>3</w:t>
        </w:r>
        <w:r>
          <w:rPr>
            <w:noProof/>
          </w:rPr>
          <w:fldChar w:fldCharType="end"/>
        </w:r>
      </w:p>
    </w:sdtContent>
  </w:sdt>
  <w:p w14:paraId="573B818F" w14:textId="77777777" w:rsidR="00F4799C" w:rsidRDefault="00F47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A8FA37" w14:textId="77777777" w:rsidR="00B41DE2" w:rsidRDefault="00B41DE2" w:rsidP="00F4799C">
      <w:r>
        <w:separator/>
      </w:r>
    </w:p>
  </w:footnote>
  <w:footnote w:type="continuationSeparator" w:id="0">
    <w:p w14:paraId="560E820B" w14:textId="77777777" w:rsidR="00B41DE2" w:rsidRDefault="00B41DE2" w:rsidP="00F479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3599A"/>
    <w:multiLevelType w:val="multilevel"/>
    <w:tmpl w:val="539E2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F7127"/>
    <w:multiLevelType w:val="hybridMultilevel"/>
    <w:tmpl w:val="0806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D435D6"/>
    <w:multiLevelType w:val="multilevel"/>
    <w:tmpl w:val="25AA66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195692"/>
    <w:multiLevelType w:val="multilevel"/>
    <w:tmpl w:val="DAB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5C480B"/>
    <w:multiLevelType w:val="multilevel"/>
    <w:tmpl w:val="0E9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F3563C"/>
    <w:multiLevelType w:val="multilevel"/>
    <w:tmpl w:val="082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7432BD"/>
    <w:multiLevelType w:val="multilevel"/>
    <w:tmpl w:val="4FB8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BA6136"/>
    <w:multiLevelType w:val="multilevel"/>
    <w:tmpl w:val="3352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BA1130"/>
    <w:multiLevelType w:val="multilevel"/>
    <w:tmpl w:val="28D4D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D5351B"/>
    <w:multiLevelType w:val="multilevel"/>
    <w:tmpl w:val="F066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AF7EB6"/>
    <w:multiLevelType w:val="multilevel"/>
    <w:tmpl w:val="C336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113446"/>
    <w:multiLevelType w:val="multilevel"/>
    <w:tmpl w:val="4A8A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6C0C1E"/>
    <w:multiLevelType w:val="multilevel"/>
    <w:tmpl w:val="0E76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6E76CD"/>
    <w:multiLevelType w:val="multilevel"/>
    <w:tmpl w:val="CBB6A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DD1493"/>
    <w:multiLevelType w:val="multilevel"/>
    <w:tmpl w:val="E266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2732631">
    <w:abstractNumId w:val="11"/>
  </w:num>
  <w:num w:numId="2" w16cid:durableId="1418287181">
    <w:abstractNumId w:val="15"/>
  </w:num>
  <w:num w:numId="3" w16cid:durableId="526259882">
    <w:abstractNumId w:val="32"/>
  </w:num>
  <w:num w:numId="4" w16cid:durableId="88165098">
    <w:abstractNumId w:val="33"/>
  </w:num>
  <w:num w:numId="5" w16cid:durableId="887108778">
    <w:abstractNumId w:val="39"/>
  </w:num>
  <w:num w:numId="6" w16cid:durableId="344751806">
    <w:abstractNumId w:val="17"/>
  </w:num>
  <w:num w:numId="7" w16cid:durableId="668292295">
    <w:abstractNumId w:val="1"/>
  </w:num>
  <w:num w:numId="8" w16cid:durableId="810563664">
    <w:abstractNumId w:val="22"/>
  </w:num>
  <w:num w:numId="9" w16cid:durableId="1071653795">
    <w:abstractNumId w:val="41"/>
  </w:num>
  <w:num w:numId="10" w16cid:durableId="1553039318">
    <w:abstractNumId w:val="40"/>
  </w:num>
  <w:num w:numId="11" w16cid:durableId="2099406439">
    <w:abstractNumId w:val="5"/>
  </w:num>
  <w:num w:numId="12" w16cid:durableId="865099534">
    <w:abstractNumId w:val="28"/>
  </w:num>
  <w:num w:numId="13" w16cid:durableId="1260218731">
    <w:abstractNumId w:val="26"/>
  </w:num>
  <w:num w:numId="14" w16cid:durableId="2141721321">
    <w:abstractNumId w:val="2"/>
  </w:num>
  <w:num w:numId="15" w16cid:durableId="1401751322">
    <w:abstractNumId w:val="42"/>
  </w:num>
  <w:num w:numId="16" w16cid:durableId="1013845365">
    <w:abstractNumId w:val="19"/>
  </w:num>
  <w:num w:numId="17" w16cid:durableId="291793137">
    <w:abstractNumId w:val="16"/>
  </w:num>
  <w:num w:numId="18" w16cid:durableId="170416771">
    <w:abstractNumId w:val="30"/>
  </w:num>
  <w:num w:numId="19" w16cid:durableId="980111264">
    <w:abstractNumId w:val="8"/>
  </w:num>
  <w:num w:numId="20" w16cid:durableId="1156529794">
    <w:abstractNumId w:val="31"/>
  </w:num>
  <w:num w:numId="21" w16cid:durableId="92826904">
    <w:abstractNumId w:val="14"/>
  </w:num>
  <w:num w:numId="22" w16cid:durableId="1474450495">
    <w:abstractNumId w:val="13"/>
  </w:num>
  <w:num w:numId="23" w16cid:durableId="558714809">
    <w:abstractNumId w:val="9"/>
  </w:num>
  <w:num w:numId="24" w16cid:durableId="2143646826">
    <w:abstractNumId w:val="12"/>
  </w:num>
  <w:num w:numId="25" w16cid:durableId="248009256">
    <w:abstractNumId w:val="3"/>
  </w:num>
  <w:num w:numId="26" w16cid:durableId="741298446">
    <w:abstractNumId w:val="20"/>
  </w:num>
  <w:num w:numId="27" w16cid:durableId="1725182512">
    <w:abstractNumId w:val="6"/>
  </w:num>
  <w:num w:numId="28" w16cid:durableId="1810587668">
    <w:abstractNumId w:val="21"/>
  </w:num>
  <w:num w:numId="29" w16cid:durableId="1362054821">
    <w:abstractNumId w:val="34"/>
  </w:num>
  <w:num w:numId="30" w16cid:durableId="1280796851">
    <w:abstractNumId w:val="18"/>
  </w:num>
  <w:num w:numId="31" w16cid:durableId="923143391">
    <w:abstractNumId w:val="29"/>
  </w:num>
  <w:num w:numId="32" w16cid:durableId="1412384612">
    <w:abstractNumId w:val="37"/>
  </w:num>
  <w:num w:numId="33" w16cid:durableId="1385637917">
    <w:abstractNumId w:val="23"/>
  </w:num>
  <w:num w:numId="34" w16cid:durableId="117720823">
    <w:abstractNumId w:val="27"/>
  </w:num>
  <w:num w:numId="35" w16cid:durableId="761994931">
    <w:abstractNumId w:val="25"/>
  </w:num>
  <w:num w:numId="36" w16cid:durableId="1382555351">
    <w:abstractNumId w:val="10"/>
  </w:num>
  <w:num w:numId="37" w16cid:durableId="543981393">
    <w:abstractNumId w:val="38"/>
  </w:num>
  <w:num w:numId="38" w16cid:durableId="355621518">
    <w:abstractNumId w:val="24"/>
  </w:num>
  <w:num w:numId="39" w16cid:durableId="1520467057">
    <w:abstractNumId w:val="0"/>
  </w:num>
  <w:num w:numId="40" w16cid:durableId="1916427620">
    <w:abstractNumId w:val="7"/>
  </w:num>
  <w:num w:numId="41" w16cid:durableId="443810335">
    <w:abstractNumId w:val="35"/>
  </w:num>
  <w:num w:numId="42" w16cid:durableId="1071006906">
    <w:abstractNumId w:val="36"/>
  </w:num>
  <w:num w:numId="43" w16cid:durableId="11989293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531C1"/>
    <w:rsid w:val="000E4F21"/>
    <w:rsid w:val="001003E8"/>
    <w:rsid w:val="001136D4"/>
    <w:rsid w:val="00136289"/>
    <w:rsid w:val="00180C60"/>
    <w:rsid w:val="001B7BF6"/>
    <w:rsid w:val="00264DD8"/>
    <w:rsid w:val="002D68FB"/>
    <w:rsid w:val="00325A3E"/>
    <w:rsid w:val="00397E71"/>
    <w:rsid w:val="003B3C7B"/>
    <w:rsid w:val="004F2663"/>
    <w:rsid w:val="004F55A8"/>
    <w:rsid w:val="00533323"/>
    <w:rsid w:val="005A570C"/>
    <w:rsid w:val="005F310C"/>
    <w:rsid w:val="00617CF1"/>
    <w:rsid w:val="00646406"/>
    <w:rsid w:val="00675F02"/>
    <w:rsid w:val="0073681E"/>
    <w:rsid w:val="0078259E"/>
    <w:rsid w:val="008616CD"/>
    <w:rsid w:val="00976354"/>
    <w:rsid w:val="009E58AF"/>
    <w:rsid w:val="00A22BA9"/>
    <w:rsid w:val="00A60998"/>
    <w:rsid w:val="00A63216"/>
    <w:rsid w:val="00B41DE2"/>
    <w:rsid w:val="00C5153B"/>
    <w:rsid w:val="00C57D61"/>
    <w:rsid w:val="00CB01F0"/>
    <w:rsid w:val="00CE71C9"/>
    <w:rsid w:val="00D06997"/>
    <w:rsid w:val="00D33C84"/>
    <w:rsid w:val="00DE5D5B"/>
    <w:rsid w:val="00E21E02"/>
    <w:rsid w:val="00E53531"/>
    <w:rsid w:val="00EC6978"/>
    <w:rsid w:val="00F4799C"/>
    <w:rsid w:val="00FB70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docId w15:val="{3DB3E4D7-B099-461E-BE2A-4F479ED6F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008"/>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FB7008"/>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FB7008"/>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1B7BF6"/>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008"/>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FB7008"/>
    <w:rPr>
      <w:rFonts w:ascii="Arial" w:eastAsiaTheme="majorEastAsia" w:hAnsi="Arial" w:cstheme="majorBidi"/>
      <w:b/>
      <w:color w:val="000000" w:themeColor="text1"/>
      <w:sz w:val="26"/>
      <w:szCs w:val="32"/>
    </w:rPr>
  </w:style>
  <w:style w:type="character" w:customStyle="1" w:styleId="Heading3Char">
    <w:name w:val="Heading 3 Char"/>
    <w:basedOn w:val="DefaultParagraphFont"/>
    <w:link w:val="Heading3"/>
    <w:uiPriority w:val="9"/>
    <w:rsid w:val="001B7BF6"/>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Header">
    <w:name w:val="header"/>
    <w:basedOn w:val="Normal"/>
    <w:link w:val="HeaderChar"/>
    <w:uiPriority w:val="99"/>
    <w:unhideWhenUsed/>
    <w:rsid w:val="00F4799C"/>
    <w:pPr>
      <w:tabs>
        <w:tab w:val="center" w:pos="4513"/>
        <w:tab w:val="right" w:pos="9026"/>
      </w:tabs>
    </w:pPr>
  </w:style>
  <w:style w:type="character" w:customStyle="1" w:styleId="HeaderChar">
    <w:name w:val="Header Char"/>
    <w:basedOn w:val="DefaultParagraphFont"/>
    <w:link w:val="Header"/>
    <w:uiPriority w:val="99"/>
    <w:rsid w:val="00F4799C"/>
  </w:style>
  <w:style w:type="paragraph" w:styleId="Footer">
    <w:name w:val="footer"/>
    <w:basedOn w:val="Normal"/>
    <w:link w:val="FooterChar"/>
    <w:uiPriority w:val="99"/>
    <w:unhideWhenUsed/>
    <w:rsid w:val="00F4799C"/>
    <w:pPr>
      <w:tabs>
        <w:tab w:val="center" w:pos="4513"/>
        <w:tab w:val="right" w:pos="9026"/>
      </w:tabs>
    </w:pPr>
  </w:style>
  <w:style w:type="character" w:customStyle="1" w:styleId="FooterChar">
    <w:name w:val="Footer Char"/>
    <w:basedOn w:val="DefaultParagraphFont"/>
    <w:link w:val="Footer"/>
    <w:uiPriority w:val="99"/>
    <w:rsid w:val="00F4799C"/>
  </w:style>
  <w:style w:type="paragraph" w:styleId="BalloonText">
    <w:name w:val="Balloon Text"/>
    <w:basedOn w:val="Normal"/>
    <w:link w:val="BalloonTextChar"/>
    <w:uiPriority w:val="99"/>
    <w:semiHidden/>
    <w:unhideWhenUsed/>
    <w:rsid w:val="00A22BA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2BA9"/>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o02.tci-thaijo.org/index.php/BECJournal/article/download/269013/183334" TargetMode="External"/><Relationship Id="rId18" Type="http://schemas.openxmlformats.org/officeDocument/2006/relationships/hyperlink" Target="https://www.tandfonline.com/doi/pdf/10.1080/19427867.2024.2415753" TargetMode="External"/><Relationship Id="rId26" Type="http://schemas.openxmlformats.org/officeDocument/2006/relationships/hyperlink" Target="https://www.researchgate.net/profile/Maurizio-Casalino/publication/362657395_Case_Study_A_Five_Year_Business_Strategic_Plan_for_Tesla_Module_Principles_of_Management/links/62f699f1c6f6732999c6a2cb/Case-Study-A-Five-Year-Business-Strategic-Plan-for-Tesla-Module-Principles-of-Management.pdf" TargetMode="External"/><Relationship Id="rId39" Type="http://schemas.openxmlformats.org/officeDocument/2006/relationships/hyperlink" Target="https://onlinelibrary.wiley.com/doi/pdf/10.1111/jpim.12732" TargetMode="External"/><Relationship Id="rId21" Type="http://schemas.openxmlformats.org/officeDocument/2006/relationships/hyperlink" Target="https://books.google.com/books?hl=en&amp;lr=&amp;id=vYRfDwAAQBAJ&amp;oi=fnd&amp;pg=PR5&amp;dq=Bagozzi,+R.P.,+Rosa,+J.A.,+Celly,+K.S.+and+Coronel,+F.+(2018).+Marketing-Management.+Walter+de+Gruyter+GmbH+%26+Co+KG.&amp;ots=iXF7FCbeET&amp;sig=oJCvxufhYWKJLY6PEta8d1OsiDc" TargetMode="External"/><Relationship Id="rId34" Type="http://schemas.openxmlformats.org/officeDocument/2006/relationships/hyperlink" Target="https://www.atlantis-press.com/article/125981279.pdf" TargetMode="External"/><Relationship Id="rId42" Type="http://schemas.openxmlformats.org/officeDocument/2006/relationships/hyperlink" Target="https://link.springer.com/chapter/10.1007/978-981-97-3454-2_1" TargetMode="External"/><Relationship Id="rId47" Type="http://schemas.openxmlformats.org/officeDocument/2006/relationships/hyperlink" Target="https://www.researchgate.net/profile/Lena-Ellitan/publication/378141517_Unveiling_the_Tesla_Touch_in_Supply_Chain_Effectiveness/links/65c9650f790074549771ea14/Unveiling-the-Tesla-Touch-in-Supply-Chain-Effectiveness.pdf" TargetMode="External"/><Relationship Id="rId50" Type="http://schemas.openxmlformats.org/officeDocument/2006/relationships/hyperlink" Target="https://link.springer.com/chapter/10.1007/978-981-97-4788-7_8" TargetMode="External"/><Relationship Id="rId55" Type="http://schemas.openxmlformats.org/officeDocument/2006/relationships/hyperlink" Target="https://www.atlantis-press.com/article/125975532.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nnualreports.com/Company/tesla-inc" TargetMode="External"/><Relationship Id="rId29" Type="http://schemas.openxmlformats.org/officeDocument/2006/relationships/hyperlink" Target="http://www.baltijapublishing.lv/index.php/threeseas/article/download/2471/2464" TargetMode="External"/><Relationship Id="rId11" Type="http://schemas.openxmlformats.org/officeDocument/2006/relationships/hyperlink" Target="https://api.taylorfrancis.com/content/books/mono/download?identifierName=doi&amp;identifierValue=10.4324/9780429489327&amp;type=googlepdf" TargetMode="External"/><Relationship Id="rId24" Type="http://schemas.openxmlformats.org/officeDocument/2006/relationships/hyperlink" Target="https://search.proquest.com/openview/fd1d1ab7526d404ffb5eebc2885bff58/1?pq-origsite=gscholar&amp;cbl=18750&amp;diss=y" TargetMode="External"/><Relationship Id="rId32" Type="http://schemas.openxmlformats.org/officeDocument/2006/relationships/hyperlink" Target="https://www.nature.com/articles/s41467-023-39289-5.pdf" TargetMode="External"/><Relationship Id="rId37" Type="http://schemas.openxmlformats.org/officeDocument/2006/relationships/hyperlink" Target="https://www.atlantis-press.com/article/125978296.pdf" TargetMode="External"/><Relationship Id="rId40" Type="http://schemas.openxmlformats.org/officeDocument/2006/relationships/hyperlink" Target="https://onlinelibrary.wiley.com/doi/pdf/10.1111/jpim.12732" TargetMode="External"/><Relationship Id="rId45" Type="http://schemas.openxmlformats.org/officeDocument/2006/relationships/hyperlink" Target="https://journals.zeuspress.org/index.php/FER/article/download/214/195" TargetMode="External"/><Relationship Id="rId53" Type="http://schemas.openxmlformats.org/officeDocument/2006/relationships/hyperlink" Target="https://francis-press.com/uploads/papers/jGqe9rYXp8PFC9zZlXBttXIYFZ69IyQ6eZ2tgps2.pdf" TargetMode="External"/><Relationship Id="rId58" Type="http://schemas.openxmlformats.org/officeDocument/2006/relationships/hyperlink" Target="https://sk.sagepub.com/foundations/ansoff-matrix?tab=Theory+In+Practice"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tandfonline.com/doi/pdf/10.1080/19427867.2024.2415753" TargetMode="External"/><Relationship Id="rId14" Type="http://schemas.openxmlformats.org/officeDocument/2006/relationships/hyperlink" Target="https://www.annualreports.com/Company/ford-motor-company" TargetMode="External"/><Relationship Id="rId22" Type="http://schemas.openxmlformats.org/officeDocument/2006/relationships/hyperlink" Target="https://www.igi-global.com/viewtitle.aspx?titleid=331982" TargetMode="External"/><Relationship Id="rId27" Type="http://schemas.openxmlformats.org/officeDocument/2006/relationships/hyperlink" Target="https://pressbooks.library.vcu.edu/marketingprinciples/chapter/chapter-5-strategic-planning/" TargetMode="External"/><Relationship Id="rId30" Type="http://schemas.openxmlformats.org/officeDocument/2006/relationships/hyperlink" Target="http://www.baltijapublishing.lv/index.php/threeseas/article/download/2471/2464" TargetMode="External"/><Relationship Id="rId35" Type="http://schemas.openxmlformats.org/officeDocument/2006/relationships/hyperlink" Target="https://www.mdpi.com/2076-3387/15/6/212" TargetMode="External"/><Relationship Id="rId43" Type="http://schemas.openxmlformats.org/officeDocument/2006/relationships/hyperlink" Target="https://books.google.com/books?hl=en&amp;lr=&amp;id=l_ChEAAAQBAJ&amp;oi=fnd&amp;pg=PA344&amp;dq=Porter%E2%80%99s+Five+Forces+for+Tesla&amp;ots=WbQB22kYZ4&amp;sig=KRw8qhRwe4np6oa9bNk-IhOzXiE" TargetMode="External"/><Relationship Id="rId48" Type="http://schemas.openxmlformats.org/officeDocument/2006/relationships/hyperlink" Target="https://www.researchgate.net/profile/Lena-Ellitan/publication/378141517_Unveiling_the_Tesla_Touch_in_Supply_Chain_Effectiveness/links/65c9650f790074549771ea14/Unveiling-the-Tesla-Touch-in-Supply-Chain-Effectiveness.pdf" TargetMode="External"/><Relationship Id="rId56" Type="http://schemas.openxmlformats.org/officeDocument/2006/relationships/hyperlink" Target="https://www.atlantis-press.com/article/125975532.pdf" TargetMode="External"/><Relationship Id="rId8" Type="http://schemas.openxmlformats.org/officeDocument/2006/relationships/image" Target="media/image1.png"/><Relationship Id="rId51" Type="http://schemas.openxmlformats.org/officeDocument/2006/relationships/hyperlink" Target="https://sk.sagepub.com/cases/embed/revolution-on-wheels-navigating-fords-electrified-future" TargetMode="External"/><Relationship Id="rId3" Type="http://schemas.openxmlformats.org/officeDocument/2006/relationships/styles" Target="styles.xml"/><Relationship Id="rId12" Type="http://schemas.openxmlformats.org/officeDocument/2006/relationships/hyperlink" Target="https://so02.tci-thaijo.org/index.php/BECJournal/article/download/269013/183334" TargetMode="External"/><Relationship Id="rId17" Type="http://schemas.openxmlformats.org/officeDocument/2006/relationships/hyperlink" Target="https://www.annualreports.com/Company/tesla-inc" TargetMode="External"/><Relationship Id="rId25" Type="http://schemas.openxmlformats.org/officeDocument/2006/relationships/hyperlink" Target="https://search.proquest.com/openview/fd1d1ab7526d404ffb5eebc2885bff58/1?pq-origsite=gscholar&amp;cbl=18750&amp;diss=y" TargetMode="External"/><Relationship Id="rId33" Type="http://schemas.openxmlformats.org/officeDocument/2006/relationships/hyperlink" Target="https://www.atlantis-press.com/article/125981279.pdf" TargetMode="External"/><Relationship Id="rId38" Type="http://schemas.openxmlformats.org/officeDocument/2006/relationships/hyperlink" Target="https://www.atlantis-press.com/article/125978296.pdf" TargetMode="External"/><Relationship Id="rId46" Type="http://schemas.openxmlformats.org/officeDocument/2006/relationships/hyperlink" Target="https://journals.zeuspress.org/index.php/FER/article/download/214/195" TargetMode="External"/><Relationship Id="rId59" Type="http://schemas.openxmlformats.org/officeDocument/2006/relationships/footer" Target="footer1.xml"/><Relationship Id="rId20" Type="http://schemas.openxmlformats.org/officeDocument/2006/relationships/hyperlink" Target="https://books.google.com/books?hl=en&amp;lr=&amp;id=vYRfDwAAQBAJ&amp;oi=fnd&amp;pg=PR5&amp;dq=Bagozzi,+R.P.,+Rosa,+J.A.,+Celly,+K.S.+and+Coronel,+F.+(2018).+Marketing-Management.+Walter+de+Gruyter+GmbH+%26+Co+KG.&amp;ots=iXF7FCbeET&amp;sig=oJCvxufhYWKJLY6PEta8d1OsiDc" TargetMode="External"/><Relationship Id="rId41" Type="http://schemas.openxmlformats.org/officeDocument/2006/relationships/hyperlink" Target="https://link.springer.com/chapter/10.1007/978-981-97-3454-2_1" TargetMode="External"/><Relationship Id="rId54" Type="http://schemas.openxmlformats.org/officeDocument/2006/relationships/hyperlink" Target="https://francis-press.com/uploads/papers/jGqe9rYXp8PFC9zZlXBttXIYFZ69IyQ6eZ2tgps2.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nnualreports.com/Company/ford-motor-company" TargetMode="External"/><Relationship Id="rId23" Type="http://schemas.openxmlformats.org/officeDocument/2006/relationships/hyperlink" Target="https://www.igi-global.com/viewtitle.aspx?titleid=331982" TargetMode="External"/><Relationship Id="rId28" Type="http://schemas.openxmlformats.org/officeDocument/2006/relationships/hyperlink" Target="https://pressbooks.library.vcu.edu/marketingprinciples/chapter/chapter-5-strategic-planning/" TargetMode="External"/><Relationship Id="rId36" Type="http://schemas.openxmlformats.org/officeDocument/2006/relationships/hyperlink" Target="https://www.mdpi.com/2076-3387/15/6/212" TargetMode="External"/><Relationship Id="rId49" Type="http://schemas.openxmlformats.org/officeDocument/2006/relationships/hyperlink" Target="https://link.springer.com/chapter/10.1007/978-981-97-4788-7_8" TargetMode="External"/><Relationship Id="rId57" Type="http://schemas.openxmlformats.org/officeDocument/2006/relationships/hyperlink" Target="https://sk.sagepub.com/foundations/ansoff-matrix?tab=Theory+In+Practice" TargetMode="External"/><Relationship Id="rId10" Type="http://schemas.openxmlformats.org/officeDocument/2006/relationships/image" Target="media/image3.png"/><Relationship Id="rId31" Type="http://schemas.openxmlformats.org/officeDocument/2006/relationships/hyperlink" Target="https://www.nature.com/articles/s41467-023-39289-5.pdf" TargetMode="External"/><Relationship Id="rId44" Type="http://schemas.openxmlformats.org/officeDocument/2006/relationships/hyperlink" Target="https://books.google.com/books?hl=en&amp;lr=&amp;id=l_ChEAAAQBAJ&amp;oi=fnd&amp;pg=PA344&amp;dq=Porter%E2%80%99s+Five+Forces+for+Tesla&amp;ots=WbQB22kYZ4&amp;sig=KRw8qhRwe4np6oa9bNk-IhOzXiE" TargetMode="External"/><Relationship Id="rId52" Type="http://schemas.openxmlformats.org/officeDocument/2006/relationships/hyperlink" Target="https://sk.sagepub.com/cases/embed/revolution-on-wheels-navigating-fords-electrified-future"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57040-9630-4446-99C2-93C43CECE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4820</Words>
  <Characters>27476</Characters>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2026-03-25T02:53:00Z</dcterms:created>
  <dcterms:modified xsi:type="dcterms:W3CDTF">2026-03-25T17:31:00Z</dcterms:modified>
</cp:coreProperties>
</file>