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AC37E" w14:textId="07100609" w:rsidR="00E81D12" w:rsidRDefault="00D11339" w:rsidP="00E81D12">
      <w:pPr>
        <w:jc w:val="center"/>
        <w:rPr>
          <w:b/>
          <w:sz w:val="36"/>
          <w:lang w:val="en-GB"/>
        </w:rPr>
      </w:pPr>
      <w:r>
        <w:rPr>
          <w:noProof/>
        </w:rPr>
        <w:drawing>
          <wp:inline distT="0" distB="0" distL="0" distR="0" wp14:anchorId="6095F473" wp14:editId="73CFD44A">
            <wp:extent cx="3200400" cy="1061026"/>
            <wp:effectExtent l="0" t="0" r="0" b="0"/>
            <wp:docPr id="5" name="Picture 2" descr="University of Wales Trinity Saint David »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Univers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29756" cy="1070758"/>
                    </a:xfrm>
                    <a:prstGeom prst="rect">
                      <a:avLst/>
                    </a:prstGeom>
                    <a:noFill/>
                    <a:ln>
                      <a:noFill/>
                    </a:ln>
                  </pic:spPr>
                </pic:pic>
              </a:graphicData>
            </a:graphic>
          </wp:inline>
        </w:drawing>
      </w:r>
    </w:p>
    <w:p w14:paraId="0CC43128" w14:textId="1D2C7F61" w:rsidR="00D11339" w:rsidRDefault="00D11339" w:rsidP="00E81D12">
      <w:pPr>
        <w:jc w:val="center"/>
        <w:rPr>
          <w:b/>
          <w:sz w:val="36"/>
          <w:lang w:val="en-GB"/>
        </w:rPr>
      </w:pPr>
    </w:p>
    <w:p w14:paraId="4F1F6E66" w14:textId="03DB27CF" w:rsidR="00D11339" w:rsidRDefault="00D11339" w:rsidP="00E81D12">
      <w:pPr>
        <w:jc w:val="center"/>
        <w:rPr>
          <w:b/>
          <w:sz w:val="36"/>
          <w:lang w:val="en-GB"/>
        </w:rPr>
      </w:pPr>
    </w:p>
    <w:p w14:paraId="0992E122" w14:textId="61B92864" w:rsidR="00D11339" w:rsidRDefault="00D11339" w:rsidP="00E81D12">
      <w:pPr>
        <w:jc w:val="center"/>
        <w:rPr>
          <w:b/>
          <w:sz w:val="36"/>
          <w:lang w:val="en-GB"/>
        </w:rPr>
      </w:pPr>
      <w:r>
        <w:rPr>
          <w:b/>
          <w:sz w:val="36"/>
          <w:lang w:val="en-GB"/>
        </w:rPr>
        <w:t xml:space="preserve">Module Name: Management Economics </w:t>
      </w:r>
    </w:p>
    <w:p w14:paraId="174F8223" w14:textId="24E74061" w:rsidR="00D11339" w:rsidRDefault="00D11339" w:rsidP="00E81D12">
      <w:pPr>
        <w:jc w:val="center"/>
        <w:rPr>
          <w:b/>
          <w:sz w:val="36"/>
          <w:lang w:val="en-GB"/>
        </w:rPr>
      </w:pPr>
      <w:r>
        <w:rPr>
          <w:b/>
          <w:sz w:val="36"/>
          <w:lang w:val="en-GB"/>
        </w:rPr>
        <w:t>Lecture Name: Taye Osadiya</w:t>
      </w:r>
    </w:p>
    <w:p w14:paraId="569D8FBF" w14:textId="48C9BAAD" w:rsidR="00D11339" w:rsidRDefault="00D11339" w:rsidP="00E81D12">
      <w:pPr>
        <w:jc w:val="center"/>
        <w:rPr>
          <w:b/>
          <w:sz w:val="36"/>
          <w:lang w:val="en-GB"/>
        </w:rPr>
      </w:pPr>
      <w:r>
        <w:rPr>
          <w:b/>
          <w:sz w:val="36"/>
          <w:lang w:val="en-GB"/>
        </w:rPr>
        <w:t>Module Code: LCBB500</w:t>
      </w:r>
      <w:r w:rsidR="004500E6">
        <w:rPr>
          <w:b/>
          <w:sz w:val="36"/>
          <w:lang w:val="en-GB"/>
        </w:rPr>
        <w:t>3</w:t>
      </w:r>
    </w:p>
    <w:p w14:paraId="75005312" w14:textId="2262FC3C" w:rsidR="00D11339" w:rsidRDefault="00D11339" w:rsidP="00E81D12">
      <w:pPr>
        <w:jc w:val="center"/>
        <w:rPr>
          <w:b/>
          <w:sz w:val="36"/>
          <w:lang w:val="en-GB"/>
        </w:rPr>
      </w:pPr>
      <w:r>
        <w:rPr>
          <w:b/>
          <w:sz w:val="36"/>
          <w:lang w:val="en-GB"/>
        </w:rPr>
        <w:t xml:space="preserve">Student Name: Stefani Stefanova </w:t>
      </w:r>
    </w:p>
    <w:p w14:paraId="4A7355A0" w14:textId="16B9FE98" w:rsidR="00D11339" w:rsidRDefault="00D11339" w:rsidP="00E81D12">
      <w:pPr>
        <w:jc w:val="center"/>
        <w:rPr>
          <w:b/>
          <w:sz w:val="36"/>
          <w:lang w:val="en-GB"/>
        </w:rPr>
      </w:pPr>
      <w:r>
        <w:rPr>
          <w:b/>
          <w:sz w:val="36"/>
          <w:lang w:val="en-GB"/>
        </w:rPr>
        <w:t>Student Number: 2028009</w:t>
      </w:r>
    </w:p>
    <w:p w14:paraId="5E6A08FA" w14:textId="77777777" w:rsidR="00D11339" w:rsidRPr="009F7157" w:rsidRDefault="00D11339" w:rsidP="00E81D12">
      <w:pPr>
        <w:jc w:val="center"/>
        <w:rPr>
          <w:b/>
          <w:sz w:val="36"/>
          <w:lang w:val="en-GB"/>
        </w:rPr>
      </w:pPr>
    </w:p>
    <w:p w14:paraId="6B8A85B9" w14:textId="6C93FC07" w:rsidR="00E81D12" w:rsidRPr="009F7157" w:rsidRDefault="00E81D12" w:rsidP="00E81D12">
      <w:pPr>
        <w:jc w:val="center"/>
        <w:rPr>
          <w:b/>
          <w:sz w:val="36"/>
          <w:lang w:val="en-GB"/>
        </w:rPr>
      </w:pPr>
    </w:p>
    <w:p w14:paraId="3329B115" w14:textId="77777777" w:rsidR="00AC75A4" w:rsidRPr="00D11339" w:rsidRDefault="00E81D12" w:rsidP="00D11339">
      <w:pPr>
        <w:jc w:val="center"/>
        <w:rPr>
          <w:b/>
          <w:sz w:val="48"/>
          <w:szCs w:val="48"/>
          <w:lang w:val="en-GB"/>
        </w:rPr>
      </w:pPr>
      <w:r w:rsidRPr="00D11339">
        <w:rPr>
          <w:b/>
          <w:sz w:val="48"/>
          <w:szCs w:val="48"/>
          <w:lang w:val="en-GB"/>
        </w:rPr>
        <w:t>Assessment 1</w:t>
      </w:r>
      <w:r w:rsidR="00AC75A4" w:rsidRPr="00D11339">
        <w:rPr>
          <w:b/>
          <w:sz w:val="48"/>
          <w:szCs w:val="48"/>
          <w:lang w:val="en-GB"/>
        </w:rPr>
        <w:br w:type="page"/>
      </w:r>
    </w:p>
    <w:sdt>
      <w:sdtPr>
        <w:rPr>
          <w:rFonts w:ascii="Times New Roman" w:eastAsia="Times New Roman" w:hAnsi="Times New Roman" w:cs="Times New Roman"/>
          <w:b w:val="0"/>
          <w:bCs w:val="0"/>
          <w:color w:val="auto"/>
          <w:sz w:val="24"/>
          <w:szCs w:val="24"/>
          <w:lang w:val="en-GB"/>
        </w:rPr>
        <w:id w:val="28336239"/>
        <w:docPartObj>
          <w:docPartGallery w:val="Table of Contents"/>
          <w:docPartUnique/>
        </w:docPartObj>
      </w:sdtPr>
      <w:sdtContent>
        <w:p w14:paraId="617B4A85" w14:textId="77777777" w:rsidR="00E81D12" w:rsidRPr="009F7157" w:rsidRDefault="00E81D12" w:rsidP="00E81D12">
          <w:pPr>
            <w:pStyle w:val="TOCHeading"/>
            <w:spacing w:line="360" w:lineRule="auto"/>
            <w:jc w:val="center"/>
            <w:rPr>
              <w:rFonts w:ascii="Times New Roman" w:hAnsi="Times New Roman" w:cs="Times New Roman"/>
              <w:color w:val="auto"/>
              <w:szCs w:val="24"/>
              <w:lang w:val="en-GB"/>
            </w:rPr>
          </w:pPr>
          <w:r w:rsidRPr="009F7157">
            <w:rPr>
              <w:rFonts w:ascii="Times New Roman" w:hAnsi="Times New Roman" w:cs="Times New Roman"/>
              <w:color w:val="auto"/>
              <w:szCs w:val="24"/>
              <w:lang w:val="en-GB"/>
            </w:rPr>
            <w:t>Table of Contents</w:t>
          </w:r>
        </w:p>
        <w:p w14:paraId="51E6ACA1" w14:textId="77777777" w:rsidR="00E81D12" w:rsidRPr="009F7157" w:rsidRDefault="00E81D12" w:rsidP="00E81D12">
          <w:pPr>
            <w:pStyle w:val="TOC1"/>
            <w:tabs>
              <w:tab w:val="right" w:leader="dot" w:pos="9019"/>
            </w:tabs>
            <w:rPr>
              <w:noProof/>
              <w:lang w:val="en-GB"/>
            </w:rPr>
          </w:pPr>
          <w:r w:rsidRPr="009F7157">
            <w:rPr>
              <w:lang w:val="en-GB"/>
            </w:rPr>
            <w:fldChar w:fldCharType="begin"/>
          </w:r>
          <w:r w:rsidRPr="009F7157">
            <w:rPr>
              <w:lang w:val="en-GB"/>
            </w:rPr>
            <w:instrText xml:space="preserve"> TOC \o "1-3" \h \z \u </w:instrText>
          </w:r>
          <w:r w:rsidRPr="009F7157">
            <w:rPr>
              <w:lang w:val="en-GB"/>
            </w:rPr>
            <w:fldChar w:fldCharType="separate"/>
          </w:r>
          <w:hyperlink w:anchor="_Toc122710543" w:history="1">
            <w:r w:rsidRPr="009F7157">
              <w:rPr>
                <w:rStyle w:val="Hyperlink"/>
                <w:noProof/>
                <w:lang w:val="en-GB"/>
              </w:rPr>
              <w:t>Introduction</w:t>
            </w:r>
            <w:r w:rsidRPr="009F7157">
              <w:rPr>
                <w:noProof/>
                <w:webHidden/>
                <w:lang w:val="en-GB"/>
              </w:rPr>
              <w:tab/>
            </w:r>
            <w:r w:rsidRPr="009F7157">
              <w:rPr>
                <w:noProof/>
                <w:webHidden/>
                <w:lang w:val="en-GB"/>
              </w:rPr>
              <w:fldChar w:fldCharType="begin"/>
            </w:r>
            <w:r w:rsidRPr="009F7157">
              <w:rPr>
                <w:noProof/>
                <w:webHidden/>
                <w:lang w:val="en-GB"/>
              </w:rPr>
              <w:instrText xml:space="preserve"> PAGEREF _Toc122710543 \h </w:instrText>
            </w:r>
            <w:r w:rsidRPr="009F7157">
              <w:rPr>
                <w:noProof/>
                <w:webHidden/>
                <w:lang w:val="en-GB"/>
              </w:rPr>
            </w:r>
            <w:r w:rsidRPr="009F7157">
              <w:rPr>
                <w:noProof/>
                <w:webHidden/>
                <w:lang w:val="en-GB"/>
              </w:rPr>
              <w:fldChar w:fldCharType="separate"/>
            </w:r>
            <w:r w:rsidRPr="009F7157">
              <w:rPr>
                <w:noProof/>
                <w:webHidden/>
                <w:lang w:val="en-GB"/>
              </w:rPr>
              <w:t>3</w:t>
            </w:r>
            <w:r w:rsidRPr="009F7157">
              <w:rPr>
                <w:noProof/>
                <w:webHidden/>
                <w:lang w:val="en-GB"/>
              </w:rPr>
              <w:fldChar w:fldCharType="end"/>
            </w:r>
          </w:hyperlink>
        </w:p>
        <w:p w14:paraId="19796DF0" w14:textId="77777777" w:rsidR="00E81D12" w:rsidRPr="009F7157" w:rsidRDefault="00000000" w:rsidP="00E81D12">
          <w:pPr>
            <w:pStyle w:val="TOC1"/>
            <w:tabs>
              <w:tab w:val="right" w:leader="dot" w:pos="9019"/>
            </w:tabs>
            <w:rPr>
              <w:noProof/>
              <w:lang w:val="en-GB"/>
            </w:rPr>
          </w:pPr>
          <w:hyperlink w:anchor="_Toc122710544" w:history="1">
            <w:r w:rsidR="00E81D12" w:rsidRPr="009F7157">
              <w:rPr>
                <w:rStyle w:val="Hyperlink"/>
                <w:noProof/>
                <w:lang w:val="en-GB"/>
              </w:rPr>
              <w:t>Describe the business</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_Toc122710544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3</w:t>
            </w:r>
            <w:r w:rsidR="00E81D12" w:rsidRPr="009F7157">
              <w:rPr>
                <w:noProof/>
                <w:webHidden/>
                <w:lang w:val="en-GB"/>
              </w:rPr>
              <w:fldChar w:fldCharType="end"/>
            </w:r>
          </w:hyperlink>
        </w:p>
        <w:p w14:paraId="627B54AC" w14:textId="77777777" w:rsidR="00E81D12" w:rsidRPr="009F7157" w:rsidRDefault="00000000" w:rsidP="00E81D12">
          <w:pPr>
            <w:pStyle w:val="TOC2"/>
            <w:tabs>
              <w:tab w:val="right" w:leader="dot" w:pos="9019"/>
            </w:tabs>
            <w:rPr>
              <w:noProof/>
              <w:lang w:val="en-GB"/>
            </w:rPr>
          </w:pPr>
          <w:hyperlink w:anchor="_Toc122710545" w:history="1">
            <w:r w:rsidR="00E81D12" w:rsidRPr="009F7157">
              <w:rPr>
                <w:rStyle w:val="Hyperlink"/>
                <w:noProof/>
                <w:lang w:val="en-GB"/>
              </w:rPr>
              <w:t>Company’s history</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_Toc122710545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3</w:t>
            </w:r>
            <w:r w:rsidR="00E81D12" w:rsidRPr="009F7157">
              <w:rPr>
                <w:noProof/>
                <w:webHidden/>
                <w:lang w:val="en-GB"/>
              </w:rPr>
              <w:fldChar w:fldCharType="end"/>
            </w:r>
          </w:hyperlink>
        </w:p>
        <w:p w14:paraId="306C2513" w14:textId="77777777" w:rsidR="00E81D12" w:rsidRPr="009F7157" w:rsidRDefault="00000000" w:rsidP="00E81D12">
          <w:pPr>
            <w:pStyle w:val="TOC2"/>
            <w:tabs>
              <w:tab w:val="right" w:leader="dot" w:pos="9019"/>
            </w:tabs>
            <w:rPr>
              <w:noProof/>
              <w:lang w:val="en-GB"/>
            </w:rPr>
          </w:pPr>
          <w:hyperlink w:anchor="_Toc122710546" w:history="1">
            <w:r w:rsidR="00E81D12" w:rsidRPr="009F7157">
              <w:rPr>
                <w:rStyle w:val="Hyperlink"/>
                <w:noProof/>
                <w:lang w:val="en-GB"/>
              </w:rPr>
              <w:t>Description of activities</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_Toc122710546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3</w:t>
            </w:r>
            <w:r w:rsidR="00E81D12" w:rsidRPr="009F7157">
              <w:rPr>
                <w:noProof/>
                <w:webHidden/>
                <w:lang w:val="en-GB"/>
              </w:rPr>
              <w:fldChar w:fldCharType="end"/>
            </w:r>
          </w:hyperlink>
        </w:p>
        <w:p w14:paraId="3FD71488" w14:textId="77777777" w:rsidR="00E81D12" w:rsidRPr="009F7157" w:rsidRDefault="00000000" w:rsidP="00E81D12">
          <w:pPr>
            <w:pStyle w:val="TOC2"/>
            <w:tabs>
              <w:tab w:val="right" w:leader="dot" w:pos="9019"/>
            </w:tabs>
            <w:rPr>
              <w:noProof/>
              <w:lang w:val="en-GB"/>
            </w:rPr>
          </w:pPr>
          <w:hyperlink w:anchor="_Toc122710547" w:history="1">
            <w:r w:rsidR="00E81D12" w:rsidRPr="009F7157">
              <w:rPr>
                <w:rStyle w:val="Hyperlink"/>
                <w:noProof/>
                <w:lang w:val="en-GB"/>
              </w:rPr>
              <w:t>Operating industry</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_Toc122710547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3</w:t>
            </w:r>
            <w:r w:rsidR="00E81D12" w:rsidRPr="009F7157">
              <w:rPr>
                <w:noProof/>
                <w:webHidden/>
                <w:lang w:val="en-GB"/>
              </w:rPr>
              <w:fldChar w:fldCharType="end"/>
            </w:r>
          </w:hyperlink>
        </w:p>
        <w:p w14:paraId="393B7BF3" w14:textId="77777777" w:rsidR="00E81D12" w:rsidRPr="009F7157" w:rsidRDefault="00000000" w:rsidP="00E81D12">
          <w:pPr>
            <w:pStyle w:val="TOC2"/>
            <w:tabs>
              <w:tab w:val="right" w:leader="dot" w:pos="9019"/>
            </w:tabs>
            <w:rPr>
              <w:noProof/>
              <w:lang w:val="en-GB"/>
            </w:rPr>
          </w:pPr>
          <w:hyperlink w:anchor="_Toc122710548" w:history="1">
            <w:r w:rsidR="00E81D12" w:rsidRPr="009F7157">
              <w:rPr>
                <w:rStyle w:val="Hyperlink"/>
                <w:noProof/>
                <w:lang w:val="en-GB"/>
              </w:rPr>
              <w:t>Types of services and products</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_Toc122710548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3</w:t>
            </w:r>
            <w:r w:rsidR="00E81D12" w:rsidRPr="009F7157">
              <w:rPr>
                <w:noProof/>
                <w:webHidden/>
                <w:lang w:val="en-GB"/>
              </w:rPr>
              <w:fldChar w:fldCharType="end"/>
            </w:r>
          </w:hyperlink>
        </w:p>
        <w:p w14:paraId="3A0EEB40" w14:textId="77777777" w:rsidR="00E81D12" w:rsidRPr="009F7157" w:rsidRDefault="00000000" w:rsidP="00E81D12">
          <w:pPr>
            <w:pStyle w:val="TOC2"/>
            <w:tabs>
              <w:tab w:val="right" w:leader="dot" w:pos="9019"/>
            </w:tabs>
            <w:rPr>
              <w:noProof/>
              <w:lang w:val="en-GB"/>
            </w:rPr>
          </w:pPr>
          <w:hyperlink w:anchor="_Toc122710549" w:history="1">
            <w:r w:rsidR="00E81D12" w:rsidRPr="009F7157">
              <w:rPr>
                <w:rStyle w:val="Hyperlink"/>
                <w:noProof/>
                <w:lang w:val="en-GB"/>
              </w:rPr>
              <w:t>Business environment</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_Toc122710549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4</w:t>
            </w:r>
            <w:r w:rsidR="00E81D12" w:rsidRPr="009F7157">
              <w:rPr>
                <w:noProof/>
                <w:webHidden/>
                <w:lang w:val="en-GB"/>
              </w:rPr>
              <w:fldChar w:fldCharType="end"/>
            </w:r>
          </w:hyperlink>
        </w:p>
        <w:p w14:paraId="6963C526" w14:textId="77777777" w:rsidR="00E81D12" w:rsidRPr="009F7157" w:rsidRDefault="00000000" w:rsidP="00E81D12">
          <w:pPr>
            <w:pStyle w:val="TOC2"/>
            <w:tabs>
              <w:tab w:val="right" w:leader="dot" w:pos="9019"/>
            </w:tabs>
            <w:rPr>
              <w:noProof/>
              <w:lang w:val="en-GB"/>
            </w:rPr>
          </w:pPr>
          <w:hyperlink w:anchor="_Toc122710550" w:history="1">
            <w:r w:rsidR="00E81D12" w:rsidRPr="009F7157">
              <w:rPr>
                <w:rStyle w:val="Hyperlink"/>
                <w:noProof/>
                <w:lang w:val="en-GB"/>
              </w:rPr>
              <w:t>Main markets and other aspects</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_Toc122710550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4</w:t>
            </w:r>
            <w:r w:rsidR="00E81D12" w:rsidRPr="009F7157">
              <w:rPr>
                <w:noProof/>
                <w:webHidden/>
                <w:lang w:val="en-GB"/>
              </w:rPr>
              <w:fldChar w:fldCharType="end"/>
            </w:r>
          </w:hyperlink>
        </w:p>
        <w:p w14:paraId="338F26E9" w14:textId="77777777" w:rsidR="00E81D12" w:rsidRPr="009F7157" w:rsidRDefault="00000000" w:rsidP="00E81D12">
          <w:pPr>
            <w:pStyle w:val="TOC2"/>
            <w:tabs>
              <w:tab w:val="right" w:leader="dot" w:pos="9019"/>
            </w:tabs>
            <w:rPr>
              <w:noProof/>
              <w:lang w:val="en-GB"/>
            </w:rPr>
          </w:pPr>
          <w:hyperlink w:anchor="_Toc122710551" w:history="1">
            <w:r w:rsidR="00E81D12" w:rsidRPr="009F7157">
              <w:rPr>
                <w:rStyle w:val="Hyperlink"/>
                <w:noProof/>
                <w:lang w:val="en-GB"/>
              </w:rPr>
              <w:t>Chosen product</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_Toc122710551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4</w:t>
            </w:r>
            <w:r w:rsidR="00E81D12" w:rsidRPr="009F7157">
              <w:rPr>
                <w:noProof/>
                <w:webHidden/>
                <w:lang w:val="en-GB"/>
              </w:rPr>
              <w:fldChar w:fldCharType="end"/>
            </w:r>
          </w:hyperlink>
        </w:p>
        <w:p w14:paraId="15D485E6" w14:textId="77777777" w:rsidR="00E81D12" w:rsidRPr="009F7157" w:rsidRDefault="00000000" w:rsidP="00E81D12">
          <w:pPr>
            <w:pStyle w:val="TOC2"/>
            <w:tabs>
              <w:tab w:val="right" w:leader="dot" w:pos="9019"/>
            </w:tabs>
            <w:rPr>
              <w:noProof/>
              <w:lang w:val="en-GB"/>
            </w:rPr>
          </w:pPr>
          <w:hyperlink w:anchor="_Toc122710552" w:history="1">
            <w:r w:rsidR="00E81D12" w:rsidRPr="009F7157">
              <w:rPr>
                <w:rStyle w:val="Hyperlink"/>
                <w:noProof/>
                <w:lang w:val="en-GB"/>
              </w:rPr>
              <w:t>Rationale</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_Toc122710552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4</w:t>
            </w:r>
            <w:r w:rsidR="00E81D12" w:rsidRPr="009F7157">
              <w:rPr>
                <w:noProof/>
                <w:webHidden/>
                <w:lang w:val="en-GB"/>
              </w:rPr>
              <w:fldChar w:fldCharType="end"/>
            </w:r>
          </w:hyperlink>
        </w:p>
        <w:p w14:paraId="15218673" w14:textId="77777777" w:rsidR="00E81D12" w:rsidRPr="009F7157" w:rsidRDefault="00000000" w:rsidP="00E81D12">
          <w:pPr>
            <w:pStyle w:val="TOC1"/>
            <w:tabs>
              <w:tab w:val="right" w:leader="dot" w:pos="9019"/>
            </w:tabs>
            <w:rPr>
              <w:noProof/>
              <w:lang w:val="en-GB"/>
            </w:rPr>
          </w:pPr>
          <w:hyperlink w:anchor="_Toc122710553" w:history="1">
            <w:r w:rsidR="00E81D12" w:rsidRPr="009F7157">
              <w:rPr>
                <w:rStyle w:val="Hyperlink"/>
                <w:noProof/>
                <w:lang w:val="en-GB"/>
              </w:rPr>
              <w:t>Identify Demand and Market Equilibrium</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_Toc122710553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4</w:t>
            </w:r>
            <w:r w:rsidR="00E81D12" w:rsidRPr="009F7157">
              <w:rPr>
                <w:noProof/>
                <w:webHidden/>
                <w:lang w:val="en-GB"/>
              </w:rPr>
              <w:fldChar w:fldCharType="end"/>
            </w:r>
          </w:hyperlink>
        </w:p>
        <w:p w14:paraId="422F9E9A" w14:textId="77777777" w:rsidR="00E81D12" w:rsidRPr="009F7157" w:rsidRDefault="00000000" w:rsidP="00E81D12">
          <w:pPr>
            <w:pStyle w:val="TOC2"/>
            <w:tabs>
              <w:tab w:val="right" w:leader="dot" w:pos="9019"/>
            </w:tabs>
            <w:rPr>
              <w:noProof/>
              <w:lang w:val="en-GB"/>
            </w:rPr>
          </w:pPr>
          <w:hyperlink w:anchor="_Toc122710554" w:history="1">
            <w:r w:rsidR="00E81D12" w:rsidRPr="009F7157">
              <w:rPr>
                <w:rStyle w:val="Hyperlink"/>
                <w:noProof/>
                <w:lang w:val="en-GB"/>
              </w:rPr>
              <w:t>Price of substitutes</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_Toc122710554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4</w:t>
            </w:r>
            <w:r w:rsidR="00E81D12" w:rsidRPr="009F7157">
              <w:rPr>
                <w:noProof/>
                <w:webHidden/>
                <w:lang w:val="en-GB"/>
              </w:rPr>
              <w:fldChar w:fldCharType="end"/>
            </w:r>
          </w:hyperlink>
        </w:p>
        <w:p w14:paraId="37E455F5" w14:textId="77777777" w:rsidR="00E81D12" w:rsidRPr="009F7157" w:rsidRDefault="00000000" w:rsidP="00E81D12">
          <w:pPr>
            <w:pStyle w:val="TOC2"/>
            <w:tabs>
              <w:tab w:val="right" w:leader="dot" w:pos="9019"/>
            </w:tabs>
            <w:rPr>
              <w:noProof/>
              <w:lang w:val="en-GB"/>
            </w:rPr>
          </w:pPr>
          <w:hyperlink w:anchor="_Toc122710555" w:history="1">
            <w:r w:rsidR="00E81D12" w:rsidRPr="009F7157">
              <w:rPr>
                <w:rStyle w:val="Hyperlink"/>
                <w:noProof/>
                <w:lang w:val="en-GB"/>
              </w:rPr>
              <w:t>Price of complements</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_Toc122710555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5</w:t>
            </w:r>
            <w:r w:rsidR="00E81D12" w:rsidRPr="009F7157">
              <w:rPr>
                <w:noProof/>
                <w:webHidden/>
                <w:lang w:val="en-GB"/>
              </w:rPr>
              <w:fldChar w:fldCharType="end"/>
            </w:r>
          </w:hyperlink>
        </w:p>
        <w:p w14:paraId="4DC273F1" w14:textId="77777777" w:rsidR="00E81D12" w:rsidRPr="009F7157" w:rsidRDefault="00000000" w:rsidP="00E81D12">
          <w:pPr>
            <w:pStyle w:val="TOC2"/>
            <w:tabs>
              <w:tab w:val="right" w:leader="dot" w:pos="9019"/>
            </w:tabs>
            <w:rPr>
              <w:noProof/>
              <w:lang w:val="en-GB"/>
            </w:rPr>
          </w:pPr>
          <w:hyperlink w:anchor="_Toc122710556" w:history="1">
            <w:r w:rsidR="00E81D12" w:rsidRPr="009F7157">
              <w:rPr>
                <w:rStyle w:val="Hyperlink"/>
                <w:noProof/>
                <w:lang w:val="en-GB"/>
              </w:rPr>
              <w:t>Consumer Income</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_Toc122710556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5</w:t>
            </w:r>
            <w:r w:rsidR="00E81D12" w:rsidRPr="009F7157">
              <w:rPr>
                <w:noProof/>
                <w:webHidden/>
                <w:lang w:val="en-GB"/>
              </w:rPr>
              <w:fldChar w:fldCharType="end"/>
            </w:r>
          </w:hyperlink>
        </w:p>
        <w:p w14:paraId="37E6B985" w14:textId="77777777" w:rsidR="00E81D12" w:rsidRPr="009F7157" w:rsidRDefault="00000000" w:rsidP="00E81D12">
          <w:pPr>
            <w:pStyle w:val="TOC2"/>
            <w:tabs>
              <w:tab w:val="right" w:leader="dot" w:pos="9019"/>
            </w:tabs>
            <w:rPr>
              <w:noProof/>
              <w:lang w:val="en-GB"/>
            </w:rPr>
          </w:pPr>
          <w:hyperlink w:anchor="_Toc122710557" w:history="1">
            <w:r w:rsidR="00E81D12" w:rsidRPr="009F7157">
              <w:rPr>
                <w:rStyle w:val="Hyperlink"/>
                <w:noProof/>
                <w:lang w:val="en-GB"/>
              </w:rPr>
              <w:t>Consumer tastes &amp; preferences</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_Toc122710557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6</w:t>
            </w:r>
            <w:r w:rsidR="00E81D12" w:rsidRPr="009F7157">
              <w:rPr>
                <w:noProof/>
                <w:webHidden/>
                <w:lang w:val="en-GB"/>
              </w:rPr>
              <w:fldChar w:fldCharType="end"/>
            </w:r>
          </w:hyperlink>
        </w:p>
        <w:p w14:paraId="2967FC68" w14:textId="77777777" w:rsidR="00E81D12" w:rsidRPr="009F7157" w:rsidRDefault="00000000" w:rsidP="00E81D12">
          <w:pPr>
            <w:pStyle w:val="TOC2"/>
            <w:tabs>
              <w:tab w:val="right" w:leader="dot" w:pos="9019"/>
            </w:tabs>
            <w:rPr>
              <w:noProof/>
              <w:lang w:val="en-GB"/>
            </w:rPr>
          </w:pPr>
          <w:hyperlink w:anchor="_Toc122710558" w:history="1">
            <w:r w:rsidR="00E81D12" w:rsidRPr="009F7157">
              <w:rPr>
                <w:rStyle w:val="Hyperlink"/>
                <w:noProof/>
                <w:lang w:val="en-GB"/>
              </w:rPr>
              <w:t>Consumer expectations of a price</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_Toc122710558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7</w:t>
            </w:r>
            <w:r w:rsidR="00E81D12" w:rsidRPr="009F7157">
              <w:rPr>
                <w:noProof/>
                <w:webHidden/>
                <w:lang w:val="en-GB"/>
              </w:rPr>
              <w:fldChar w:fldCharType="end"/>
            </w:r>
          </w:hyperlink>
        </w:p>
        <w:p w14:paraId="154AFA80" w14:textId="77777777" w:rsidR="00E81D12" w:rsidRPr="009F7157" w:rsidRDefault="00000000" w:rsidP="00E81D12">
          <w:pPr>
            <w:pStyle w:val="TOC2"/>
            <w:tabs>
              <w:tab w:val="right" w:leader="dot" w:pos="9019"/>
            </w:tabs>
            <w:rPr>
              <w:noProof/>
              <w:lang w:val="en-GB"/>
            </w:rPr>
          </w:pPr>
          <w:hyperlink w:anchor="_Toc122710559" w:history="1">
            <w:r w:rsidR="00E81D12" w:rsidRPr="009F7157">
              <w:rPr>
                <w:rStyle w:val="Hyperlink"/>
                <w:noProof/>
                <w:lang w:val="en-GB"/>
              </w:rPr>
              <w:t>Demographics</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_Toc122710559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7</w:t>
            </w:r>
            <w:r w:rsidR="00E81D12" w:rsidRPr="009F7157">
              <w:rPr>
                <w:noProof/>
                <w:webHidden/>
                <w:lang w:val="en-GB"/>
              </w:rPr>
              <w:fldChar w:fldCharType="end"/>
            </w:r>
          </w:hyperlink>
        </w:p>
        <w:p w14:paraId="7878B65F" w14:textId="77777777" w:rsidR="00E81D12" w:rsidRPr="009F7157" w:rsidRDefault="00000000" w:rsidP="00E81D12">
          <w:pPr>
            <w:pStyle w:val="TOC1"/>
            <w:tabs>
              <w:tab w:val="right" w:leader="dot" w:pos="9019"/>
            </w:tabs>
            <w:rPr>
              <w:noProof/>
              <w:lang w:val="en-GB"/>
            </w:rPr>
          </w:pPr>
          <w:hyperlink w:anchor="_Toc122710560" w:history="1">
            <w:r w:rsidR="00E81D12" w:rsidRPr="009F7157">
              <w:rPr>
                <w:rStyle w:val="Hyperlink"/>
                <w:noProof/>
                <w:lang w:val="en-GB"/>
              </w:rPr>
              <w:t>Indicate whether demand is more elastic or more inelastic</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_Toc122710560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8</w:t>
            </w:r>
            <w:r w:rsidR="00E81D12" w:rsidRPr="009F7157">
              <w:rPr>
                <w:noProof/>
                <w:webHidden/>
                <w:lang w:val="en-GB"/>
              </w:rPr>
              <w:fldChar w:fldCharType="end"/>
            </w:r>
          </w:hyperlink>
        </w:p>
        <w:p w14:paraId="49F94B5A" w14:textId="77777777" w:rsidR="00E81D12" w:rsidRPr="009F7157" w:rsidRDefault="00000000" w:rsidP="00E81D12">
          <w:pPr>
            <w:pStyle w:val="TOC2"/>
            <w:tabs>
              <w:tab w:val="right" w:leader="dot" w:pos="9019"/>
            </w:tabs>
            <w:rPr>
              <w:noProof/>
              <w:lang w:val="en-GB"/>
            </w:rPr>
          </w:pPr>
          <w:hyperlink w:anchor="_Toc122710561" w:history="1">
            <w:r w:rsidR="00E81D12" w:rsidRPr="009F7157">
              <w:rPr>
                <w:rStyle w:val="Hyperlink"/>
                <w:noProof/>
                <w:lang w:val="en-GB"/>
              </w:rPr>
              <w:t>Substitution Effects</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_Toc122710561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8</w:t>
            </w:r>
            <w:r w:rsidR="00E81D12" w:rsidRPr="009F7157">
              <w:rPr>
                <w:noProof/>
                <w:webHidden/>
                <w:lang w:val="en-GB"/>
              </w:rPr>
              <w:fldChar w:fldCharType="end"/>
            </w:r>
          </w:hyperlink>
        </w:p>
        <w:p w14:paraId="7BCCAAD0" w14:textId="77777777" w:rsidR="00E81D12" w:rsidRPr="009F7157" w:rsidRDefault="00000000" w:rsidP="00E81D12">
          <w:pPr>
            <w:pStyle w:val="TOC2"/>
            <w:tabs>
              <w:tab w:val="right" w:leader="dot" w:pos="9019"/>
            </w:tabs>
            <w:rPr>
              <w:noProof/>
              <w:lang w:val="en-GB"/>
            </w:rPr>
          </w:pPr>
          <w:hyperlink w:anchor="_Toc122710562" w:history="1">
            <w:r w:rsidR="00E81D12" w:rsidRPr="009F7157">
              <w:rPr>
                <w:rStyle w:val="Hyperlink"/>
                <w:noProof/>
                <w:lang w:val="en-GB"/>
              </w:rPr>
              <w:t>Income effects</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_Toc122710562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9</w:t>
            </w:r>
            <w:r w:rsidR="00E81D12" w:rsidRPr="009F7157">
              <w:rPr>
                <w:noProof/>
                <w:webHidden/>
                <w:lang w:val="en-GB"/>
              </w:rPr>
              <w:fldChar w:fldCharType="end"/>
            </w:r>
          </w:hyperlink>
        </w:p>
        <w:p w14:paraId="75C1D5B6" w14:textId="77777777" w:rsidR="00E81D12" w:rsidRPr="009F7157" w:rsidRDefault="00000000" w:rsidP="00E81D12">
          <w:pPr>
            <w:pStyle w:val="TOC2"/>
            <w:tabs>
              <w:tab w:val="right" w:leader="dot" w:pos="9019"/>
            </w:tabs>
            <w:rPr>
              <w:noProof/>
              <w:lang w:val="en-GB"/>
            </w:rPr>
          </w:pPr>
          <w:hyperlink w:anchor="_Toc122710563" w:history="1">
            <w:r w:rsidR="00E81D12" w:rsidRPr="009F7157">
              <w:rPr>
                <w:rStyle w:val="Hyperlink"/>
                <w:noProof/>
                <w:lang w:val="en-GB"/>
              </w:rPr>
              <w:t>What pricing policy should the business employ? Why?</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_Toc122710563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11</w:t>
            </w:r>
            <w:r w:rsidR="00E81D12" w:rsidRPr="009F7157">
              <w:rPr>
                <w:noProof/>
                <w:webHidden/>
                <w:lang w:val="en-GB"/>
              </w:rPr>
              <w:fldChar w:fldCharType="end"/>
            </w:r>
          </w:hyperlink>
        </w:p>
        <w:p w14:paraId="2830938A" w14:textId="77777777" w:rsidR="00E81D12" w:rsidRPr="009F7157" w:rsidRDefault="00000000" w:rsidP="00E81D12">
          <w:pPr>
            <w:pStyle w:val="TOC1"/>
            <w:tabs>
              <w:tab w:val="right" w:leader="dot" w:pos="9019"/>
            </w:tabs>
            <w:rPr>
              <w:noProof/>
              <w:lang w:val="en-GB"/>
            </w:rPr>
          </w:pPr>
          <w:hyperlink w:anchor="_Toc122710564" w:history="1">
            <w:r w:rsidR="00E81D12" w:rsidRPr="009F7157">
              <w:rPr>
                <w:rStyle w:val="Hyperlink"/>
                <w:noProof/>
                <w:lang w:val="en-GB"/>
              </w:rPr>
              <w:t>Conclusion</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_Toc122710564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11</w:t>
            </w:r>
            <w:r w:rsidR="00E81D12" w:rsidRPr="009F7157">
              <w:rPr>
                <w:noProof/>
                <w:webHidden/>
                <w:lang w:val="en-GB"/>
              </w:rPr>
              <w:fldChar w:fldCharType="end"/>
            </w:r>
          </w:hyperlink>
        </w:p>
        <w:p w14:paraId="6A98E8AD" w14:textId="77777777" w:rsidR="00E81D12" w:rsidRPr="009F7157" w:rsidRDefault="00000000" w:rsidP="00E81D12">
          <w:pPr>
            <w:pStyle w:val="TOC1"/>
            <w:tabs>
              <w:tab w:val="right" w:leader="dot" w:pos="9019"/>
            </w:tabs>
            <w:rPr>
              <w:noProof/>
              <w:lang w:val="en-GB"/>
            </w:rPr>
          </w:pPr>
          <w:hyperlink w:anchor="_Toc122710565" w:history="1">
            <w:r w:rsidR="00E81D12" w:rsidRPr="009F7157">
              <w:rPr>
                <w:rStyle w:val="Hyperlink"/>
                <w:noProof/>
                <w:lang w:val="en-GB"/>
              </w:rPr>
              <w:t>References</w:t>
            </w:r>
            <w:r w:rsidR="00E81D12" w:rsidRPr="009F7157">
              <w:rPr>
                <w:noProof/>
                <w:webHidden/>
                <w:lang w:val="en-GB"/>
              </w:rPr>
              <w:tab/>
            </w:r>
            <w:r w:rsidR="00E81D12" w:rsidRPr="009F7157">
              <w:rPr>
                <w:noProof/>
                <w:webHidden/>
                <w:lang w:val="en-GB"/>
              </w:rPr>
              <w:fldChar w:fldCharType="begin"/>
            </w:r>
            <w:r w:rsidR="00E81D12" w:rsidRPr="009F7157">
              <w:rPr>
                <w:noProof/>
                <w:webHidden/>
                <w:lang w:val="en-GB"/>
              </w:rPr>
              <w:instrText xml:space="preserve"> PAGEREF _Toc122710565 \h </w:instrText>
            </w:r>
            <w:r w:rsidR="00E81D12" w:rsidRPr="009F7157">
              <w:rPr>
                <w:noProof/>
                <w:webHidden/>
                <w:lang w:val="en-GB"/>
              </w:rPr>
            </w:r>
            <w:r w:rsidR="00E81D12" w:rsidRPr="009F7157">
              <w:rPr>
                <w:noProof/>
                <w:webHidden/>
                <w:lang w:val="en-GB"/>
              </w:rPr>
              <w:fldChar w:fldCharType="separate"/>
            </w:r>
            <w:r w:rsidR="00E81D12" w:rsidRPr="009F7157">
              <w:rPr>
                <w:noProof/>
                <w:webHidden/>
                <w:lang w:val="en-GB"/>
              </w:rPr>
              <w:t>12</w:t>
            </w:r>
            <w:r w:rsidR="00E81D12" w:rsidRPr="009F7157">
              <w:rPr>
                <w:noProof/>
                <w:webHidden/>
                <w:lang w:val="en-GB"/>
              </w:rPr>
              <w:fldChar w:fldCharType="end"/>
            </w:r>
          </w:hyperlink>
        </w:p>
        <w:p w14:paraId="072322FF" w14:textId="77777777" w:rsidR="00E81D12" w:rsidRPr="009F7157" w:rsidRDefault="00E81D12" w:rsidP="00E81D12">
          <w:pPr>
            <w:rPr>
              <w:lang w:val="en-GB"/>
            </w:rPr>
          </w:pPr>
          <w:r w:rsidRPr="009F7157">
            <w:rPr>
              <w:lang w:val="en-GB"/>
            </w:rPr>
            <w:fldChar w:fldCharType="end"/>
          </w:r>
        </w:p>
      </w:sdtContent>
    </w:sdt>
    <w:p w14:paraId="6A02448F" w14:textId="77777777" w:rsidR="00AC75A4" w:rsidRPr="009F7157" w:rsidRDefault="00AC75A4">
      <w:pPr>
        <w:rPr>
          <w:b/>
          <w:sz w:val="28"/>
          <w:szCs w:val="28"/>
          <w:lang w:val="en-GB"/>
        </w:rPr>
      </w:pPr>
      <w:r w:rsidRPr="009F7157">
        <w:rPr>
          <w:lang w:val="en-GB"/>
        </w:rPr>
        <w:br w:type="page"/>
      </w:r>
    </w:p>
    <w:p w14:paraId="740D1D6E" w14:textId="77777777" w:rsidR="001619CF" w:rsidRPr="009F7157" w:rsidRDefault="00306FF6">
      <w:pPr>
        <w:pStyle w:val="Heading1"/>
        <w:rPr>
          <w:lang w:val="en-GB"/>
        </w:rPr>
      </w:pPr>
      <w:bookmarkStart w:id="0" w:name="_Toc122710543"/>
      <w:r w:rsidRPr="009F7157">
        <w:rPr>
          <w:lang w:val="en-GB"/>
        </w:rPr>
        <w:lastRenderedPageBreak/>
        <w:t>Introduction</w:t>
      </w:r>
      <w:bookmarkEnd w:id="0"/>
      <w:r w:rsidRPr="009F7157">
        <w:rPr>
          <w:lang w:val="en-GB"/>
        </w:rPr>
        <w:t xml:space="preserve"> </w:t>
      </w:r>
    </w:p>
    <w:p w14:paraId="362EEBFD" w14:textId="77777777" w:rsidR="001619CF" w:rsidRPr="009F7157" w:rsidRDefault="00306FF6">
      <w:pPr>
        <w:pStyle w:val="Normal1"/>
        <w:rPr>
          <w:lang w:val="en-GB"/>
        </w:rPr>
      </w:pPr>
      <w:r w:rsidRPr="009F7157">
        <w:rPr>
          <w:lang w:val="en-GB"/>
        </w:rPr>
        <w:t xml:space="preserve">Barclays Plc is the larger multinational bank in the entire world and it is a British Universal Bank. The headquarter of this bank is situated in London, United Kingdom. Barclays Plc has two divisions for maintaining its operations in the entire world such as Barclays International and Barclays Bank. Both of these divisions of Barclays Plc have been supported by Barclays Execution Services which is a service company of Barclays Plc. </w:t>
      </w:r>
    </w:p>
    <w:p w14:paraId="41201975" w14:textId="77777777" w:rsidR="001619CF" w:rsidRPr="009F7157" w:rsidRDefault="00306FF6">
      <w:pPr>
        <w:pStyle w:val="Heading1"/>
        <w:rPr>
          <w:lang w:val="en-GB"/>
        </w:rPr>
      </w:pPr>
      <w:bookmarkStart w:id="1" w:name="_664pgp9u5ev1" w:colFirst="0" w:colLast="0"/>
      <w:bookmarkStart w:id="2" w:name="_Toc122710544"/>
      <w:bookmarkEnd w:id="1"/>
      <w:r w:rsidRPr="009F7157">
        <w:rPr>
          <w:lang w:val="en-GB"/>
        </w:rPr>
        <w:t>Describe the business</w:t>
      </w:r>
      <w:bookmarkEnd w:id="2"/>
      <w:r w:rsidRPr="009F7157">
        <w:rPr>
          <w:lang w:val="en-GB"/>
        </w:rPr>
        <w:t xml:space="preserve"> </w:t>
      </w:r>
    </w:p>
    <w:p w14:paraId="077D8176" w14:textId="77777777" w:rsidR="001619CF" w:rsidRPr="009F7157" w:rsidRDefault="00306FF6">
      <w:pPr>
        <w:pStyle w:val="Heading2"/>
        <w:rPr>
          <w:lang w:val="en-GB"/>
        </w:rPr>
      </w:pPr>
      <w:bookmarkStart w:id="3" w:name="_jcrrxver0xuj" w:colFirst="0" w:colLast="0"/>
      <w:bookmarkStart w:id="4" w:name="_Toc122710545"/>
      <w:bookmarkEnd w:id="3"/>
      <w:r w:rsidRPr="009F7157">
        <w:rPr>
          <w:lang w:val="en-GB"/>
        </w:rPr>
        <w:t>Company’s history</w:t>
      </w:r>
      <w:bookmarkEnd w:id="4"/>
    </w:p>
    <w:p w14:paraId="74DC4B2E" w14:textId="1CD2726F" w:rsidR="001619CF" w:rsidRPr="009F7157" w:rsidRDefault="00306FF6">
      <w:pPr>
        <w:pStyle w:val="Normal1"/>
        <w:rPr>
          <w:b/>
          <w:sz w:val="22"/>
          <w:szCs w:val="22"/>
          <w:lang w:val="en-GB"/>
        </w:rPr>
      </w:pPr>
      <w:r w:rsidRPr="009F7157">
        <w:rPr>
          <w:lang w:val="en-GB"/>
        </w:rPr>
        <w:t xml:space="preserve">Barclays Plc was established in 1690 by </w:t>
      </w:r>
      <w:r w:rsidRPr="009F7157">
        <w:rPr>
          <w:color w:val="333333"/>
          <w:highlight w:val="white"/>
          <w:lang w:val="en-GB"/>
        </w:rPr>
        <w:t xml:space="preserve">John </w:t>
      </w:r>
      <w:r w:rsidR="00D11339" w:rsidRPr="009F7157">
        <w:rPr>
          <w:color w:val="333333"/>
          <w:highlight w:val="white"/>
          <w:lang w:val="en-GB"/>
        </w:rPr>
        <w:t>Frame</w:t>
      </w:r>
      <w:r w:rsidRPr="009F7157">
        <w:rPr>
          <w:color w:val="333333"/>
          <w:highlight w:val="white"/>
          <w:lang w:val="en-GB"/>
        </w:rPr>
        <w:t xml:space="preserve"> and Thomas Gould and the first name of this bank was Goldsmith Bankers in the City of London. As mentioned in Barclays (2022a), </w:t>
      </w:r>
      <w:r w:rsidRPr="009F7157">
        <w:rPr>
          <w:lang w:val="en-GB"/>
        </w:rPr>
        <w:t xml:space="preserve">Barclays Plc introduced the first debit card in the United Kingdom in 1987 as it is a British Champion which has been operating in the United Kingdom for more than two centuries. </w:t>
      </w:r>
    </w:p>
    <w:p w14:paraId="423D1035" w14:textId="77777777" w:rsidR="001619CF" w:rsidRPr="009F7157" w:rsidRDefault="00306FF6">
      <w:pPr>
        <w:pStyle w:val="Heading2"/>
        <w:rPr>
          <w:lang w:val="en-GB"/>
        </w:rPr>
      </w:pPr>
      <w:bookmarkStart w:id="5" w:name="_wnxkz5et3jn7" w:colFirst="0" w:colLast="0"/>
      <w:bookmarkStart w:id="6" w:name="_Toc122710546"/>
      <w:bookmarkEnd w:id="5"/>
      <w:r w:rsidRPr="009F7157">
        <w:rPr>
          <w:lang w:val="en-GB"/>
        </w:rPr>
        <w:t>Description of activities</w:t>
      </w:r>
      <w:bookmarkEnd w:id="6"/>
    </w:p>
    <w:p w14:paraId="3BA39BB1" w14:textId="77777777" w:rsidR="001619CF" w:rsidRPr="009F7157" w:rsidRDefault="00306FF6">
      <w:pPr>
        <w:pStyle w:val="Normal1"/>
        <w:rPr>
          <w:lang w:val="en-GB"/>
        </w:rPr>
      </w:pPr>
      <w:r w:rsidRPr="009F7157">
        <w:rPr>
          <w:lang w:val="en-GB"/>
        </w:rPr>
        <w:t xml:space="preserve">Barclays Plc is a provider of global financial services with different activities that refers to the products that the bank offers to different </w:t>
      </w:r>
      <w:r w:rsidRPr="009F7157">
        <w:rPr>
          <w:b/>
          <w:i/>
          <w:lang w:val="en-GB"/>
        </w:rPr>
        <w:t>individuals, corporates, SMEs, and those clients who have a high net worth</w:t>
      </w:r>
      <w:r w:rsidRPr="009F7157">
        <w:rPr>
          <w:lang w:val="en-GB"/>
        </w:rPr>
        <w:t xml:space="preserve">. The main activity of Barclays Plc includes </w:t>
      </w:r>
      <w:r w:rsidRPr="009F7157">
        <w:rPr>
          <w:b/>
          <w:i/>
          <w:lang w:val="en-GB"/>
        </w:rPr>
        <w:t xml:space="preserve">supporting large institutions and businesses through investment and corporate banking services and also small businesses and different consumers through retail banking services </w:t>
      </w:r>
      <w:r w:rsidRPr="009F7157">
        <w:rPr>
          <w:lang w:val="en-GB"/>
        </w:rPr>
        <w:t>(Barclays, 2022b).</w:t>
      </w:r>
    </w:p>
    <w:p w14:paraId="0E98B85C" w14:textId="77777777" w:rsidR="001619CF" w:rsidRPr="009F7157" w:rsidRDefault="00306FF6">
      <w:pPr>
        <w:pStyle w:val="Heading2"/>
        <w:rPr>
          <w:lang w:val="en-GB"/>
        </w:rPr>
      </w:pPr>
      <w:bookmarkStart w:id="7" w:name="_ywdufisrk188" w:colFirst="0" w:colLast="0"/>
      <w:bookmarkStart w:id="8" w:name="_Toc122710547"/>
      <w:bookmarkEnd w:id="7"/>
      <w:r w:rsidRPr="009F7157">
        <w:rPr>
          <w:lang w:val="en-GB"/>
        </w:rPr>
        <w:t>Operating industry</w:t>
      </w:r>
      <w:bookmarkEnd w:id="8"/>
    </w:p>
    <w:p w14:paraId="13E559D9" w14:textId="77777777" w:rsidR="001619CF" w:rsidRPr="009F7157" w:rsidRDefault="00306FF6">
      <w:pPr>
        <w:pStyle w:val="Normal1"/>
        <w:rPr>
          <w:lang w:val="en-GB"/>
        </w:rPr>
      </w:pPr>
      <w:r w:rsidRPr="009F7157">
        <w:rPr>
          <w:lang w:val="en-GB"/>
        </w:rPr>
        <w:t xml:space="preserve">Barclays Plc is operating in the </w:t>
      </w:r>
      <w:r w:rsidRPr="009F7157">
        <w:rPr>
          <w:b/>
          <w:i/>
          <w:lang w:val="en-GB"/>
        </w:rPr>
        <w:t>Banking and Financial Industry</w:t>
      </w:r>
      <w:r w:rsidRPr="009F7157">
        <w:rPr>
          <w:lang w:val="en-GB"/>
        </w:rPr>
        <w:t xml:space="preserve"> where this bank is operating in a global context and also in the global market. </w:t>
      </w:r>
    </w:p>
    <w:p w14:paraId="60B484B0" w14:textId="77777777" w:rsidR="001619CF" w:rsidRPr="009F7157" w:rsidRDefault="00306FF6">
      <w:pPr>
        <w:pStyle w:val="Heading2"/>
        <w:rPr>
          <w:lang w:val="en-GB"/>
        </w:rPr>
      </w:pPr>
      <w:bookmarkStart w:id="9" w:name="_4yeyn6m5ae4y" w:colFirst="0" w:colLast="0"/>
      <w:bookmarkStart w:id="10" w:name="_Toc122710548"/>
      <w:bookmarkEnd w:id="9"/>
      <w:r w:rsidRPr="009F7157">
        <w:rPr>
          <w:lang w:val="en-GB"/>
        </w:rPr>
        <w:t>Types of services and products</w:t>
      </w:r>
      <w:bookmarkEnd w:id="10"/>
    </w:p>
    <w:p w14:paraId="0853503F" w14:textId="77777777" w:rsidR="001619CF" w:rsidRPr="009F7157" w:rsidRDefault="00306FF6">
      <w:pPr>
        <w:pStyle w:val="Normal1"/>
        <w:rPr>
          <w:lang w:val="en-GB"/>
        </w:rPr>
      </w:pPr>
      <w:r w:rsidRPr="009F7157">
        <w:rPr>
          <w:lang w:val="en-GB"/>
        </w:rPr>
        <w:t xml:space="preserve">Barclays Plc's services that they offer include </w:t>
      </w:r>
      <w:r w:rsidRPr="009F7157">
        <w:rPr>
          <w:b/>
          <w:i/>
          <w:lang w:val="en-GB"/>
        </w:rPr>
        <w:t xml:space="preserve">“investment and private banking solutions”, “commercial and wholesale banking”, and “business and personal banking” </w:t>
      </w:r>
      <w:r w:rsidRPr="009F7157">
        <w:rPr>
          <w:lang w:val="en-GB"/>
        </w:rPr>
        <w:t xml:space="preserve">(Globaldata, 2022). </w:t>
      </w:r>
    </w:p>
    <w:p w14:paraId="7F3A4179" w14:textId="77777777" w:rsidR="001619CF" w:rsidRPr="009F7157" w:rsidRDefault="00306FF6">
      <w:pPr>
        <w:pStyle w:val="Heading2"/>
        <w:rPr>
          <w:lang w:val="en-GB"/>
        </w:rPr>
      </w:pPr>
      <w:bookmarkStart w:id="11" w:name="_iipuf65jlyp3" w:colFirst="0" w:colLast="0"/>
      <w:bookmarkStart w:id="12" w:name="_Toc122710549"/>
      <w:bookmarkEnd w:id="11"/>
      <w:r w:rsidRPr="009F7157">
        <w:rPr>
          <w:lang w:val="en-GB"/>
        </w:rPr>
        <w:lastRenderedPageBreak/>
        <w:t>Business environment</w:t>
      </w:r>
      <w:bookmarkEnd w:id="12"/>
    </w:p>
    <w:p w14:paraId="78EEAED2" w14:textId="77777777" w:rsidR="001619CF" w:rsidRPr="009F7157" w:rsidRDefault="00306FF6">
      <w:pPr>
        <w:pStyle w:val="Normal1"/>
        <w:rPr>
          <w:lang w:val="en-GB"/>
        </w:rPr>
      </w:pPr>
      <w:r w:rsidRPr="009F7157">
        <w:rPr>
          <w:lang w:val="en-GB"/>
        </w:rPr>
        <w:t xml:space="preserve">The business environment of Barclays Plc is </w:t>
      </w:r>
      <w:r w:rsidRPr="009F7157">
        <w:rPr>
          <w:b/>
          <w:i/>
          <w:lang w:val="en-GB"/>
        </w:rPr>
        <w:t xml:space="preserve">sustainable for the growth of the environment and business process </w:t>
      </w:r>
      <w:r w:rsidRPr="009F7157">
        <w:rPr>
          <w:lang w:val="en-GB"/>
        </w:rPr>
        <w:t xml:space="preserve">as the bank is supporting both finance and agriculture to make innovative solutions for people and organisations for a better future period (Barclays, 2022c). </w:t>
      </w:r>
    </w:p>
    <w:p w14:paraId="77B5B5D5" w14:textId="77777777" w:rsidR="001619CF" w:rsidRPr="009F7157" w:rsidRDefault="00306FF6">
      <w:pPr>
        <w:pStyle w:val="Heading2"/>
        <w:rPr>
          <w:lang w:val="en-GB"/>
        </w:rPr>
      </w:pPr>
      <w:bookmarkStart w:id="13" w:name="_cmbm9vx51wzs" w:colFirst="0" w:colLast="0"/>
      <w:bookmarkStart w:id="14" w:name="_Toc122710550"/>
      <w:bookmarkEnd w:id="13"/>
      <w:r w:rsidRPr="009F7157">
        <w:rPr>
          <w:lang w:val="en-GB"/>
        </w:rPr>
        <w:t>Main markets and other aspects</w:t>
      </w:r>
      <w:bookmarkEnd w:id="14"/>
    </w:p>
    <w:p w14:paraId="110D9CD9" w14:textId="77777777" w:rsidR="001619CF" w:rsidRPr="009F7157" w:rsidRDefault="00306FF6">
      <w:pPr>
        <w:pStyle w:val="Normal1"/>
        <w:rPr>
          <w:lang w:val="en-GB"/>
        </w:rPr>
      </w:pPr>
      <w:r w:rsidRPr="009F7157">
        <w:rPr>
          <w:lang w:val="en-GB"/>
        </w:rPr>
        <w:t xml:space="preserve">The primary listing of Barclays Plc is on the </w:t>
      </w:r>
      <w:r w:rsidRPr="009F7157">
        <w:rPr>
          <w:b/>
          <w:i/>
          <w:lang w:val="en-GB"/>
        </w:rPr>
        <w:t xml:space="preserve">London Stock Exchange </w:t>
      </w:r>
      <w:r w:rsidRPr="009F7157">
        <w:rPr>
          <w:lang w:val="en-GB"/>
        </w:rPr>
        <w:t xml:space="preserve">as a constituent of the </w:t>
      </w:r>
      <w:r w:rsidRPr="009F7157">
        <w:rPr>
          <w:b/>
          <w:i/>
          <w:lang w:val="en-GB"/>
        </w:rPr>
        <w:t xml:space="preserve">FTSE 100 Index </w:t>
      </w:r>
      <w:r w:rsidRPr="009F7157">
        <w:rPr>
          <w:lang w:val="en-GB"/>
        </w:rPr>
        <w:t xml:space="preserve">and the secondary listing of Barclays Plc is on the </w:t>
      </w:r>
      <w:r w:rsidRPr="009F7157">
        <w:rPr>
          <w:b/>
          <w:i/>
          <w:lang w:val="en-GB"/>
        </w:rPr>
        <w:t>New York Stock Exchange</w:t>
      </w:r>
      <w:r w:rsidRPr="009F7157">
        <w:rPr>
          <w:lang w:val="en-GB"/>
        </w:rPr>
        <w:t xml:space="preserve">. </w:t>
      </w:r>
    </w:p>
    <w:p w14:paraId="5246FD09" w14:textId="77777777" w:rsidR="001619CF" w:rsidRPr="009F7157" w:rsidRDefault="00306FF6">
      <w:pPr>
        <w:pStyle w:val="Heading2"/>
        <w:rPr>
          <w:lang w:val="en-GB"/>
        </w:rPr>
      </w:pPr>
      <w:bookmarkStart w:id="15" w:name="_gszt86cisl5d" w:colFirst="0" w:colLast="0"/>
      <w:bookmarkStart w:id="16" w:name="_Toc122710551"/>
      <w:bookmarkEnd w:id="15"/>
      <w:r w:rsidRPr="009F7157">
        <w:rPr>
          <w:lang w:val="en-GB"/>
        </w:rPr>
        <w:t>Chosen product</w:t>
      </w:r>
      <w:bookmarkEnd w:id="16"/>
    </w:p>
    <w:p w14:paraId="086611B2" w14:textId="77777777" w:rsidR="001619CF" w:rsidRPr="009F7157" w:rsidRDefault="00306FF6">
      <w:pPr>
        <w:pStyle w:val="Normal1"/>
        <w:rPr>
          <w:lang w:val="en-GB"/>
        </w:rPr>
      </w:pPr>
      <w:r w:rsidRPr="009F7157">
        <w:rPr>
          <w:lang w:val="en-GB"/>
        </w:rPr>
        <w:t xml:space="preserve">The chosen product of Barclays Plc to conduct this report and fulfil the requirements of this report is </w:t>
      </w:r>
      <w:r w:rsidRPr="009F7157">
        <w:rPr>
          <w:b/>
          <w:i/>
          <w:lang w:val="en-GB"/>
        </w:rPr>
        <w:t xml:space="preserve">“Expert Wealth Planning” </w:t>
      </w:r>
      <w:r w:rsidRPr="009F7157">
        <w:rPr>
          <w:lang w:val="en-GB"/>
        </w:rPr>
        <w:t>(Barclays, 2022d).</w:t>
      </w:r>
    </w:p>
    <w:p w14:paraId="4EC1A1D2" w14:textId="77777777" w:rsidR="001619CF" w:rsidRPr="009F7157" w:rsidRDefault="00306FF6">
      <w:pPr>
        <w:pStyle w:val="Heading2"/>
        <w:rPr>
          <w:lang w:val="en-GB"/>
        </w:rPr>
      </w:pPr>
      <w:bookmarkStart w:id="17" w:name="_kxhd5amx6fn8" w:colFirst="0" w:colLast="0"/>
      <w:bookmarkStart w:id="18" w:name="_Toc122710552"/>
      <w:bookmarkEnd w:id="17"/>
      <w:r w:rsidRPr="009F7157">
        <w:rPr>
          <w:lang w:val="en-GB"/>
        </w:rPr>
        <w:t>Rationale</w:t>
      </w:r>
      <w:bookmarkEnd w:id="18"/>
      <w:r w:rsidRPr="009F7157">
        <w:rPr>
          <w:lang w:val="en-GB"/>
        </w:rPr>
        <w:t xml:space="preserve"> </w:t>
      </w:r>
    </w:p>
    <w:p w14:paraId="7569CC0E" w14:textId="77777777" w:rsidR="001619CF" w:rsidRPr="009F7157" w:rsidRDefault="00306FF6">
      <w:pPr>
        <w:pStyle w:val="Normal1"/>
        <w:rPr>
          <w:lang w:val="en-GB"/>
        </w:rPr>
      </w:pPr>
      <w:r w:rsidRPr="009F7157">
        <w:rPr>
          <w:lang w:val="en-GB"/>
        </w:rPr>
        <w:t xml:space="preserve">The main and significant reason to choose this product is this product includes different activities for serving their customers. The activities of </w:t>
      </w:r>
      <w:r w:rsidRPr="009F7157">
        <w:rPr>
          <w:b/>
          <w:i/>
          <w:lang w:val="en-GB"/>
        </w:rPr>
        <w:t xml:space="preserve">“Expert Wealth Planning” </w:t>
      </w:r>
      <w:r w:rsidRPr="009F7157">
        <w:rPr>
          <w:lang w:val="en-GB"/>
        </w:rPr>
        <w:t xml:space="preserve">includes </w:t>
      </w:r>
      <w:r w:rsidRPr="009F7157">
        <w:rPr>
          <w:b/>
          <w:i/>
          <w:lang w:val="en-GB"/>
        </w:rPr>
        <w:t xml:space="preserve">“bonds and trusts'', “Insurance and Wealth Protection”, “Tax Efficient Structuring” and “Retirement Planning” </w:t>
      </w:r>
      <w:r w:rsidRPr="009F7157">
        <w:rPr>
          <w:lang w:val="en-GB"/>
        </w:rPr>
        <w:t>(Barclays, 2022d).</w:t>
      </w:r>
    </w:p>
    <w:p w14:paraId="76C61BF6" w14:textId="77777777" w:rsidR="001619CF" w:rsidRPr="009F7157" w:rsidRDefault="00306FF6">
      <w:pPr>
        <w:pStyle w:val="Heading1"/>
        <w:rPr>
          <w:lang w:val="en-GB"/>
        </w:rPr>
      </w:pPr>
      <w:bookmarkStart w:id="19" w:name="_fl3hb5aizafo" w:colFirst="0" w:colLast="0"/>
      <w:bookmarkStart w:id="20" w:name="_Toc122710553"/>
      <w:bookmarkEnd w:id="19"/>
      <w:r w:rsidRPr="009F7157">
        <w:rPr>
          <w:lang w:val="en-GB"/>
        </w:rPr>
        <w:t>Identify Demand and Market Equilibrium</w:t>
      </w:r>
      <w:bookmarkEnd w:id="20"/>
      <w:r w:rsidRPr="009F7157">
        <w:rPr>
          <w:lang w:val="en-GB"/>
        </w:rPr>
        <w:t xml:space="preserve"> </w:t>
      </w:r>
    </w:p>
    <w:p w14:paraId="292B9558" w14:textId="77777777" w:rsidR="001619CF" w:rsidRPr="009F7157" w:rsidRDefault="00306FF6">
      <w:pPr>
        <w:pStyle w:val="Heading2"/>
        <w:rPr>
          <w:lang w:val="en-GB"/>
        </w:rPr>
      </w:pPr>
      <w:bookmarkStart w:id="21" w:name="_hgwyusmds2nu" w:colFirst="0" w:colLast="0"/>
      <w:bookmarkStart w:id="22" w:name="_Toc122710554"/>
      <w:bookmarkEnd w:id="21"/>
      <w:r w:rsidRPr="009F7157">
        <w:rPr>
          <w:lang w:val="en-GB"/>
        </w:rPr>
        <w:t>Price of substitutes</w:t>
      </w:r>
      <w:bookmarkEnd w:id="22"/>
      <w:r w:rsidRPr="009F7157">
        <w:rPr>
          <w:lang w:val="en-GB"/>
        </w:rPr>
        <w:t xml:space="preserve"> </w:t>
      </w:r>
    </w:p>
    <w:p w14:paraId="080D16E1" w14:textId="484093A5" w:rsidR="001619CF" w:rsidRPr="009F7157" w:rsidRDefault="00306FF6">
      <w:pPr>
        <w:pStyle w:val="Normal1"/>
        <w:rPr>
          <w:lang w:val="en-GB"/>
        </w:rPr>
      </w:pPr>
      <w:r w:rsidRPr="009F7157">
        <w:rPr>
          <w:lang w:val="en-GB"/>
        </w:rPr>
        <w:t xml:space="preserve">Barclays Plc provides their banking platform to provide different services regarding their product such as Expert Wealth Planning. The substitute of this product of Barclays Plc is </w:t>
      </w:r>
      <w:r w:rsidR="00D11339" w:rsidRPr="009F7157">
        <w:rPr>
          <w:b/>
          <w:i/>
          <w:lang w:val="en-GB"/>
        </w:rPr>
        <w:t>Alpha sense</w:t>
      </w:r>
      <w:r w:rsidRPr="009F7157">
        <w:rPr>
          <w:b/>
          <w:i/>
          <w:lang w:val="en-GB"/>
        </w:rPr>
        <w:t xml:space="preserve"> </w:t>
      </w:r>
      <w:r w:rsidRPr="009F7157">
        <w:rPr>
          <w:lang w:val="en-GB"/>
        </w:rPr>
        <w:t xml:space="preserve">which is also a platform for providing investment insights and wealth management to investors and individuals around the entire world. The price of </w:t>
      </w:r>
      <w:r w:rsidR="00D11339" w:rsidRPr="009F7157">
        <w:rPr>
          <w:lang w:val="en-GB"/>
        </w:rPr>
        <w:t>Alpha sense</w:t>
      </w:r>
      <w:r w:rsidRPr="009F7157">
        <w:rPr>
          <w:lang w:val="en-GB"/>
        </w:rPr>
        <w:t xml:space="preserve"> is increasing over the period as it has now a range of numbers of customers such as 3,500 enterprise customers (</w:t>
      </w:r>
      <w:r w:rsidR="00D11339" w:rsidRPr="009F7157">
        <w:rPr>
          <w:lang w:val="en-GB"/>
        </w:rPr>
        <w:t>LinkedIn</w:t>
      </w:r>
      <w:r w:rsidRPr="009F7157">
        <w:rPr>
          <w:lang w:val="en-GB"/>
        </w:rPr>
        <w:t xml:space="preserve">, 2022). The effective and increasing potentiality of </w:t>
      </w:r>
      <w:r w:rsidR="00D11339" w:rsidRPr="009F7157">
        <w:rPr>
          <w:lang w:val="en-GB"/>
        </w:rPr>
        <w:t>Alpha sense</w:t>
      </w:r>
      <w:r w:rsidRPr="009F7157">
        <w:rPr>
          <w:lang w:val="en-GB"/>
        </w:rPr>
        <w:t xml:space="preserve"> is affecting the market goodwill and demand for expert wealth planning of Barclays Plc. From the perspective of Sun (2021), wealth management should be done effectively by </w:t>
      </w:r>
      <w:r w:rsidRPr="009F7157">
        <w:rPr>
          <w:lang w:val="en-GB"/>
        </w:rPr>
        <w:lastRenderedPageBreak/>
        <w:t xml:space="preserve">maintaining customer relationships to become more popular and effective to the inventors and organisations available in the global market. </w:t>
      </w:r>
    </w:p>
    <w:p w14:paraId="79337B45" w14:textId="0060DC06" w:rsidR="001619CF" w:rsidRPr="009F7157" w:rsidRDefault="00306FF6">
      <w:pPr>
        <w:pStyle w:val="Normal1"/>
        <w:rPr>
          <w:lang w:val="en-GB"/>
        </w:rPr>
      </w:pPr>
      <w:r w:rsidRPr="009F7157">
        <w:rPr>
          <w:lang w:val="en-GB"/>
        </w:rPr>
        <w:t xml:space="preserve">The problem comes to Barclays Plc due to the increasing potentiality of </w:t>
      </w:r>
      <w:r w:rsidR="00D11339" w:rsidRPr="009F7157">
        <w:rPr>
          <w:lang w:val="en-GB"/>
        </w:rPr>
        <w:t>Alpha sense</w:t>
      </w:r>
      <w:r w:rsidRPr="009F7157">
        <w:rPr>
          <w:lang w:val="en-GB"/>
        </w:rPr>
        <w:t xml:space="preserve"> though the history of Barclays Plc provided them with better goodwill and their effective customer relationship also engaged their customers to stick with them for a long period. In the words of Lee and Shin (2020), losses of inventors due to wrong predictions of assumptions in wealth management are a major reason for the use of alternatives by investors in the current developing and emerging global market. </w:t>
      </w:r>
    </w:p>
    <w:p w14:paraId="470CF57C" w14:textId="77777777" w:rsidR="001619CF" w:rsidRPr="009F7157" w:rsidRDefault="00306FF6">
      <w:pPr>
        <w:pStyle w:val="Heading2"/>
        <w:rPr>
          <w:lang w:val="en-GB"/>
        </w:rPr>
      </w:pPr>
      <w:bookmarkStart w:id="23" w:name="_g7zt8zqfx69r" w:colFirst="0" w:colLast="0"/>
      <w:bookmarkStart w:id="24" w:name="_Toc122710555"/>
      <w:bookmarkEnd w:id="23"/>
      <w:r w:rsidRPr="009F7157">
        <w:rPr>
          <w:lang w:val="en-GB"/>
        </w:rPr>
        <w:t>Price of complements</w:t>
      </w:r>
      <w:bookmarkEnd w:id="24"/>
      <w:r w:rsidRPr="009F7157">
        <w:rPr>
          <w:lang w:val="en-GB"/>
        </w:rPr>
        <w:t xml:space="preserve"> </w:t>
      </w:r>
    </w:p>
    <w:p w14:paraId="573273C8" w14:textId="77777777" w:rsidR="001619CF" w:rsidRPr="009F7157" w:rsidRDefault="00306FF6">
      <w:pPr>
        <w:pStyle w:val="Normal1"/>
        <w:rPr>
          <w:lang w:val="en-GB"/>
        </w:rPr>
      </w:pPr>
      <w:r w:rsidRPr="009F7157">
        <w:rPr>
          <w:lang w:val="en-GB"/>
        </w:rPr>
        <w:t xml:space="preserve">The complement of expert wealth planning of Barclays Plc is their approach and wealth goals for investors. The approaches of Barclays Plc for expert wealth planning include </w:t>
      </w:r>
      <w:r w:rsidRPr="009F7157">
        <w:rPr>
          <w:b/>
          <w:i/>
          <w:lang w:val="en-GB"/>
        </w:rPr>
        <w:t>conversations regarding short-term and long-term goals, drawing a strategic plan, and following opportunities to respond to the changes</w:t>
      </w:r>
      <w:r w:rsidRPr="009F7157">
        <w:rPr>
          <w:lang w:val="en-GB"/>
        </w:rPr>
        <w:t xml:space="preserve">. As mentioned in Barclays (2022e), the wealth goals of approaches for expert wealth planning by Barclays Plc include </w:t>
      </w:r>
      <w:r w:rsidRPr="009F7157">
        <w:rPr>
          <w:b/>
          <w:i/>
          <w:lang w:val="en-GB"/>
        </w:rPr>
        <w:t>protection and growth of wealth, wealth planning for retirement, and planning for establishing an estate</w:t>
      </w:r>
      <w:r w:rsidRPr="009F7157">
        <w:rPr>
          <w:lang w:val="en-GB"/>
        </w:rPr>
        <w:t xml:space="preserve">. The price of complements for the service of Barclays Plc such as Expert Wealth Planning is decreasing at the current period though the market is volatile in the London Stock Exchange which also has positive and increasing possibilities for Barclays Plc. </w:t>
      </w:r>
    </w:p>
    <w:p w14:paraId="4590A269" w14:textId="77777777" w:rsidR="001619CF" w:rsidRPr="009F7157" w:rsidRDefault="00306FF6">
      <w:pPr>
        <w:pStyle w:val="Normal1"/>
        <w:rPr>
          <w:lang w:val="en-GB"/>
        </w:rPr>
      </w:pPr>
      <w:r w:rsidRPr="009F7157">
        <w:rPr>
          <w:lang w:val="en-GB"/>
        </w:rPr>
        <w:t xml:space="preserve">On the other hand, the bank has better potential in both the London Stock Exchange and in the local or domestic competitive market of the United Kingdom. Thus, the price of complement has a great possibility to increase after a lean in the price of services of Barclays Plc in the greater market of the United Kingdom. According to Chatzitheodorou </w:t>
      </w:r>
      <w:r w:rsidRPr="009F7157">
        <w:rPr>
          <w:i/>
          <w:lang w:val="en-GB"/>
        </w:rPr>
        <w:t xml:space="preserve">et al. </w:t>
      </w:r>
      <w:r w:rsidRPr="009F7157">
        <w:rPr>
          <w:lang w:val="en-GB"/>
        </w:rPr>
        <w:t xml:space="preserve">(2019), the price increase may harm the customers' perspectives and also bring potentiality to the investors. The demand has been reducing due to the increased price of complements as it is also increasing the charges for service provided by Barclays Plc. </w:t>
      </w:r>
    </w:p>
    <w:p w14:paraId="58B37F6B" w14:textId="77777777" w:rsidR="001619CF" w:rsidRPr="009F7157" w:rsidRDefault="00306FF6">
      <w:pPr>
        <w:pStyle w:val="Heading2"/>
        <w:rPr>
          <w:lang w:val="en-GB"/>
        </w:rPr>
      </w:pPr>
      <w:bookmarkStart w:id="25" w:name="_6rpg1thk12sk" w:colFirst="0" w:colLast="0"/>
      <w:bookmarkStart w:id="26" w:name="_Toc122710556"/>
      <w:bookmarkEnd w:id="25"/>
      <w:r w:rsidRPr="009F7157">
        <w:rPr>
          <w:lang w:val="en-GB"/>
        </w:rPr>
        <w:t>Consumer Income</w:t>
      </w:r>
      <w:bookmarkEnd w:id="26"/>
      <w:r w:rsidRPr="009F7157">
        <w:rPr>
          <w:lang w:val="en-GB"/>
        </w:rPr>
        <w:t xml:space="preserve"> </w:t>
      </w:r>
    </w:p>
    <w:p w14:paraId="792C0D93" w14:textId="428B9DD0" w:rsidR="001619CF" w:rsidRPr="009F7157" w:rsidRDefault="00306FF6">
      <w:pPr>
        <w:pStyle w:val="Normal1"/>
        <w:rPr>
          <w:lang w:val="en-GB"/>
        </w:rPr>
      </w:pPr>
      <w:r w:rsidRPr="009F7157">
        <w:rPr>
          <w:lang w:val="en-GB"/>
        </w:rPr>
        <w:t xml:space="preserve">The consumer income in the local or domestic area of the United Kingdom is increasing over the decades and it has a greater impact on the demand curve of customers regarding any product or service offered by a company. Barclays Plc has a greater number of consumers which provides the company with a better consumer base to make business in the </w:t>
      </w:r>
      <w:r w:rsidR="009F7157" w:rsidRPr="009F7157">
        <w:rPr>
          <w:lang w:val="en-GB"/>
        </w:rPr>
        <w:t>United Kingdom</w:t>
      </w:r>
      <w:r w:rsidRPr="009F7157">
        <w:rPr>
          <w:lang w:val="en-GB"/>
        </w:rPr>
        <w:t xml:space="preserve">. </w:t>
      </w:r>
    </w:p>
    <w:p w14:paraId="2A11BB36" w14:textId="77777777" w:rsidR="001619CF" w:rsidRPr="009F7157" w:rsidRDefault="00306FF6">
      <w:pPr>
        <w:pStyle w:val="Normal1"/>
        <w:jc w:val="center"/>
        <w:rPr>
          <w:lang w:val="en-GB"/>
        </w:rPr>
      </w:pPr>
      <w:r w:rsidRPr="009F7157">
        <w:rPr>
          <w:noProof/>
          <w:lang w:val="en-GB" w:eastAsia="en-IN"/>
        </w:rPr>
        <w:lastRenderedPageBreak/>
        <w:drawing>
          <wp:inline distT="114300" distB="114300" distL="114300" distR="114300" wp14:anchorId="6C96E4BD" wp14:editId="73D2280F">
            <wp:extent cx="5731200" cy="32766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731200" cy="3276600"/>
                    </a:xfrm>
                    <a:prstGeom prst="rect">
                      <a:avLst/>
                    </a:prstGeom>
                    <a:ln w="25400">
                      <a:solidFill>
                        <a:srgbClr val="000000"/>
                      </a:solidFill>
                      <a:prstDash val="solid"/>
                    </a:ln>
                  </pic:spPr>
                </pic:pic>
              </a:graphicData>
            </a:graphic>
          </wp:inline>
        </w:drawing>
      </w:r>
    </w:p>
    <w:p w14:paraId="0547D55F" w14:textId="76542EA0" w:rsidR="001619CF" w:rsidRPr="009F7157" w:rsidRDefault="00306FF6">
      <w:pPr>
        <w:pStyle w:val="Normal1"/>
        <w:jc w:val="center"/>
        <w:rPr>
          <w:b/>
          <w:lang w:val="en-GB"/>
        </w:rPr>
      </w:pPr>
      <w:r w:rsidRPr="009F7157">
        <w:rPr>
          <w:b/>
          <w:lang w:val="en-GB"/>
        </w:rPr>
        <w:t xml:space="preserve">Figure 1: Mean and Median disposable income of people in the </w:t>
      </w:r>
      <w:r w:rsidR="009F7157" w:rsidRPr="009F7157">
        <w:rPr>
          <w:b/>
          <w:lang w:val="en-GB"/>
        </w:rPr>
        <w:t>United Kingdom</w:t>
      </w:r>
      <w:r w:rsidRPr="009F7157">
        <w:rPr>
          <w:b/>
          <w:lang w:val="en-GB"/>
        </w:rPr>
        <w:t xml:space="preserve"> from 1978 to 2021</w:t>
      </w:r>
    </w:p>
    <w:p w14:paraId="2FD14D51" w14:textId="0F4F9151" w:rsidR="001619CF" w:rsidRPr="009F7157" w:rsidRDefault="00306FF6">
      <w:pPr>
        <w:pStyle w:val="Normal1"/>
        <w:jc w:val="center"/>
        <w:rPr>
          <w:lang w:val="en-GB"/>
        </w:rPr>
      </w:pPr>
      <w:r w:rsidRPr="009F7157">
        <w:rPr>
          <w:lang w:val="en-GB"/>
        </w:rPr>
        <w:t>(Source: O</w:t>
      </w:r>
      <w:r w:rsidR="000F76EA">
        <w:rPr>
          <w:lang w:val="en-GB"/>
        </w:rPr>
        <w:t>NS</w:t>
      </w:r>
      <w:r w:rsidRPr="009F7157">
        <w:rPr>
          <w:lang w:val="en-GB"/>
        </w:rPr>
        <w:t>, 2021)</w:t>
      </w:r>
    </w:p>
    <w:p w14:paraId="0B8FF1EC" w14:textId="668EA7FD" w:rsidR="001619CF" w:rsidRPr="009F7157" w:rsidRDefault="00306FF6">
      <w:pPr>
        <w:pStyle w:val="Normal1"/>
        <w:rPr>
          <w:lang w:val="en-GB"/>
        </w:rPr>
      </w:pPr>
      <w:r w:rsidRPr="009F7157">
        <w:rPr>
          <w:lang w:val="en-GB"/>
        </w:rPr>
        <w:t xml:space="preserve">From the aforementioned figure 1, it can be seen that the disposable income of people in the United Kingdom has increased over many decades. As </w:t>
      </w:r>
      <w:r w:rsidR="009F7157">
        <w:rPr>
          <w:lang w:val="en-GB"/>
        </w:rPr>
        <w:t xml:space="preserve">articulated in </w:t>
      </w:r>
      <w:r w:rsidRPr="009F7157">
        <w:rPr>
          <w:lang w:val="en-GB"/>
        </w:rPr>
        <w:t>O</w:t>
      </w:r>
      <w:r w:rsidR="009F7157">
        <w:rPr>
          <w:lang w:val="en-GB"/>
        </w:rPr>
        <w:t>NS</w:t>
      </w:r>
      <w:r w:rsidRPr="009F7157">
        <w:rPr>
          <w:lang w:val="en-GB"/>
        </w:rPr>
        <w:t xml:space="preserve"> </w:t>
      </w:r>
      <w:r w:rsidR="009F7157">
        <w:rPr>
          <w:lang w:val="en-GB"/>
        </w:rPr>
        <w:t>(</w:t>
      </w:r>
      <w:r w:rsidRPr="009F7157">
        <w:rPr>
          <w:lang w:val="en-GB"/>
        </w:rPr>
        <w:t xml:space="preserve">2021), the median household income of a person in the United Kingdom is almost £38,736.79 each month. As the income of people in the United Kingdom is increasing over the years, it also impacted the demand curve of customers in the United Kingdom. The demand is also increasing with the increased income of people in the United Kingdom. On the other hand, it can be said that the increased income also provides a better opportunity for the people of the local community to increase their savings. In this situation, people prefer affordable and trustworthy organisations and platforms where they can invest as per their income. </w:t>
      </w:r>
    </w:p>
    <w:p w14:paraId="2C40A7E1" w14:textId="77777777" w:rsidR="001619CF" w:rsidRPr="009F7157" w:rsidRDefault="00306FF6">
      <w:pPr>
        <w:pStyle w:val="Heading2"/>
        <w:rPr>
          <w:lang w:val="en-GB"/>
        </w:rPr>
      </w:pPr>
      <w:bookmarkStart w:id="27" w:name="_awaz5n1vbbmm" w:colFirst="0" w:colLast="0"/>
      <w:bookmarkStart w:id="28" w:name="_Toc122710557"/>
      <w:bookmarkEnd w:id="27"/>
      <w:r w:rsidRPr="009F7157">
        <w:rPr>
          <w:lang w:val="en-GB"/>
        </w:rPr>
        <w:t>Consumer tastes &amp; preferences</w:t>
      </w:r>
      <w:bookmarkEnd w:id="28"/>
      <w:r w:rsidRPr="009F7157">
        <w:rPr>
          <w:lang w:val="en-GB"/>
        </w:rPr>
        <w:t xml:space="preserve"> </w:t>
      </w:r>
    </w:p>
    <w:p w14:paraId="47751E9B" w14:textId="77777777" w:rsidR="001619CF" w:rsidRPr="009F7157" w:rsidRDefault="00306FF6">
      <w:pPr>
        <w:pStyle w:val="Normal1"/>
        <w:rPr>
          <w:lang w:val="en-GB"/>
        </w:rPr>
      </w:pPr>
      <w:r w:rsidRPr="009F7157">
        <w:rPr>
          <w:lang w:val="en-GB"/>
        </w:rPr>
        <w:t xml:space="preserve">The pandemic period due to covid 19 changed the tastes and preferences of consumers regarding investment and wealth management in the entire world. Consumer preference is directly related to the consumer behaviour of investors as well as individuals regarding the factors of wealth management. From the perspective of Hoque </w:t>
      </w:r>
      <w:r w:rsidRPr="009F7157">
        <w:rPr>
          <w:i/>
          <w:lang w:val="en-GB"/>
        </w:rPr>
        <w:t xml:space="preserve">et al. </w:t>
      </w:r>
      <w:r w:rsidRPr="009F7157">
        <w:rPr>
          <w:lang w:val="en-GB"/>
        </w:rPr>
        <w:t xml:space="preserve">(2018), consumer preferences are one kind of consumer behaviour which is constantly evolving and changing and it is responsible for changing the significant business organisations in the entire world. </w:t>
      </w:r>
      <w:r w:rsidRPr="009F7157">
        <w:rPr>
          <w:lang w:val="en-GB"/>
        </w:rPr>
        <w:lastRenderedPageBreak/>
        <w:t xml:space="preserve">The increase in online shopping and wealth solutions is also increasing the requirements or needs of people for omnichannel solutions. </w:t>
      </w:r>
    </w:p>
    <w:p w14:paraId="7323FF2A" w14:textId="77777777" w:rsidR="001619CF" w:rsidRPr="009F7157" w:rsidRDefault="00306FF6">
      <w:pPr>
        <w:pStyle w:val="Normal1"/>
        <w:rPr>
          <w:lang w:val="en-GB"/>
        </w:rPr>
      </w:pPr>
      <w:r w:rsidRPr="009F7157">
        <w:rPr>
          <w:lang w:val="en-GB"/>
        </w:rPr>
        <w:t>Taste and preference evaluate and determines the demand of the consumer for a respective product or service. The demand curve of a product or service can be at a higher level with proper consistency if the taste and preference of consumers are higher for the product or service.</w:t>
      </w:r>
    </w:p>
    <w:p w14:paraId="4700ECD0" w14:textId="77777777" w:rsidR="001619CF" w:rsidRPr="009F7157" w:rsidRDefault="00306FF6">
      <w:pPr>
        <w:pStyle w:val="Heading2"/>
        <w:rPr>
          <w:lang w:val="en-GB"/>
        </w:rPr>
      </w:pPr>
      <w:bookmarkStart w:id="29" w:name="_maps4822qqkn" w:colFirst="0" w:colLast="0"/>
      <w:bookmarkStart w:id="30" w:name="_Toc122710558"/>
      <w:bookmarkEnd w:id="29"/>
      <w:r w:rsidRPr="009F7157">
        <w:rPr>
          <w:lang w:val="en-GB"/>
        </w:rPr>
        <w:t>Consumer expectations of a price</w:t>
      </w:r>
      <w:bookmarkEnd w:id="30"/>
      <w:r w:rsidRPr="009F7157">
        <w:rPr>
          <w:lang w:val="en-GB"/>
        </w:rPr>
        <w:t xml:space="preserve"> </w:t>
      </w:r>
    </w:p>
    <w:p w14:paraId="0989B976" w14:textId="77777777" w:rsidR="001619CF" w:rsidRPr="009F7157" w:rsidRDefault="00306FF6">
      <w:pPr>
        <w:pStyle w:val="Normal1"/>
        <w:rPr>
          <w:lang w:val="en-GB"/>
        </w:rPr>
      </w:pPr>
      <w:r w:rsidRPr="009F7157">
        <w:rPr>
          <w:lang w:val="en-GB"/>
        </w:rPr>
        <w:t xml:space="preserve">The consumer expectations for the price of products or services of Barclays Plc will increase in the future as the world is changing with the increased economy of this world. On the other hand, consumers always expect that the price of a product or service can be higher in the future so they buy a product or service in the current period at low prices. From the perspective of Rahi </w:t>
      </w:r>
      <w:r w:rsidRPr="009F7157">
        <w:rPr>
          <w:i/>
          <w:lang w:val="en-GB"/>
        </w:rPr>
        <w:t xml:space="preserve">et al. </w:t>
      </w:r>
      <w:r w:rsidRPr="009F7157">
        <w:rPr>
          <w:lang w:val="en-GB"/>
        </w:rPr>
        <w:t xml:space="preserve">(2020), people or consumers also expect that the price of a product or service can be lower in the future period which enables people to buy products and services in the future at low prices. The expectation of consumers plays a major role in the increase of demand regarding a product or services of an organisation. The increase in consumer expectation for price growth in the future period raises the demand for Expert Wealth Planning of Barclays Plc in the current period. </w:t>
      </w:r>
    </w:p>
    <w:p w14:paraId="039CABCD" w14:textId="77777777" w:rsidR="001619CF" w:rsidRPr="009F7157" w:rsidRDefault="00306FF6">
      <w:pPr>
        <w:pStyle w:val="Heading2"/>
        <w:rPr>
          <w:lang w:val="en-GB"/>
        </w:rPr>
      </w:pPr>
      <w:bookmarkStart w:id="31" w:name="_w33bcifo3d4s" w:colFirst="0" w:colLast="0"/>
      <w:bookmarkStart w:id="32" w:name="_Toc122710559"/>
      <w:bookmarkEnd w:id="31"/>
      <w:r w:rsidRPr="009F7157">
        <w:rPr>
          <w:lang w:val="en-GB"/>
        </w:rPr>
        <w:t>Demographics</w:t>
      </w:r>
      <w:bookmarkEnd w:id="32"/>
      <w:r w:rsidRPr="009F7157">
        <w:rPr>
          <w:lang w:val="en-GB"/>
        </w:rPr>
        <w:t xml:space="preserve"> </w:t>
      </w:r>
    </w:p>
    <w:p w14:paraId="2C779956" w14:textId="2FDC0E9F" w:rsidR="001619CF" w:rsidRPr="009F7157" w:rsidRDefault="00306FF6">
      <w:pPr>
        <w:pStyle w:val="Normal1"/>
        <w:rPr>
          <w:lang w:val="en-GB"/>
        </w:rPr>
      </w:pPr>
      <w:r w:rsidRPr="009F7157">
        <w:rPr>
          <w:lang w:val="en-GB"/>
        </w:rPr>
        <w:t xml:space="preserve">As Barclays Plc is a larger universal bank in the financial and banking market of the United Kingdom, it has a larger range of consumers which is establishing a better consumer base for the company in the current period. From the perspective </w:t>
      </w:r>
      <w:r w:rsidR="009F7157" w:rsidRPr="009F7157">
        <w:rPr>
          <w:lang w:val="en-GB"/>
        </w:rPr>
        <w:t xml:space="preserve">Rahi </w:t>
      </w:r>
      <w:r w:rsidR="009F7157" w:rsidRPr="009F7157">
        <w:rPr>
          <w:i/>
          <w:lang w:val="en-GB"/>
        </w:rPr>
        <w:t xml:space="preserve">et al. </w:t>
      </w:r>
      <w:r w:rsidR="009F7157" w:rsidRPr="009F7157">
        <w:rPr>
          <w:lang w:val="en-GB"/>
        </w:rPr>
        <w:t>(2020)</w:t>
      </w:r>
      <w:r w:rsidR="009F7157">
        <w:rPr>
          <w:lang w:val="en-GB"/>
        </w:rPr>
        <w:t xml:space="preserve">, </w:t>
      </w:r>
      <w:r w:rsidRPr="009F7157">
        <w:rPr>
          <w:lang w:val="en-GB"/>
        </w:rPr>
        <w:t xml:space="preserve">the larger consumer base of Barclays Plc is the main reason that is making the bank the largest bank in the competitive market of the United Kingdom. As mentioned in Statista (2022a), the number of consumers of Barclays Plc in the entire world for the period ended 2021 was </w:t>
      </w:r>
      <w:r w:rsidRPr="009F7157">
        <w:rPr>
          <w:b/>
          <w:i/>
          <w:lang w:val="en-GB"/>
        </w:rPr>
        <w:t>48 million</w:t>
      </w:r>
      <w:r w:rsidRPr="009F7157">
        <w:rPr>
          <w:lang w:val="en-GB"/>
        </w:rPr>
        <w:t xml:space="preserve"> people respectively. On the other hand, HSBC is also a leading banking corporation in the financial and banking sector in the competitive market of the United Kingdom, the consumers of HSBC in the global market </w:t>
      </w:r>
      <w:r w:rsidR="009F7157" w:rsidRPr="009F7157">
        <w:rPr>
          <w:lang w:val="en-GB"/>
        </w:rPr>
        <w:t>were</w:t>
      </w:r>
      <w:r w:rsidRPr="009F7157">
        <w:rPr>
          <w:lang w:val="en-GB"/>
        </w:rPr>
        <w:t xml:space="preserve"> </w:t>
      </w:r>
      <w:r w:rsidRPr="009F7157">
        <w:rPr>
          <w:b/>
          <w:i/>
          <w:lang w:val="en-GB"/>
        </w:rPr>
        <w:t xml:space="preserve">40 million </w:t>
      </w:r>
      <w:r w:rsidRPr="009F7157">
        <w:rPr>
          <w:lang w:val="en-GB"/>
        </w:rPr>
        <w:t xml:space="preserve">people respectively. The number of consumers of Barclays Plc is increasing along with their competitors in the current period and the previous period. The increase in the number of worldwide consumers of Barclays Plc indicates that the demand for products and services of Barclays Plc has increased over the </w:t>
      </w:r>
      <w:r w:rsidRPr="009F7157">
        <w:rPr>
          <w:lang w:val="en-GB"/>
        </w:rPr>
        <w:lastRenderedPageBreak/>
        <w:t xml:space="preserve">decades. In 2021, the annual income from the division of Consumer, Payments and Cards was </w:t>
      </w:r>
      <w:r w:rsidRPr="009F7157">
        <w:rPr>
          <w:b/>
          <w:i/>
          <w:lang w:val="en-GB"/>
        </w:rPr>
        <w:t xml:space="preserve">£3.3 billion </w:t>
      </w:r>
      <w:r w:rsidRPr="009F7157">
        <w:rPr>
          <w:lang w:val="en-GB"/>
        </w:rPr>
        <w:t>respectively (Statista, 2022b).</w:t>
      </w:r>
    </w:p>
    <w:p w14:paraId="0342451F" w14:textId="77777777" w:rsidR="001619CF" w:rsidRPr="009F7157" w:rsidRDefault="00306FF6">
      <w:pPr>
        <w:pStyle w:val="Normal1"/>
        <w:jc w:val="center"/>
        <w:rPr>
          <w:lang w:val="en-GB"/>
        </w:rPr>
      </w:pPr>
      <w:r w:rsidRPr="009F7157">
        <w:rPr>
          <w:noProof/>
          <w:lang w:val="en-GB" w:eastAsia="en-IN"/>
        </w:rPr>
        <w:drawing>
          <wp:inline distT="114300" distB="114300" distL="114300" distR="114300" wp14:anchorId="6057BBF6" wp14:editId="20D2B798">
            <wp:extent cx="5731200" cy="35433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5731200" cy="3543300"/>
                    </a:xfrm>
                    <a:prstGeom prst="rect">
                      <a:avLst/>
                    </a:prstGeom>
                    <a:ln w="25400">
                      <a:solidFill>
                        <a:srgbClr val="000000"/>
                      </a:solidFill>
                      <a:prstDash val="solid"/>
                    </a:ln>
                  </pic:spPr>
                </pic:pic>
              </a:graphicData>
            </a:graphic>
          </wp:inline>
        </w:drawing>
      </w:r>
    </w:p>
    <w:p w14:paraId="206277AD" w14:textId="77777777" w:rsidR="001619CF" w:rsidRPr="009F7157" w:rsidRDefault="00306FF6">
      <w:pPr>
        <w:pStyle w:val="Normal1"/>
        <w:jc w:val="center"/>
        <w:rPr>
          <w:b/>
          <w:lang w:val="en-GB"/>
        </w:rPr>
      </w:pPr>
      <w:r w:rsidRPr="009F7157">
        <w:rPr>
          <w:b/>
          <w:lang w:val="en-GB"/>
        </w:rPr>
        <w:t>Figure 2: Annual banking income of Barclays Plc regarding Global consumers, payments and cards for the period ended 2012 to 2021</w:t>
      </w:r>
    </w:p>
    <w:p w14:paraId="7C95F147" w14:textId="77777777" w:rsidR="001619CF" w:rsidRPr="009F7157" w:rsidRDefault="00306FF6">
      <w:pPr>
        <w:pStyle w:val="Normal1"/>
        <w:jc w:val="center"/>
        <w:rPr>
          <w:lang w:val="en-GB"/>
        </w:rPr>
      </w:pPr>
      <w:r w:rsidRPr="009F7157">
        <w:rPr>
          <w:lang w:val="en-GB"/>
        </w:rPr>
        <w:t xml:space="preserve">(Source: Statista, 2022b) </w:t>
      </w:r>
    </w:p>
    <w:p w14:paraId="1F5621F0" w14:textId="77777777" w:rsidR="001619CF" w:rsidRPr="009F7157" w:rsidRDefault="00306FF6">
      <w:pPr>
        <w:pStyle w:val="Heading1"/>
        <w:rPr>
          <w:lang w:val="en-GB"/>
        </w:rPr>
      </w:pPr>
      <w:bookmarkStart w:id="33" w:name="_4kmq1swqhwtn" w:colFirst="0" w:colLast="0"/>
      <w:bookmarkStart w:id="34" w:name="_Toc122710560"/>
      <w:bookmarkEnd w:id="33"/>
      <w:r w:rsidRPr="009F7157">
        <w:rPr>
          <w:lang w:val="en-GB"/>
        </w:rPr>
        <w:t>Indicate whether demand is more elastic or more inelastic</w:t>
      </w:r>
      <w:bookmarkEnd w:id="34"/>
      <w:r w:rsidRPr="009F7157">
        <w:rPr>
          <w:lang w:val="en-GB"/>
        </w:rPr>
        <w:t xml:space="preserve"> </w:t>
      </w:r>
    </w:p>
    <w:p w14:paraId="4660B274" w14:textId="77777777" w:rsidR="001619CF" w:rsidRPr="009F7157" w:rsidRDefault="00306FF6">
      <w:pPr>
        <w:pStyle w:val="Heading2"/>
        <w:rPr>
          <w:lang w:val="en-GB"/>
        </w:rPr>
      </w:pPr>
      <w:bookmarkStart w:id="35" w:name="_l1jbejv7xwit" w:colFirst="0" w:colLast="0"/>
      <w:bookmarkStart w:id="36" w:name="_Toc122710561"/>
      <w:bookmarkEnd w:id="35"/>
      <w:r w:rsidRPr="009F7157">
        <w:rPr>
          <w:lang w:val="en-GB"/>
        </w:rPr>
        <w:t>Substitution Effects</w:t>
      </w:r>
      <w:bookmarkEnd w:id="36"/>
      <w:r w:rsidRPr="009F7157">
        <w:rPr>
          <w:lang w:val="en-GB"/>
        </w:rPr>
        <w:t xml:space="preserve"> </w:t>
      </w:r>
    </w:p>
    <w:p w14:paraId="06AAE3D0" w14:textId="77777777" w:rsidR="001619CF" w:rsidRPr="009F7157" w:rsidRDefault="00306FF6">
      <w:pPr>
        <w:pStyle w:val="Normal1"/>
        <w:rPr>
          <w:lang w:val="en-GB"/>
        </w:rPr>
      </w:pPr>
      <w:r w:rsidRPr="009F7157">
        <w:rPr>
          <w:lang w:val="en-GB"/>
        </w:rPr>
        <w:t xml:space="preserve">The expenses and the requirement or need of a product or service make sure that the product or service is either luxury or a necessity for the people. The products or services that people purchase anyway without understanding their worth or level of income can be stated as the luxury of a person. From the perspective of Yousaf </w:t>
      </w:r>
      <w:r w:rsidRPr="009F7157">
        <w:rPr>
          <w:i/>
          <w:lang w:val="en-GB"/>
        </w:rPr>
        <w:t xml:space="preserve">et al. </w:t>
      </w:r>
      <w:r w:rsidRPr="009F7157">
        <w:rPr>
          <w:lang w:val="en-GB"/>
        </w:rPr>
        <w:t xml:space="preserve">(2022), the luxury of a product or service can be indicated as a thing which has not to have much demand or need in the lives of people but many people want it. On the other hand, the necessity regarding a product or service is the need of everyone living in the world. In addition, luxury can be described as a product or service which is expensive and unnecessary for people but people desire to obtain in future periods. </w:t>
      </w:r>
    </w:p>
    <w:p w14:paraId="64F2439B" w14:textId="77777777" w:rsidR="001619CF" w:rsidRPr="009F7157" w:rsidRDefault="00306FF6">
      <w:pPr>
        <w:pStyle w:val="Normal1"/>
        <w:rPr>
          <w:lang w:val="en-GB"/>
        </w:rPr>
      </w:pPr>
      <w:r w:rsidRPr="009F7157">
        <w:rPr>
          <w:lang w:val="en-GB"/>
        </w:rPr>
        <w:lastRenderedPageBreak/>
        <w:t xml:space="preserve">The necessity of people includes water, food, and utilities that can be used in a house to live better and appropriately in the world. From the perspective of Wirtz </w:t>
      </w:r>
      <w:r w:rsidRPr="009F7157">
        <w:rPr>
          <w:i/>
          <w:lang w:val="en-GB"/>
        </w:rPr>
        <w:t xml:space="preserve">et al. </w:t>
      </w:r>
      <w:r w:rsidRPr="009F7157">
        <w:rPr>
          <w:lang w:val="en-GB"/>
        </w:rPr>
        <w:t xml:space="preserve">(2020), Necessity is also related to the survival of people whereas luxury has no relation with the survival factors of people. The wealth management factors can be considered a </w:t>
      </w:r>
      <w:r w:rsidRPr="009F7157">
        <w:rPr>
          <w:b/>
          <w:i/>
          <w:lang w:val="en-GB"/>
        </w:rPr>
        <w:t xml:space="preserve">necessity as per the perspectives or views of consumers </w:t>
      </w:r>
      <w:r w:rsidRPr="009F7157">
        <w:rPr>
          <w:lang w:val="en-GB"/>
        </w:rPr>
        <w:t xml:space="preserve">in the entire world. On the other hand, the expert wealth planning of Barclays Plc is expensive in the current period as per the demand for their services, it can be considered a luxury for common people as the income level does not match the required charges and plans of Barclays Plc. </w:t>
      </w:r>
    </w:p>
    <w:p w14:paraId="3D186F1F" w14:textId="77777777" w:rsidR="001619CF" w:rsidRPr="009F7157" w:rsidRDefault="00306FF6">
      <w:pPr>
        <w:pStyle w:val="Normal1"/>
        <w:rPr>
          <w:lang w:val="en-GB"/>
        </w:rPr>
      </w:pPr>
      <w:r w:rsidRPr="009F7157">
        <w:rPr>
          <w:lang w:val="en-GB"/>
        </w:rPr>
        <w:t xml:space="preserve">From this aspect of luxury and necessity, it can be said that the increasing price of expert wealth planning of Barclays Plc is making it a luxury rather than making it a necessity for people. Lower wealth management can reduce the profitability aspects of individuals for the future period but a higher funding capability of an individual creates a better chance for the individual to get higher returns and better wealth management for either short-term or long-term periods. In the words of Yousaf </w:t>
      </w:r>
      <w:r w:rsidRPr="009F7157">
        <w:rPr>
          <w:i/>
          <w:lang w:val="en-GB"/>
        </w:rPr>
        <w:t xml:space="preserve">et al. </w:t>
      </w:r>
      <w:r w:rsidRPr="009F7157">
        <w:rPr>
          <w:lang w:val="en-GB"/>
        </w:rPr>
        <w:t xml:space="preserve">(2022), people should increase their income to make more investments and savings through better wealth management. It enables different kinds of positive aspects for individuals as well as companies to establish their desires as a reality in the real world. Thus, it can be said that this factor of necessity and luxury indicates that the demand is more elastic for Barclays Plc regarding their product or service such as </w:t>
      </w:r>
      <w:r w:rsidRPr="009F7157">
        <w:rPr>
          <w:b/>
          <w:i/>
          <w:lang w:val="en-GB"/>
        </w:rPr>
        <w:t>“Expert Wealth Planning”</w:t>
      </w:r>
      <w:r w:rsidRPr="009F7157">
        <w:rPr>
          <w:lang w:val="en-GB"/>
        </w:rPr>
        <w:t>.</w:t>
      </w:r>
    </w:p>
    <w:p w14:paraId="6D6BBB9F" w14:textId="77777777" w:rsidR="001619CF" w:rsidRPr="009F7157" w:rsidRDefault="00306FF6">
      <w:pPr>
        <w:pStyle w:val="Heading2"/>
        <w:rPr>
          <w:lang w:val="en-GB"/>
        </w:rPr>
      </w:pPr>
      <w:bookmarkStart w:id="37" w:name="_cwiq1c3uquys" w:colFirst="0" w:colLast="0"/>
      <w:bookmarkStart w:id="38" w:name="_Toc122710562"/>
      <w:bookmarkEnd w:id="37"/>
      <w:r w:rsidRPr="009F7157">
        <w:rPr>
          <w:lang w:val="en-GB"/>
        </w:rPr>
        <w:t>Income effects</w:t>
      </w:r>
      <w:bookmarkEnd w:id="38"/>
      <w:r w:rsidRPr="009F7157">
        <w:rPr>
          <w:lang w:val="en-GB"/>
        </w:rPr>
        <w:t xml:space="preserve"> </w:t>
      </w:r>
    </w:p>
    <w:p w14:paraId="5909A7EA" w14:textId="34DF0338" w:rsidR="001619CF" w:rsidRPr="009F7157" w:rsidRDefault="00306FF6">
      <w:pPr>
        <w:pStyle w:val="Normal1"/>
        <w:rPr>
          <w:lang w:val="en-GB"/>
        </w:rPr>
      </w:pPr>
      <w:r w:rsidRPr="009F7157">
        <w:rPr>
          <w:lang w:val="en-GB"/>
        </w:rPr>
        <w:t xml:space="preserve">The income of the people in the United Kingdom plays a major role in the economy of the country as well as for Barclays Plc to make business in the competitive market of the United Kingdom. As mentioned in Ethnicity (2022), the weekly income of </w:t>
      </w:r>
      <w:r w:rsidRPr="009F7157">
        <w:rPr>
          <w:b/>
          <w:i/>
          <w:lang w:val="en-GB"/>
        </w:rPr>
        <w:t xml:space="preserve">45% of households in the United Kingdom </w:t>
      </w:r>
      <w:r w:rsidRPr="009F7157">
        <w:rPr>
          <w:lang w:val="en-GB"/>
        </w:rPr>
        <w:t>was below</w:t>
      </w:r>
      <w:r w:rsidRPr="009F7157">
        <w:rPr>
          <w:b/>
          <w:i/>
          <w:lang w:val="en-GB"/>
        </w:rPr>
        <w:t xml:space="preserve"> £600 on average</w:t>
      </w:r>
      <w:r w:rsidRPr="009F7157">
        <w:rPr>
          <w:lang w:val="en-GB"/>
        </w:rPr>
        <w:t xml:space="preserve">. This value of income occurred to the people of the United Kingdom </w:t>
      </w:r>
      <w:r w:rsidRPr="009F7157">
        <w:rPr>
          <w:b/>
          <w:i/>
          <w:lang w:val="en-GB"/>
        </w:rPr>
        <w:t>after 3 years to the month of March 2021</w:t>
      </w:r>
      <w:r w:rsidRPr="009F7157">
        <w:rPr>
          <w:lang w:val="en-GB"/>
        </w:rPr>
        <w:t>. On the other hand, the weekly income of</w:t>
      </w:r>
      <w:r w:rsidRPr="009F7157">
        <w:rPr>
          <w:b/>
          <w:i/>
          <w:lang w:val="en-GB"/>
        </w:rPr>
        <w:t xml:space="preserve"> 30% of households in the </w:t>
      </w:r>
      <w:r w:rsidR="00D9367E" w:rsidRPr="009F7157">
        <w:rPr>
          <w:b/>
          <w:i/>
          <w:lang w:val="en-GB"/>
        </w:rPr>
        <w:t>United Kingdom</w:t>
      </w:r>
      <w:r w:rsidRPr="009F7157">
        <w:rPr>
          <w:b/>
          <w:i/>
          <w:lang w:val="en-GB"/>
        </w:rPr>
        <w:t xml:space="preserve"> was £1,000 </w:t>
      </w:r>
      <w:r w:rsidRPr="009F7157">
        <w:rPr>
          <w:lang w:val="en-GB"/>
        </w:rPr>
        <w:t xml:space="preserve">whereas the weekly income for almost </w:t>
      </w:r>
      <w:r w:rsidRPr="009F7157">
        <w:rPr>
          <w:b/>
          <w:i/>
          <w:lang w:val="en-GB"/>
        </w:rPr>
        <w:t xml:space="preserve">7% of households in the </w:t>
      </w:r>
      <w:r w:rsidR="00D9367E" w:rsidRPr="009F7157">
        <w:rPr>
          <w:b/>
          <w:i/>
          <w:lang w:val="en-GB"/>
        </w:rPr>
        <w:t>United Kingdom</w:t>
      </w:r>
      <w:r w:rsidRPr="009F7157">
        <w:rPr>
          <w:b/>
          <w:i/>
          <w:lang w:val="en-GB"/>
        </w:rPr>
        <w:t xml:space="preserve"> was £2,000 respectively</w:t>
      </w:r>
      <w:r w:rsidRPr="009F7157">
        <w:rPr>
          <w:lang w:val="en-GB"/>
        </w:rPr>
        <w:t xml:space="preserve">. This amount of income of people in the United Kingdom indicates their capability to survive in the country. </w:t>
      </w:r>
    </w:p>
    <w:p w14:paraId="627B9E3D" w14:textId="77777777" w:rsidR="001619CF" w:rsidRPr="009F7157" w:rsidRDefault="00306FF6">
      <w:pPr>
        <w:pStyle w:val="Normal1"/>
        <w:rPr>
          <w:lang w:val="en-GB"/>
        </w:rPr>
      </w:pPr>
      <w:r w:rsidRPr="009F7157">
        <w:rPr>
          <w:noProof/>
          <w:lang w:val="en-GB" w:eastAsia="en-IN"/>
        </w:rPr>
        <w:lastRenderedPageBreak/>
        <w:drawing>
          <wp:inline distT="114300" distB="114300" distL="114300" distR="114300" wp14:anchorId="4ED9F2EC" wp14:editId="1A492420">
            <wp:extent cx="5731200" cy="3695700"/>
            <wp:effectExtent l="38100" t="57150" r="117150" b="9525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0"/>
                    <a:stretch>
                      <a:fillRect/>
                    </a:stretch>
                  </pic:blipFill>
                  <pic:spPr>
                    <a:xfrm>
                      <a:off x="0" y="0"/>
                      <a:ext cx="5731200" cy="3695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726905" w14:textId="77777777" w:rsidR="001619CF" w:rsidRPr="009F7157" w:rsidRDefault="00306FF6">
      <w:pPr>
        <w:pStyle w:val="Normal1"/>
        <w:jc w:val="center"/>
        <w:rPr>
          <w:b/>
          <w:lang w:val="en-GB"/>
        </w:rPr>
      </w:pPr>
      <w:r w:rsidRPr="009F7157">
        <w:rPr>
          <w:b/>
          <w:lang w:val="en-GB"/>
        </w:rPr>
        <w:t>Figure 3: Median annual earnings for full-time employees in the United Kingdom from 1999 to 2022</w:t>
      </w:r>
    </w:p>
    <w:p w14:paraId="2F33BD02" w14:textId="77777777" w:rsidR="001619CF" w:rsidRPr="009F7157" w:rsidRDefault="00306FF6">
      <w:pPr>
        <w:pStyle w:val="Normal1"/>
        <w:jc w:val="center"/>
        <w:rPr>
          <w:lang w:val="en-GB"/>
        </w:rPr>
      </w:pPr>
      <w:r w:rsidRPr="009F7157">
        <w:rPr>
          <w:lang w:val="en-GB"/>
        </w:rPr>
        <w:t>(Source: Statista, 2022c)</w:t>
      </w:r>
    </w:p>
    <w:p w14:paraId="6EE6C78C" w14:textId="19AB0A94" w:rsidR="001619CF" w:rsidRPr="009F7157" w:rsidRDefault="00306FF6">
      <w:pPr>
        <w:pStyle w:val="Normal1"/>
        <w:rPr>
          <w:lang w:val="en-GB"/>
        </w:rPr>
      </w:pPr>
      <w:r w:rsidRPr="009F7157">
        <w:rPr>
          <w:lang w:val="en-GB"/>
        </w:rPr>
        <w:t xml:space="preserve">It can be seen in the above-mentioned figure that the approximate value or amount of people's income in the </w:t>
      </w:r>
      <w:r w:rsidR="009F7157" w:rsidRPr="009F7157">
        <w:rPr>
          <w:lang w:val="en-GB"/>
        </w:rPr>
        <w:t>United Kingdom</w:t>
      </w:r>
      <w:r w:rsidRPr="009F7157">
        <w:rPr>
          <w:lang w:val="en-GB"/>
        </w:rPr>
        <w:t xml:space="preserve"> is</w:t>
      </w:r>
      <w:r w:rsidRPr="009F7157">
        <w:rPr>
          <w:b/>
          <w:i/>
          <w:lang w:val="en-GB"/>
        </w:rPr>
        <w:t xml:space="preserve"> £33,000 respectively for the period ending 2022</w:t>
      </w:r>
      <w:r w:rsidRPr="009F7157">
        <w:rPr>
          <w:lang w:val="en-GB"/>
        </w:rPr>
        <w:t xml:space="preserve">. On the other hand, it can be said that this figure for the annual income of people in the United Kingdom </w:t>
      </w:r>
      <w:r w:rsidRPr="009F7157">
        <w:rPr>
          <w:b/>
          <w:i/>
          <w:lang w:val="en-GB"/>
        </w:rPr>
        <w:t>for the period ended 1998 was £17,830 respectively</w:t>
      </w:r>
      <w:r w:rsidRPr="009F7157">
        <w:rPr>
          <w:lang w:val="en-GB"/>
        </w:rPr>
        <w:t xml:space="preserve">. The increase in the net income of people in the United Kingdom is </w:t>
      </w:r>
      <w:r w:rsidRPr="009F7157">
        <w:rPr>
          <w:b/>
          <w:i/>
          <w:lang w:val="en-GB"/>
        </w:rPr>
        <w:t xml:space="preserve">£15,170 respectively </w:t>
      </w:r>
      <w:r w:rsidRPr="009F7157">
        <w:rPr>
          <w:lang w:val="en-GB"/>
        </w:rPr>
        <w:t xml:space="preserve">(Statista, 2022c). From this perspective, it can be said that the purchase of goods or services by a person reflects or represents a significant portion of a consumer's income. On the other hand, it also can be said that having a great wealth of a person if the person purchases a small </w:t>
      </w:r>
      <w:r w:rsidR="00D9367E" w:rsidRPr="009F7157">
        <w:rPr>
          <w:lang w:val="en-GB"/>
        </w:rPr>
        <w:t>amount,</w:t>
      </w:r>
      <w:r w:rsidRPr="009F7157">
        <w:rPr>
          <w:lang w:val="en-GB"/>
        </w:rPr>
        <w:t xml:space="preserve"> then it does not reflect the actual worth of that person regarding the purchase amount. </w:t>
      </w:r>
    </w:p>
    <w:p w14:paraId="26822D30" w14:textId="77777777" w:rsidR="001619CF" w:rsidRPr="009F7157" w:rsidRDefault="00306FF6">
      <w:pPr>
        <w:pStyle w:val="Normal1"/>
        <w:rPr>
          <w:lang w:val="en-GB"/>
        </w:rPr>
      </w:pPr>
      <w:r w:rsidRPr="009F7157">
        <w:rPr>
          <w:lang w:val="en-GB"/>
        </w:rPr>
        <w:t xml:space="preserve">Thus, it can be said that both of these scenarios mentioned above indicate that there is no relationship available between the purchase amount and the reflection of consumers' income. These factors regarding the income of people in the competitive market of the United Kingdom indicate that the demand is more elastic for the Expert Wealth Planning of Barclays Plc. as Barclays Plc is a global bank who have operations and customers around the entire world, needs to minimise their price of products or services for gathering more customers </w:t>
      </w:r>
      <w:r w:rsidRPr="009F7157">
        <w:rPr>
          <w:lang w:val="en-GB"/>
        </w:rPr>
        <w:lastRenderedPageBreak/>
        <w:t xml:space="preserve">form the global market (Jones, 2021). It can also help Barclays Plc for gathering consumers in the local or domestic competitive market of the United Kingdom. </w:t>
      </w:r>
    </w:p>
    <w:p w14:paraId="6B0C507E" w14:textId="77777777" w:rsidR="001619CF" w:rsidRPr="009F7157" w:rsidRDefault="00306FF6">
      <w:pPr>
        <w:pStyle w:val="Heading2"/>
        <w:rPr>
          <w:lang w:val="en-GB"/>
        </w:rPr>
      </w:pPr>
      <w:bookmarkStart w:id="39" w:name="_gl7ioa1nrwci" w:colFirst="0" w:colLast="0"/>
      <w:bookmarkStart w:id="40" w:name="_Toc122710563"/>
      <w:bookmarkEnd w:id="39"/>
      <w:r w:rsidRPr="009F7157">
        <w:rPr>
          <w:lang w:val="en-GB"/>
        </w:rPr>
        <w:t>What pricing policy should the business employ? Why?</w:t>
      </w:r>
      <w:bookmarkEnd w:id="40"/>
      <w:r w:rsidRPr="009F7157">
        <w:rPr>
          <w:lang w:val="en-GB"/>
        </w:rPr>
        <w:t xml:space="preserve"> </w:t>
      </w:r>
    </w:p>
    <w:p w14:paraId="5278EB9B" w14:textId="77777777" w:rsidR="001619CF" w:rsidRPr="009F7157" w:rsidRDefault="00306FF6">
      <w:pPr>
        <w:pStyle w:val="Normal1"/>
        <w:rPr>
          <w:lang w:val="en-GB"/>
        </w:rPr>
      </w:pPr>
      <w:r w:rsidRPr="009F7157">
        <w:rPr>
          <w:lang w:val="en-GB"/>
        </w:rPr>
        <w:t xml:space="preserve">There are different kinds of pricing policies available in the current digital world for business organisations to adopt and set their prices of products and services as per the factors of pricing policies. From the perspective of Bonomo </w:t>
      </w:r>
      <w:r w:rsidRPr="009F7157">
        <w:rPr>
          <w:i/>
          <w:lang w:val="en-GB"/>
        </w:rPr>
        <w:t xml:space="preserve">et al. </w:t>
      </w:r>
      <w:r w:rsidRPr="009F7157">
        <w:rPr>
          <w:lang w:val="en-GB"/>
        </w:rPr>
        <w:t>(2022), the selection of an appropriate pricing policy by a company may raise the demand for products and services of an organisation. The most used pricing policy models by organisations include competition</w:t>
      </w:r>
      <w:r w:rsidRPr="009F7157">
        <w:rPr>
          <w:b/>
          <w:i/>
          <w:lang w:val="en-GB"/>
        </w:rPr>
        <w:t>-based pricing, value-based pricing, dynamic pricing, and cost-plus pricing</w:t>
      </w:r>
      <w:r w:rsidRPr="009F7157">
        <w:rPr>
          <w:lang w:val="en-GB"/>
        </w:rPr>
        <w:t xml:space="preserve">. On the other hand, the different kinds of pricing policies are </w:t>
      </w:r>
      <w:r w:rsidRPr="009F7157">
        <w:rPr>
          <w:b/>
          <w:i/>
          <w:lang w:val="en-GB"/>
        </w:rPr>
        <w:t>“geographical pricing”, “competitive bidding in competitive markets” and “price discounts and allowances”</w:t>
      </w:r>
      <w:r w:rsidRPr="009F7157">
        <w:rPr>
          <w:lang w:val="en-GB"/>
        </w:rPr>
        <w:t xml:space="preserve">. </w:t>
      </w:r>
    </w:p>
    <w:p w14:paraId="03F380A4" w14:textId="77777777" w:rsidR="001619CF" w:rsidRPr="009F7157" w:rsidRDefault="00306FF6">
      <w:pPr>
        <w:pStyle w:val="Normal1"/>
        <w:rPr>
          <w:lang w:val="en-GB"/>
        </w:rPr>
      </w:pPr>
      <w:r w:rsidRPr="009F7157">
        <w:rPr>
          <w:lang w:val="en-GB"/>
        </w:rPr>
        <w:t xml:space="preserve">As per the market demand and consumer base of Barclays Plc, the company should employ </w:t>
      </w:r>
      <w:r w:rsidRPr="009F7157">
        <w:rPr>
          <w:b/>
          <w:i/>
          <w:lang w:val="en-GB"/>
        </w:rPr>
        <w:t xml:space="preserve">price discounts and allowances policy for setting the pricing of products and services </w:t>
      </w:r>
      <w:r w:rsidRPr="009F7157">
        <w:rPr>
          <w:lang w:val="en-GB"/>
        </w:rPr>
        <w:t xml:space="preserve">to offer a large range of consumers in the entire world. </w:t>
      </w:r>
      <w:r w:rsidRPr="009F7157">
        <w:rPr>
          <w:b/>
          <w:i/>
          <w:lang w:val="en-GB"/>
        </w:rPr>
        <w:t>The geographical pricing policy</w:t>
      </w:r>
      <w:r w:rsidRPr="009F7157">
        <w:rPr>
          <w:lang w:val="en-GB"/>
        </w:rPr>
        <w:t xml:space="preserve"> can harm </w:t>
      </w:r>
      <w:r w:rsidRPr="009F7157">
        <w:rPr>
          <w:b/>
          <w:i/>
          <w:lang w:val="en-GB"/>
        </w:rPr>
        <w:t xml:space="preserve">the consumer perspective </w:t>
      </w:r>
      <w:r w:rsidRPr="009F7157">
        <w:rPr>
          <w:lang w:val="en-GB"/>
        </w:rPr>
        <w:t xml:space="preserve">as per the </w:t>
      </w:r>
      <w:r w:rsidRPr="009F7157">
        <w:rPr>
          <w:b/>
          <w:i/>
          <w:lang w:val="en-GB"/>
        </w:rPr>
        <w:t xml:space="preserve">price based on the geographic location of consumers </w:t>
      </w:r>
      <w:r w:rsidRPr="009F7157">
        <w:rPr>
          <w:lang w:val="en-GB"/>
        </w:rPr>
        <w:t xml:space="preserve">(Karlan and Zinman, 2018). It can </w:t>
      </w:r>
      <w:r w:rsidRPr="009F7157">
        <w:rPr>
          <w:b/>
          <w:i/>
          <w:lang w:val="en-GB"/>
        </w:rPr>
        <w:t xml:space="preserve">discriminate prices in different locations </w:t>
      </w:r>
      <w:r w:rsidRPr="009F7157">
        <w:rPr>
          <w:lang w:val="en-GB"/>
        </w:rPr>
        <w:t>and being a multinational universal bank, this</w:t>
      </w:r>
      <w:r w:rsidRPr="009F7157">
        <w:rPr>
          <w:b/>
          <w:i/>
          <w:lang w:val="en-GB"/>
        </w:rPr>
        <w:t xml:space="preserve"> factor may affect the demands of Barclays Plc </w:t>
      </w:r>
      <w:r w:rsidRPr="009F7157">
        <w:rPr>
          <w:lang w:val="en-GB"/>
        </w:rPr>
        <w:t xml:space="preserve">regarding the consumption of its goods and services. The use of price discounts and allowance pricing policy can help the company to increase the demand for their products and services in the wide competitive market of the United Kingdom as well as in the global market. </w:t>
      </w:r>
    </w:p>
    <w:p w14:paraId="2F9AB333" w14:textId="77777777" w:rsidR="001619CF" w:rsidRPr="009F7157" w:rsidRDefault="00306FF6">
      <w:pPr>
        <w:pStyle w:val="Heading1"/>
        <w:rPr>
          <w:lang w:val="en-GB"/>
        </w:rPr>
      </w:pPr>
      <w:bookmarkStart w:id="41" w:name="_p47f9hur1f8v" w:colFirst="0" w:colLast="0"/>
      <w:bookmarkStart w:id="42" w:name="_Toc122710564"/>
      <w:bookmarkEnd w:id="41"/>
      <w:r w:rsidRPr="009F7157">
        <w:rPr>
          <w:lang w:val="en-GB"/>
        </w:rPr>
        <w:t>Conclusion</w:t>
      </w:r>
      <w:bookmarkEnd w:id="42"/>
      <w:r w:rsidRPr="009F7157">
        <w:rPr>
          <w:lang w:val="en-GB"/>
        </w:rPr>
        <w:t xml:space="preserve"> </w:t>
      </w:r>
    </w:p>
    <w:p w14:paraId="5CD97807" w14:textId="77777777" w:rsidR="00AC75A4" w:rsidRPr="009F7157" w:rsidRDefault="00306FF6">
      <w:pPr>
        <w:pStyle w:val="Normal1"/>
        <w:rPr>
          <w:lang w:val="en-GB"/>
        </w:rPr>
      </w:pPr>
      <w:r w:rsidRPr="009F7157">
        <w:rPr>
          <w:lang w:val="en-GB"/>
        </w:rPr>
        <w:t xml:space="preserve">This report includes different kinds of information regarding the history, market, products and services of Barclays Plc in the United Kingdom as well as their operations and offerings to consumers in the global market. On the other hand, the investigation regarding the identification of the market and demand of Barclays Plc with elasticity or elasticity of demand has been discussed here for making better knowledge and understanding of an individual. In addition, different statistical data has been provided here to support the arguments and findings of this research study. </w:t>
      </w:r>
    </w:p>
    <w:p w14:paraId="1DDE8FD8" w14:textId="77777777" w:rsidR="00AC75A4" w:rsidRPr="009F7157" w:rsidRDefault="00AC75A4">
      <w:pPr>
        <w:rPr>
          <w:lang w:val="en-GB"/>
        </w:rPr>
      </w:pPr>
      <w:r w:rsidRPr="009F7157">
        <w:rPr>
          <w:lang w:val="en-GB"/>
        </w:rPr>
        <w:br w:type="page"/>
      </w:r>
    </w:p>
    <w:p w14:paraId="7E410923" w14:textId="77777777" w:rsidR="001619CF" w:rsidRPr="009F7157" w:rsidRDefault="00AC75A4" w:rsidP="00AC75A4">
      <w:pPr>
        <w:pStyle w:val="Heading1"/>
        <w:rPr>
          <w:lang w:val="en-GB"/>
        </w:rPr>
      </w:pPr>
      <w:bookmarkStart w:id="43" w:name="_Toc122710565"/>
      <w:r w:rsidRPr="009F7157">
        <w:rPr>
          <w:lang w:val="en-GB"/>
        </w:rPr>
        <w:lastRenderedPageBreak/>
        <w:t>References</w:t>
      </w:r>
      <w:bookmarkEnd w:id="43"/>
    </w:p>
    <w:p w14:paraId="363A795F" w14:textId="77777777" w:rsidR="00D9367E" w:rsidRPr="009F7157" w:rsidRDefault="00D9367E" w:rsidP="00E81D12">
      <w:pPr>
        <w:rPr>
          <w:lang w:val="en-GB"/>
        </w:rPr>
      </w:pPr>
      <w:r w:rsidRPr="009F7157">
        <w:rPr>
          <w:lang w:val="en-GB"/>
        </w:rPr>
        <w:t xml:space="preserve">Barclays, 2022a, </w:t>
      </w:r>
      <w:r w:rsidRPr="009F7157">
        <w:rPr>
          <w:rFonts w:eastAsiaTheme="minorHAnsi"/>
          <w:i/>
          <w:szCs w:val="22"/>
          <w:lang w:val="en-GB"/>
        </w:rPr>
        <w:t>Our history</w:t>
      </w:r>
      <w:r w:rsidRPr="009F7157">
        <w:rPr>
          <w:lang w:val="en-GB"/>
        </w:rPr>
        <w:t>. Available at: https://home.barclays/who-we-are/our-history/#:~:text=Barclays%20traces%20its%20ancestry%20back,in%20the%20business%20ever%20since. [Assessed on 22</w:t>
      </w:r>
      <w:r w:rsidRPr="009F7157">
        <w:rPr>
          <w:vertAlign w:val="superscript"/>
          <w:lang w:val="en-GB"/>
        </w:rPr>
        <w:t>nd</w:t>
      </w:r>
      <w:r w:rsidRPr="009F7157">
        <w:rPr>
          <w:lang w:val="en-GB"/>
        </w:rPr>
        <w:t xml:space="preserve"> December, 2022]</w:t>
      </w:r>
    </w:p>
    <w:p w14:paraId="7C4EF5C5" w14:textId="67CF1DFC" w:rsidR="00D9367E" w:rsidRPr="009F7157" w:rsidRDefault="00D9367E" w:rsidP="00E81D12">
      <w:pPr>
        <w:rPr>
          <w:lang w:val="en-GB"/>
        </w:rPr>
      </w:pPr>
      <w:r w:rsidRPr="009F7157">
        <w:rPr>
          <w:lang w:val="en-GB"/>
        </w:rPr>
        <w:t xml:space="preserve">Barclays, 2022b, </w:t>
      </w:r>
      <w:r w:rsidR="00D11339" w:rsidRPr="009F7157">
        <w:rPr>
          <w:rFonts w:eastAsiaTheme="minorHAnsi"/>
          <w:i/>
          <w:szCs w:val="22"/>
          <w:lang w:val="en-GB"/>
        </w:rPr>
        <w:t>who</w:t>
      </w:r>
      <w:r w:rsidRPr="009F7157">
        <w:rPr>
          <w:rFonts w:eastAsiaTheme="minorHAnsi"/>
          <w:i/>
          <w:szCs w:val="22"/>
          <w:lang w:val="en-GB"/>
        </w:rPr>
        <w:t xml:space="preserve"> we are</w:t>
      </w:r>
      <w:r w:rsidRPr="009F7157">
        <w:rPr>
          <w:lang w:val="en-GB"/>
        </w:rPr>
        <w:t>. Available at: https://home.barclays/who-we-are/ [Assessed on 22</w:t>
      </w:r>
      <w:r w:rsidRPr="009F7157">
        <w:rPr>
          <w:vertAlign w:val="superscript"/>
          <w:lang w:val="en-GB"/>
        </w:rPr>
        <w:t>nd</w:t>
      </w:r>
      <w:r w:rsidRPr="009F7157">
        <w:rPr>
          <w:lang w:val="en-GB"/>
        </w:rPr>
        <w:t xml:space="preserve"> December, 2022]</w:t>
      </w:r>
    </w:p>
    <w:p w14:paraId="7C37729C" w14:textId="77777777" w:rsidR="00D9367E" w:rsidRPr="009F7157" w:rsidRDefault="00D9367E" w:rsidP="00E81D12">
      <w:pPr>
        <w:rPr>
          <w:lang w:val="en-GB"/>
        </w:rPr>
      </w:pPr>
      <w:r w:rsidRPr="009F7157">
        <w:rPr>
          <w:lang w:val="en-GB"/>
        </w:rPr>
        <w:t xml:space="preserve">Barclays, 2022c, </w:t>
      </w:r>
      <w:r w:rsidRPr="009F7157">
        <w:rPr>
          <w:rFonts w:eastAsiaTheme="minorHAnsi"/>
          <w:i/>
          <w:szCs w:val="22"/>
          <w:lang w:val="en-GB"/>
        </w:rPr>
        <w:t>Business and environmental sustainability</w:t>
      </w:r>
      <w:r w:rsidRPr="009F7157">
        <w:rPr>
          <w:lang w:val="en-GB"/>
        </w:rPr>
        <w:t>. Available at: https://www.barclays.co.uk/business-banking/business-insight/sustainability/ [Assessed on 22</w:t>
      </w:r>
      <w:r w:rsidRPr="009F7157">
        <w:rPr>
          <w:vertAlign w:val="superscript"/>
          <w:lang w:val="en-GB"/>
        </w:rPr>
        <w:t>nd</w:t>
      </w:r>
      <w:r w:rsidRPr="009F7157">
        <w:rPr>
          <w:lang w:val="en-GB"/>
        </w:rPr>
        <w:t xml:space="preserve"> December, 2022]</w:t>
      </w:r>
    </w:p>
    <w:p w14:paraId="7634C82C" w14:textId="108AEAD5" w:rsidR="00D9367E" w:rsidRPr="009F7157" w:rsidRDefault="00D9367E" w:rsidP="00E81D12">
      <w:pPr>
        <w:rPr>
          <w:lang w:val="en-GB"/>
        </w:rPr>
      </w:pPr>
      <w:r w:rsidRPr="009F7157">
        <w:rPr>
          <w:lang w:val="en-GB"/>
        </w:rPr>
        <w:t xml:space="preserve">Barclays, 2022d, </w:t>
      </w:r>
      <w:r w:rsidR="00D11339" w:rsidRPr="009F7157">
        <w:rPr>
          <w:rFonts w:eastAsiaTheme="minorHAnsi"/>
          <w:i/>
          <w:szCs w:val="22"/>
          <w:lang w:val="en-GB"/>
        </w:rPr>
        <w:t>what</w:t>
      </w:r>
      <w:r w:rsidRPr="009F7157">
        <w:rPr>
          <w:rFonts w:eastAsiaTheme="minorHAnsi"/>
          <w:i/>
          <w:szCs w:val="22"/>
          <w:lang w:val="en-GB"/>
        </w:rPr>
        <w:t xml:space="preserve"> we offer</w:t>
      </w:r>
      <w:r w:rsidRPr="009F7157">
        <w:rPr>
          <w:lang w:val="en-GB"/>
        </w:rPr>
        <w:t>. Available at: https://www.barclays.co.uk/wealth-management/why-barclays/our-products-and-services/ [Assessed on 22</w:t>
      </w:r>
      <w:r w:rsidRPr="009F7157">
        <w:rPr>
          <w:vertAlign w:val="superscript"/>
          <w:lang w:val="en-GB"/>
        </w:rPr>
        <w:t>nd</w:t>
      </w:r>
      <w:r w:rsidRPr="009F7157">
        <w:rPr>
          <w:lang w:val="en-GB"/>
        </w:rPr>
        <w:t xml:space="preserve"> December, 2022]</w:t>
      </w:r>
    </w:p>
    <w:p w14:paraId="61F049C7" w14:textId="77777777" w:rsidR="00D9367E" w:rsidRPr="009F7157" w:rsidRDefault="00D9367E" w:rsidP="00E81D12">
      <w:pPr>
        <w:rPr>
          <w:lang w:val="en-GB"/>
        </w:rPr>
      </w:pPr>
      <w:r w:rsidRPr="009F7157">
        <w:rPr>
          <w:bCs/>
          <w:lang w:val="en-GB"/>
        </w:rPr>
        <w:t xml:space="preserve">Barclays, 2022e, </w:t>
      </w:r>
      <w:r w:rsidRPr="009F7157">
        <w:rPr>
          <w:rFonts w:eastAsiaTheme="minorHAnsi"/>
          <w:i/>
          <w:szCs w:val="22"/>
          <w:lang w:val="en-GB"/>
        </w:rPr>
        <w:t>Wealth Planning</w:t>
      </w:r>
      <w:r w:rsidRPr="009F7157">
        <w:rPr>
          <w:i/>
          <w:lang w:val="en-GB"/>
        </w:rPr>
        <w:t xml:space="preserve"> </w:t>
      </w:r>
      <w:r w:rsidRPr="009F7157">
        <w:rPr>
          <w:bCs/>
          <w:i/>
          <w:lang w:val="en-GB"/>
        </w:rPr>
        <w:t xml:space="preserve">Put the future in focus. </w:t>
      </w:r>
      <w:r w:rsidRPr="009F7157">
        <w:rPr>
          <w:bCs/>
          <w:lang w:val="en-GB"/>
        </w:rPr>
        <w:t xml:space="preserve">Available at: https://www.barclays.co.uk/wealth-management/wealth-planning/ </w:t>
      </w:r>
      <w:r w:rsidRPr="009F7157">
        <w:rPr>
          <w:lang w:val="en-GB"/>
        </w:rPr>
        <w:t>[Assessed on 22</w:t>
      </w:r>
      <w:r w:rsidRPr="009F7157">
        <w:rPr>
          <w:vertAlign w:val="superscript"/>
          <w:lang w:val="en-GB"/>
        </w:rPr>
        <w:t>nd</w:t>
      </w:r>
      <w:r w:rsidRPr="009F7157">
        <w:rPr>
          <w:lang w:val="en-GB"/>
        </w:rPr>
        <w:t xml:space="preserve"> December, 2022]</w:t>
      </w:r>
    </w:p>
    <w:p w14:paraId="5A4B32A1" w14:textId="3E2606A6" w:rsidR="00D9367E" w:rsidRPr="009F7157" w:rsidRDefault="00D9367E" w:rsidP="00E81D12">
      <w:pPr>
        <w:rPr>
          <w:bCs/>
          <w:lang w:val="en-GB"/>
        </w:rPr>
      </w:pPr>
      <w:r w:rsidRPr="009F7157">
        <w:rPr>
          <w:bCs/>
          <w:lang w:val="en-GB"/>
        </w:rPr>
        <w:t xml:space="preserve">Bonomo, M., Carvalho, C., Kryvtsov, O., Ribon, S. and Rigato, R., 2022. Multiproduct Pricing: Theory and Evidence </w:t>
      </w:r>
      <w:r w:rsidR="00D11339" w:rsidRPr="009F7157">
        <w:rPr>
          <w:bCs/>
          <w:lang w:val="en-GB"/>
        </w:rPr>
        <w:t>from</w:t>
      </w:r>
      <w:r w:rsidRPr="009F7157">
        <w:rPr>
          <w:bCs/>
          <w:lang w:val="en-GB"/>
        </w:rPr>
        <w:t xml:space="preserve"> Large Retailers. </w:t>
      </w:r>
      <w:r w:rsidRPr="009F7157">
        <w:rPr>
          <w:bCs/>
          <w:i/>
          <w:iCs/>
          <w:lang w:val="en-GB"/>
        </w:rPr>
        <w:t>Available at SSRN 3590402</w:t>
      </w:r>
      <w:r w:rsidRPr="009F7157">
        <w:rPr>
          <w:bCs/>
          <w:lang w:val="en-GB"/>
        </w:rPr>
        <w:t>.</w:t>
      </w:r>
    </w:p>
    <w:p w14:paraId="11E23471" w14:textId="77777777" w:rsidR="00D9367E" w:rsidRPr="009F7157" w:rsidRDefault="00D9367E" w:rsidP="00E81D12">
      <w:pPr>
        <w:rPr>
          <w:lang w:val="en-GB"/>
        </w:rPr>
      </w:pPr>
      <w:r w:rsidRPr="009F7157">
        <w:rPr>
          <w:lang w:val="en-GB"/>
        </w:rPr>
        <w:t xml:space="preserve">Chatzitheodorou, K., </w:t>
      </w:r>
      <w:proofErr w:type="spellStart"/>
      <w:r w:rsidRPr="009F7157">
        <w:rPr>
          <w:lang w:val="en-GB"/>
        </w:rPr>
        <w:t>Skouloudis</w:t>
      </w:r>
      <w:proofErr w:type="spellEnd"/>
      <w:r w:rsidRPr="009F7157">
        <w:rPr>
          <w:lang w:val="en-GB"/>
        </w:rPr>
        <w:t xml:space="preserve">, A., </w:t>
      </w:r>
      <w:proofErr w:type="spellStart"/>
      <w:r w:rsidRPr="009F7157">
        <w:rPr>
          <w:lang w:val="en-GB"/>
        </w:rPr>
        <w:t>Evangelinos</w:t>
      </w:r>
      <w:proofErr w:type="spellEnd"/>
      <w:r w:rsidRPr="009F7157">
        <w:rPr>
          <w:lang w:val="en-GB"/>
        </w:rPr>
        <w:t>, K. and Nikolaou, I., 2019. Exploring socially responsible investment perspectives: A literature mapping and an investor classification. </w:t>
      </w:r>
      <w:r w:rsidRPr="009F7157">
        <w:rPr>
          <w:i/>
          <w:iCs/>
          <w:lang w:val="en-GB"/>
        </w:rPr>
        <w:t>Sustainable production and consumption</w:t>
      </w:r>
      <w:r w:rsidRPr="009F7157">
        <w:rPr>
          <w:lang w:val="en-GB"/>
        </w:rPr>
        <w:t>, </w:t>
      </w:r>
      <w:r w:rsidRPr="009F7157">
        <w:rPr>
          <w:i/>
          <w:iCs/>
          <w:lang w:val="en-GB"/>
        </w:rPr>
        <w:t>19</w:t>
      </w:r>
      <w:r w:rsidRPr="009F7157">
        <w:rPr>
          <w:lang w:val="en-GB"/>
        </w:rPr>
        <w:t>, pp.117-129.</w:t>
      </w:r>
    </w:p>
    <w:p w14:paraId="2E028062" w14:textId="77777777" w:rsidR="00D9367E" w:rsidRPr="009F7157" w:rsidRDefault="00D9367E" w:rsidP="00E81D12">
      <w:pPr>
        <w:rPr>
          <w:lang w:val="en-GB"/>
        </w:rPr>
      </w:pPr>
      <w:r w:rsidRPr="009F7157">
        <w:rPr>
          <w:bCs/>
          <w:lang w:val="en-GB"/>
        </w:rPr>
        <w:t xml:space="preserve">Ethnicity, 2022, </w:t>
      </w:r>
      <w:r w:rsidRPr="009F7157">
        <w:rPr>
          <w:rFonts w:eastAsiaTheme="minorHAnsi"/>
          <w:bCs/>
          <w:i/>
          <w:szCs w:val="22"/>
          <w:lang w:val="en-GB"/>
        </w:rPr>
        <w:t>Household income</w:t>
      </w:r>
      <w:r w:rsidRPr="009F7157">
        <w:rPr>
          <w:bCs/>
          <w:lang w:val="en-GB"/>
        </w:rPr>
        <w:t xml:space="preserve">. Available at: https://www.ethnicity-facts-figures.service.gov.uk/work-pay-and-benefits/pay-and-income/household-income/latest </w:t>
      </w:r>
      <w:r w:rsidRPr="009F7157">
        <w:rPr>
          <w:lang w:val="en-GB"/>
        </w:rPr>
        <w:t>[Assessed on 22</w:t>
      </w:r>
      <w:r w:rsidRPr="009F7157">
        <w:rPr>
          <w:vertAlign w:val="superscript"/>
          <w:lang w:val="en-GB"/>
        </w:rPr>
        <w:t>nd</w:t>
      </w:r>
      <w:r w:rsidRPr="009F7157">
        <w:rPr>
          <w:lang w:val="en-GB"/>
        </w:rPr>
        <w:t xml:space="preserve"> December, 2022]</w:t>
      </w:r>
    </w:p>
    <w:p w14:paraId="31040552" w14:textId="77777777" w:rsidR="00D9367E" w:rsidRPr="009F7157" w:rsidRDefault="00D9367E" w:rsidP="00E81D12">
      <w:pPr>
        <w:rPr>
          <w:lang w:val="en-GB"/>
        </w:rPr>
      </w:pPr>
      <w:r w:rsidRPr="009F7157">
        <w:rPr>
          <w:lang w:val="en-GB"/>
        </w:rPr>
        <w:t xml:space="preserve">Globaldata, 2022, </w:t>
      </w:r>
      <w:r w:rsidRPr="009F7157">
        <w:rPr>
          <w:rFonts w:eastAsiaTheme="minorHAnsi"/>
          <w:i/>
          <w:szCs w:val="22"/>
          <w:lang w:val="en-GB"/>
        </w:rPr>
        <w:t>Barclays Plc: Overview</w:t>
      </w:r>
      <w:r w:rsidRPr="009F7157">
        <w:rPr>
          <w:lang w:val="en-GB"/>
        </w:rPr>
        <w:t>. Available at: https://www.globaldata.com/company-profile/barclays-plc/#:~:text=Barclays%20Plc%20(Barclays)%20is%20a,high%2Dnet%2Dworth%20clients. [Assessed on 22</w:t>
      </w:r>
      <w:r w:rsidRPr="009F7157">
        <w:rPr>
          <w:vertAlign w:val="superscript"/>
          <w:lang w:val="en-GB"/>
        </w:rPr>
        <w:t>nd</w:t>
      </w:r>
      <w:r w:rsidRPr="009F7157">
        <w:rPr>
          <w:lang w:val="en-GB"/>
        </w:rPr>
        <w:t xml:space="preserve"> December, 2022]</w:t>
      </w:r>
    </w:p>
    <w:p w14:paraId="024CECD7" w14:textId="77777777" w:rsidR="00D9367E" w:rsidRPr="009F7157" w:rsidRDefault="00D9367E" w:rsidP="00E81D12">
      <w:pPr>
        <w:rPr>
          <w:lang w:val="en-GB"/>
        </w:rPr>
      </w:pPr>
      <w:r w:rsidRPr="009F7157">
        <w:rPr>
          <w:lang w:val="en-GB"/>
        </w:rPr>
        <w:t>Hoque, M.E., Hashim, N.M.H.N. and Azmi, M.H.B., 2018. Moderating effects of marketing communication and financial consideration on customer attitude and intention to purchase Islamic banking products: A conceptual framework. </w:t>
      </w:r>
      <w:r w:rsidRPr="009F7157">
        <w:rPr>
          <w:i/>
          <w:iCs/>
          <w:lang w:val="en-GB"/>
        </w:rPr>
        <w:t>Journal of Islamic Marketing</w:t>
      </w:r>
      <w:r w:rsidRPr="009F7157">
        <w:rPr>
          <w:lang w:val="en-GB"/>
        </w:rPr>
        <w:t>.</w:t>
      </w:r>
    </w:p>
    <w:p w14:paraId="5C26A39C" w14:textId="6B18B4B0" w:rsidR="00D9367E" w:rsidRPr="009F7157" w:rsidRDefault="00D9367E" w:rsidP="00E81D12">
      <w:pPr>
        <w:rPr>
          <w:bCs/>
          <w:lang w:val="en-GB"/>
        </w:rPr>
      </w:pPr>
      <w:r w:rsidRPr="009F7157">
        <w:rPr>
          <w:bCs/>
          <w:lang w:val="en-GB"/>
        </w:rPr>
        <w:t>Jones, I., 2021. </w:t>
      </w:r>
      <w:r w:rsidRPr="009F7157">
        <w:rPr>
          <w:bCs/>
          <w:i/>
          <w:iCs/>
          <w:lang w:val="en-GB"/>
        </w:rPr>
        <w:t xml:space="preserve">Using the Past: Authenticity, Reliability, and the Role of Archives in Barclays </w:t>
      </w:r>
      <w:r w:rsidR="00D11339" w:rsidRPr="009F7157">
        <w:rPr>
          <w:bCs/>
          <w:i/>
          <w:iCs/>
          <w:lang w:val="en-GB"/>
        </w:rPr>
        <w:t>Plc.</w:t>
      </w:r>
      <w:r w:rsidRPr="009F7157">
        <w:rPr>
          <w:bCs/>
          <w:i/>
          <w:iCs/>
          <w:lang w:val="en-GB"/>
        </w:rPr>
        <w:t xml:space="preserve"> Use of the Past Strategies</w:t>
      </w:r>
      <w:r w:rsidRPr="009F7157">
        <w:rPr>
          <w:bCs/>
          <w:lang w:val="en-GB"/>
        </w:rPr>
        <w:t>. The University of Liverpool (United Kingdom).</w:t>
      </w:r>
    </w:p>
    <w:p w14:paraId="515F77A8" w14:textId="77777777" w:rsidR="00D9367E" w:rsidRPr="009F7157" w:rsidRDefault="00D9367E" w:rsidP="00E81D12">
      <w:pPr>
        <w:rPr>
          <w:bCs/>
          <w:lang w:val="en-GB"/>
        </w:rPr>
      </w:pPr>
      <w:r w:rsidRPr="009F7157">
        <w:rPr>
          <w:bCs/>
          <w:lang w:val="en-GB"/>
        </w:rPr>
        <w:t>Karlan, D. and Zinman, J., 2018. Price and control elasticities of demand for savings. </w:t>
      </w:r>
      <w:r w:rsidRPr="009F7157">
        <w:rPr>
          <w:bCs/>
          <w:i/>
          <w:iCs/>
          <w:lang w:val="en-GB"/>
        </w:rPr>
        <w:t>Journal of Development Economics</w:t>
      </w:r>
      <w:r w:rsidRPr="009F7157">
        <w:rPr>
          <w:bCs/>
          <w:lang w:val="en-GB"/>
        </w:rPr>
        <w:t>, </w:t>
      </w:r>
      <w:r w:rsidRPr="009F7157">
        <w:rPr>
          <w:bCs/>
          <w:i/>
          <w:iCs/>
          <w:lang w:val="en-GB"/>
        </w:rPr>
        <w:t>130</w:t>
      </w:r>
      <w:r w:rsidRPr="009F7157">
        <w:rPr>
          <w:bCs/>
          <w:lang w:val="en-GB"/>
        </w:rPr>
        <w:t>, pp.145-159.</w:t>
      </w:r>
    </w:p>
    <w:p w14:paraId="567E4CA9" w14:textId="77777777" w:rsidR="00D9367E" w:rsidRPr="009F7157" w:rsidRDefault="00D9367E" w:rsidP="00E81D12">
      <w:pPr>
        <w:rPr>
          <w:bCs/>
          <w:lang w:val="en-GB"/>
        </w:rPr>
      </w:pPr>
      <w:r w:rsidRPr="009F7157">
        <w:rPr>
          <w:bCs/>
          <w:lang w:val="en-GB"/>
        </w:rPr>
        <w:lastRenderedPageBreak/>
        <w:t>Lee, I. and Shin, Y.J., 2020. Machine learning for enterprises: Applications, algorithm selection, and challenges. </w:t>
      </w:r>
      <w:r w:rsidRPr="009F7157">
        <w:rPr>
          <w:bCs/>
          <w:i/>
          <w:iCs/>
          <w:lang w:val="en-GB"/>
        </w:rPr>
        <w:t>Business Horizons</w:t>
      </w:r>
      <w:r w:rsidRPr="009F7157">
        <w:rPr>
          <w:bCs/>
          <w:lang w:val="en-GB"/>
        </w:rPr>
        <w:t>, </w:t>
      </w:r>
      <w:r w:rsidRPr="009F7157">
        <w:rPr>
          <w:bCs/>
          <w:i/>
          <w:iCs/>
          <w:lang w:val="en-GB"/>
        </w:rPr>
        <w:t>63</w:t>
      </w:r>
      <w:r w:rsidRPr="009F7157">
        <w:rPr>
          <w:bCs/>
          <w:lang w:val="en-GB"/>
        </w:rPr>
        <w:t>(2), pp.157-170.</w:t>
      </w:r>
    </w:p>
    <w:p w14:paraId="464FC710" w14:textId="77777777" w:rsidR="00D9367E" w:rsidRPr="009F7157" w:rsidRDefault="00D9367E" w:rsidP="00E81D12">
      <w:pPr>
        <w:rPr>
          <w:lang w:val="en-GB"/>
        </w:rPr>
      </w:pPr>
      <w:proofErr w:type="spellStart"/>
      <w:r w:rsidRPr="009F7157">
        <w:rPr>
          <w:lang w:val="en-GB"/>
        </w:rPr>
        <w:t>Linkedin</w:t>
      </w:r>
      <w:proofErr w:type="spellEnd"/>
      <w:r w:rsidRPr="009F7157">
        <w:rPr>
          <w:lang w:val="en-GB"/>
        </w:rPr>
        <w:t xml:space="preserve">, 2022, </w:t>
      </w:r>
      <w:proofErr w:type="spellStart"/>
      <w:r w:rsidRPr="009F7157">
        <w:rPr>
          <w:rFonts w:eastAsiaTheme="minorHAnsi"/>
          <w:bCs/>
          <w:i/>
          <w:szCs w:val="22"/>
          <w:lang w:val="en-GB"/>
        </w:rPr>
        <w:t>AlphaSense</w:t>
      </w:r>
      <w:proofErr w:type="spellEnd"/>
      <w:r w:rsidRPr="009F7157">
        <w:rPr>
          <w:lang w:val="en-GB"/>
        </w:rPr>
        <w:t>. Available at: https://www.linkedin.com/company/alphasense/ [Assessed on 22</w:t>
      </w:r>
      <w:r w:rsidRPr="009F7157">
        <w:rPr>
          <w:vertAlign w:val="superscript"/>
          <w:lang w:val="en-GB"/>
        </w:rPr>
        <w:t>nd</w:t>
      </w:r>
      <w:r w:rsidRPr="009F7157">
        <w:rPr>
          <w:lang w:val="en-GB"/>
        </w:rPr>
        <w:t xml:space="preserve"> December, 2022]</w:t>
      </w:r>
    </w:p>
    <w:p w14:paraId="7D947837" w14:textId="77777777" w:rsidR="00D9367E" w:rsidRPr="009F7157" w:rsidRDefault="00D9367E" w:rsidP="00E81D12">
      <w:pPr>
        <w:rPr>
          <w:lang w:val="en-GB"/>
        </w:rPr>
      </w:pPr>
      <w:r w:rsidRPr="009F7157">
        <w:rPr>
          <w:bCs/>
          <w:lang w:val="en-GB"/>
        </w:rPr>
        <w:t>O</w:t>
      </w:r>
      <w:r>
        <w:rPr>
          <w:bCs/>
          <w:lang w:val="en-GB"/>
        </w:rPr>
        <w:t>NS</w:t>
      </w:r>
      <w:r w:rsidRPr="009F7157">
        <w:rPr>
          <w:bCs/>
          <w:lang w:val="en-GB"/>
        </w:rPr>
        <w:t xml:space="preserve">, 2021, </w:t>
      </w:r>
      <w:r w:rsidRPr="009F7157">
        <w:rPr>
          <w:rFonts w:eastAsiaTheme="minorHAnsi"/>
          <w:bCs/>
          <w:i/>
          <w:szCs w:val="22"/>
          <w:lang w:val="en-GB"/>
        </w:rPr>
        <w:t>Average household income, UK: financial year ending 2021</w:t>
      </w:r>
      <w:r w:rsidRPr="009F7157">
        <w:rPr>
          <w:bCs/>
          <w:lang w:val="en-GB"/>
        </w:rPr>
        <w:t xml:space="preserve">. Available at: https://www.ons.gov.uk/peoplepopulationandcommunity/personalandhouseholdfinances/incomeandwealth/bulletins/householddisposableincomeandinequality/financialyearending2021 </w:t>
      </w:r>
      <w:r w:rsidRPr="009F7157">
        <w:rPr>
          <w:lang w:val="en-GB"/>
        </w:rPr>
        <w:t>[Assessed on 22</w:t>
      </w:r>
      <w:r w:rsidRPr="009F7157">
        <w:rPr>
          <w:vertAlign w:val="superscript"/>
          <w:lang w:val="en-GB"/>
        </w:rPr>
        <w:t>nd</w:t>
      </w:r>
      <w:r w:rsidRPr="009F7157">
        <w:rPr>
          <w:lang w:val="en-GB"/>
        </w:rPr>
        <w:t xml:space="preserve"> December, 2022]</w:t>
      </w:r>
    </w:p>
    <w:p w14:paraId="43D4DA27" w14:textId="77777777" w:rsidR="00D9367E" w:rsidRPr="009F7157" w:rsidRDefault="00D9367E" w:rsidP="00E81D12">
      <w:pPr>
        <w:rPr>
          <w:lang w:val="en-GB"/>
        </w:rPr>
      </w:pPr>
      <w:r w:rsidRPr="009F7157">
        <w:rPr>
          <w:lang w:val="en-GB"/>
        </w:rPr>
        <w:t xml:space="preserve">Rahi, S., Ghani, M.A. and </w:t>
      </w:r>
      <w:proofErr w:type="spellStart"/>
      <w:r w:rsidRPr="009F7157">
        <w:rPr>
          <w:lang w:val="en-GB"/>
        </w:rPr>
        <w:t>Ngah</w:t>
      </w:r>
      <w:proofErr w:type="spellEnd"/>
      <w:r w:rsidRPr="009F7157">
        <w:rPr>
          <w:lang w:val="en-GB"/>
        </w:rPr>
        <w:t>, A.H., 2020. Factors propelling the adoption of internet banking: the role of e-customer service, website design, brand image and customer satisfaction. </w:t>
      </w:r>
      <w:r w:rsidRPr="009F7157">
        <w:rPr>
          <w:i/>
          <w:iCs/>
          <w:lang w:val="en-GB"/>
        </w:rPr>
        <w:t>International Journal of Business Information Systems</w:t>
      </w:r>
      <w:r w:rsidRPr="009F7157">
        <w:rPr>
          <w:lang w:val="en-GB"/>
        </w:rPr>
        <w:t>, </w:t>
      </w:r>
      <w:r w:rsidRPr="009F7157">
        <w:rPr>
          <w:i/>
          <w:iCs/>
          <w:lang w:val="en-GB"/>
        </w:rPr>
        <w:t>33</w:t>
      </w:r>
      <w:r w:rsidRPr="009F7157">
        <w:rPr>
          <w:lang w:val="en-GB"/>
        </w:rPr>
        <w:t>(4), pp.549-569.</w:t>
      </w:r>
    </w:p>
    <w:p w14:paraId="57C1F3E4" w14:textId="77777777" w:rsidR="00D9367E" w:rsidRPr="009F7157" w:rsidRDefault="00D9367E" w:rsidP="00E81D12">
      <w:pPr>
        <w:rPr>
          <w:lang w:val="en-GB"/>
        </w:rPr>
      </w:pPr>
      <w:r w:rsidRPr="009F7157">
        <w:rPr>
          <w:lang w:val="en-GB"/>
        </w:rPr>
        <w:t xml:space="preserve">Statista, 2022a, </w:t>
      </w:r>
      <w:r w:rsidRPr="009F7157">
        <w:rPr>
          <w:rFonts w:eastAsiaTheme="minorHAnsi"/>
          <w:bCs/>
          <w:i/>
          <w:szCs w:val="22"/>
          <w:lang w:val="en-GB"/>
        </w:rPr>
        <w:t>Global number of customers at the largest banks in the United Kingdom (UK) from in 2021</w:t>
      </w:r>
      <w:r w:rsidRPr="009F7157">
        <w:rPr>
          <w:lang w:val="en-GB"/>
        </w:rPr>
        <w:t>. Available at: https://www.statista.com/statistics/940560/number-of-customers-at-select-banks-in-the-united-kingdom/ [Assessed on 22</w:t>
      </w:r>
      <w:r w:rsidRPr="009F7157">
        <w:rPr>
          <w:vertAlign w:val="superscript"/>
          <w:lang w:val="en-GB"/>
        </w:rPr>
        <w:t>nd</w:t>
      </w:r>
      <w:r w:rsidRPr="009F7157">
        <w:rPr>
          <w:lang w:val="en-GB"/>
        </w:rPr>
        <w:t xml:space="preserve"> December, 2022]</w:t>
      </w:r>
    </w:p>
    <w:p w14:paraId="46B656FB" w14:textId="77777777" w:rsidR="00D9367E" w:rsidRPr="009F7157" w:rsidRDefault="00D9367E" w:rsidP="00E81D12">
      <w:pPr>
        <w:rPr>
          <w:lang w:val="en-GB"/>
        </w:rPr>
      </w:pPr>
      <w:r w:rsidRPr="009F7157">
        <w:rPr>
          <w:bCs/>
          <w:lang w:val="en-GB"/>
        </w:rPr>
        <w:t xml:space="preserve">Statista, 2022b, </w:t>
      </w:r>
      <w:r w:rsidRPr="009F7157">
        <w:rPr>
          <w:rFonts w:eastAsiaTheme="minorHAnsi"/>
          <w:bCs/>
          <w:i/>
          <w:szCs w:val="22"/>
          <w:lang w:val="en-GB"/>
        </w:rPr>
        <w:t>Global consumer, cards and payments banking income of the British Barclays group from 2012 to 2021</w:t>
      </w:r>
      <w:r w:rsidRPr="009F7157">
        <w:rPr>
          <w:bCs/>
          <w:lang w:val="en-GB"/>
        </w:rPr>
        <w:t xml:space="preserve">. Available at: https://www.statista.com/statistics/294764/barclays-corporate-banking-income/ </w:t>
      </w:r>
      <w:r w:rsidRPr="009F7157">
        <w:rPr>
          <w:lang w:val="en-GB"/>
        </w:rPr>
        <w:t>[Assessed on 22</w:t>
      </w:r>
      <w:r w:rsidRPr="009F7157">
        <w:rPr>
          <w:vertAlign w:val="superscript"/>
          <w:lang w:val="en-GB"/>
        </w:rPr>
        <w:t>nd</w:t>
      </w:r>
      <w:r w:rsidRPr="009F7157">
        <w:rPr>
          <w:lang w:val="en-GB"/>
        </w:rPr>
        <w:t xml:space="preserve"> December, 2022]</w:t>
      </w:r>
    </w:p>
    <w:p w14:paraId="5C33BD43" w14:textId="77777777" w:rsidR="00D9367E" w:rsidRPr="009F7157" w:rsidRDefault="00D9367E" w:rsidP="00E81D12">
      <w:pPr>
        <w:rPr>
          <w:lang w:val="en-GB"/>
        </w:rPr>
      </w:pPr>
      <w:r w:rsidRPr="009F7157">
        <w:rPr>
          <w:lang w:val="en-GB"/>
        </w:rPr>
        <w:t xml:space="preserve">Statista, 2022c, </w:t>
      </w:r>
      <w:r w:rsidRPr="009F7157">
        <w:rPr>
          <w:rFonts w:eastAsiaTheme="minorHAnsi"/>
          <w:bCs/>
          <w:i/>
          <w:lang w:val="en-GB"/>
        </w:rPr>
        <w:t>Median annual earnings for full-time employees in the United Kingdom from 1999 to 2022</w:t>
      </w:r>
      <w:r w:rsidRPr="009F7157">
        <w:rPr>
          <w:lang w:val="en-GB"/>
        </w:rPr>
        <w:t>. Available at: https://www.statista.com/statistics/1002964/average-full-time-annual-earnings-in-the-uk/ [Assessed on 22</w:t>
      </w:r>
      <w:r w:rsidRPr="009F7157">
        <w:rPr>
          <w:vertAlign w:val="superscript"/>
          <w:lang w:val="en-GB"/>
        </w:rPr>
        <w:t>nd</w:t>
      </w:r>
      <w:r w:rsidRPr="009F7157">
        <w:rPr>
          <w:lang w:val="en-GB"/>
        </w:rPr>
        <w:t xml:space="preserve"> December, 2022]</w:t>
      </w:r>
    </w:p>
    <w:p w14:paraId="47F0AAA0" w14:textId="77777777" w:rsidR="00D9367E" w:rsidRPr="009F7157" w:rsidRDefault="00D9367E" w:rsidP="00E81D12">
      <w:pPr>
        <w:rPr>
          <w:bCs/>
          <w:lang w:val="en-GB"/>
        </w:rPr>
      </w:pPr>
      <w:r w:rsidRPr="009F7157">
        <w:rPr>
          <w:bCs/>
          <w:lang w:val="en-GB"/>
        </w:rPr>
        <w:t>Sun, C.C., 2021. An Assessment Model for Wealth Management Banks Based on the Fuzzy Evaluation Method. </w:t>
      </w:r>
      <w:r w:rsidRPr="009F7157">
        <w:rPr>
          <w:bCs/>
          <w:i/>
          <w:iCs/>
          <w:lang w:val="en-GB"/>
        </w:rPr>
        <w:t>Mathematics</w:t>
      </w:r>
      <w:r w:rsidRPr="009F7157">
        <w:rPr>
          <w:bCs/>
          <w:lang w:val="en-GB"/>
        </w:rPr>
        <w:t>, </w:t>
      </w:r>
      <w:r w:rsidRPr="009F7157">
        <w:rPr>
          <w:bCs/>
          <w:i/>
          <w:iCs/>
          <w:lang w:val="en-GB"/>
        </w:rPr>
        <w:t>9</w:t>
      </w:r>
      <w:r w:rsidRPr="009F7157">
        <w:rPr>
          <w:bCs/>
          <w:lang w:val="en-GB"/>
        </w:rPr>
        <w:t>(19), p.2442.</w:t>
      </w:r>
    </w:p>
    <w:p w14:paraId="76CE9C8E" w14:textId="77777777" w:rsidR="00D9367E" w:rsidRPr="009F7157" w:rsidRDefault="00D9367E" w:rsidP="00E81D12">
      <w:pPr>
        <w:rPr>
          <w:bCs/>
          <w:lang w:val="en-GB"/>
        </w:rPr>
      </w:pPr>
      <w:r w:rsidRPr="009F7157">
        <w:rPr>
          <w:bCs/>
          <w:lang w:val="en-GB"/>
        </w:rPr>
        <w:t>Wirtz, J., Holmqvist, J. and Fritze, M.P., 2020. Luxury services. </w:t>
      </w:r>
      <w:r w:rsidRPr="009F7157">
        <w:rPr>
          <w:bCs/>
          <w:i/>
          <w:iCs/>
          <w:lang w:val="en-GB"/>
        </w:rPr>
        <w:t>Journal of Service Management</w:t>
      </w:r>
      <w:r w:rsidRPr="009F7157">
        <w:rPr>
          <w:bCs/>
          <w:lang w:val="en-GB"/>
        </w:rPr>
        <w:t>.</w:t>
      </w:r>
    </w:p>
    <w:p w14:paraId="6F58EB05" w14:textId="6C267612" w:rsidR="00D9367E" w:rsidRPr="009F7157" w:rsidRDefault="00D9367E" w:rsidP="00E81D12">
      <w:pPr>
        <w:rPr>
          <w:bCs/>
          <w:lang w:val="en-GB"/>
        </w:rPr>
      </w:pPr>
      <w:r w:rsidRPr="009F7157">
        <w:rPr>
          <w:bCs/>
          <w:lang w:val="en-GB"/>
        </w:rPr>
        <w:t xml:space="preserve">Yousaf, I., Suleman, M.T. and Demirer, R., 2022. Green investments: A luxury good or a financial </w:t>
      </w:r>
      <w:r w:rsidR="00D11339" w:rsidRPr="009F7157">
        <w:rPr>
          <w:bCs/>
          <w:lang w:val="en-GB"/>
        </w:rPr>
        <w:t>necessity.</w:t>
      </w:r>
      <w:r w:rsidRPr="009F7157">
        <w:rPr>
          <w:bCs/>
          <w:lang w:val="en-GB"/>
        </w:rPr>
        <w:t> </w:t>
      </w:r>
      <w:r w:rsidRPr="009F7157">
        <w:rPr>
          <w:bCs/>
          <w:i/>
          <w:iCs/>
          <w:lang w:val="en-GB"/>
        </w:rPr>
        <w:t>Energy Economics</w:t>
      </w:r>
      <w:r w:rsidRPr="009F7157">
        <w:rPr>
          <w:bCs/>
          <w:lang w:val="en-GB"/>
        </w:rPr>
        <w:t>, </w:t>
      </w:r>
      <w:r w:rsidRPr="009F7157">
        <w:rPr>
          <w:bCs/>
          <w:i/>
          <w:iCs/>
          <w:lang w:val="en-GB"/>
        </w:rPr>
        <w:t>105</w:t>
      </w:r>
      <w:r w:rsidRPr="009F7157">
        <w:rPr>
          <w:bCs/>
          <w:lang w:val="en-GB"/>
        </w:rPr>
        <w:t>, p.105745.</w:t>
      </w:r>
    </w:p>
    <w:sectPr w:rsidR="00D9367E" w:rsidRPr="009F7157" w:rsidSect="00E81D12">
      <w:footerReference w:type="default" r:id="rId11"/>
      <w:pgSz w:w="11909" w:h="16834"/>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B9F17" w14:textId="77777777" w:rsidR="00227B80" w:rsidRDefault="00227B80" w:rsidP="00E81D12">
      <w:pPr>
        <w:spacing w:line="240" w:lineRule="auto"/>
      </w:pPr>
      <w:r>
        <w:separator/>
      </w:r>
    </w:p>
  </w:endnote>
  <w:endnote w:type="continuationSeparator" w:id="0">
    <w:p w14:paraId="4682FCC6" w14:textId="77777777" w:rsidR="00227B80" w:rsidRDefault="00227B80" w:rsidP="00E81D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28336235"/>
      <w:docPartObj>
        <w:docPartGallery w:val="Page Numbers (Bottom of Page)"/>
        <w:docPartUnique/>
      </w:docPartObj>
    </w:sdtPr>
    <w:sdtContent>
      <w:p w14:paraId="21DFFB82" w14:textId="77777777" w:rsidR="00E81D12" w:rsidRPr="00E81D12" w:rsidRDefault="00E81D12">
        <w:pPr>
          <w:pStyle w:val="Footer"/>
          <w:jc w:val="right"/>
          <w:rPr>
            <w:sz w:val="20"/>
          </w:rPr>
        </w:pPr>
        <w:r w:rsidRPr="00E81D12">
          <w:rPr>
            <w:sz w:val="20"/>
          </w:rPr>
          <w:fldChar w:fldCharType="begin"/>
        </w:r>
        <w:r w:rsidRPr="00E81D12">
          <w:rPr>
            <w:sz w:val="20"/>
          </w:rPr>
          <w:instrText xml:space="preserve"> PAGE   \* MERGEFORMAT </w:instrText>
        </w:r>
        <w:r w:rsidRPr="00E81D12">
          <w:rPr>
            <w:sz w:val="20"/>
          </w:rPr>
          <w:fldChar w:fldCharType="separate"/>
        </w:r>
        <w:r>
          <w:rPr>
            <w:noProof/>
            <w:sz w:val="20"/>
          </w:rPr>
          <w:t>2</w:t>
        </w:r>
        <w:r w:rsidRPr="00E81D12">
          <w:rPr>
            <w:sz w:val="20"/>
          </w:rPr>
          <w:fldChar w:fldCharType="end"/>
        </w:r>
      </w:p>
    </w:sdtContent>
  </w:sdt>
  <w:p w14:paraId="28C06F76" w14:textId="77777777" w:rsidR="00E81D12" w:rsidRDefault="00E81D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CD2F0" w14:textId="77777777" w:rsidR="00227B80" w:rsidRDefault="00227B80" w:rsidP="00E81D12">
      <w:pPr>
        <w:spacing w:line="240" w:lineRule="auto"/>
      </w:pPr>
      <w:r>
        <w:separator/>
      </w:r>
    </w:p>
  </w:footnote>
  <w:footnote w:type="continuationSeparator" w:id="0">
    <w:p w14:paraId="2F3767AC" w14:textId="77777777" w:rsidR="00227B80" w:rsidRDefault="00227B80" w:rsidP="00E81D1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619CF"/>
    <w:rsid w:val="000F76EA"/>
    <w:rsid w:val="001619CF"/>
    <w:rsid w:val="00212A2E"/>
    <w:rsid w:val="00227B80"/>
    <w:rsid w:val="00306FF6"/>
    <w:rsid w:val="003F3616"/>
    <w:rsid w:val="004500E6"/>
    <w:rsid w:val="009F7157"/>
    <w:rsid w:val="00AA003E"/>
    <w:rsid w:val="00AC75A4"/>
    <w:rsid w:val="00D11339"/>
    <w:rsid w:val="00D9367E"/>
    <w:rsid w:val="00DA4879"/>
    <w:rsid w:val="00E81D12"/>
    <w:rsid w:val="00EA44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15CD8"/>
  <w15:docId w15:val="{85B03959-DFF3-4CCA-9F4C-4A33C501D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1619CF"/>
    <w:pPr>
      <w:keepNext/>
      <w:keepLines/>
      <w:spacing w:before="400" w:after="120"/>
      <w:outlineLvl w:val="0"/>
    </w:pPr>
    <w:rPr>
      <w:b/>
      <w:sz w:val="28"/>
      <w:szCs w:val="28"/>
    </w:rPr>
  </w:style>
  <w:style w:type="paragraph" w:styleId="Heading2">
    <w:name w:val="heading 2"/>
    <w:basedOn w:val="Normal1"/>
    <w:next w:val="Normal1"/>
    <w:rsid w:val="001619CF"/>
    <w:pPr>
      <w:keepNext/>
      <w:keepLines/>
      <w:spacing w:before="360" w:after="120"/>
      <w:outlineLvl w:val="1"/>
    </w:pPr>
    <w:rPr>
      <w:b/>
      <w:sz w:val="26"/>
      <w:szCs w:val="26"/>
    </w:rPr>
  </w:style>
  <w:style w:type="paragraph" w:styleId="Heading3">
    <w:name w:val="heading 3"/>
    <w:basedOn w:val="Normal1"/>
    <w:next w:val="Normal1"/>
    <w:rsid w:val="001619CF"/>
    <w:pPr>
      <w:keepNext/>
      <w:keepLines/>
      <w:spacing w:before="320" w:after="80"/>
      <w:outlineLvl w:val="2"/>
    </w:pPr>
    <w:rPr>
      <w:color w:val="434343"/>
      <w:sz w:val="28"/>
      <w:szCs w:val="28"/>
    </w:rPr>
  </w:style>
  <w:style w:type="paragraph" w:styleId="Heading4">
    <w:name w:val="heading 4"/>
    <w:basedOn w:val="Normal1"/>
    <w:next w:val="Normal1"/>
    <w:rsid w:val="001619CF"/>
    <w:pPr>
      <w:keepNext/>
      <w:keepLines/>
      <w:spacing w:before="280" w:after="80"/>
      <w:outlineLvl w:val="3"/>
    </w:pPr>
    <w:rPr>
      <w:color w:val="666666"/>
    </w:rPr>
  </w:style>
  <w:style w:type="paragraph" w:styleId="Heading5">
    <w:name w:val="heading 5"/>
    <w:basedOn w:val="Normal1"/>
    <w:next w:val="Normal1"/>
    <w:rsid w:val="001619CF"/>
    <w:pPr>
      <w:keepNext/>
      <w:keepLines/>
      <w:spacing w:before="240" w:after="80"/>
      <w:outlineLvl w:val="4"/>
    </w:pPr>
    <w:rPr>
      <w:color w:val="666666"/>
      <w:sz w:val="22"/>
      <w:szCs w:val="22"/>
    </w:rPr>
  </w:style>
  <w:style w:type="paragraph" w:styleId="Heading6">
    <w:name w:val="heading 6"/>
    <w:basedOn w:val="Normal1"/>
    <w:next w:val="Normal1"/>
    <w:rsid w:val="001619C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619CF"/>
  </w:style>
  <w:style w:type="table" w:customStyle="1" w:styleId="TableNormal1">
    <w:name w:val="Table Normal1"/>
    <w:rsid w:val="001619CF"/>
    <w:tblPr>
      <w:tblCellMar>
        <w:top w:w="0" w:type="dxa"/>
        <w:left w:w="0" w:type="dxa"/>
        <w:bottom w:w="0" w:type="dxa"/>
        <w:right w:w="0" w:type="dxa"/>
      </w:tblCellMar>
    </w:tblPr>
  </w:style>
  <w:style w:type="paragraph" w:styleId="Title">
    <w:name w:val="Title"/>
    <w:basedOn w:val="Normal1"/>
    <w:next w:val="Normal1"/>
    <w:rsid w:val="001619CF"/>
    <w:pPr>
      <w:keepNext/>
      <w:keepLines/>
      <w:spacing w:after="60"/>
    </w:pPr>
    <w:rPr>
      <w:sz w:val="52"/>
      <w:szCs w:val="52"/>
    </w:rPr>
  </w:style>
  <w:style w:type="paragraph" w:styleId="Subtitle">
    <w:name w:val="Subtitle"/>
    <w:basedOn w:val="Normal1"/>
    <w:next w:val="Normal1"/>
    <w:rsid w:val="001619CF"/>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AC75A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75A4"/>
    <w:rPr>
      <w:rFonts w:ascii="Tahoma" w:hAnsi="Tahoma" w:cs="Tahoma"/>
      <w:sz w:val="16"/>
      <w:szCs w:val="16"/>
    </w:rPr>
  </w:style>
  <w:style w:type="paragraph" w:styleId="Header">
    <w:name w:val="header"/>
    <w:basedOn w:val="Normal"/>
    <w:link w:val="HeaderChar"/>
    <w:uiPriority w:val="99"/>
    <w:semiHidden/>
    <w:unhideWhenUsed/>
    <w:rsid w:val="00E81D1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E81D12"/>
  </w:style>
  <w:style w:type="paragraph" w:styleId="Footer">
    <w:name w:val="footer"/>
    <w:basedOn w:val="Normal"/>
    <w:link w:val="FooterChar"/>
    <w:uiPriority w:val="99"/>
    <w:unhideWhenUsed/>
    <w:rsid w:val="00E81D12"/>
    <w:pPr>
      <w:tabs>
        <w:tab w:val="center" w:pos="4513"/>
        <w:tab w:val="right" w:pos="9026"/>
      </w:tabs>
      <w:spacing w:line="240" w:lineRule="auto"/>
    </w:pPr>
  </w:style>
  <w:style w:type="character" w:customStyle="1" w:styleId="FooterChar">
    <w:name w:val="Footer Char"/>
    <w:basedOn w:val="DefaultParagraphFont"/>
    <w:link w:val="Footer"/>
    <w:uiPriority w:val="99"/>
    <w:rsid w:val="00E81D12"/>
  </w:style>
  <w:style w:type="character" w:styleId="Hyperlink">
    <w:name w:val="Hyperlink"/>
    <w:basedOn w:val="DefaultParagraphFont"/>
    <w:uiPriority w:val="99"/>
    <w:unhideWhenUsed/>
    <w:rsid w:val="00E81D12"/>
    <w:rPr>
      <w:color w:val="0000FF" w:themeColor="hyperlink"/>
      <w:u w:val="single"/>
    </w:rPr>
  </w:style>
  <w:style w:type="paragraph" w:styleId="TOCHeading">
    <w:name w:val="TOC Heading"/>
    <w:basedOn w:val="Heading1"/>
    <w:next w:val="Normal"/>
    <w:uiPriority w:val="39"/>
    <w:semiHidden/>
    <w:unhideWhenUsed/>
    <w:qFormat/>
    <w:rsid w:val="00E81D12"/>
    <w:pPr>
      <w:spacing w:before="480" w:after="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E81D12"/>
    <w:pPr>
      <w:spacing w:after="100"/>
    </w:pPr>
  </w:style>
  <w:style w:type="paragraph" w:styleId="TOC2">
    <w:name w:val="toc 2"/>
    <w:basedOn w:val="Normal"/>
    <w:next w:val="Normal"/>
    <w:autoRedefine/>
    <w:uiPriority w:val="39"/>
    <w:unhideWhenUsed/>
    <w:rsid w:val="00E81D1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99544B-D718-45C1-B29E-ADFA56956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3508</Words>
  <Characters>20001</Characters>
  <Application>Microsoft Office Word</Application>
  <DocSecurity>0</DocSecurity>
  <Lines>166</Lines>
  <Paragraphs>46</Paragraphs>
  <ScaleCrop>false</ScaleCrop>
  <Company/>
  <LinksUpToDate>false</LinksUpToDate>
  <CharactersWithSpaces>23463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Stefani Stefanova (2028009)</cp:lastModifiedBy>
  <cp:revision>2</cp:revision>
  <dcterms:created xsi:type="dcterms:W3CDTF">2023-01-08T16:04:00Z</dcterms:created>
  <dcterms:modified xsi:type="dcterms:W3CDTF">2023-01-08T16:04:00Z</dcterms:modified>
</cp:coreProperties>
</file>