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34292E" w14:textId="77777777" w:rsidR="003328BB" w:rsidRPr="00303400" w:rsidRDefault="003328BB" w:rsidP="00705491">
      <w:pPr>
        <w:jc w:val="both"/>
        <w:rPr>
          <w:rFonts w:ascii="Arial" w:hAnsi="Arial" w:cs="Arial"/>
          <w:b/>
          <w:bCs/>
          <w:sz w:val="24"/>
          <w:szCs w:val="24"/>
          <w:u w:val="single"/>
          <w:lang w:eastAsia="en-GB"/>
        </w:rPr>
      </w:pPr>
      <w:r w:rsidRPr="00303400">
        <w:rPr>
          <w:rFonts w:ascii="Arial" w:hAnsi="Arial" w:cs="Arial"/>
          <w:b/>
          <w:bCs/>
          <w:sz w:val="24"/>
          <w:szCs w:val="24"/>
          <w:u w:val="single"/>
          <w:lang w:eastAsia="en-GB"/>
        </w:rPr>
        <w:t>Essay one</w:t>
      </w:r>
    </w:p>
    <w:p w14:paraId="3A1C95C4" w14:textId="77777777" w:rsidR="003328BB" w:rsidRPr="00303400" w:rsidRDefault="003328BB" w:rsidP="00705491">
      <w:pPr>
        <w:jc w:val="both"/>
        <w:rPr>
          <w:rFonts w:ascii="Arial" w:hAnsi="Arial" w:cs="Arial"/>
          <w:b/>
          <w:bCs/>
          <w:sz w:val="24"/>
          <w:szCs w:val="24"/>
          <w:u w:val="single"/>
          <w:lang w:eastAsia="en-GB"/>
        </w:rPr>
      </w:pPr>
      <w:r w:rsidRPr="00303400">
        <w:rPr>
          <w:rFonts w:ascii="Arial" w:hAnsi="Arial" w:cs="Arial"/>
          <w:b/>
          <w:bCs/>
          <w:sz w:val="24"/>
          <w:szCs w:val="24"/>
          <w:u w:val="single"/>
          <w:lang w:eastAsia="en-GB"/>
        </w:rPr>
        <w:t>Word count: 941</w:t>
      </w:r>
    </w:p>
    <w:p w14:paraId="75AA41B0" w14:textId="77777777" w:rsidR="003328BB" w:rsidRPr="00705491" w:rsidRDefault="003328BB" w:rsidP="00705491">
      <w:pPr>
        <w:jc w:val="both"/>
        <w:rPr>
          <w:rFonts w:ascii="Arial" w:hAnsi="Arial" w:cs="Arial"/>
          <w:color w:val="010101"/>
          <w:sz w:val="24"/>
          <w:szCs w:val="24"/>
          <w:shd w:val="clear" w:color="auto" w:fill="FFFFFF"/>
        </w:rPr>
      </w:pPr>
      <w:r w:rsidRPr="00705491">
        <w:rPr>
          <w:rFonts w:ascii="Arial" w:hAnsi="Arial" w:cs="Arial"/>
          <w:sz w:val="24"/>
          <w:szCs w:val="24"/>
        </w:rPr>
        <w:t xml:space="preserve">The United Kingdom has many diverse communities and different cultures living within miles, metres and amongst each other making it multi-cultural. There are many kinds of diverse communities, for example, gender, race, ethnicity, age, sexual orientation and disability. </w:t>
      </w:r>
      <w:r w:rsidRPr="00705491">
        <w:rPr>
          <w:rFonts w:ascii="Arial" w:hAnsi="Arial" w:cs="Arial"/>
          <w:color w:val="010101"/>
          <w:sz w:val="24"/>
          <w:szCs w:val="24"/>
          <w:shd w:val="clear" w:color="auto" w:fill="FFFFFF"/>
        </w:rPr>
        <w:t xml:space="preserve">Due to the UK being multi-culture policing in the UK has had to adapt over the years. Policing such diverse communities is challenging due to their cultural norms. </w:t>
      </w:r>
    </w:p>
    <w:p w14:paraId="1FA6F3B3" w14:textId="6A0FA179" w:rsidR="003328BB" w:rsidRPr="00705491" w:rsidRDefault="003328BB" w:rsidP="00705491">
      <w:pPr>
        <w:jc w:val="both"/>
        <w:rPr>
          <w:rFonts w:ascii="Arial" w:hAnsi="Arial" w:cs="Arial"/>
          <w:color w:val="010101"/>
          <w:sz w:val="24"/>
          <w:szCs w:val="24"/>
          <w:shd w:val="clear" w:color="auto" w:fill="FFFFFF"/>
        </w:rPr>
      </w:pPr>
      <w:r w:rsidRPr="00705491">
        <w:rPr>
          <w:rFonts w:ascii="Arial" w:hAnsi="Arial" w:cs="Arial"/>
          <w:color w:val="010101"/>
          <w:sz w:val="24"/>
          <w:szCs w:val="24"/>
          <w:shd w:val="clear" w:color="auto" w:fill="FFFFFF"/>
        </w:rPr>
        <w:t>DeGeneste and Sullivan (1997) say that preventing crime and conflict in communities is fundamental in police practice. Developing and maintaining language skills, becoming familiar of cultural issues and being available to all groups within a community. Building a sense of trust and rapport within the community and setting an example of respect and embracing diversity. Heunermund</w:t>
      </w:r>
      <w:r w:rsidR="00705491" w:rsidRPr="00705491">
        <w:rPr>
          <w:rFonts w:ascii="Arial" w:hAnsi="Arial" w:cs="Arial"/>
          <w:color w:val="010101"/>
          <w:sz w:val="24"/>
          <w:szCs w:val="24"/>
          <w:shd w:val="clear" w:color="auto" w:fill="FFFFFF"/>
        </w:rPr>
        <w:t xml:space="preserve"> </w:t>
      </w:r>
      <w:r w:rsidRPr="00705491">
        <w:rPr>
          <w:rFonts w:ascii="Arial" w:hAnsi="Arial" w:cs="Arial"/>
          <w:color w:val="010101"/>
          <w:sz w:val="24"/>
          <w:szCs w:val="24"/>
          <w:shd w:val="clear" w:color="auto" w:fill="FFFFFF"/>
        </w:rPr>
        <w:t xml:space="preserve">(2021) defines cultural norms as shared beliefs and individual behaviours which support such values within society. Cultural norms and values are portrayed through the attitudes and mannerism amongst people. </w:t>
      </w:r>
      <w:r w:rsidRPr="00705491">
        <w:rPr>
          <w:rFonts w:ascii="Arial" w:hAnsi="Arial" w:cs="Arial"/>
          <w:sz w:val="24"/>
          <w:szCs w:val="24"/>
        </w:rPr>
        <w:t>Police officers have had to adapt their way of thinking and have a greater understanding of different cultures in order to police by consent. Officers now must have an increased awareness of diverse communities including race, religion and others. They must also understand the cultural norms within these communities. Understanding the variety of cultures in multiethnicity and multicultural communities allows policing to be more effective and for communities to have a better view upon it, Brown</w:t>
      </w:r>
      <w:r w:rsidR="00705491" w:rsidRPr="00705491">
        <w:rPr>
          <w:rFonts w:ascii="Arial" w:hAnsi="Arial" w:cs="Arial"/>
          <w:sz w:val="24"/>
          <w:szCs w:val="24"/>
        </w:rPr>
        <w:t xml:space="preserve"> </w:t>
      </w:r>
      <w:r w:rsidRPr="00705491">
        <w:rPr>
          <w:rFonts w:ascii="Arial" w:hAnsi="Arial" w:cs="Arial"/>
          <w:sz w:val="24"/>
          <w:szCs w:val="24"/>
        </w:rPr>
        <w:t>(2020).</w:t>
      </w:r>
    </w:p>
    <w:p w14:paraId="62DFF01E" w14:textId="1BC1E535" w:rsidR="003328BB" w:rsidRPr="00705491" w:rsidRDefault="003328BB" w:rsidP="00705491">
      <w:pPr>
        <w:jc w:val="both"/>
        <w:rPr>
          <w:rFonts w:ascii="Arial" w:hAnsi="Arial" w:cs="Arial"/>
          <w:color w:val="202122"/>
          <w:sz w:val="24"/>
          <w:szCs w:val="24"/>
          <w:shd w:val="clear" w:color="auto" w:fill="FFFFFF"/>
        </w:rPr>
      </w:pPr>
      <w:r w:rsidRPr="00705491">
        <w:rPr>
          <w:rFonts w:ascii="Arial" w:hAnsi="Arial" w:cs="Arial"/>
          <w:sz w:val="24"/>
          <w:szCs w:val="24"/>
        </w:rPr>
        <w:t>Within diverse communities there is a lack of trust in police, this is well founded and there have been many events in police history that has caused great anger and caused the loss of trust with diverse communities. Police forces in the United Kingdom have been introducing and refining policies and powers to protect the public and police officers themselves. In 1984 The Police and Criminal Evidence Act, also known as PACE, was introduced after the Brixton riots which was clashing between black youths and Metropolitan Police in London back in 1981. This legislation sets out a framework for all police forces and police officers.</w:t>
      </w:r>
      <w:r w:rsidRPr="00705491">
        <w:rPr>
          <w:rFonts w:ascii="Arial" w:hAnsi="Arial" w:cs="Arial"/>
          <w:color w:val="202122"/>
          <w:sz w:val="24"/>
          <w:szCs w:val="24"/>
          <w:shd w:val="clear" w:color="auto" w:fill="FFFFFF"/>
        </w:rPr>
        <w:t xml:space="preserve"> The Police and Criminal Evidence Act 1984 is regularly reviewed and updated where necessary. In May 2002, the Home Office and Cabinet Office both reviewed the codes of practice of the Police and Criminal Evidence Act 1984 which were published in 2004. The act was further reviewed in 2010 leading to codes A, B and D of the act to be reissued in March 2011 with immediate effect. South Wales police have also had their involvement in this. The Cardiff five highlighted a serious lack of failing within the police. In February 1988 Lynette white was murdered in Cardiff, South Wales Police issued images of a white male covered in blood within the area where Lynette was murdered. Despite this, five black males were arrested by South Wales police, they were known as “the Cardiff five”, they conducted several interviews, while in interview one male admitted killing Lynette white despite not doing it. The case then went to court with no evidence, three males were sentenced to life imprisonment. However, in 1992 the convictions were overturned by the court of appeals. This shows serious failings within the system in place during this case. The Home Office referred to this case as “one of the worst miscarriages of justice in the history of our criminal justice system”, Sulway</w:t>
      </w:r>
      <w:r w:rsidR="00705491" w:rsidRPr="00705491">
        <w:rPr>
          <w:rFonts w:ascii="Arial" w:hAnsi="Arial" w:cs="Arial"/>
          <w:color w:val="202122"/>
          <w:sz w:val="24"/>
          <w:szCs w:val="24"/>
          <w:shd w:val="clear" w:color="auto" w:fill="FFFFFF"/>
        </w:rPr>
        <w:t xml:space="preserve"> </w:t>
      </w:r>
      <w:r w:rsidRPr="00705491">
        <w:rPr>
          <w:rFonts w:ascii="Arial" w:hAnsi="Arial" w:cs="Arial"/>
          <w:color w:val="202122"/>
          <w:sz w:val="24"/>
          <w:szCs w:val="24"/>
          <w:shd w:val="clear" w:color="auto" w:fill="FFFFFF"/>
        </w:rPr>
        <w:t xml:space="preserve">(2021). </w:t>
      </w:r>
    </w:p>
    <w:p w14:paraId="440BA3C9" w14:textId="77777777" w:rsidR="003328BB" w:rsidRPr="00705491" w:rsidRDefault="003328BB" w:rsidP="00705491">
      <w:pPr>
        <w:jc w:val="both"/>
        <w:rPr>
          <w:rFonts w:ascii="Arial" w:hAnsi="Arial" w:cs="Arial"/>
          <w:color w:val="202122"/>
          <w:sz w:val="24"/>
          <w:szCs w:val="24"/>
          <w:shd w:val="clear" w:color="auto" w:fill="FFFFFF"/>
        </w:rPr>
      </w:pPr>
      <w:r w:rsidRPr="00705491">
        <w:rPr>
          <w:rFonts w:ascii="Arial" w:hAnsi="Arial" w:cs="Arial"/>
          <w:color w:val="202122"/>
          <w:sz w:val="24"/>
          <w:szCs w:val="24"/>
          <w:shd w:val="clear" w:color="auto" w:fill="FFFFFF"/>
        </w:rPr>
        <w:lastRenderedPageBreak/>
        <w:t>(The Police and Criminal Evidence Act 1984) covers all aspects of policing, from initial interaction with a member of the public to interviewing and detention, the codes are:</w:t>
      </w:r>
    </w:p>
    <w:p w14:paraId="0D973DA6" w14:textId="77777777" w:rsidR="003328BB" w:rsidRPr="00705491" w:rsidRDefault="003328BB" w:rsidP="00705491">
      <w:pPr>
        <w:jc w:val="both"/>
        <w:rPr>
          <w:rFonts w:ascii="Arial" w:hAnsi="Arial" w:cs="Arial"/>
          <w:sz w:val="24"/>
          <w:szCs w:val="24"/>
        </w:rPr>
      </w:pPr>
      <w:r w:rsidRPr="00705491">
        <w:rPr>
          <w:rFonts w:ascii="Arial" w:hAnsi="Arial" w:cs="Arial"/>
          <w:sz w:val="24"/>
          <w:szCs w:val="24"/>
        </w:rPr>
        <w:t>Code A - Statutory powers to search a person or vehicle without making an arrest.</w:t>
      </w:r>
    </w:p>
    <w:p w14:paraId="7E24C4CB" w14:textId="77777777" w:rsidR="003328BB" w:rsidRPr="00705491" w:rsidRDefault="003328BB" w:rsidP="00705491">
      <w:pPr>
        <w:jc w:val="both"/>
        <w:rPr>
          <w:rFonts w:ascii="Arial" w:hAnsi="Arial" w:cs="Arial"/>
          <w:sz w:val="24"/>
          <w:szCs w:val="24"/>
        </w:rPr>
      </w:pPr>
      <w:r w:rsidRPr="00705491">
        <w:rPr>
          <w:rFonts w:ascii="Arial" w:hAnsi="Arial" w:cs="Arial"/>
          <w:sz w:val="24"/>
          <w:szCs w:val="24"/>
        </w:rPr>
        <w:t>Code B - Powers to search premises and to seize and retain property</w:t>
      </w:r>
    </w:p>
    <w:p w14:paraId="639EA87D" w14:textId="77777777" w:rsidR="003328BB" w:rsidRPr="00705491" w:rsidRDefault="003328BB" w:rsidP="00705491">
      <w:pPr>
        <w:jc w:val="both"/>
        <w:rPr>
          <w:rFonts w:ascii="Arial" w:hAnsi="Arial" w:cs="Arial"/>
          <w:sz w:val="24"/>
          <w:szCs w:val="24"/>
        </w:rPr>
      </w:pPr>
      <w:r w:rsidRPr="00705491">
        <w:rPr>
          <w:rFonts w:ascii="Arial" w:hAnsi="Arial" w:cs="Arial"/>
          <w:sz w:val="24"/>
          <w:szCs w:val="24"/>
        </w:rPr>
        <w:t>Code C - Detention requirements, treatment and questioning of suspects.</w:t>
      </w:r>
    </w:p>
    <w:p w14:paraId="58B2B048" w14:textId="77777777" w:rsidR="003328BB" w:rsidRPr="00705491" w:rsidRDefault="003328BB" w:rsidP="00705491">
      <w:pPr>
        <w:jc w:val="both"/>
        <w:rPr>
          <w:rFonts w:ascii="Arial" w:hAnsi="Arial" w:cs="Arial"/>
          <w:sz w:val="24"/>
          <w:szCs w:val="24"/>
        </w:rPr>
      </w:pPr>
      <w:r w:rsidRPr="00705491">
        <w:rPr>
          <w:rFonts w:ascii="Arial" w:hAnsi="Arial" w:cs="Arial"/>
          <w:sz w:val="24"/>
          <w:szCs w:val="24"/>
        </w:rPr>
        <w:t>Code D - Methods used by police to identify people in connection with an investigation.</w:t>
      </w:r>
    </w:p>
    <w:p w14:paraId="5A219112" w14:textId="77777777" w:rsidR="003328BB" w:rsidRPr="00705491" w:rsidRDefault="003328BB" w:rsidP="00705491">
      <w:pPr>
        <w:jc w:val="both"/>
        <w:rPr>
          <w:rFonts w:ascii="Arial" w:hAnsi="Arial" w:cs="Arial"/>
          <w:sz w:val="24"/>
          <w:szCs w:val="24"/>
        </w:rPr>
      </w:pPr>
      <w:r w:rsidRPr="00705491">
        <w:rPr>
          <w:rFonts w:ascii="Arial" w:hAnsi="Arial" w:cs="Arial"/>
          <w:sz w:val="24"/>
          <w:szCs w:val="24"/>
        </w:rPr>
        <w:t>Code E - Audio recording of interviews with suspects at a police station.</w:t>
      </w:r>
    </w:p>
    <w:p w14:paraId="54C7545A" w14:textId="77777777" w:rsidR="003328BB" w:rsidRPr="00705491" w:rsidRDefault="003328BB" w:rsidP="00705491">
      <w:pPr>
        <w:jc w:val="both"/>
        <w:rPr>
          <w:rFonts w:ascii="Arial" w:hAnsi="Arial" w:cs="Arial"/>
          <w:sz w:val="24"/>
          <w:szCs w:val="24"/>
        </w:rPr>
      </w:pPr>
      <w:r w:rsidRPr="00705491">
        <w:rPr>
          <w:rFonts w:ascii="Arial" w:hAnsi="Arial" w:cs="Arial"/>
          <w:sz w:val="24"/>
          <w:szCs w:val="24"/>
        </w:rPr>
        <w:t>Code F - Visual recording with sound of interviews with suspects</w:t>
      </w:r>
    </w:p>
    <w:p w14:paraId="7DFBE159" w14:textId="77777777" w:rsidR="003328BB" w:rsidRPr="00705491" w:rsidRDefault="003328BB" w:rsidP="00705491">
      <w:pPr>
        <w:jc w:val="both"/>
        <w:rPr>
          <w:rFonts w:ascii="Arial" w:hAnsi="Arial" w:cs="Arial"/>
          <w:sz w:val="24"/>
          <w:szCs w:val="24"/>
        </w:rPr>
      </w:pPr>
      <w:r w:rsidRPr="00705491">
        <w:rPr>
          <w:rFonts w:ascii="Arial" w:hAnsi="Arial" w:cs="Arial"/>
          <w:sz w:val="24"/>
          <w:szCs w:val="24"/>
        </w:rPr>
        <w:t>Code G - Powers of arrest under section 24 Police and Criminal Evidence Act 1984.</w:t>
      </w:r>
    </w:p>
    <w:p w14:paraId="43011FAC" w14:textId="77777777" w:rsidR="003328BB" w:rsidRPr="00705491" w:rsidRDefault="003328BB" w:rsidP="00705491">
      <w:pPr>
        <w:jc w:val="both"/>
        <w:rPr>
          <w:rStyle w:val="Hyperlink"/>
          <w:rFonts w:ascii="Arial" w:hAnsi="Arial" w:cs="Arial"/>
          <w:sz w:val="24"/>
          <w:szCs w:val="24"/>
        </w:rPr>
      </w:pPr>
    </w:p>
    <w:p w14:paraId="1D28EB91" w14:textId="77777777" w:rsidR="003328BB" w:rsidRPr="00705491" w:rsidRDefault="003328BB" w:rsidP="00705491">
      <w:pPr>
        <w:jc w:val="both"/>
        <w:rPr>
          <w:rStyle w:val="Hyperlink"/>
          <w:rFonts w:ascii="Arial" w:hAnsi="Arial" w:cs="Arial"/>
          <w:color w:val="auto"/>
          <w:sz w:val="24"/>
          <w:szCs w:val="24"/>
          <w:u w:val="none"/>
        </w:rPr>
      </w:pPr>
      <w:r w:rsidRPr="00705491">
        <w:rPr>
          <w:rStyle w:val="Hyperlink"/>
          <w:rFonts w:ascii="Arial" w:hAnsi="Arial" w:cs="Arial"/>
          <w:color w:val="auto"/>
          <w:sz w:val="24"/>
          <w:szCs w:val="24"/>
          <w:u w:val="none"/>
        </w:rPr>
        <w:t xml:space="preserve">The Code of Ethics was created by the College of Policing in 2014, this is a framework that sets out standards which are to be followed. The purpose of the Code of Ethics is to support individuals within the policing profession to deliver high standards of service to the public and preventing crime, College of Policing, (2014). </w:t>
      </w:r>
    </w:p>
    <w:p w14:paraId="45E1EA99" w14:textId="356FBE7E" w:rsidR="003328BB" w:rsidRPr="00705491" w:rsidRDefault="003328BB" w:rsidP="00705491">
      <w:pPr>
        <w:jc w:val="both"/>
        <w:rPr>
          <w:rStyle w:val="Hyperlink"/>
          <w:rFonts w:ascii="Arial" w:hAnsi="Arial" w:cs="Arial"/>
          <w:color w:val="auto"/>
          <w:sz w:val="24"/>
          <w:szCs w:val="24"/>
          <w:u w:val="none"/>
        </w:rPr>
      </w:pPr>
      <w:r w:rsidRPr="00705491">
        <w:rPr>
          <w:rStyle w:val="Hyperlink"/>
          <w:rFonts w:ascii="Arial" w:hAnsi="Arial" w:cs="Arial"/>
          <w:color w:val="auto"/>
          <w:sz w:val="24"/>
          <w:szCs w:val="24"/>
          <w:u w:val="none"/>
        </w:rPr>
        <w:t xml:space="preserve">According to the College of Policing (2014) research has said acting in fairness and showing respect are significant in upholding the public’s trust and confidence in policing. All persons working for the police service ought to work honestly and ethically. People in communities expect police to do right in a way that is seen to be right and basing their decisions and actions on the policing principles. To assist both the police and community, the Neighbourhood Policing Team (NPT) was introduced which consists of Police Community Support Officers (PCSO), Police Officers (PC) and a Police Sergeant (PS). The NPT was put into place so that police presence was accessible for the community, to work in partnership with several private and public partners within the community to address issues and problem solve, College of Policing, (2023). The chief constable of South Wales police Jeremey Vaughan has emphasised that neighbourhood policing is one of many priorities, within a crime plan article he says that police will not remove themselves from local communities, stop addressing offending or preventing further crime. He also says that neighbourhood policing is important and strives to improve the role of PCSO in way that focuses on communicating with communities so that they can feel safe and confident, South Wales police (2022). </w:t>
      </w:r>
    </w:p>
    <w:p w14:paraId="1E7B2BD5" w14:textId="77777777" w:rsidR="003328BB" w:rsidRPr="00705491" w:rsidRDefault="003328BB" w:rsidP="00705491">
      <w:pPr>
        <w:jc w:val="both"/>
        <w:rPr>
          <w:rFonts w:ascii="Arial" w:hAnsi="Arial" w:cs="Arial"/>
          <w:b/>
          <w:bCs/>
          <w:sz w:val="24"/>
          <w:szCs w:val="24"/>
          <w:u w:val="single"/>
          <w:lang w:eastAsia="en-GB"/>
        </w:rPr>
      </w:pPr>
      <w:r w:rsidRPr="00705491">
        <w:rPr>
          <w:rFonts w:ascii="Arial" w:hAnsi="Arial" w:cs="Arial"/>
          <w:b/>
          <w:bCs/>
          <w:sz w:val="24"/>
          <w:szCs w:val="24"/>
          <w:u w:val="single"/>
          <w:lang w:eastAsia="en-GB"/>
        </w:rPr>
        <w:t xml:space="preserve">Essay 2 </w:t>
      </w:r>
    </w:p>
    <w:p w14:paraId="764D5F92" w14:textId="77777777" w:rsidR="003328BB" w:rsidRPr="00705491" w:rsidRDefault="003328BB" w:rsidP="00705491">
      <w:pPr>
        <w:jc w:val="both"/>
        <w:rPr>
          <w:rFonts w:ascii="Arial" w:hAnsi="Arial" w:cs="Arial"/>
          <w:b/>
          <w:bCs/>
          <w:sz w:val="24"/>
          <w:szCs w:val="24"/>
          <w:u w:val="single"/>
          <w:lang w:eastAsia="en-GB"/>
        </w:rPr>
      </w:pPr>
      <w:r w:rsidRPr="00705491">
        <w:rPr>
          <w:rFonts w:ascii="Arial" w:hAnsi="Arial" w:cs="Arial"/>
          <w:b/>
          <w:bCs/>
          <w:sz w:val="24"/>
          <w:szCs w:val="24"/>
          <w:u w:val="single"/>
          <w:lang w:eastAsia="en-GB"/>
        </w:rPr>
        <w:t>Word count: 928</w:t>
      </w:r>
    </w:p>
    <w:p w14:paraId="044FEFA0" w14:textId="45E9FB19" w:rsidR="003328BB" w:rsidRPr="00705491" w:rsidRDefault="003328BB" w:rsidP="00705491">
      <w:pPr>
        <w:jc w:val="both"/>
        <w:rPr>
          <w:rFonts w:ascii="Arial" w:hAnsi="Arial" w:cs="Arial"/>
          <w:sz w:val="24"/>
          <w:szCs w:val="24"/>
          <w:lang w:eastAsia="en-GB"/>
        </w:rPr>
      </w:pPr>
      <w:r w:rsidRPr="00705491">
        <w:rPr>
          <w:rFonts w:ascii="Arial" w:hAnsi="Arial" w:cs="Arial"/>
          <w:sz w:val="24"/>
          <w:szCs w:val="24"/>
          <w:lang w:eastAsia="en-GB"/>
        </w:rPr>
        <w:t xml:space="preserve">Vulnerability is something that anyone can experience, this can be during childhood or adulthood. Gangs are known to target vulnerable children and adults, factors that heighten a person’s vulnerability can be, previously experiencing neglect, physical and or sexual abuse, lack of stable home environment or homelessness. Domestic violence or parental substance misuse can also make an individual vulnerable which can lead to mental health issues and conducting criminal acts, Home Office (2020). A gang can be seen as a group of people off the streets that see violence and crime an </w:t>
      </w:r>
      <w:r w:rsidRPr="00705491">
        <w:rPr>
          <w:rFonts w:ascii="Arial" w:hAnsi="Arial" w:cs="Arial"/>
          <w:sz w:val="24"/>
          <w:szCs w:val="24"/>
          <w:lang w:eastAsia="en-GB"/>
        </w:rPr>
        <w:lastRenderedPageBreak/>
        <w:t xml:space="preserve">important part of their identity. These types of people take ownership over an area and have certain aspects such as dress codes to make themselves identifiable, Preventing exploitation, (n.d). Gangs exploit vulnerable young people and adults for their own gain, county lines </w:t>
      </w:r>
      <w:r w:rsidR="00705491" w:rsidRPr="00705491">
        <w:rPr>
          <w:rFonts w:ascii="Arial" w:hAnsi="Arial" w:cs="Arial"/>
          <w:sz w:val="24"/>
          <w:szCs w:val="24"/>
          <w:lang w:eastAsia="en-GB"/>
        </w:rPr>
        <w:t xml:space="preserve">are </w:t>
      </w:r>
      <w:r w:rsidRPr="00705491">
        <w:rPr>
          <w:rFonts w:ascii="Arial" w:hAnsi="Arial" w:cs="Arial"/>
          <w:sz w:val="24"/>
          <w:szCs w:val="24"/>
          <w:lang w:eastAsia="en-GB"/>
        </w:rPr>
        <w:t xml:space="preserve">widely used by them. This term describes gangs along with organised criminal networks to import illegal drugs into the one or more areas within a country. These gangs tend to target children and adults and coerces them into moving or storing drugs or money. This makes children and adults vulnerable and causes them to feel intimidated and exploited, Home </w:t>
      </w:r>
      <w:r w:rsidR="00705491" w:rsidRPr="00705491">
        <w:rPr>
          <w:rFonts w:ascii="Arial" w:hAnsi="Arial" w:cs="Arial"/>
          <w:sz w:val="24"/>
          <w:szCs w:val="24"/>
          <w:lang w:eastAsia="en-GB"/>
        </w:rPr>
        <w:t>O</w:t>
      </w:r>
      <w:r w:rsidRPr="00705491">
        <w:rPr>
          <w:rFonts w:ascii="Arial" w:hAnsi="Arial" w:cs="Arial"/>
          <w:sz w:val="24"/>
          <w:szCs w:val="24"/>
          <w:lang w:eastAsia="en-GB"/>
        </w:rPr>
        <w:t xml:space="preserve">ffice (2020). Criminal exploitation crimes occur just as any other abuse or exploitation does, even if the individual agrees to their involvement or is forced through threats or violence, Safeguarding </w:t>
      </w:r>
      <w:r w:rsidR="00705491" w:rsidRPr="00705491">
        <w:rPr>
          <w:rFonts w:ascii="Arial" w:hAnsi="Arial" w:cs="Arial"/>
          <w:sz w:val="24"/>
          <w:szCs w:val="24"/>
          <w:lang w:eastAsia="en-GB"/>
        </w:rPr>
        <w:t>A</w:t>
      </w:r>
      <w:r w:rsidRPr="00705491">
        <w:rPr>
          <w:rFonts w:ascii="Arial" w:hAnsi="Arial" w:cs="Arial"/>
          <w:sz w:val="24"/>
          <w:szCs w:val="24"/>
          <w:lang w:eastAsia="en-GB"/>
        </w:rPr>
        <w:t xml:space="preserve">dults </w:t>
      </w:r>
      <w:r w:rsidR="00705491" w:rsidRPr="00705491">
        <w:rPr>
          <w:rFonts w:ascii="Arial" w:hAnsi="Arial" w:cs="Arial"/>
          <w:sz w:val="24"/>
          <w:szCs w:val="24"/>
          <w:lang w:eastAsia="en-GB"/>
        </w:rPr>
        <w:t>B</w:t>
      </w:r>
      <w:r w:rsidRPr="00705491">
        <w:rPr>
          <w:rFonts w:ascii="Arial" w:hAnsi="Arial" w:cs="Arial"/>
          <w:sz w:val="24"/>
          <w:szCs w:val="24"/>
          <w:lang w:eastAsia="en-GB"/>
        </w:rPr>
        <w:t>oard</w:t>
      </w:r>
      <w:r w:rsidR="00705491" w:rsidRPr="00705491">
        <w:rPr>
          <w:rFonts w:ascii="Arial" w:hAnsi="Arial" w:cs="Arial"/>
          <w:sz w:val="24"/>
          <w:szCs w:val="24"/>
          <w:lang w:eastAsia="en-GB"/>
        </w:rPr>
        <w:t xml:space="preserve"> </w:t>
      </w:r>
      <w:r w:rsidRPr="00705491">
        <w:rPr>
          <w:rFonts w:ascii="Arial" w:hAnsi="Arial" w:cs="Arial"/>
          <w:sz w:val="24"/>
          <w:szCs w:val="24"/>
          <w:lang w:eastAsia="en-GB"/>
        </w:rPr>
        <w:t>(2020). The Department of Education revealed that 12,720 children in England were discovered by social services as being susceptible to criminal exploitation by gangs in 2020/21, Commission on young lives</w:t>
      </w:r>
      <w:r w:rsidR="00705491" w:rsidRPr="00705491">
        <w:rPr>
          <w:rFonts w:ascii="Arial" w:hAnsi="Arial" w:cs="Arial"/>
          <w:sz w:val="24"/>
          <w:szCs w:val="24"/>
          <w:lang w:eastAsia="en-GB"/>
        </w:rPr>
        <w:t xml:space="preserve"> </w:t>
      </w:r>
      <w:r w:rsidRPr="00705491">
        <w:rPr>
          <w:rFonts w:ascii="Arial" w:hAnsi="Arial" w:cs="Arial"/>
          <w:sz w:val="24"/>
          <w:szCs w:val="24"/>
          <w:lang w:eastAsia="en-GB"/>
        </w:rPr>
        <w:t>(2021). County lines is a form of criminal exploitation, this is where criminals make a friend of a child or several children and influence them into drug dealing. Commonly, mobile phones are used to control a young individual who is sent to deliver drugs, this is usually areas outside their hometown, The Children’s Society</w:t>
      </w:r>
      <w:r w:rsidR="00705491" w:rsidRPr="00705491">
        <w:rPr>
          <w:rFonts w:ascii="Arial" w:hAnsi="Arial" w:cs="Arial"/>
          <w:sz w:val="24"/>
          <w:szCs w:val="24"/>
          <w:lang w:eastAsia="en-GB"/>
        </w:rPr>
        <w:t xml:space="preserve"> </w:t>
      </w:r>
      <w:r w:rsidRPr="00705491">
        <w:rPr>
          <w:rFonts w:ascii="Arial" w:hAnsi="Arial" w:cs="Arial"/>
          <w:sz w:val="24"/>
          <w:szCs w:val="24"/>
          <w:lang w:eastAsia="en-GB"/>
        </w:rPr>
        <w:t>(2023). There are several risks involved in criminal exploitation for example, one being unable to cut ties with gangs and having a detrimental effect upon education and employment, Children’s Commissioner Report</w:t>
      </w:r>
      <w:r w:rsidR="00705491" w:rsidRPr="00705491">
        <w:rPr>
          <w:rFonts w:ascii="Arial" w:hAnsi="Arial" w:cs="Arial"/>
          <w:sz w:val="24"/>
          <w:szCs w:val="24"/>
          <w:lang w:eastAsia="en-GB"/>
        </w:rPr>
        <w:t xml:space="preserve"> </w:t>
      </w:r>
      <w:r w:rsidRPr="00705491">
        <w:rPr>
          <w:rFonts w:ascii="Arial" w:hAnsi="Arial" w:cs="Arial"/>
          <w:sz w:val="24"/>
          <w:szCs w:val="24"/>
          <w:lang w:eastAsia="en-GB"/>
        </w:rPr>
        <w:t>(2019).</w:t>
      </w:r>
    </w:p>
    <w:p w14:paraId="09A88420" w14:textId="77777777" w:rsidR="003328BB" w:rsidRPr="00705491" w:rsidRDefault="003328BB" w:rsidP="00705491">
      <w:pPr>
        <w:jc w:val="both"/>
        <w:rPr>
          <w:rFonts w:ascii="Arial" w:hAnsi="Arial" w:cs="Arial"/>
          <w:sz w:val="24"/>
          <w:szCs w:val="24"/>
          <w:lang w:eastAsia="en-GB"/>
        </w:rPr>
      </w:pPr>
      <w:r w:rsidRPr="00705491">
        <w:rPr>
          <w:rFonts w:ascii="Arial" w:hAnsi="Arial" w:cs="Arial"/>
          <w:sz w:val="24"/>
          <w:szCs w:val="24"/>
          <w:lang w:eastAsia="en-GB"/>
        </w:rPr>
        <w:t xml:space="preserve">Psychological or emotional abuse can be harmful to victims in a way that causes them severe mental distress, this can be both verbal and non-verbal including humiliation, shouting, coercion, controlling and intimidation. A person who is subject to psychological or emotional abuse may show signs of being withdrawn, compulsive behaviour or lack of concentration, nidirect (n.d). </w:t>
      </w:r>
    </w:p>
    <w:p w14:paraId="20E17F8B" w14:textId="272DDDA8" w:rsidR="003328BB" w:rsidRPr="00705491" w:rsidRDefault="003328BB" w:rsidP="00705491">
      <w:pPr>
        <w:jc w:val="both"/>
        <w:rPr>
          <w:rFonts w:ascii="Arial" w:hAnsi="Arial" w:cs="Arial"/>
          <w:sz w:val="24"/>
          <w:szCs w:val="24"/>
        </w:rPr>
      </w:pPr>
      <w:r w:rsidRPr="00705491">
        <w:rPr>
          <w:rFonts w:ascii="Arial" w:hAnsi="Arial" w:cs="Arial"/>
          <w:sz w:val="24"/>
          <w:szCs w:val="24"/>
          <w:lang w:eastAsia="en-GB"/>
        </w:rPr>
        <w:t xml:space="preserve">While conducting research into criminal exploitation, I have a case study from Suffolk Police that involved a 16-year-old male who was reported missing from London, he </w:t>
      </w:r>
      <w:r w:rsidR="00705491" w:rsidRPr="00705491">
        <w:rPr>
          <w:rFonts w:ascii="Arial" w:hAnsi="Arial" w:cs="Arial"/>
          <w:sz w:val="24"/>
          <w:szCs w:val="24"/>
          <w:lang w:eastAsia="en-GB"/>
        </w:rPr>
        <w:t>was</w:t>
      </w:r>
      <w:r w:rsidRPr="00705491">
        <w:rPr>
          <w:rFonts w:ascii="Arial" w:hAnsi="Arial" w:cs="Arial"/>
          <w:sz w:val="24"/>
          <w:szCs w:val="24"/>
          <w:lang w:eastAsia="en-GB"/>
        </w:rPr>
        <w:t xml:space="preserve"> high risk due to his age and association with gangs. He had recently failed to appear at his court hearing for allegedly being involved in a stabbing incident, he was found with a 6-inch kitchen knife and 30 wraps of drugs in his possession. Whilst this male was in custody it was noted that he had significant burns to his body, they say that was consistent with being burnt by boiling liquid, this male however would not disclose any details on the matter, it was suspected that the burns were caused by the individuals responsible for putting him in Ipswich to deal class A drugs. This case study clearly identifies that the 16-year-old male was vulnerable and involved in criminal exploitation. Other factors may include cognitive ability, physical strength, what resources those vulnerable people have access to that may be of use to the gangs or something as simple as protecting their family from being targeted by these gangs, Home Office</w:t>
      </w:r>
      <w:r w:rsidR="00705491" w:rsidRPr="00705491">
        <w:rPr>
          <w:rFonts w:ascii="Arial" w:hAnsi="Arial" w:cs="Arial"/>
          <w:sz w:val="24"/>
          <w:szCs w:val="24"/>
          <w:lang w:eastAsia="en-GB"/>
        </w:rPr>
        <w:t xml:space="preserve"> </w:t>
      </w:r>
      <w:r w:rsidRPr="00705491">
        <w:rPr>
          <w:rFonts w:ascii="Arial" w:hAnsi="Arial" w:cs="Arial"/>
          <w:sz w:val="24"/>
          <w:szCs w:val="24"/>
          <w:lang w:eastAsia="en-GB"/>
        </w:rPr>
        <w:t xml:space="preserve">(2020). </w:t>
      </w:r>
      <w:r w:rsidRPr="00705491">
        <w:rPr>
          <w:rFonts w:ascii="Arial" w:hAnsi="Arial" w:cs="Arial"/>
          <w:sz w:val="24"/>
          <w:szCs w:val="24"/>
        </w:rPr>
        <w:t xml:space="preserve">Whilst reading this case study I was shocked due to the age of the individual and the alleged crime he was already committing. This vulnerable young person is heavily involved in the criminal activity. Upon reading further I could see one of the techniques used by the gang was to use boiling hot water to inflict pain and to gain compliance from the vulnerable young person. I was also shocked to read that he would not disclose how he sustained the injuries to his body. This goes to show the control that criminal gangs have over vulnerable young people and children. A second case study came from South Wales Police detailing that at least one vulnerable female </w:t>
      </w:r>
      <w:r w:rsidRPr="00705491">
        <w:rPr>
          <w:rFonts w:ascii="Arial" w:hAnsi="Arial" w:cs="Arial"/>
          <w:sz w:val="24"/>
          <w:szCs w:val="24"/>
        </w:rPr>
        <w:lastRenderedPageBreak/>
        <w:t>has been subject to sexual favours and sexual violence by a gang in London as a result of drug debt. It also said that the gang had attempted to kidnap her twice and are believed to have trafficked her to London to pay off drug debt through prostitution, Home Office</w:t>
      </w:r>
      <w:r w:rsidR="00705491" w:rsidRPr="00705491">
        <w:rPr>
          <w:rFonts w:ascii="Arial" w:hAnsi="Arial" w:cs="Arial"/>
          <w:sz w:val="24"/>
          <w:szCs w:val="24"/>
        </w:rPr>
        <w:t xml:space="preserve"> </w:t>
      </w:r>
      <w:r w:rsidRPr="00705491">
        <w:rPr>
          <w:rFonts w:ascii="Arial" w:hAnsi="Arial" w:cs="Arial"/>
          <w:sz w:val="24"/>
          <w:szCs w:val="24"/>
        </w:rPr>
        <w:t xml:space="preserve">(2020). This female may have had psychological and socioeconomic factors as to why she became involved initially. </w:t>
      </w:r>
    </w:p>
    <w:p w14:paraId="05E6A8A7" w14:textId="76D6043D" w:rsidR="003328BB" w:rsidRPr="00705491" w:rsidRDefault="003328BB" w:rsidP="00705491">
      <w:pPr>
        <w:jc w:val="both"/>
        <w:rPr>
          <w:rFonts w:ascii="Arial" w:hAnsi="Arial" w:cs="Arial"/>
          <w:sz w:val="24"/>
          <w:szCs w:val="24"/>
        </w:rPr>
      </w:pPr>
      <w:r w:rsidRPr="00705491">
        <w:rPr>
          <w:rFonts w:ascii="Arial" w:hAnsi="Arial" w:cs="Arial"/>
          <w:sz w:val="24"/>
          <w:szCs w:val="24"/>
        </w:rPr>
        <w:t xml:space="preserve">There are various psychological factors of victims of exploitation, for example, psychological distress, childhood trauma, poverty or a single-parent family background could be something that makes individuals vulnerable and susceptible to criminal exploitation. Individuals that have issues with their emotional responses could also be subject to criminal exploitation as they are used to another person having the power or control over them, Laird </w:t>
      </w:r>
      <w:r w:rsidRPr="00705491">
        <w:rPr>
          <w:rFonts w:ascii="Arial" w:hAnsi="Arial" w:cs="Arial"/>
          <w:i/>
          <w:iCs/>
          <w:sz w:val="24"/>
          <w:szCs w:val="24"/>
        </w:rPr>
        <w:t xml:space="preserve">et al. </w:t>
      </w:r>
      <w:r w:rsidRPr="00705491">
        <w:rPr>
          <w:rFonts w:ascii="Arial" w:hAnsi="Arial" w:cs="Arial"/>
          <w:sz w:val="24"/>
          <w:szCs w:val="24"/>
        </w:rPr>
        <w:t>(2020). Socioeconomic factors such as employment, education and income can be the reasoning behind why individuals get involved in criminal activities, whether they are unemployed or have a poor paying job, they may consider becoming involved in criminal activity to earn themselves more income as promised by gang members, County Health Rankings</w:t>
      </w:r>
      <w:r w:rsidR="00705491" w:rsidRPr="00705491">
        <w:rPr>
          <w:rFonts w:ascii="Arial" w:hAnsi="Arial" w:cs="Arial"/>
          <w:sz w:val="24"/>
          <w:szCs w:val="24"/>
        </w:rPr>
        <w:t xml:space="preserve"> </w:t>
      </w:r>
      <w:r w:rsidRPr="00705491">
        <w:rPr>
          <w:rFonts w:ascii="Arial" w:hAnsi="Arial" w:cs="Arial"/>
          <w:sz w:val="24"/>
          <w:szCs w:val="24"/>
        </w:rPr>
        <w:t xml:space="preserve">(2022). People who live in deprived areas that have inadequate housing can be seen as vulnerable, they may become involved in criminal activity again to earn an income to keep a warm and stable environment, therefore becoming exploited. </w:t>
      </w:r>
    </w:p>
    <w:p w14:paraId="5AAB7178" w14:textId="77777777" w:rsidR="003328BB" w:rsidRPr="00705491" w:rsidRDefault="003328BB" w:rsidP="00705491">
      <w:pPr>
        <w:jc w:val="both"/>
        <w:rPr>
          <w:rFonts w:ascii="Arial" w:hAnsi="Arial" w:cs="Arial"/>
          <w:b/>
          <w:bCs/>
          <w:sz w:val="24"/>
          <w:szCs w:val="24"/>
          <w:u w:val="single"/>
        </w:rPr>
      </w:pPr>
      <w:r w:rsidRPr="00705491">
        <w:rPr>
          <w:rFonts w:ascii="Arial" w:hAnsi="Arial" w:cs="Arial"/>
          <w:b/>
          <w:bCs/>
          <w:sz w:val="24"/>
          <w:szCs w:val="24"/>
          <w:u w:val="single"/>
        </w:rPr>
        <w:t xml:space="preserve">Essay 3 </w:t>
      </w:r>
    </w:p>
    <w:p w14:paraId="7E2CECB2" w14:textId="77777777" w:rsidR="003328BB" w:rsidRPr="00705491" w:rsidRDefault="003328BB" w:rsidP="00705491">
      <w:pPr>
        <w:jc w:val="both"/>
        <w:rPr>
          <w:rFonts w:ascii="Arial" w:hAnsi="Arial" w:cs="Arial"/>
          <w:b/>
          <w:bCs/>
          <w:sz w:val="24"/>
          <w:szCs w:val="24"/>
          <w:u w:val="single"/>
        </w:rPr>
      </w:pPr>
      <w:r w:rsidRPr="00705491">
        <w:rPr>
          <w:rFonts w:ascii="Arial" w:hAnsi="Arial" w:cs="Arial"/>
          <w:b/>
          <w:bCs/>
          <w:sz w:val="24"/>
          <w:szCs w:val="24"/>
          <w:u w:val="single"/>
        </w:rPr>
        <w:t>Word count: 911</w:t>
      </w:r>
    </w:p>
    <w:p w14:paraId="1C815C48" w14:textId="03C4AE3F" w:rsidR="003328BB" w:rsidRPr="00705491" w:rsidRDefault="003328BB" w:rsidP="00705491">
      <w:pPr>
        <w:jc w:val="both"/>
        <w:rPr>
          <w:rFonts w:ascii="Arial" w:hAnsi="Arial" w:cs="Arial"/>
          <w:sz w:val="24"/>
          <w:szCs w:val="24"/>
        </w:rPr>
      </w:pPr>
      <w:r w:rsidRPr="00705491">
        <w:rPr>
          <w:rFonts w:ascii="Arial" w:hAnsi="Arial" w:cs="Arial"/>
          <w:sz w:val="24"/>
          <w:szCs w:val="24"/>
        </w:rPr>
        <w:t xml:space="preserve">MAPPA or multi-agency public protection arrangements was established in 2000 under the Criminal Justice and Court Services Act 2000, (however was superseded by Sections 325 to 327B of the Criminal Justice Act 2003) is a system by which agencies can more effectively carry out their legal obligations and protect the public in a coordinated manner. The procedure involves several agencies including the England and Wales Police Forces, HM Prison Service, and National Probation Service, working in partnership to manage the risks posed by violent and sexual offenders living in the community is known as MAPPA. By controlling the hazards connected to these types of offenders, MAPPA seeks to regulate the risks that sexual and violent offenders bring to the general population. To determine the level of risk to the public each criminal poses, the various agencies cooperate to share information about them under MAPPA. </w:t>
      </w:r>
    </w:p>
    <w:p w14:paraId="29BDF420" w14:textId="77777777" w:rsidR="003328BB" w:rsidRPr="00705491" w:rsidRDefault="003328BB" w:rsidP="00705491">
      <w:pPr>
        <w:jc w:val="both"/>
        <w:rPr>
          <w:rFonts w:ascii="Arial" w:hAnsi="Arial" w:cs="Arial"/>
          <w:sz w:val="24"/>
          <w:szCs w:val="24"/>
        </w:rPr>
      </w:pPr>
      <w:r w:rsidRPr="00705491">
        <w:rPr>
          <w:rFonts w:ascii="Arial" w:hAnsi="Arial" w:cs="Arial"/>
          <w:sz w:val="24"/>
          <w:szCs w:val="24"/>
        </w:rPr>
        <w:t xml:space="preserve">Only a select group of offenders are handled by MAPPA; they oversee three different kinds of offenders. Category one is for all known sexual offenders that are subject to notification requirements, these offenders who have been charged with an offence are obligated to give their name, address and other relevant personal information. Category two is for those who have committed violent crimes or other sex offences; however, they are exempt from notification requirements. Violent offenders who have received 12 months or more prison sentence or hospital detention are currently residing in the community under supervision of probation. Category three is for dangerous criminals who have previously broken the law and are seen as a major threat to the public, Nacro (2023). The goal of MAPPA is to assist in lowering the likelihood that sexual and violent offenders would commit new crimes and to safeguard the public, especially former victims, from serious harm. Additionally, it should </w:t>
      </w:r>
      <w:r w:rsidRPr="00705491">
        <w:rPr>
          <w:rFonts w:ascii="Arial" w:hAnsi="Arial" w:cs="Arial"/>
          <w:sz w:val="24"/>
          <w:szCs w:val="24"/>
        </w:rPr>
        <w:lastRenderedPageBreak/>
        <w:t xml:space="preserve">guarantee that risk analysis is conducted, and solid risk-management policies are put in place. MAPPA makes use of the coordinated information exchange between agencies on each MAPPA offender and makes sure that the necessary resources are allocated in a way that improves public safety. To ensure the efficient supervision of criminals, competent agencies such as the National Prosecution Service, Welsh and English Police, and prison service are needed. However, the NHS, social services, education, and housing all cooperate to assist, STSCAP (2021). </w:t>
      </w:r>
    </w:p>
    <w:p w14:paraId="774B2B6A" w14:textId="77777777" w:rsidR="003328BB" w:rsidRPr="00705491" w:rsidRDefault="003328BB" w:rsidP="00705491">
      <w:pPr>
        <w:jc w:val="both"/>
        <w:rPr>
          <w:rFonts w:ascii="Arial" w:hAnsi="Arial" w:cs="Arial"/>
          <w:sz w:val="24"/>
          <w:szCs w:val="24"/>
        </w:rPr>
      </w:pPr>
      <w:r w:rsidRPr="00705491">
        <w:rPr>
          <w:rFonts w:ascii="Arial" w:hAnsi="Arial" w:cs="Arial"/>
          <w:sz w:val="24"/>
          <w:szCs w:val="24"/>
        </w:rPr>
        <w:t>As a nationwide resource for public protection residential supervision is permitted for offenders who are likely to seriously endanger others. For assessment, supervision, and management, offenders live in a facility that has been approved. This safeguards the public by encouraging rehabilitation and lowering the chance of reoffending. This type of accommodation is for those aged 16 to 17, approved premises are intended for adult offenders (those who have committed a crime and are at least 18 years old, College of Policing (2021). A Difference in Difference (DiD) study was performed on a group of offenders subject to MAPPA and a comparison group of offenders who committed the same offences but did not get MAPPA supervision to determine the impact of MAPPA on one year proven reoffending rates. This made it possible to compare the one-year reoffending rates of the two groups before and after the implementation of MAPPA, to assess the impact of the law. After reading the report I have picked out key aspects that I believe are significant. The annual number of new MAPPA qualifying offenders increased year over year from 10,616 in 2000 to 16,401 in 2009 before dropping to 14,396 in 2010. From 2% in 2000 to 7% in 2010, the percentage of newly eligible offenders for the MAPPA who had the highest OGRS3 risk assessment ratings (and were therefore at a high risk of reoffending within a year) increased. The Category 2 violent and other sexual offenders' one-year proven reoffending rate dropped from 26% in 2000 (before to the implementation of MAPPA) to 23% in 2004. Since then, it has stayed rather constant, varying between 22% and 24% from 2004 to 2010. The Category 1 registered sexual offenders' one-year proven reoffending rate fell from 13% in 2000 to 10% in 2004. In 2010, it steadily rose back to 13%. Between 2000 and 2010, the rate of one-year proven reoffending among newly eligible MAPPA offenders judged as having a high risk of doing so decreased by 20% (17 percentage points), from 83% to 66%. According to the results of the DiD analysis, from 2000 to 2010, MAPPA may have been linked to a two- and a four-percentage-point decrease in major reoffending and a reduction in proved reoffending by new MAPPA qualified offenders, Bryant, Peck and Lovbakke (2015).</w:t>
      </w:r>
    </w:p>
    <w:p w14:paraId="27146A56" w14:textId="77777777" w:rsidR="00705491" w:rsidRDefault="003328BB" w:rsidP="00705491">
      <w:pPr>
        <w:jc w:val="both"/>
        <w:rPr>
          <w:rFonts w:ascii="Arial" w:hAnsi="Arial" w:cs="Arial"/>
          <w:sz w:val="24"/>
          <w:szCs w:val="24"/>
        </w:rPr>
      </w:pPr>
      <w:r w:rsidRPr="00705491">
        <w:rPr>
          <w:rFonts w:ascii="Arial" w:hAnsi="Arial" w:cs="Arial"/>
          <w:sz w:val="24"/>
          <w:szCs w:val="24"/>
        </w:rPr>
        <w:t xml:space="preserve">Looking at the above findings from the ministry of justice, I believe MAPPA is having an effect on re-offending rates, however, I can also see the amount of people being managed under MAPPA is growing year on year before dropping in 2010, this could be for a number of reasons including, more people committing crimes that fall into the categories and offences for each category changing, judges could affect this by the sentencing choices, for example, one judge could sentence under 12 months but another might sentence over 12 months for the same offence. I also noted that they used two groups of offenders, this could also affect the results as some offenders might have had a different mindset to reoffending, compared to the others. I have looked for evidence of issues with MAPPA however while conducting research I have been unable to find any arguments against or negative reviews. </w:t>
      </w:r>
    </w:p>
    <w:p w14:paraId="5EAEEEAF" w14:textId="3A7EA1DD" w:rsidR="003328BB" w:rsidRPr="00705491" w:rsidRDefault="003328BB" w:rsidP="00705491">
      <w:pPr>
        <w:jc w:val="both"/>
        <w:rPr>
          <w:rFonts w:ascii="Arial" w:hAnsi="Arial" w:cs="Arial"/>
          <w:sz w:val="24"/>
          <w:szCs w:val="24"/>
        </w:rPr>
      </w:pPr>
      <w:r w:rsidRPr="00705491">
        <w:rPr>
          <w:rFonts w:ascii="Arial" w:hAnsi="Arial" w:cs="Arial"/>
          <w:b/>
          <w:bCs/>
          <w:sz w:val="24"/>
          <w:szCs w:val="24"/>
          <w:u w:val="single"/>
        </w:rPr>
        <w:lastRenderedPageBreak/>
        <w:t>Essay 4</w:t>
      </w:r>
    </w:p>
    <w:p w14:paraId="7807872A" w14:textId="77777777" w:rsidR="003328BB" w:rsidRPr="00705491" w:rsidRDefault="003328BB" w:rsidP="00705491">
      <w:pPr>
        <w:jc w:val="both"/>
        <w:rPr>
          <w:rFonts w:ascii="Arial" w:hAnsi="Arial" w:cs="Arial"/>
          <w:b/>
          <w:bCs/>
          <w:sz w:val="24"/>
          <w:szCs w:val="24"/>
          <w:u w:val="single"/>
        </w:rPr>
      </w:pPr>
      <w:r w:rsidRPr="00705491">
        <w:rPr>
          <w:rFonts w:ascii="Arial" w:hAnsi="Arial" w:cs="Arial"/>
          <w:b/>
          <w:bCs/>
          <w:sz w:val="24"/>
          <w:szCs w:val="24"/>
          <w:u w:val="single"/>
        </w:rPr>
        <w:t>Word count: 973</w:t>
      </w:r>
    </w:p>
    <w:p w14:paraId="53D93D0F" w14:textId="77777777" w:rsidR="003328BB" w:rsidRPr="00705491" w:rsidRDefault="003328BB" w:rsidP="00705491">
      <w:pPr>
        <w:jc w:val="both"/>
        <w:rPr>
          <w:rFonts w:ascii="Arial" w:hAnsi="Arial" w:cs="Arial"/>
          <w:sz w:val="24"/>
          <w:szCs w:val="24"/>
        </w:rPr>
      </w:pPr>
      <w:r w:rsidRPr="00705491">
        <w:rPr>
          <w:rFonts w:ascii="Arial" w:hAnsi="Arial" w:cs="Arial"/>
          <w:sz w:val="24"/>
          <w:szCs w:val="24"/>
        </w:rPr>
        <w:t xml:space="preserve">Consent is at the foundation of British policing, effective police duties rests on their essence, actions and behaviour being approved by the public. Police must be accountable in their response to the public. Recent stories within the media have brought to attention the need for reinforced accountability, Institute for Government (2022). Police complaints in England and Wales are supervised by the Independent Office for Police Conduct (IOPC). In addition to setting guidelines for how complaints should be handled by the police, they also investigate cases, such as fatalities after police interaction. To influence changes in police, they utilise knowledge gained through practice. Many complaints against police officers and police workers are handled by police units. No matter if a complaint has been lodged, police forces must submit the most serious situations to the IOPC, IOPC (2020). They changed their name to the IOPC in January 2018. Prior to this, they were known as the independent police complaints commission (IPCC). Since 2013, they have expanded, and they now accept six times as many investigations. As a result, they asked the home office to make structural changes that would better match their rapidly growing organisation. These changes were authorised by the 2017 policing and Crime Act. The IOPC deals with a wide range of incidents; for example, part of their responsibility is to establish the standards that police should abide by when handling complaints, they report on how charges of prejudice are investigated. Police agencies must report major corruption allegations to the IOPC, IOPC (2020). </w:t>
      </w:r>
      <w:r w:rsidRPr="00705491">
        <w:rPr>
          <w:rFonts w:ascii="Arial" w:hAnsi="Arial" w:cs="Arial"/>
          <w:color w:val="4A4A4A"/>
          <w:sz w:val="24"/>
          <w:szCs w:val="24"/>
          <w:shd w:val="clear" w:color="auto" w:fill="F6F6F6"/>
        </w:rPr>
        <w:t xml:space="preserve"> </w:t>
      </w:r>
    </w:p>
    <w:p w14:paraId="50084A61" w14:textId="77777777" w:rsidR="003328BB" w:rsidRPr="00705491" w:rsidRDefault="003328BB" w:rsidP="00705491">
      <w:pPr>
        <w:jc w:val="both"/>
        <w:rPr>
          <w:rFonts w:ascii="Arial" w:hAnsi="Arial" w:cs="Arial"/>
          <w:sz w:val="24"/>
          <w:szCs w:val="24"/>
        </w:rPr>
      </w:pPr>
      <w:r w:rsidRPr="00705491">
        <w:rPr>
          <w:rFonts w:ascii="Arial" w:hAnsi="Arial" w:cs="Arial"/>
          <w:sz w:val="24"/>
          <w:szCs w:val="24"/>
        </w:rPr>
        <w:t>The IPOC is a stand-alone organisation. They make operational decisions without consulting the government or the police. None of our Regional Directors, Deputy Directors, Director for Wales, or Director General have ever held a position of any kind with the police. These are the individuals who oversee our investigative work and make sure it is thorough and objective. There are Three outcomes from an IPOC investigation:</w:t>
      </w:r>
    </w:p>
    <w:p w14:paraId="691A5496" w14:textId="77777777" w:rsidR="003328BB" w:rsidRPr="00705491" w:rsidRDefault="003328BB" w:rsidP="00705491">
      <w:pPr>
        <w:pStyle w:val="ListParagraph"/>
        <w:numPr>
          <w:ilvl w:val="0"/>
          <w:numId w:val="2"/>
        </w:numPr>
        <w:jc w:val="both"/>
        <w:rPr>
          <w:rFonts w:ascii="Arial" w:hAnsi="Arial" w:cs="Arial"/>
          <w:sz w:val="24"/>
          <w:szCs w:val="24"/>
        </w:rPr>
      </w:pPr>
      <w:r w:rsidRPr="00705491">
        <w:rPr>
          <w:rFonts w:ascii="Arial" w:hAnsi="Arial" w:cs="Arial"/>
          <w:sz w:val="24"/>
          <w:szCs w:val="24"/>
        </w:rPr>
        <w:t>That a police officer has no case to answer for their behaviour.</w:t>
      </w:r>
    </w:p>
    <w:p w14:paraId="322BE72B" w14:textId="77777777" w:rsidR="003328BB" w:rsidRPr="00705491" w:rsidRDefault="003328BB" w:rsidP="00705491">
      <w:pPr>
        <w:pStyle w:val="ListParagraph"/>
        <w:numPr>
          <w:ilvl w:val="0"/>
          <w:numId w:val="2"/>
        </w:numPr>
        <w:jc w:val="both"/>
        <w:rPr>
          <w:rFonts w:ascii="Arial" w:hAnsi="Arial" w:cs="Arial"/>
          <w:sz w:val="24"/>
          <w:szCs w:val="24"/>
        </w:rPr>
      </w:pPr>
      <w:r w:rsidRPr="00705491">
        <w:rPr>
          <w:rFonts w:ascii="Arial" w:hAnsi="Arial" w:cs="Arial"/>
          <w:sz w:val="24"/>
          <w:szCs w:val="24"/>
        </w:rPr>
        <w:t>The police department should begin disciplinary action.</w:t>
      </w:r>
    </w:p>
    <w:p w14:paraId="59502CF1" w14:textId="77777777" w:rsidR="003328BB" w:rsidRPr="00705491" w:rsidRDefault="003328BB" w:rsidP="00705491">
      <w:pPr>
        <w:pStyle w:val="ListParagraph"/>
        <w:numPr>
          <w:ilvl w:val="0"/>
          <w:numId w:val="2"/>
        </w:numPr>
        <w:jc w:val="both"/>
        <w:rPr>
          <w:rFonts w:ascii="Arial" w:hAnsi="Arial" w:cs="Arial"/>
          <w:sz w:val="24"/>
          <w:szCs w:val="24"/>
        </w:rPr>
      </w:pPr>
      <w:r w:rsidRPr="00705491">
        <w:rPr>
          <w:rFonts w:ascii="Arial" w:hAnsi="Arial" w:cs="Arial"/>
          <w:sz w:val="24"/>
          <w:szCs w:val="24"/>
        </w:rPr>
        <w:t xml:space="preserve">Evidence is provided to the Crown Prosecution Service for consideration of filing a criminal charge. </w:t>
      </w:r>
    </w:p>
    <w:p w14:paraId="73D90EF6" w14:textId="77777777" w:rsidR="003328BB" w:rsidRPr="00705491" w:rsidRDefault="003328BB" w:rsidP="00705491">
      <w:pPr>
        <w:jc w:val="both"/>
        <w:rPr>
          <w:rFonts w:ascii="Arial" w:hAnsi="Arial" w:cs="Arial"/>
          <w:sz w:val="24"/>
          <w:szCs w:val="24"/>
        </w:rPr>
      </w:pPr>
      <w:r w:rsidRPr="00705491">
        <w:rPr>
          <w:rFonts w:ascii="Arial" w:hAnsi="Arial" w:cs="Arial"/>
          <w:sz w:val="24"/>
          <w:szCs w:val="24"/>
        </w:rPr>
        <w:t xml:space="preserve">It is necessary for independent bodies to hold police officers accountable because officers cannot feel like they can do what they want, also, to ensure the public feel protected by police rather than scared. Police in the UK police by consent and police officers must set an example, how can officers expect members of the public to conduct themselves in the correct manner if we ourselves cannot. There is great significance in why police are held accountable for their actions in a democratic society, they are accountable for what they do and how they do it, National Institute of Justice (1999). </w:t>
      </w:r>
    </w:p>
    <w:p w14:paraId="691FE568" w14:textId="09B1D8FE" w:rsidR="003328BB" w:rsidRPr="00705491" w:rsidRDefault="003328BB" w:rsidP="00705491">
      <w:pPr>
        <w:jc w:val="both"/>
        <w:rPr>
          <w:rFonts w:ascii="Arial" w:hAnsi="Arial" w:cs="Arial"/>
          <w:sz w:val="24"/>
          <w:szCs w:val="24"/>
        </w:rPr>
      </w:pPr>
      <w:r w:rsidRPr="00705491">
        <w:rPr>
          <w:rFonts w:ascii="Arial" w:hAnsi="Arial" w:cs="Arial"/>
          <w:sz w:val="24"/>
          <w:szCs w:val="24"/>
        </w:rPr>
        <w:t xml:space="preserve">Upon conducting research, it is evident that these findings show more confidence in the public. The public in both England and Wales has remained divided throughout the reporting period over whether the police can fairly handle complaints made against them. There has been an increase in confidence in how the police handle complaints </w:t>
      </w:r>
      <w:r w:rsidRPr="00705491">
        <w:rPr>
          <w:rFonts w:ascii="Arial" w:hAnsi="Arial" w:cs="Arial"/>
          <w:sz w:val="24"/>
          <w:szCs w:val="24"/>
        </w:rPr>
        <w:lastRenderedPageBreak/>
        <w:t>in the most recent waves. The trust in the police's treatment of complaints has increased in recent months compared to about 18 months ago, but this percentage has fluctuated in that time. White individuals, and those who are older are all substantially more likely than other groups to trust the police. BME (</w:t>
      </w:r>
      <w:r w:rsidRPr="00705491">
        <w:rPr>
          <w:rFonts w:ascii="Arial" w:hAnsi="Arial" w:cs="Arial"/>
          <w:color w:val="111111"/>
          <w:sz w:val="24"/>
          <w:szCs w:val="24"/>
          <w:shd w:val="clear" w:color="auto" w:fill="FFFFFF"/>
        </w:rPr>
        <w:t>black and minority ethnic</w:t>
      </w:r>
      <w:r w:rsidRPr="00705491">
        <w:rPr>
          <w:rFonts w:ascii="Arial" w:hAnsi="Arial" w:cs="Arial"/>
          <w:sz w:val="24"/>
          <w:szCs w:val="24"/>
        </w:rPr>
        <w:t>) respondents have the lowest level of confidence in the police over the course of the 2018–19 financial year when it comes to treating complaints appropriately. The likelihood of filing a complaint or confidence in how the police handle complaints varies very little by region IOP</w:t>
      </w:r>
      <w:r w:rsidR="00705491" w:rsidRPr="00705491">
        <w:rPr>
          <w:rFonts w:ascii="Arial" w:hAnsi="Arial" w:cs="Arial"/>
          <w:sz w:val="24"/>
          <w:szCs w:val="24"/>
        </w:rPr>
        <w:t>C</w:t>
      </w:r>
      <w:r w:rsidRPr="00705491">
        <w:rPr>
          <w:rFonts w:ascii="Arial" w:hAnsi="Arial" w:cs="Arial"/>
          <w:sz w:val="24"/>
          <w:szCs w:val="24"/>
        </w:rPr>
        <w:t xml:space="preserve"> (2019).</w:t>
      </w:r>
    </w:p>
    <w:p w14:paraId="07B0B24F" w14:textId="5A047C62" w:rsidR="003328BB" w:rsidRPr="00705491" w:rsidRDefault="003328BB" w:rsidP="00705491">
      <w:pPr>
        <w:jc w:val="both"/>
        <w:rPr>
          <w:rFonts w:ascii="Arial" w:hAnsi="Arial" w:cs="Arial"/>
          <w:sz w:val="24"/>
          <w:szCs w:val="24"/>
        </w:rPr>
      </w:pPr>
      <w:r w:rsidRPr="00705491">
        <w:rPr>
          <w:rFonts w:ascii="Arial" w:hAnsi="Arial" w:cs="Arial"/>
          <w:sz w:val="24"/>
          <w:szCs w:val="24"/>
        </w:rPr>
        <w:t>Police have many powers, including arrest, detaining, powers of entry, use of force powers, therefore</w:t>
      </w:r>
      <w:r w:rsidR="00705491">
        <w:rPr>
          <w:rFonts w:ascii="Arial" w:hAnsi="Arial" w:cs="Arial"/>
          <w:sz w:val="24"/>
          <w:szCs w:val="24"/>
        </w:rPr>
        <w:t xml:space="preserve">, </w:t>
      </w:r>
      <w:r w:rsidRPr="00705491">
        <w:rPr>
          <w:rFonts w:ascii="Arial" w:hAnsi="Arial" w:cs="Arial"/>
          <w:sz w:val="24"/>
          <w:szCs w:val="24"/>
        </w:rPr>
        <w:t>the IOPC area great for police officers, police forces and the community in terms of police being accountable for their actions. Police forces across england and wales reporting serious incident even if a complaint is not fourth coming showing transparency within the police forces, it also shows that forces will not accept officers who fail to comply with force policies, instructions and go beyond their role as a police officer. Such approach will build confidence with the pubic. I also believe that an outside independent body dealing with these incidents will build confidence. If I was a member of the public and made a complaint against a police force, I would be less likely to believe the outcome of that investigation due to the impartiality of the force conducting that investigation if the IOPC were not overlooking and the force while they carry out that investigation. This will give the public the confidence that the right actions are being taken. I also believe that the IOPC releasing data from investigations on a regular basis show that transparency that is required to have the public on side.</w:t>
      </w:r>
    </w:p>
    <w:p w14:paraId="20B526EA" w14:textId="0990F668" w:rsidR="003328BB" w:rsidRPr="00705491" w:rsidRDefault="003328BB" w:rsidP="00705491">
      <w:pPr>
        <w:jc w:val="both"/>
        <w:rPr>
          <w:rFonts w:ascii="Arial" w:hAnsi="Arial" w:cs="Arial"/>
          <w:sz w:val="24"/>
          <w:szCs w:val="24"/>
        </w:rPr>
      </w:pPr>
      <w:r w:rsidRPr="00705491">
        <w:rPr>
          <w:rFonts w:ascii="Arial" w:hAnsi="Arial" w:cs="Arial"/>
          <w:sz w:val="24"/>
          <w:szCs w:val="24"/>
        </w:rPr>
        <w:t xml:space="preserve">Mawby and Wright (2005) say that police are accountable to the Police and Criminal Evidence Act 1984 (PACE). Statutory powers such as stop and search, entry, search and seizure, arrest, detention and questioning suspects are detailed by PACE 1984. Any breach of these codes can result in criminal or civil proceedings against police officers. Murdoch and Roche, (2013) says that the same rule of law applies to police in the way that it applies to each member of the public. Police ethics and working in line with professional standards ensure the delivery of effective policing, there can be no ill-treatment or misconduct, officers are accountable for this. United Nations (2011) states that accountability involves both internal and external checks to ensure high standards of police performance and failures are dealt with appropriately. The aim of such checks is to avoid misuse of police powers and misuse of control by political authorities and primarily heighten the confidence of the public. </w:t>
      </w:r>
    </w:p>
    <w:p w14:paraId="0992827F" w14:textId="77777777" w:rsidR="0017019D" w:rsidRDefault="0017019D" w:rsidP="003328BB">
      <w:pPr>
        <w:jc w:val="both"/>
        <w:rPr>
          <w:rFonts w:ascii="Arial" w:hAnsi="Arial" w:cs="Arial"/>
          <w:sz w:val="24"/>
          <w:szCs w:val="24"/>
        </w:rPr>
      </w:pPr>
    </w:p>
    <w:p w14:paraId="5732FC6C" w14:textId="77777777" w:rsidR="0017019D" w:rsidRDefault="0017019D" w:rsidP="003328BB">
      <w:pPr>
        <w:jc w:val="both"/>
        <w:rPr>
          <w:rFonts w:ascii="Arial" w:hAnsi="Arial" w:cs="Arial"/>
          <w:sz w:val="24"/>
          <w:szCs w:val="24"/>
        </w:rPr>
      </w:pPr>
    </w:p>
    <w:p w14:paraId="646D1B68" w14:textId="77777777" w:rsidR="0017019D" w:rsidRDefault="0017019D" w:rsidP="003328BB">
      <w:pPr>
        <w:jc w:val="both"/>
        <w:rPr>
          <w:rFonts w:ascii="Arial" w:hAnsi="Arial" w:cs="Arial"/>
          <w:sz w:val="24"/>
          <w:szCs w:val="24"/>
        </w:rPr>
      </w:pPr>
    </w:p>
    <w:p w14:paraId="0FE12F8C" w14:textId="77777777" w:rsidR="00705491" w:rsidRDefault="00705491" w:rsidP="003328BB">
      <w:pPr>
        <w:jc w:val="both"/>
        <w:rPr>
          <w:rFonts w:ascii="Arial" w:hAnsi="Arial" w:cs="Arial"/>
          <w:b/>
          <w:bCs/>
          <w:sz w:val="24"/>
          <w:szCs w:val="24"/>
          <w:u w:val="single"/>
        </w:rPr>
      </w:pPr>
    </w:p>
    <w:p w14:paraId="4076BD39" w14:textId="77777777" w:rsidR="00705491" w:rsidRDefault="00705491" w:rsidP="003328BB">
      <w:pPr>
        <w:jc w:val="both"/>
        <w:rPr>
          <w:rFonts w:ascii="Arial" w:hAnsi="Arial" w:cs="Arial"/>
          <w:b/>
          <w:bCs/>
          <w:sz w:val="24"/>
          <w:szCs w:val="24"/>
          <w:u w:val="single"/>
        </w:rPr>
      </w:pPr>
    </w:p>
    <w:p w14:paraId="675D52B8" w14:textId="77777777" w:rsidR="00705491" w:rsidRDefault="00705491" w:rsidP="003328BB">
      <w:pPr>
        <w:jc w:val="both"/>
        <w:rPr>
          <w:rFonts w:ascii="Arial" w:hAnsi="Arial" w:cs="Arial"/>
          <w:b/>
          <w:bCs/>
          <w:sz w:val="24"/>
          <w:szCs w:val="24"/>
          <w:u w:val="single"/>
        </w:rPr>
      </w:pPr>
    </w:p>
    <w:p w14:paraId="3A1CEAA7" w14:textId="77777777" w:rsidR="00705491" w:rsidRDefault="00705491" w:rsidP="003328BB">
      <w:pPr>
        <w:jc w:val="both"/>
        <w:rPr>
          <w:rFonts w:ascii="Arial" w:hAnsi="Arial" w:cs="Arial"/>
          <w:b/>
          <w:bCs/>
          <w:sz w:val="24"/>
          <w:szCs w:val="24"/>
          <w:u w:val="single"/>
        </w:rPr>
      </w:pPr>
    </w:p>
    <w:p w14:paraId="2692BE29" w14:textId="77777777" w:rsidR="00705491" w:rsidRDefault="00705491" w:rsidP="003328BB">
      <w:pPr>
        <w:jc w:val="both"/>
        <w:rPr>
          <w:rFonts w:ascii="Arial" w:hAnsi="Arial" w:cs="Arial"/>
          <w:b/>
          <w:bCs/>
          <w:sz w:val="24"/>
          <w:szCs w:val="24"/>
          <w:u w:val="single"/>
        </w:rPr>
      </w:pPr>
    </w:p>
    <w:p w14:paraId="1949BBB7" w14:textId="0262E25D" w:rsidR="00077CD6" w:rsidRPr="00077CD6" w:rsidRDefault="00077CD6" w:rsidP="003328BB">
      <w:pPr>
        <w:jc w:val="both"/>
        <w:rPr>
          <w:rFonts w:ascii="Arial" w:hAnsi="Arial" w:cs="Arial"/>
          <w:b/>
          <w:bCs/>
          <w:sz w:val="24"/>
          <w:szCs w:val="24"/>
          <w:u w:val="single"/>
        </w:rPr>
      </w:pPr>
      <w:r w:rsidRPr="00077CD6">
        <w:rPr>
          <w:rFonts w:ascii="Arial" w:hAnsi="Arial" w:cs="Arial"/>
          <w:b/>
          <w:bCs/>
          <w:sz w:val="24"/>
          <w:szCs w:val="24"/>
          <w:u w:val="single"/>
        </w:rPr>
        <w:lastRenderedPageBreak/>
        <w:t>Reference List</w:t>
      </w:r>
    </w:p>
    <w:p w14:paraId="67C915DC" w14:textId="77777777" w:rsidR="002C4999" w:rsidRDefault="002C4999" w:rsidP="002C4999">
      <w:pPr>
        <w:rPr>
          <w:rFonts w:ascii="Arial" w:hAnsi="Arial" w:cs="Arial"/>
          <w:sz w:val="24"/>
          <w:szCs w:val="24"/>
        </w:rPr>
      </w:pPr>
      <w:r w:rsidRPr="006A010C">
        <w:rPr>
          <w:rFonts w:ascii="Arial" w:hAnsi="Arial" w:cs="Arial"/>
          <w:sz w:val="24"/>
          <w:szCs w:val="24"/>
        </w:rPr>
        <w:t xml:space="preserve">Brown, DJ. (2020) ‘Community policing in multicultural communities: Adding key components to make it successful’ </w:t>
      </w:r>
      <w:r w:rsidRPr="006A010C">
        <w:rPr>
          <w:rFonts w:ascii="Arial" w:hAnsi="Arial" w:cs="Arial"/>
          <w:i/>
          <w:iCs/>
          <w:sz w:val="24"/>
          <w:szCs w:val="24"/>
        </w:rPr>
        <w:t xml:space="preserve">Police Chief Online. </w:t>
      </w:r>
      <w:r w:rsidRPr="006A010C">
        <w:rPr>
          <w:rFonts w:ascii="Arial" w:hAnsi="Arial" w:cs="Arial"/>
          <w:sz w:val="24"/>
          <w:szCs w:val="24"/>
        </w:rPr>
        <w:t xml:space="preserve">Available at: </w:t>
      </w:r>
      <w:hyperlink r:id="rId7" w:anchor=":~:text=By%20understanding%20the%20various%20cultures%20in%20multiethnicity%20and,more%20effective%20in%20the%20viewpoint%20of%20the%20community" w:history="1">
        <w:r w:rsidRPr="006A010C">
          <w:rPr>
            <w:rStyle w:val="Hyperlink"/>
            <w:rFonts w:ascii="Arial" w:hAnsi="Arial" w:cs="Arial"/>
            <w:sz w:val="24"/>
            <w:szCs w:val="24"/>
          </w:rPr>
          <w:t>https://www.policechiefmagazine.org/community-policing-in-multicultural-communities/#:~:text=By%20understanding%20the%20various%20cultures%20in%20multiethnicity%20and,more%20effective%20in%20the%20viewpoint%20of%20the%20community</w:t>
        </w:r>
      </w:hyperlink>
      <w:r w:rsidRPr="006A010C">
        <w:rPr>
          <w:rFonts w:ascii="Arial" w:hAnsi="Arial" w:cs="Arial"/>
          <w:sz w:val="24"/>
          <w:szCs w:val="24"/>
        </w:rPr>
        <w:t>. (Accessed: 10 January 2023).</w:t>
      </w:r>
    </w:p>
    <w:p w14:paraId="28587BC1" w14:textId="77777777" w:rsidR="002C4999" w:rsidRDefault="002C4999" w:rsidP="002C4999">
      <w:pPr>
        <w:rPr>
          <w:rFonts w:ascii="Arial" w:hAnsi="Arial" w:cs="Arial"/>
          <w:sz w:val="24"/>
          <w:szCs w:val="24"/>
        </w:rPr>
      </w:pPr>
      <w:r>
        <w:rPr>
          <w:rFonts w:ascii="Arial" w:hAnsi="Arial" w:cs="Arial"/>
          <w:sz w:val="24"/>
          <w:szCs w:val="24"/>
        </w:rPr>
        <w:t xml:space="preserve">College of Policing (2014) </w:t>
      </w:r>
      <w:r w:rsidRPr="00407180">
        <w:rPr>
          <w:rFonts w:ascii="Arial" w:hAnsi="Arial" w:cs="Arial"/>
          <w:i/>
          <w:iCs/>
          <w:sz w:val="24"/>
          <w:szCs w:val="24"/>
        </w:rPr>
        <w:t>Code of Ethics: A code of practice for the principles and standards of professional behaviour for the policing profession of England and Wales.</w:t>
      </w:r>
      <w:r>
        <w:rPr>
          <w:rFonts w:ascii="Arial" w:hAnsi="Arial" w:cs="Arial"/>
          <w:sz w:val="24"/>
          <w:szCs w:val="24"/>
        </w:rPr>
        <w:t xml:space="preserve"> Available at: </w:t>
      </w:r>
      <w:hyperlink r:id="rId8" w:history="1">
        <w:r w:rsidRPr="004E327B">
          <w:rPr>
            <w:rStyle w:val="Hyperlink"/>
            <w:rFonts w:ascii="Arial" w:hAnsi="Arial" w:cs="Arial"/>
            <w:sz w:val="24"/>
            <w:szCs w:val="24"/>
          </w:rPr>
          <w:t>https://assets.publishing.service.gov.uk/government/uploads/system/uploads/attachment_data/file/341650/Code_of_Ethics_2014_FINAL_July14.pdf</w:t>
        </w:r>
      </w:hyperlink>
      <w:r>
        <w:rPr>
          <w:rFonts w:ascii="Arial" w:hAnsi="Arial" w:cs="Arial"/>
          <w:sz w:val="24"/>
          <w:szCs w:val="24"/>
        </w:rPr>
        <w:t xml:space="preserve"> (Accessed: 10 January 2023). </w:t>
      </w:r>
    </w:p>
    <w:p w14:paraId="659064FE" w14:textId="77777777" w:rsidR="002C4999" w:rsidRDefault="002C4999" w:rsidP="002C4999">
      <w:pPr>
        <w:rPr>
          <w:rFonts w:ascii="Arial" w:hAnsi="Arial" w:cs="Arial"/>
          <w:sz w:val="24"/>
          <w:szCs w:val="24"/>
        </w:rPr>
      </w:pPr>
      <w:r>
        <w:rPr>
          <w:rFonts w:ascii="Arial" w:hAnsi="Arial" w:cs="Arial"/>
          <w:sz w:val="24"/>
          <w:szCs w:val="24"/>
        </w:rPr>
        <w:t xml:space="preserve">College of Policing (2023) </w:t>
      </w:r>
      <w:r w:rsidRPr="00407180">
        <w:rPr>
          <w:rFonts w:ascii="Arial" w:hAnsi="Arial" w:cs="Arial"/>
          <w:i/>
          <w:iCs/>
          <w:sz w:val="24"/>
          <w:szCs w:val="24"/>
        </w:rPr>
        <w:t>Neighbourhood policing constable.</w:t>
      </w:r>
      <w:r>
        <w:rPr>
          <w:rFonts w:ascii="Arial" w:hAnsi="Arial" w:cs="Arial"/>
          <w:sz w:val="24"/>
          <w:szCs w:val="24"/>
        </w:rPr>
        <w:t xml:space="preserve"> Available at: </w:t>
      </w:r>
      <w:hyperlink r:id="rId9" w:history="1">
        <w:r w:rsidRPr="00524E8B">
          <w:rPr>
            <w:rStyle w:val="Hyperlink"/>
            <w:rFonts w:ascii="Arial" w:hAnsi="Arial" w:cs="Arial"/>
            <w:sz w:val="24"/>
            <w:szCs w:val="24"/>
          </w:rPr>
          <w:t>https://profdev.college.police.uk/professional-profile/neighbourhood-policing-constable/</w:t>
        </w:r>
      </w:hyperlink>
      <w:r>
        <w:rPr>
          <w:rFonts w:ascii="Arial" w:hAnsi="Arial" w:cs="Arial"/>
          <w:sz w:val="24"/>
          <w:szCs w:val="24"/>
        </w:rPr>
        <w:t xml:space="preserve"> (Accessed: 15 January 2023). </w:t>
      </w:r>
    </w:p>
    <w:p w14:paraId="151D37AB" w14:textId="3A9EEA32" w:rsidR="009A4BB6" w:rsidRDefault="009A4BB6" w:rsidP="009A4BB6">
      <w:pPr>
        <w:pStyle w:val="NormalWeb"/>
        <w:shd w:val="clear" w:color="auto" w:fill="FFFFFF"/>
        <w:spacing w:before="300" w:beforeAutospacing="0" w:after="300" w:afterAutospacing="0"/>
        <w:jc w:val="both"/>
        <w:rPr>
          <w:rFonts w:ascii="Arial" w:hAnsi="Arial" w:cs="Arial"/>
          <w:color w:val="0B0C0C"/>
        </w:rPr>
      </w:pPr>
      <w:r>
        <w:rPr>
          <w:rFonts w:ascii="Arial" w:hAnsi="Arial" w:cs="Arial"/>
          <w:color w:val="0B0C0C"/>
        </w:rPr>
        <w:t xml:space="preserve">Children’s Commissioner Report (2019) </w:t>
      </w:r>
      <w:r>
        <w:rPr>
          <w:rFonts w:ascii="Arial" w:hAnsi="Arial" w:cs="Arial"/>
          <w:i/>
          <w:iCs/>
          <w:color w:val="0B0C0C"/>
        </w:rPr>
        <w:t xml:space="preserve">Improving safeguarding responses to gang violence and criminal exploitation. </w:t>
      </w:r>
      <w:r>
        <w:rPr>
          <w:rFonts w:ascii="Arial" w:hAnsi="Arial" w:cs="Arial"/>
          <w:color w:val="0B0C0C"/>
        </w:rPr>
        <w:t xml:space="preserve">Available at: </w:t>
      </w:r>
      <w:hyperlink r:id="rId10" w:history="1">
        <w:r w:rsidRPr="00AF2008">
          <w:rPr>
            <w:rStyle w:val="Hyperlink"/>
            <w:rFonts w:ascii="Arial" w:hAnsi="Arial" w:cs="Arial"/>
          </w:rPr>
          <w:t>https://www.childrenscommissioner.gov.uk/wp-content/uploads/2019/02/CCO-Gangs.pdf</w:t>
        </w:r>
      </w:hyperlink>
      <w:r>
        <w:rPr>
          <w:rFonts w:ascii="Arial" w:hAnsi="Arial" w:cs="Arial"/>
          <w:color w:val="0B0C0C"/>
        </w:rPr>
        <w:t xml:space="preserve"> (Accessed: 17 January 2023).</w:t>
      </w:r>
    </w:p>
    <w:p w14:paraId="7976F5F0" w14:textId="77777777" w:rsidR="009A4BB6" w:rsidRDefault="009A4BB6" w:rsidP="009A4BB6">
      <w:pPr>
        <w:jc w:val="both"/>
        <w:rPr>
          <w:rFonts w:ascii="Arial" w:hAnsi="Arial" w:cs="Arial"/>
          <w:sz w:val="24"/>
          <w:szCs w:val="24"/>
        </w:rPr>
      </w:pPr>
      <w:r>
        <w:rPr>
          <w:rFonts w:ascii="Arial" w:hAnsi="Arial" w:cs="Arial"/>
          <w:sz w:val="24"/>
          <w:szCs w:val="24"/>
        </w:rPr>
        <w:t xml:space="preserve">College of Policing (2021) </w:t>
      </w:r>
      <w:r>
        <w:rPr>
          <w:rFonts w:ascii="Arial" w:hAnsi="Arial" w:cs="Arial"/>
          <w:i/>
          <w:iCs/>
          <w:sz w:val="24"/>
          <w:szCs w:val="24"/>
        </w:rPr>
        <w:t xml:space="preserve">Multi-agency public protection arrangements (MAPPA). </w:t>
      </w:r>
      <w:r>
        <w:rPr>
          <w:rFonts w:ascii="Arial" w:hAnsi="Arial" w:cs="Arial"/>
          <w:sz w:val="24"/>
          <w:szCs w:val="24"/>
        </w:rPr>
        <w:t xml:space="preserve">Available at: </w:t>
      </w:r>
      <w:hyperlink r:id="rId11" w:history="1">
        <w:r w:rsidRPr="00E12966">
          <w:rPr>
            <w:rStyle w:val="Hyperlink"/>
            <w:rFonts w:ascii="Arial" w:hAnsi="Arial" w:cs="Arial"/>
            <w:sz w:val="24"/>
            <w:szCs w:val="24"/>
          </w:rPr>
          <w:t>https://www.college.police.uk/app/major-investigation-and-public-protection/managing-sexual-offenders-and-violent-offenders/multi-agency-public-protection-arrangements-mappa</w:t>
        </w:r>
      </w:hyperlink>
      <w:r>
        <w:rPr>
          <w:rFonts w:ascii="Arial" w:hAnsi="Arial" w:cs="Arial"/>
          <w:sz w:val="24"/>
          <w:szCs w:val="24"/>
        </w:rPr>
        <w:t xml:space="preserve"> (Accessed: 18 January 2023).</w:t>
      </w:r>
    </w:p>
    <w:p w14:paraId="1CED45C2" w14:textId="028B7F32" w:rsidR="009A4BB6" w:rsidRDefault="009A4BB6" w:rsidP="009A4BB6">
      <w:pPr>
        <w:pStyle w:val="NormalWeb"/>
        <w:shd w:val="clear" w:color="auto" w:fill="FFFFFF"/>
        <w:spacing w:before="300" w:beforeAutospacing="0" w:after="300" w:afterAutospacing="0"/>
        <w:jc w:val="both"/>
        <w:rPr>
          <w:rFonts w:ascii="Arial" w:hAnsi="Arial" w:cs="Arial"/>
          <w:color w:val="0B0C0C"/>
        </w:rPr>
      </w:pPr>
      <w:r>
        <w:rPr>
          <w:rFonts w:ascii="Arial" w:hAnsi="Arial" w:cs="Arial"/>
          <w:color w:val="0B0C0C"/>
        </w:rPr>
        <w:t xml:space="preserve">Commission on Young lives – Oasis UK (2021) </w:t>
      </w:r>
      <w:r>
        <w:rPr>
          <w:rFonts w:ascii="Arial" w:hAnsi="Arial" w:cs="Arial"/>
          <w:i/>
          <w:iCs/>
          <w:color w:val="0B0C0C"/>
        </w:rPr>
        <w:t xml:space="preserve">New figures reveal 12,720 children in England were identified by social services as being at risk of criminal exploitation by gangs in 2020/21. </w:t>
      </w:r>
      <w:r>
        <w:rPr>
          <w:rFonts w:ascii="Arial" w:hAnsi="Arial" w:cs="Arial"/>
          <w:color w:val="0B0C0C"/>
        </w:rPr>
        <w:t xml:space="preserve">Available at: </w:t>
      </w:r>
      <w:hyperlink r:id="rId12" w:history="1">
        <w:r w:rsidRPr="00AF2008">
          <w:rPr>
            <w:rStyle w:val="Hyperlink"/>
            <w:rFonts w:ascii="Arial" w:hAnsi="Arial" w:cs="Arial"/>
          </w:rPr>
          <w:t>https://thecommissiononyounglives.co.uk/new-figures-reveal-12720-children-in-england-were-identified-by-social-services-as-being-at-risk-of-criminal-exploitation-by-gangs-in-2020-21/</w:t>
        </w:r>
      </w:hyperlink>
      <w:r>
        <w:rPr>
          <w:rFonts w:ascii="Arial" w:hAnsi="Arial" w:cs="Arial"/>
          <w:color w:val="0B0C0C"/>
        </w:rPr>
        <w:t xml:space="preserve"> (Accessed: 17 January 2023).</w:t>
      </w:r>
    </w:p>
    <w:p w14:paraId="5599E483" w14:textId="24CC2A19" w:rsidR="009A4BB6" w:rsidRDefault="009A4BB6" w:rsidP="009A4BB6">
      <w:pPr>
        <w:pStyle w:val="NormalWeb"/>
        <w:shd w:val="clear" w:color="auto" w:fill="FFFFFF"/>
        <w:spacing w:before="300" w:beforeAutospacing="0" w:after="300" w:afterAutospacing="0"/>
        <w:jc w:val="both"/>
        <w:rPr>
          <w:rFonts w:ascii="Arial" w:hAnsi="Arial" w:cs="Arial"/>
          <w:color w:val="0B0C0C"/>
        </w:rPr>
      </w:pPr>
      <w:r>
        <w:rPr>
          <w:rFonts w:ascii="Arial" w:hAnsi="Arial" w:cs="Arial"/>
          <w:color w:val="0B0C0C"/>
        </w:rPr>
        <w:t xml:space="preserve">County Health Rankings (2022) </w:t>
      </w:r>
      <w:r>
        <w:rPr>
          <w:rFonts w:ascii="Arial" w:hAnsi="Arial" w:cs="Arial"/>
          <w:i/>
          <w:iCs/>
          <w:color w:val="0B0C0C"/>
        </w:rPr>
        <w:t xml:space="preserve">County health ranking model: Social and economic factors. </w:t>
      </w:r>
      <w:r>
        <w:rPr>
          <w:rFonts w:ascii="Arial" w:hAnsi="Arial" w:cs="Arial"/>
          <w:color w:val="0B0C0C"/>
        </w:rPr>
        <w:t xml:space="preserve">Available at: </w:t>
      </w:r>
      <w:hyperlink r:id="rId13" w:anchor=":~:text=Social%20and%20economic%20factors%2C%20such,%2C%20manage%20stress%2C%20and%20more" w:history="1">
        <w:r w:rsidRPr="00954121">
          <w:rPr>
            <w:rStyle w:val="Hyperlink"/>
            <w:rFonts w:ascii="Arial" w:hAnsi="Arial" w:cs="Arial"/>
          </w:rPr>
          <w:t>https://www.countyhealthrankings.org/explore-health-rankings/county-health-rankings-model/health-factors/social-economic-factors#:~:text=Social%20and%20economic%20factors%2C%20such,%2C%20manage%20stress%2C%20and%20more</w:t>
        </w:r>
      </w:hyperlink>
      <w:r w:rsidRPr="00355766">
        <w:rPr>
          <w:rFonts w:ascii="Arial" w:hAnsi="Arial" w:cs="Arial"/>
          <w:color w:val="0B0C0C"/>
        </w:rPr>
        <w:t>.</w:t>
      </w:r>
      <w:r>
        <w:rPr>
          <w:rFonts w:ascii="Arial" w:hAnsi="Arial" w:cs="Arial"/>
          <w:color w:val="0B0C0C"/>
        </w:rPr>
        <w:t xml:space="preserve"> (Accessed: 17 January 2023).</w:t>
      </w:r>
    </w:p>
    <w:p w14:paraId="6776A6A3" w14:textId="37A21D06" w:rsidR="002C4999" w:rsidRDefault="002C4999" w:rsidP="002C4999">
      <w:pPr>
        <w:rPr>
          <w:rFonts w:ascii="Arial" w:hAnsi="Arial" w:cs="Arial"/>
          <w:sz w:val="24"/>
          <w:szCs w:val="24"/>
        </w:rPr>
      </w:pPr>
      <w:r w:rsidRPr="006A010C">
        <w:rPr>
          <w:rFonts w:ascii="Arial" w:hAnsi="Arial" w:cs="Arial"/>
          <w:sz w:val="24"/>
          <w:szCs w:val="24"/>
        </w:rPr>
        <w:t xml:space="preserve">DeGeneste, HI. and Sullivan, JP. (1997) ‘Policing a multicultural community’ </w:t>
      </w:r>
      <w:r w:rsidRPr="006A010C">
        <w:rPr>
          <w:rFonts w:ascii="Arial" w:hAnsi="Arial" w:cs="Arial"/>
          <w:i/>
          <w:iCs/>
          <w:sz w:val="24"/>
          <w:szCs w:val="24"/>
        </w:rPr>
        <w:t xml:space="preserve">US Department of Justice: Office of Justice Programs. </w:t>
      </w:r>
      <w:r w:rsidRPr="006A010C">
        <w:rPr>
          <w:rFonts w:ascii="Arial" w:hAnsi="Arial" w:cs="Arial"/>
          <w:sz w:val="24"/>
          <w:szCs w:val="24"/>
        </w:rPr>
        <w:t xml:space="preserve">Available at: </w:t>
      </w:r>
      <w:hyperlink r:id="rId14" w:history="1">
        <w:r w:rsidRPr="006A010C">
          <w:rPr>
            <w:rStyle w:val="Hyperlink"/>
            <w:rFonts w:ascii="Arial" w:hAnsi="Arial" w:cs="Arial"/>
            <w:sz w:val="24"/>
            <w:szCs w:val="24"/>
          </w:rPr>
          <w:t>https://www.ojp.gov/ncjrs/virtual-library/abstracts/policing-multicultural-community</w:t>
        </w:r>
      </w:hyperlink>
      <w:r w:rsidRPr="006A010C">
        <w:rPr>
          <w:rFonts w:ascii="Arial" w:hAnsi="Arial" w:cs="Arial"/>
          <w:sz w:val="24"/>
          <w:szCs w:val="24"/>
        </w:rPr>
        <w:t xml:space="preserve"> (Accessed: 10 January 2023). </w:t>
      </w:r>
    </w:p>
    <w:p w14:paraId="25860257" w14:textId="77777777" w:rsidR="002C4999" w:rsidRDefault="002C4999" w:rsidP="002C4999">
      <w:pPr>
        <w:rPr>
          <w:rFonts w:ascii="Arial" w:hAnsi="Arial" w:cs="Arial"/>
          <w:sz w:val="24"/>
          <w:szCs w:val="24"/>
        </w:rPr>
      </w:pPr>
      <w:r w:rsidRPr="006A010C">
        <w:rPr>
          <w:rFonts w:ascii="Arial" w:hAnsi="Arial" w:cs="Arial"/>
          <w:sz w:val="24"/>
          <w:szCs w:val="24"/>
        </w:rPr>
        <w:t xml:space="preserve">Heunermund, H. (2021) What are cultural norms? Available at: </w:t>
      </w:r>
      <w:hyperlink r:id="rId15" w:history="1">
        <w:r w:rsidRPr="006A010C">
          <w:rPr>
            <w:rStyle w:val="Hyperlink"/>
            <w:rFonts w:ascii="Arial" w:hAnsi="Arial" w:cs="Arial"/>
            <w:sz w:val="24"/>
            <w:szCs w:val="24"/>
          </w:rPr>
          <w:t>https://study.com/learn/lesson/cultural-norms-definition-examples.html</w:t>
        </w:r>
      </w:hyperlink>
      <w:r w:rsidRPr="006A010C">
        <w:rPr>
          <w:rFonts w:ascii="Arial" w:hAnsi="Arial" w:cs="Arial"/>
          <w:sz w:val="24"/>
          <w:szCs w:val="24"/>
        </w:rPr>
        <w:t xml:space="preserve"> (Accessed: 10 January 2023).</w:t>
      </w:r>
    </w:p>
    <w:p w14:paraId="77CD6D63" w14:textId="1EA470BF" w:rsidR="009A4BB6" w:rsidRPr="002C4999" w:rsidRDefault="009A4BB6" w:rsidP="002C4999">
      <w:pPr>
        <w:rPr>
          <w:rFonts w:ascii="Arial" w:hAnsi="Arial" w:cs="Arial"/>
          <w:sz w:val="24"/>
          <w:szCs w:val="24"/>
        </w:rPr>
      </w:pPr>
      <w:r>
        <w:rPr>
          <w:rFonts w:ascii="Arial" w:hAnsi="Arial" w:cs="Arial"/>
          <w:color w:val="0B0C0C"/>
        </w:rPr>
        <w:lastRenderedPageBreak/>
        <w:t xml:space="preserve">Home Office (2020) </w:t>
      </w:r>
      <w:r>
        <w:rPr>
          <w:rFonts w:ascii="Arial" w:hAnsi="Arial" w:cs="Arial"/>
          <w:i/>
          <w:iCs/>
          <w:color w:val="0B0C0C"/>
        </w:rPr>
        <w:t xml:space="preserve">Criminal exploitation of children and vulnerable adults: county lines. </w:t>
      </w:r>
      <w:r>
        <w:rPr>
          <w:rFonts w:ascii="Arial" w:hAnsi="Arial" w:cs="Arial"/>
          <w:color w:val="0B0C0C"/>
        </w:rPr>
        <w:t xml:space="preserve">Available at: </w:t>
      </w:r>
      <w:hyperlink r:id="rId16" w:history="1">
        <w:r w:rsidRPr="00954121">
          <w:rPr>
            <w:rStyle w:val="Hyperlink"/>
            <w:rFonts w:ascii="Arial" w:hAnsi="Arial" w:cs="Arial"/>
          </w:rPr>
          <w:t>https://www.gov.uk/government/publications/criminal-exploitation-of-children-and-vulnerable-adults-county-lines/criminal-exploitation-of-children-and-vulnerable-adults-county-lines</w:t>
        </w:r>
      </w:hyperlink>
      <w:r>
        <w:rPr>
          <w:rFonts w:ascii="Arial" w:hAnsi="Arial" w:cs="Arial"/>
          <w:color w:val="0B0C0C"/>
        </w:rPr>
        <w:t xml:space="preserve"> (Accessed: 15 January 2023). </w:t>
      </w:r>
    </w:p>
    <w:p w14:paraId="682712C9" w14:textId="14C00404" w:rsidR="00077CD6" w:rsidRPr="00607C5F" w:rsidRDefault="00077CD6" w:rsidP="00077CD6">
      <w:pPr>
        <w:rPr>
          <w:rFonts w:ascii="Arial" w:hAnsi="Arial" w:cs="Arial"/>
          <w:sz w:val="24"/>
          <w:szCs w:val="24"/>
        </w:rPr>
      </w:pPr>
      <w:r w:rsidRPr="00607C5F">
        <w:rPr>
          <w:rFonts w:ascii="Arial" w:hAnsi="Arial" w:cs="Arial"/>
          <w:sz w:val="24"/>
          <w:szCs w:val="24"/>
        </w:rPr>
        <w:t xml:space="preserve">Institute for Government (2022) </w:t>
      </w:r>
      <w:r w:rsidRPr="00607C5F">
        <w:rPr>
          <w:rFonts w:ascii="Arial" w:hAnsi="Arial" w:cs="Arial"/>
          <w:i/>
          <w:iCs/>
          <w:sz w:val="24"/>
          <w:szCs w:val="24"/>
        </w:rPr>
        <w:t xml:space="preserve">Police accountability. </w:t>
      </w:r>
      <w:r w:rsidRPr="00607C5F">
        <w:rPr>
          <w:rFonts w:ascii="Arial" w:hAnsi="Arial" w:cs="Arial"/>
          <w:sz w:val="24"/>
          <w:szCs w:val="24"/>
        </w:rPr>
        <w:t xml:space="preserve">Available at: </w:t>
      </w:r>
      <w:hyperlink r:id="rId17" w:anchor=":~:text=Why%20is%20police%20accountability%20important,police%27s%20responsiveness%20to%20the%20public" w:history="1">
        <w:r w:rsidRPr="00607C5F">
          <w:rPr>
            <w:rStyle w:val="Hyperlink"/>
            <w:rFonts w:ascii="Arial" w:hAnsi="Arial" w:cs="Arial"/>
            <w:sz w:val="24"/>
            <w:szCs w:val="24"/>
          </w:rPr>
          <w:t>https://www.instituteforgovernment.org.uk/article/explainer/police-accountability#:~:text=Why%20is%20police%20accountability%20important,police%27s%20responsiveness%20to%20the%20public</w:t>
        </w:r>
      </w:hyperlink>
      <w:r w:rsidRPr="00607C5F">
        <w:rPr>
          <w:rFonts w:ascii="Arial" w:hAnsi="Arial" w:cs="Arial"/>
          <w:sz w:val="24"/>
          <w:szCs w:val="24"/>
        </w:rPr>
        <w:t xml:space="preserve">. (Accessed: 18 January 2023). </w:t>
      </w:r>
    </w:p>
    <w:p w14:paraId="3E088675" w14:textId="77777777" w:rsidR="00077CD6" w:rsidRPr="00CD46DD" w:rsidRDefault="00077CD6" w:rsidP="00077CD6">
      <w:pPr>
        <w:rPr>
          <w:rFonts w:ascii="Arial" w:hAnsi="Arial" w:cs="Arial"/>
          <w:sz w:val="24"/>
          <w:szCs w:val="24"/>
        </w:rPr>
      </w:pPr>
      <w:r w:rsidRPr="00607C5F">
        <w:rPr>
          <w:rFonts w:ascii="Arial" w:hAnsi="Arial" w:cs="Arial"/>
          <w:sz w:val="24"/>
          <w:szCs w:val="24"/>
        </w:rPr>
        <w:t xml:space="preserve">Independent Office for Police Conduct (2019) </w:t>
      </w:r>
      <w:r w:rsidRPr="00607C5F">
        <w:rPr>
          <w:rFonts w:ascii="Arial" w:hAnsi="Arial" w:cs="Arial"/>
          <w:i/>
          <w:iCs/>
          <w:sz w:val="24"/>
          <w:szCs w:val="24"/>
        </w:rPr>
        <w:t>The Independent Office for Police Conduct: Public Perceptions Tracker.</w:t>
      </w:r>
      <w:r>
        <w:rPr>
          <w:rFonts w:ascii="Arial" w:hAnsi="Arial" w:cs="Arial"/>
          <w:i/>
          <w:iCs/>
          <w:sz w:val="24"/>
          <w:szCs w:val="24"/>
        </w:rPr>
        <w:t xml:space="preserve"> </w:t>
      </w:r>
      <w:r>
        <w:rPr>
          <w:rFonts w:ascii="Arial" w:hAnsi="Arial" w:cs="Arial"/>
          <w:sz w:val="24"/>
          <w:szCs w:val="24"/>
        </w:rPr>
        <w:t xml:space="preserve">Available at: </w:t>
      </w:r>
      <w:hyperlink r:id="rId18" w:history="1">
        <w:r w:rsidRPr="00AA3F90">
          <w:rPr>
            <w:rStyle w:val="Hyperlink"/>
            <w:rFonts w:ascii="Arial" w:hAnsi="Arial" w:cs="Arial"/>
            <w:sz w:val="24"/>
            <w:szCs w:val="24"/>
          </w:rPr>
          <w:t>https://www.policeconduct.gov.uk/sites/default/files/Documents/statistics/IOPC_public_perceptions_tracker_annual_report_summary_201819.pdf</w:t>
        </w:r>
      </w:hyperlink>
      <w:r>
        <w:rPr>
          <w:rFonts w:ascii="Arial" w:hAnsi="Arial" w:cs="Arial"/>
          <w:sz w:val="24"/>
          <w:szCs w:val="24"/>
        </w:rPr>
        <w:t xml:space="preserve"> </w:t>
      </w:r>
      <w:r w:rsidRPr="00607C5F">
        <w:rPr>
          <w:rFonts w:ascii="Arial" w:hAnsi="Arial" w:cs="Arial"/>
          <w:sz w:val="24"/>
          <w:szCs w:val="24"/>
        </w:rPr>
        <w:t xml:space="preserve">Accessed: 18 January 2023). </w:t>
      </w:r>
    </w:p>
    <w:p w14:paraId="681B08D9" w14:textId="77777777" w:rsidR="00077CD6" w:rsidRPr="00607C5F" w:rsidRDefault="00077CD6" w:rsidP="00077CD6">
      <w:pPr>
        <w:rPr>
          <w:rFonts w:ascii="Arial" w:hAnsi="Arial" w:cs="Arial"/>
          <w:sz w:val="24"/>
          <w:szCs w:val="24"/>
        </w:rPr>
      </w:pPr>
      <w:r w:rsidRPr="00607C5F">
        <w:rPr>
          <w:rFonts w:ascii="Arial" w:hAnsi="Arial" w:cs="Arial"/>
          <w:sz w:val="24"/>
          <w:szCs w:val="24"/>
        </w:rPr>
        <w:t xml:space="preserve">Independent Office for Police Conduct (2020) </w:t>
      </w:r>
      <w:r w:rsidRPr="00607C5F">
        <w:rPr>
          <w:rFonts w:ascii="Arial" w:hAnsi="Arial" w:cs="Arial"/>
          <w:i/>
          <w:iCs/>
          <w:sz w:val="24"/>
          <w:szCs w:val="24"/>
        </w:rPr>
        <w:t xml:space="preserve">Complaints, reviews and appeals. </w:t>
      </w:r>
      <w:r w:rsidRPr="00607C5F">
        <w:rPr>
          <w:rFonts w:ascii="Arial" w:hAnsi="Arial" w:cs="Arial"/>
          <w:sz w:val="24"/>
          <w:szCs w:val="24"/>
        </w:rPr>
        <w:t xml:space="preserve">Available at: </w:t>
      </w:r>
      <w:hyperlink r:id="rId19" w:history="1">
        <w:r w:rsidRPr="00607C5F">
          <w:rPr>
            <w:rStyle w:val="Hyperlink"/>
            <w:rFonts w:ascii="Arial" w:hAnsi="Arial" w:cs="Arial"/>
            <w:sz w:val="24"/>
            <w:szCs w:val="24"/>
          </w:rPr>
          <w:t>https://www.policeconduct.gov.uk/complaints-reviews-and-appeals</w:t>
        </w:r>
      </w:hyperlink>
      <w:r w:rsidRPr="00607C5F">
        <w:rPr>
          <w:rFonts w:ascii="Arial" w:hAnsi="Arial" w:cs="Arial"/>
          <w:sz w:val="24"/>
          <w:szCs w:val="24"/>
        </w:rPr>
        <w:t xml:space="preserve"> (Accessed: 18 January 2023).</w:t>
      </w:r>
    </w:p>
    <w:p w14:paraId="702F5E92" w14:textId="20A51A87" w:rsidR="00077CD6" w:rsidRDefault="00077CD6" w:rsidP="00077CD6">
      <w:pPr>
        <w:rPr>
          <w:rFonts w:ascii="Arial" w:hAnsi="Arial" w:cs="Arial"/>
          <w:sz w:val="24"/>
          <w:szCs w:val="24"/>
        </w:rPr>
      </w:pPr>
      <w:r w:rsidRPr="00607C5F">
        <w:rPr>
          <w:rFonts w:ascii="Arial" w:hAnsi="Arial" w:cs="Arial"/>
          <w:sz w:val="24"/>
          <w:szCs w:val="24"/>
        </w:rPr>
        <w:t xml:space="preserve">Independent Office for Police Conduct (2020) </w:t>
      </w:r>
      <w:r w:rsidRPr="00607C5F">
        <w:rPr>
          <w:rFonts w:ascii="Arial" w:hAnsi="Arial" w:cs="Arial"/>
          <w:i/>
          <w:iCs/>
          <w:sz w:val="24"/>
          <w:szCs w:val="24"/>
        </w:rPr>
        <w:t xml:space="preserve">Who are we. </w:t>
      </w:r>
      <w:r w:rsidRPr="00607C5F">
        <w:rPr>
          <w:rFonts w:ascii="Arial" w:hAnsi="Arial" w:cs="Arial"/>
          <w:sz w:val="24"/>
          <w:szCs w:val="24"/>
        </w:rPr>
        <w:t xml:space="preserve">Available at: </w:t>
      </w:r>
      <w:hyperlink r:id="rId20" w:history="1">
        <w:r w:rsidRPr="00607C5F">
          <w:rPr>
            <w:rStyle w:val="Hyperlink"/>
            <w:rFonts w:ascii="Arial" w:hAnsi="Arial" w:cs="Arial"/>
            <w:sz w:val="24"/>
            <w:szCs w:val="24"/>
          </w:rPr>
          <w:t>https://www.policeconduct.gov.uk/who-we-are</w:t>
        </w:r>
      </w:hyperlink>
      <w:r w:rsidRPr="00607C5F">
        <w:rPr>
          <w:rFonts w:ascii="Arial" w:hAnsi="Arial" w:cs="Arial"/>
          <w:sz w:val="24"/>
          <w:szCs w:val="24"/>
        </w:rPr>
        <w:t xml:space="preserve"> (Accessed: 18 January 2023). </w:t>
      </w:r>
    </w:p>
    <w:p w14:paraId="49B0ECC6" w14:textId="77777777" w:rsidR="00077CD6" w:rsidRPr="00607C5F" w:rsidRDefault="00077CD6" w:rsidP="00077CD6">
      <w:pPr>
        <w:rPr>
          <w:rFonts w:ascii="Arial" w:hAnsi="Arial" w:cs="Arial"/>
          <w:sz w:val="24"/>
          <w:szCs w:val="24"/>
        </w:rPr>
      </w:pPr>
      <w:r w:rsidRPr="00607C5F">
        <w:rPr>
          <w:rFonts w:ascii="Arial" w:hAnsi="Arial" w:cs="Arial"/>
          <w:sz w:val="24"/>
          <w:szCs w:val="24"/>
        </w:rPr>
        <w:t xml:space="preserve">Institute for Government (2022) </w:t>
      </w:r>
      <w:r w:rsidRPr="00607C5F">
        <w:rPr>
          <w:rFonts w:ascii="Arial" w:hAnsi="Arial" w:cs="Arial"/>
          <w:i/>
          <w:iCs/>
          <w:sz w:val="24"/>
          <w:szCs w:val="24"/>
        </w:rPr>
        <w:t xml:space="preserve">Police accountability. </w:t>
      </w:r>
      <w:r w:rsidRPr="00607C5F">
        <w:rPr>
          <w:rFonts w:ascii="Arial" w:hAnsi="Arial" w:cs="Arial"/>
          <w:sz w:val="24"/>
          <w:szCs w:val="24"/>
        </w:rPr>
        <w:t xml:space="preserve">Available at: </w:t>
      </w:r>
      <w:hyperlink r:id="rId21" w:anchor=":~:text=Why%20is%20police%20accountability%20important,police%27s%20responsiveness%20to%20the%20public" w:history="1">
        <w:r w:rsidRPr="00607C5F">
          <w:rPr>
            <w:rStyle w:val="Hyperlink"/>
            <w:rFonts w:ascii="Arial" w:hAnsi="Arial" w:cs="Arial"/>
            <w:sz w:val="24"/>
            <w:szCs w:val="24"/>
          </w:rPr>
          <w:t>https://www.instituteforgovernment.org.uk/article/explainer/police-accountability#:~:text=Why%20is%20police%20accountability%20important,police%27s%20responsiveness%20to%20the%20public</w:t>
        </w:r>
      </w:hyperlink>
      <w:r w:rsidRPr="00607C5F">
        <w:rPr>
          <w:rFonts w:ascii="Arial" w:hAnsi="Arial" w:cs="Arial"/>
          <w:sz w:val="24"/>
          <w:szCs w:val="24"/>
        </w:rPr>
        <w:t xml:space="preserve">. (Accessed: 18 January 2023). </w:t>
      </w:r>
    </w:p>
    <w:p w14:paraId="5AC3C6DD" w14:textId="77777777" w:rsidR="009A4BB6" w:rsidRDefault="009A4BB6" w:rsidP="009A4BB6">
      <w:pPr>
        <w:pStyle w:val="NormalWeb"/>
        <w:shd w:val="clear" w:color="auto" w:fill="FFFFFF"/>
        <w:spacing w:before="300" w:beforeAutospacing="0" w:after="300" w:afterAutospacing="0"/>
        <w:jc w:val="both"/>
        <w:rPr>
          <w:rFonts w:ascii="Arial" w:hAnsi="Arial" w:cs="Arial"/>
          <w:color w:val="0B0C0C"/>
        </w:rPr>
      </w:pPr>
      <w:r>
        <w:rPr>
          <w:rFonts w:ascii="Arial" w:hAnsi="Arial" w:cs="Arial"/>
          <w:color w:val="0B0C0C"/>
        </w:rPr>
        <w:t xml:space="preserve">Laird, JJ., Klettke, B., Hall, K., Clancy, E. and Hallford, D. (2020) ‘Demographic and psychosocial factors associated with child sexual exploitation’, </w:t>
      </w:r>
      <w:r>
        <w:rPr>
          <w:rFonts w:ascii="Arial" w:hAnsi="Arial" w:cs="Arial"/>
          <w:i/>
          <w:iCs/>
          <w:color w:val="0B0C0C"/>
        </w:rPr>
        <w:t>National Library of Medicine,</w:t>
      </w:r>
      <w:r>
        <w:rPr>
          <w:rFonts w:ascii="Arial" w:hAnsi="Arial" w:cs="Arial"/>
          <w:color w:val="0B0C0C"/>
        </w:rPr>
        <w:t xml:space="preserve"> 3(9), Available at: </w:t>
      </w:r>
      <w:hyperlink r:id="rId22" w:history="1">
        <w:r w:rsidRPr="00954121">
          <w:rPr>
            <w:rStyle w:val="Hyperlink"/>
            <w:rFonts w:ascii="Arial" w:hAnsi="Arial" w:cs="Arial"/>
          </w:rPr>
          <w:t>https://www.ncbi.nlm.nih.gov/pmc/articles/PMC7509625/</w:t>
        </w:r>
      </w:hyperlink>
      <w:r>
        <w:rPr>
          <w:rFonts w:ascii="Arial" w:hAnsi="Arial" w:cs="Arial"/>
          <w:color w:val="0B0C0C"/>
        </w:rPr>
        <w:t xml:space="preserve"> (Accessed: 17 January 2023).</w:t>
      </w:r>
    </w:p>
    <w:p w14:paraId="23B0FB7B" w14:textId="77777777" w:rsidR="009A4BB6" w:rsidRDefault="009A4BB6" w:rsidP="009A4BB6">
      <w:pPr>
        <w:pStyle w:val="NormalWeb"/>
        <w:shd w:val="clear" w:color="auto" w:fill="FFFFFF"/>
        <w:spacing w:before="300" w:beforeAutospacing="0" w:after="300" w:afterAutospacing="0"/>
        <w:jc w:val="both"/>
        <w:rPr>
          <w:rFonts w:ascii="Arial" w:hAnsi="Arial" w:cs="Arial"/>
          <w:color w:val="0B0C0C"/>
        </w:rPr>
      </w:pPr>
      <w:r>
        <w:rPr>
          <w:rFonts w:ascii="Arial" w:hAnsi="Arial" w:cs="Arial"/>
          <w:color w:val="0B0C0C"/>
        </w:rPr>
        <w:t xml:space="preserve">Leicester Safeguarding Adults Board (2020) </w:t>
      </w:r>
      <w:r>
        <w:rPr>
          <w:rFonts w:ascii="Arial" w:hAnsi="Arial" w:cs="Arial"/>
          <w:i/>
          <w:iCs/>
          <w:color w:val="0B0C0C"/>
        </w:rPr>
        <w:t xml:space="preserve">Criminal exploitation of adults. </w:t>
      </w:r>
      <w:r>
        <w:rPr>
          <w:rFonts w:ascii="Arial" w:hAnsi="Arial" w:cs="Arial"/>
          <w:color w:val="0B0C0C"/>
        </w:rPr>
        <w:t xml:space="preserve">Available at: </w:t>
      </w:r>
      <w:hyperlink r:id="rId23" w:history="1">
        <w:r w:rsidRPr="00954121">
          <w:rPr>
            <w:rStyle w:val="Hyperlink"/>
            <w:rFonts w:ascii="Arial" w:hAnsi="Arial" w:cs="Arial"/>
          </w:rPr>
          <w:t>https://www.llradultsafeguarding.co.uk/criminal-exploitation-of-adults/</w:t>
        </w:r>
      </w:hyperlink>
      <w:r>
        <w:rPr>
          <w:rFonts w:ascii="Arial" w:hAnsi="Arial" w:cs="Arial"/>
          <w:color w:val="0B0C0C"/>
        </w:rPr>
        <w:t xml:space="preserve"> (Accessed: 16 January 2023).</w:t>
      </w:r>
    </w:p>
    <w:p w14:paraId="644BFCE6" w14:textId="5854C7CC" w:rsidR="00077CD6" w:rsidRDefault="00077CD6" w:rsidP="00077CD6">
      <w:pPr>
        <w:rPr>
          <w:rFonts w:ascii="Arial" w:hAnsi="Arial" w:cs="Arial"/>
          <w:sz w:val="24"/>
          <w:szCs w:val="24"/>
        </w:rPr>
      </w:pPr>
      <w:r>
        <w:rPr>
          <w:rFonts w:ascii="Arial" w:hAnsi="Arial" w:cs="Arial"/>
          <w:sz w:val="24"/>
          <w:szCs w:val="24"/>
        </w:rPr>
        <w:t xml:space="preserve">Mawby, R. and Wright, A. (2005) ‘Police accountability in the United Kingdom’ </w:t>
      </w:r>
      <w:r>
        <w:rPr>
          <w:rFonts w:ascii="Arial" w:hAnsi="Arial" w:cs="Arial"/>
          <w:i/>
          <w:iCs/>
          <w:sz w:val="24"/>
          <w:szCs w:val="24"/>
        </w:rPr>
        <w:t xml:space="preserve">Commonwealth Human Rights Initiative. </w:t>
      </w:r>
      <w:r>
        <w:rPr>
          <w:rFonts w:ascii="Arial" w:hAnsi="Arial" w:cs="Arial"/>
          <w:sz w:val="24"/>
          <w:szCs w:val="24"/>
        </w:rPr>
        <w:t xml:space="preserve">Available at: </w:t>
      </w:r>
      <w:hyperlink r:id="rId24" w:history="1">
        <w:r w:rsidRPr="00AA3F90">
          <w:rPr>
            <w:rStyle w:val="Hyperlink"/>
            <w:rFonts w:ascii="Arial" w:hAnsi="Arial" w:cs="Arial"/>
            <w:sz w:val="24"/>
            <w:szCs w:val="24"/>
          </w:rPr>
          <w:t>https://www.humanrightsinitiative.org/programs/aj/police/res_mat/police_accountability_in_uk.pdf</w:t>
        </w:r>
      </w:hyperlink>
      <w:r>
        <w:rPr>
          <w:rFonts w:ascii="Arial" w:hAnsi="Arial" w:cs="Arial"/>
          <w:sz w:val="24"/>
          <w:szCs w:val="24"/>
        </w:rPr>
        <w:t xml:space="preserve"> (Accessed: 18 January 2023).</w:t>
      </w:r>
    </w:p>
    <w:p w14:paraId="5231F91E" w14:textId="77777777" w:rsidR="00077CD6" w:rsidRDefault="00077CD6" w:rsidP="00077CD6">
      <w:pPr>
        <w:rPr>
          <w:rFonts w:ascii="Arial" w:hAnsi="Arial" w:cs="Arial"/>
          <w:sz w:val="24"/>
          <w:szCs w:val="24"/>
        </w:rPr>
      </w:pPr>
      <w:r>
        <w:rPr>
          <w:rFonts w:ascii="Arial" w:hAnsi="Arial" w:cs="Arial"/>
          <w:sz w:val="24"/>
          <w:szCs w:val="24"/>
        </w:rPr>
        <w:t xml:space="preserve">Murdoch, J. and Roche, R. (2013) ‘A handbook for police officers and other law enforcement officials. </w:t>
      </w:r>
      <w:r>
        <w:rPr>
          <w:rFonts w:ascii="Arial" w:hAnsi="Arial" w:cs="Arial"/>
          <w:i/>
          <w:iCs/>
          <w:sz w:val="24"/>
          <w:szCs w:val="24"/>
        </w:rPr>
        <w:t xml:space="preserve">The European Convention on Human Rights and Policing. </w:t>
      </w:r>
      <w:r w:rsidRPr="006F7137">
        <w:rPr>
          <w:rFonts w:ascii="Arial" w:hAnsi="Arial" w:cs="Arial"/>
          <w:sz w:val="24"/>
          <w:szCs w:val="24"/>
        </w:rPr>
        <w:t xml:space="preserve">Available at: </w:t>
      </w:r>
      <w:hyperlink r:id="rId25" w:history="1">
        <w:r w:rsidRPr="00AA3F90">
          <w:rPr>
            <w:rStyle w:val="Hyperlink"/>
            <w:rFonts w:ascii="Arial" w:hAnsi="Arial" w:cs="Arial"/>
            <w:sz w:val="24"/>
            <w:szCs w:val="24"/>
          </w:rPr>
          <w:t>https://www.echr.coe.int/documents/handbook_european_convention_police_eng.pdf</w:t>
        </w:r>
      </w:hyperlink>
      <w:r>
        <w:rPr>
          <w:rFonts w:ascii="Arial" w:hAnsi="Arial" w:cs="Arial"/>
          <w:sz w:val="24"/>
          <w:szCs w:val="24"/>
        </w:rPr>
        <w:t xml:space="preserve"> (Accessed: 18 January 2023).</w:t>
      </w:r>
    </w:p>
    <w:p w14:paraId="622ECD83" w14:textId="30EE806C" w:rsidR="00077CD6" w:rsidRDefault="00077CD6" w:rsidP="00077CD6">
      <w:pPr>
        <w:rPr>
          <w:rFonts w:ascii="Arial" w:hAnsi="Arial" w:cs="Arial"/>
          <w:sz w:val="24"/>
          <w:szCs w:val="24"/>
        </w:rPr>
      </w:pPr>
      <w:r>
        <w:rPr>
          <w:rFonts w:ascii="Arial" w:hAnsi="Arial" w:cs="Arial"/>
          <w:sz w:val="24"/>
          <w:szCs w:val="24"/>
        </w:rPr>
        <w:t xml:space="preserve">National Institute of Justice (1999) </w:t>
      </w:r>
      <w:r>
        <w:rPr>
          <w:rFonts w:ascii="Arial" w:hAnsi="Arial" w:cs="Arial"/>
          <w:i/>
          <w:iCs/>
          <w:sz w:val="24"/>
          <w:szCs w:val="24"/>
        </w:rPr>
        <w:t xml:space="preserve">Measuring what matters. </w:t>
      </w:r>
      <w:r>
        <w:rPr>
          <w:rFonts w:ascii="Arial" w:hAnsi="Arial" w:cs="Arial"/>
          <w:sz w:val="24"/>
          <w:szCs w:val="24"/>
        </w:rPr>
        <w:t>Washington, DC: Department of Justice</w:t>
      </w:r>
    </w:p>
    <w:p w14:paraId="4297DC61" w14:textId="2AA76A60" w:rsidR="00063A99" w:rsidRDefault="00063A99" w:rsidP="00063A99">
      <w:pPr>
        <w:jc w:val="both"/>
        <w:rPr>
          <w:rFonts w:ascii="Arial" w:hAnsi="Arial" w:cs="Arial"/>
          <w:sz w:val="24"/>
          <w:szCs w:val="24"/>
        </w:rPr>
      </w:pPr>
      <w:r w:rsidRPr="00882F46">
        <w:rPr>
          <w:rFonts w:ascii="Arial" w:hAnsi="Arial" w:cs="Arial"/>
          <w:sz w:val="24"/>
          <w:szCs w:val="24"/>
        </w:rPr>
        <w:lastRenderedPageBreak/>
        <w:t xml:space="preserve">Nacro (2023) </w:t>
      </w:r>
      <w:r w:rsidRPr="00882F46">
        <w:rPr>
          <w:rFonts w:ascii="Arial" w:hAnsi="Arial" w:cs="Arial"/>
          <w:i/>
          <w:iCs/>
          <w:sz w:val="24"/>
          <w:szCs w:val="24"/>
        </w:rPr>
        <w:t xml:space="preserve">Advice for people under mappa. </w:t>
      </w:r>
      <w:r w:rsidRPr="00882F46">
        <w:rPr>
          <w:rFonts w:ascii="Arial" w:hAnsi="Arial" w:cs="Arial"/>
          <w:sz w:val="24"/>
          <w:szCs w:val="24"/>
        </w:rPr>
        <w:t xml:space="preserve">Available at: </w:t>
      </w:r>
      <w:hyperlink r:id="rId26" w:history="1">
        <w:r w:rsidRPr="00882F46">
          <w:rPr>
            <w:rStyle w:val="Hyperlink"/>
            <w:rFonts w:ascii="Arial" w:hAnsi="Arial" w:cs="Arial"/>
            <w:sz w:val="24"/>
            <w:szCs w:val="24"/>
          </w:rPr>
          <w:t>https://www.nacro.org.uk/criminal-record-support-service/support-for-individuals/advice-prisoners-people-licence-sex-offenders-mappa/advice-people-mappa/</w:t>
        </w:r>
      </w:hyperlink>
      <w:r w:rsidRPr="00882F46">
        <w:rPr>
          <w:rFonts w:ascii="Arial" w:hAnsi="Arial" w:cs="Arial"/>
          <w:sz w:val="24"/>
          <w:szCs w:val="24"/>
        </w:rPr>
        <w:t xml:space="preserve"> (Accessed: 18 January 2023). </w:t>
      </w:r>
    </w:p>
    <w:p w14:paraId="2A3954B5" w14:textId="77777777" w:rsidR="009A4BB6" w:rsidRDefault="009A4BB6" w:rsidP="009A4BB6">
      <w:pPr>
        <w:pStyle w:val="NormalWeb"/>
        <w:shd w:val="clear" w:color="auto" w:fill="FFFFFF"/>
        <w:spacing w:before="300" w:beforeAutospacing="0" w:after="300" w:afterAutospacing="0"/>
        <w:jc w:val="both"/>
        <w:rPr>
          <w:rFonts w:ascii="Arial" w:hAnsi="Arial" w:cs="Arial"/>
          <w:color w:val="0B0C0C"/>
        </w:rPr>
      </w:pPr>
      <w:r>
        <w:rPr>
          <w:rFonts w:ascii="Arial" w:hAnsi="Arial" w:cs="Arial"/>
          <w:color w:val="0B0C0C"/>
        </w:rPr>
        <w:t xml:space="preserve">Nidirect Government Services (no date) </w:t>
      </w:r>
      <w:r>
        <w:rPr>
          <w:rFonts w:ascii="Arial" w:hAnsi="Arial" w:cs="Arial"/>
          <w:i/>
          <w:iCs/>
          <w:color w:val="0B0C0C"/>
        </w:rPr>
        <w:t xml:space="preserve">Recognising adult abuse, exploitation and neglect. </w:t>
      </w:r>
      <w:r>
        <w:rPr>
          <w:rFonts w:ascii="Arial" w:hAnsi="Arial" w:cs="Arial"/>
          <w:color w:val="0B0C0C"/>
        </w:rPr>
        <w:t xml:space="preserve">Available at: </w:t>
      </w:r>
      <w:hyperlink r:id="rId27" w:history="1">
        <w:r w:rsidRPr="00954121">
          <w:rPr>
            <w:rStyle w:val="Hyperlink"/>
            <w:rFonts w:ascii="Arial" w:hAnsi="Arial" w:cs="Arial"/>
          </w:rPr>
          <w:t>https://www.nidirect.gov.uk/articles/recognising-adult-abuse-exploitation-and-neglect</w:t>
        </w:r>
      </w:hyperlink>
      <w:r>
        <w:rPr>
          <w:rFonts w:ascii="Arial" w:hAnsi="Arial" w:cs="Arial"/>
          <w:color w:val="0B0C0C"/>
        </w:rPr>
        <w:t xml:space="preserve"> (Accessed: 16 January 2023).</w:t>
      </w:r>
    </w:p>
    <w:p w14:paraId="70373C56" w14:textId="77777777" w:rsidR="009A4BB6" w:rsidRDefault="009A4BB6" w:rsidP="009A4BB6">
      <w:pPr>
        <w:pStyle w:val="NormalWeb"/>
        <w:shd w:val="clear" w:color="auto" w:fill="FFFFFF"/>
        <w:spacing w:before="300" w:beforeAutospacing="0" w:after="300" w:afterAutospacing="0"/>
        <w:jc w:val="both"/>
        <w:rPr>
          <w:rFonts w:ascii="Arial" w:hAnsi="Arial" w:cs="Arial"/>
          <w:color w:val="0B0C0C"/>
        </w:rPr>
      </w:pPr>
      <w:r>
        <w:rPr>
          <w:rFonts w:ascii="Arial" w:hAnsi="Arial" w:cs="Arial"/>
          <w:color w:val="0B0C0C"/>
        </w:rPr>
        <w:t xml:space="preserve">Preventing Exploitation (no date) </w:t>
      </w:r>
      <w:r>
        <w:rPr>
          <w:rFonts w:ascii="Arial" w:hAnsi="Arial" w:cs="Arial"/>
          <w:i/>
          <w:iCs/>
          <w:color w:val="0B0C0C"/>
        </w:rPr>
        <w:t xml:space="preserve">Gangs. </w:t>
      </w:r>
      <w:r>
        <w:rPr>
          <w:rFonts w:ascii="Arial" w:hAnsi="Arial" w:cs="Arial"/>
          <w:color w:val="0B0C0C"/>
        </w:rPr>
        <w:t>Available at:</w:t>
      </w:r>
      <w:r w:rsidRPr="00AC5A7B">
        <w:t xml:space="preserve"> </w:t>
      </w:r>
      <w:hyperlink r:id="rId28" w:anchor=":~:text=Vulnerability%20to%20exploitation%20Gang%20membership%20is%20based%20on,including%20violence%2C%20drug%20dealing%20and%20other%20criminal%20activities" w:history="1">
        <w:r w:rsidRPr="00954121">
          <w:rPr>
            <w:rStyle w:val="Hyperlink"/>
            <w:rFonts w:ascii="Arial" w:hAnsi="Arial" w:cs="Arial"/>
          </w:rPr>
          <w:t>https://www.preventingexploitationtoolkit.org.uk/home/what-is-exploitation/what-is-vulnerability/gangs/#:~:text=Vulnerability%20to%20exploitation%20Gang%20membership%20is%20based%20on,including%20violence%2C%20drug%20dealing%20and%20other%20criminal%20activities</w:t>
        </w:r>
      </w:hyperlink>
      <w:r>
        <w:rPr>
          <w:rFonts w:ascii="Arial" w:hAnsi="Arial" w:cs="Arial"/>
          <w:color w:val="0B0C0C"/>
        </w:rPr>
        <w:t xml:space="preserve"> (Accessed: 15 January 2023). </w:t>
      </w:r>
    </w:p>
    <w:p w14:paraId="1611C9D0" w14:textId="0EE2ED94" w:rsidR="009A4BB6" w:rsidRDefault="00063A99" w:rsidP="009A4BB6">
      <w:pPr>
        <w:jc w:val="both"/>
        <w:rPr>
          <w:rFonts w:ascii="Arial" w:hAnsi="Arial" w:cs="Arial"/>
          <w:sz w:val="24"/>
          <w:szCs w:val="24"/>
        </w:rPr>
      </w:pPr>
      <w:r w:rsidRPr="00882F46">
        <w:rPr>
          <w:rFonts w:ascii="Arial" w:hAnsi="Arial" w:cs="Arial"/>
          <w:sz w:val="24"/>
          <w:szCs w:val="24"/>
        </w:rPr>
        <w:t xml:space="preserve">Safeguarding children and </w:t>
      </w:r>
      <w:proofErr w:type="gramStart"/>
      <w:r w:rsidRPr="00882F46">
        <w:rPr>
          <w:rFonts w:ascii="Arial" w:hAnsi="Arial" w:cs="Arial"/>
          <w:sz w:val="24"/>
          <w:szCs w:val="24"/>
        </w:rPr>
        <w:t>adults</w:t>
      </w:r>
      <w:proofErr w:type="gramEnd"/>
      <w:r w:rsidRPr="00882F46">
        <w:rPr>
          <w:rFonts w:ascii="Arial" w:hAnsi="Arial" w:cs="Arial"/>
          <w:sz w:val="24"/>
          <w:szCs w:val="24"/>
        </w:rPr>
        <w:t xml:space="preserve"> partnership (2021) </w:t>
      </w:r>
      <w:r w:rsidRPr="00882F46">
        <w:rPr>
          <w:rFonts w:ascii="Arial" w:hAnsi="Arial" w:cs="Arial"/>
          <w:i/>
          <w:iCs/>
          <w:sz w:val="24"/>
          <w:szCs w:val="24"/>
        </w:rPr>
        <w:t>Multi</w:t>
      </w:r>
      <w:r>
        <w:rPr>
          <w:rFonts w:ascii="Arial" w:hAnsi="Arial" w:cs="Arial"/>
          <w:i/>
          <w:iCs/>
          <w:sz w:val="24"/>
          <w:szCs w:val="24"/>
        </w:rPr>
        <w:t>-</w:t>
      </w:r>
      <w:r w:rsidRPr="00882F46">
        <w:rPr>
          <w:rFonts w:ascii="Arial" w:hAnsi="Arial" w:cs="Arial"/>
          <w:i/>
          <w:iCs/>
          <w:sz w:val="24"/>
          <w:szCs w:val="24"/>
        </w:rPr>
        <w:t xml:space="preserve">agency public protection arrangements (MAPPA). </w:t>
      </w:r>
      <w:r w:rsidRPr="00882F46">
        <w:rPr>
          <w:rFonts w:ascii="Arial" w:hAnsi="Arial" w:cs="Arial"/>
          <w:sz w:val="24"/>
          <w:szCs w:val="24"/>
        </w:rPr>
        <w:t xml:space="preserve">Available at: </w:t>
      </w:r>
      <w:hyperlink r:id="rId29" w:anchor=":~:text=MAPPA%20is%20not%20a%20statutory%20body" w:history="1">
        <w:r w:rsidRPr="00882F46">
          <w:rPr>
            <w:rStyle w:val="Hyperlink"/>
            <w:rFonts w:ascii="Arial" w:hAnsi="Arial" w:cs="Arial"/>
            <w:sz w:val="24"/>
            <w:szCs w:val="24"/>
          </w:rPr>
          <w:t>https://www.southtynesidesafeguardingappp.co.uk/multi-agency-public-protection-arrangements-mappa/#:~:text=MAPPA%20is%20not%20a%20statutory%20body</w:t>
        </w:r>
      </w:hyperlink>
      <w:r w:rsidRPr="00882F46">
        <w:rPr>
          <w:rFonts w:ascii="Arial" w:hAnsi="Arial" w:cs="Arial"/>
          <w:sz w:val="24"/>
          <w:szCs w:val="24"/>
        </w:rPr>
        <w:t xml:space="preserve"> (Accessed: 18 January 2023).</w:t>
      </w:r>
    </w:p>
    <w:p w14:paraId="30BA2948" w14:textId="77777777" w:rsidR="0017019D" w:rsidRDefault="0017019D" w:rsidP="0017019D">
      <w:pPr>
        <w:rPr>
          <w:rFonts w:ascii="Arial" w:hAnsi="Arial" w:cs="Arial"/>
          <w:sz w:val="24"/>
          <w:szCs w:val="24"/>
        </w:rPr>
      </w:pPr>
      <w:r>
        <w:rPr>
          <w:rFonts w:ascii="Arial" w:hAnsi="Arial" w:cs="Arial"/>
          <w:sz w:val="24"/>
          <w:szCs w:val="24"/>
        </w:rPr>
        <w:t xml:space="preserve">South Wales Police (2022) </w:t>
      </w:r>
      <w:r w:rsidRPr="00407180">
        <w:rPr>
          <w:rFonts w:ascii="Arial" w:hAnsi="Arial" w:cs="Arial"/>
          <w:i/>
          <w:iCs/>
          <w:sz w:val="24"/>
          <w:szCs w:val="24"/>
        </w:rPr>
        <w:t>South Wales police &amp; crime plan 2022-26 executive summary.</w:t>
      </w:r>
      <w:r>
        <w:rPr>
          <w:rFonts w:ascii="Arial" w:hAnsi="Arial" w:cs="Arial"/>
          <w:sz w:val="24"/>
          <w:szCs w:val="24"/>
        </w:rPr>
        <w:t xml:space="preserve"> Available at: </w:t>
      </w:r>
      <w:hyperlink r:id="rId30" w:history="1">
        <w:r w:rsidRPr="00524E8B">
          <w:rPr>
            <w:rStyle w:val="Hyperlink"/>
            <w:rFonts w:ascii="Arial" w:hAnsi="Arial" w:cs="Arial"/>
            <w:sz w:val="24"/>
            <w:szCs w:val="24"/>
          </w:rPr>
          <w:t>https://commissioner.south-wales.police.uk/media/2330/2022-03-04-police-crime-plan-2226-final-eng.pdf</w:t>
        </w:r>
      </w:hyperlink>
      <w:r>
        <w:rPr>
          <w:rFonts w:ascii="Arial" w:hAnsi="Arial" w:cs="Arial"/>
          <w:sz w:val="24"/>
          <w:szCs w:val="24"/>
        </w:rPr>
        <w:t xml:space="preserve"> (Accessed: 15 January 2023).</w:t>
      </w:r>
    </w:p>
    <w:p w14:paraId="70CE8565" w14:textId="77777777" w:rsidR="0017019D" w:rsidRDefault="0017019D" w:rsidP="0017019D">
      <w:pPr>
        <w:rPr>
          <w:rFonts w:ascii="Arial" w:hAnsi="Arial" w:cs="Arial"/>
          <w:sz w:val="24"/>
          <w:szCs w:val="24"/>
        </w:rPr>
      </w:pPr>
      <w:r w:rsidRPr="006A010C">
        <w:rPr>
          <w:rFonts w:ascii="Arial" w:hAnsi="Arial" w:cs="Arial"/>
          <w:sz w:val="24"/>
          <w:szCs w:val="24"/>
        </w:rPr>
        <w:t xml:space="preserve">Sulway, V. (2021). </w:t>
      </w:r>
      <w:r w:rsidRPr="009217BB">
        <w:rPr>
          <w:rFonts w:ascii="Arial" w:hAnsi="Arial" w:cs="Arial"/>
          <w:sz w:val="24"/>
          <w:szCs w:val="24"/>
        </w:rPr>
        <w:t>'Cardiff 5' now - PTSD, reclusive lives and sad deaths of men wrongly jailed for murder</w:t>
      </w:r>
      <w:r>
        <w:rPr>
          <w:rFonts w:ascii="Arial" w:hAnsi="Arial" w:cs="Arial"/>
          <w:sz w:val="24"/>
          <w:szCs w:val="24"/>
        </w:rPr>
        <w:t xml:space="preserve">’ </w:t>
      </w:r>
      <w:r>
        <w:rPr>
          <w:rFonts w:ascii="Arial" w:hAnsi="Arial" w:cs="Arial"/>
          <w:i/>
          <w:iCs/>
          <w:sz w:val="24"/>
          <w:szCs w:val="24"/>
        </w:rPr>
        <w:t xml:space="preserve">Mirror, </w:t>
      </w:r>
      <w:r>
        <w:rPr>
          <w:rFonts w:ascii="Arial" w:hAnsi="Arial" w:cs="Arial"/>
          <w:sz w:val="24"/>
          <w:szCs w:val="24"/>
        </w:rPr>
        <w:t xml:space="preserve">9 September. Available at: </w:t>
      </w:r>
      <w:hyperlink r:id="rId31" w:history="1">
        <w:r w:rsidRPr="004E327B">
          <w:rPr>
            <w:rStyle w:val="Hyperlink"/>
            <w:rFonts w:ascii="Arial" w:hAnsi="Arial" w:cs="Arial"/>
            <w:sz w:val="24"/>
            <w:szCs w:val="24"/>
          </w:rPr>
          <w:t>https://www.mirror.co.uk/tv/tv-news/cardiff-5-now-ptsd-reclusive-24945920</w:t>
        </w:r>
      </w:hyperlink>
      <w:r>
        <w:rPr>
          <w:rFonts w:ascii="Arial" w:hAnsi="Arial" w:cs="Arial"/>
          <w:sz w:val="24"/>
          <w:szCs w:val="24"/>
        </w:rPr>
        <w:t xml:space="preserve"> (Accessed: 10 January 2023). </w:t>
      </w:r>
    </w:p>
    <w:p w14:paraId="6632D290" w14:textId="77777777" w:rsidR="0017019D" w:rsidRDefault="0017019D" w:rsidP="0017019D">
      <w:pPr>
        <w:rPr>
          <w:rFonts w:ascii="Arial" w:hAnsi="Arial" w:cs="Arial"/>
          <w:sz w:val="24"/>
          <w:szCs w:val="24"/>
        </w:rPr>
      </w:pPr>
      <w:r>
        <w:rPr>
          <w:rFonts w:ascii="Arial" w:hAnsi="Arial" w:cs="Arial"/>
          <w:sz w:val="24"/>
          <w:szCs w:val="24"/>
        </w:rPr>
        <w:t xml:space="preserve">The Police and Criminal Evidence Act 1984. Available at: </w:t>
      </w:r>
      <w:hyperlink r:id="rId32" w:anchor="Background" w:history="1">
        <w:r w:rsidRPr="004E327B">
          <w:rPr>
            <w:rStyle w:val="Hyperlink"/>
            <w:rFonts w:ascii="Arial" w:hAnsi="Arial" w:cs="Arial"/>
            <w:sz w:val="24"/>
            <w:szCs w:val="24"/>
          </w:rPr>
          <w:t>https://en.wikipedia.org/wiki/Police_and_Criminal_Evidence_Act_1984#Background</w:t>
        </w:r>
      </w:hyperlink>
      <w:r>
        <w:rPr>
          <w:rFonts w:ascii="Arial" w:hAnsi="Arial" w:cs="Arial"/>
          <w:sz w:val="24"/>
          <w:szCs w:val="24"/>
        </w:rPr>
        <w:t xml:space="preserve"> (Accessed: 10 January 2023). </w:t>
      </w:r>
    </w:p>
    <w:p w14:paraId="60C2852E" w14:textId="24E4A3BB" w:rsidR="009A4BB6" w:rsidRDefault="009A4BB6" w:rsidP="009A4BB6">
      <w:pPr>
        <w:jc w:val="both"/>
        <w:rPr>
          <w:rFonts w:ascii="Arial" w:hAnsi="Arial" w:cs="Arial"/>
          <w:sz w:val="24"/>
          <w:szCs w:val="24"/>
        </w:rPr>
      </w:pPr>
      <w:r>
        <w:rPr>
          <w:rFonts w:ascii="Arial" w:hAnsi="Arial" w:cs="Arial"/>
          <w:color w:val="0B0C0C"/>
        </w:rPr>
        <w:t xml:space="preserve">The Children’s Society (2023) </w:t>
      </w:r>
      <w:r>
        <w:rPr>
          <w:rFonts w:ascii="Arial" w:hAnsi="Arial" w:cs="Arial"/>
          <w:i/>
          <w:iCs/>
          <w:color w:val="0B0C0C"/>
        </w:rPr>
        <w:t xml:space="preserve">County lines and criminal exploitation. </w:t>
      </w:r>
      <w:r>
        <w:rPr>
          <w:rFonts w:ascii="Arial" w:hAnsi="Arial" w:cs="Arial"/>
          <w:color w:val="0B0C0C"/>
        </w:rPr>
        <w:t>Available at:</w:t>
      </w:r>
      <w:r w:rsidRPr="00EB3F57">
        <w:t xml:space="preserve"> </w:t>
      </w:r>
      <w:hyperlink r:id="rId33" w:history="1">
        <w:r w:rsidRPr="00AF2008">
          <w:rPr>
            <w:rStyle w:val="Hyperlink"/>
            <w:rFonts w:ascii="Arial" w:hAnsi="Arial" w:cs="Arial"/>
          </w:rPr>
          <w:t>https://www.childrenssociety.org.uk/what-we-do/our-work/child-criminal-exploitation-and-county-lines/what-is-county-lines</w:t>
        </w:r>
      </w:hyperlink>
      <w:r>
        <w:rPr>
          <w:rFonts w:ascii="Arial" w:hAnsi="Arial" w:cs="Arial"/>
          <w:color w:val="0B0C0C"/>
        </w:rPr>
        <w:t xml:space="preserve"> (Accessed: 17 January 2023).</w:t>
      </w:r>
    </w:p>
    <w:p w14:paraId="388EFDB9" w14:textId="6A3A7C61" w:rsidR="00077CD6" w:rsidRDefault="00077CD6" w:rsidP="009A4BB6">
      <w:pPr>
        <w:jc w:val="both"/>
        <w:rPr>
          <w:rFonts w:ascii="Arial" w:hAnsi="Arial" w:cs="Arial"/>
          <w:sz w:val="24"/>
          <w:szCs w:val="24"/>
        </w:rPr>
      </w:pPr>
      <w:r>
        <w:rPr>
          <w:rFonts w:ascii="Arial" w:hAnsi="Arial" w:cs="Arial"/>
          <w:sz w:val="24"/>
          <w:szCs w:val="24"/>
        </w:rPr>
        <w:t xml:space="preserve">United Nations Office on Drugs and Crime (2011) ‘Handbook on police accountability, oversight and integrity’. Available at: </w:t>
      </w:r>
      <w:hyperlink r:id="rId34" w:history="1">
        <w:r w:rsidRPr="00AA3F90">
          <w:rPr>
            <w:rStyle w:val="Hyperlink"/>
            <w:rFonts w:ascii="Arial" w:hAnsi="Arial" w:cs="Arial"/>
            <w:sz w:val="24"/>
            <w:szCs w:val="24"/>
          </w:rPr>
          <w:t>https://www.unodc.org/pdf/criminal_justice/Handbook_on_police_Accountability_Oversight_and_Integrity.pdf</w:t>
        </w:r>
      </w:hyperlink>
      <w:r>
        <w:rPr>
          <w:rFonts w:ascii="Arial" w:hAnsi="Arial" w:cs="Arial"/>
          <w:sz w:val="24"/>
          <w:szCs w:val="24"/>
        </w:rPr>
        <w:t xml:space="preserve"> (Accessed: 18 January 2023).</w:t>
      </w:r>
    </w:p>
    <w:p w14:paraId="00AC2C2B" w14:textId="77777777" w:rsidR="00077CD6" w:rsidRPr="003328BB" w:rsidRDefault="00077CD6" w:rsidP="003328BB">
      <w:pPr>
        <w:jc w:val="both"/>
        <w:rPr>
          <w:rFonts w:ascii="Arial" w:hAnsi="Arial" w:cs="Arial"/>
          <w:sz w:val="24"/>
          <w:szCs w:val="24"/>
          <w:u w:val="single"/>
        </w:rPr>
      </w:pPr>
    </w:p>
    <w:p w14:paraId="60A2AAE9" w14:textId="77777777" w:rsidR="003328BB" w:rsidRDefault="003328BB" w:rsidP="003328BB">
      <w:pPr>
        <w:jc w:val="both"/>
        <w:rPr>
          <w:rFonts w:ascii="Arial" w:hAnsi="Arial" w:cs="Arial"/>
          <w:sz w:val="24"/>
          <w:szCs w:val="24"/>
          <w:u w:val="single"/>
        </w:rPr>
      </w:pPr>
    </w:p>
    <w:p w14:paraId="5FCDF496" w14:textId="77777777" w:rsidR="003328BB" w:rsidRDefault="003328BB" w:rsidP="003328BB">
      <w:pPr>
        <w:jc w:val="both"/>
        <w:rPr>
          <w:rFonts w:ascii="Arial" w:hAnsi="Arial" w:cs="Arial"/>
          <w:sz w:val="24"/>
          <w:szCs w:val="24"/>
          <w:u w:val="single"/>
        </w:rPr>
      </w:pPr>
    </w:p>
    <w:p w14:paraId="7B2D1A1F" w14:textId="77777777" w:rsidR="003328BB" w:rsidRDefault="003328BB" w:rsidP="003328BB">
      <w:pPr>
        <w:jc w:val="both"/>
        <w:rPr>
          <w:rFonts w:ascii="Arial" w:hAnsi="Arial" w:cs="Arial"/>
          <w:sz w:val="24"/>
          <w:szCs w:val="24"/>
          <w:u w:val="single"/>
        </w:rPr>
      </w:pPr>
    </w:p>
    <w:p w14:paraId="0C500C3A" w14:textId="77777777" w:rsidR="003328BB" w:rsidRDefault="003328BB" w:rsidP="003328BB">
      <w:pPr>
        <w:jc w:val="both"/>
        <w:rPr>
          <w:rFonts w:ascii="Arial" w:hAnsi="Arial" w:cs="Arial"/>
          <w:sz w:val="24"/>
          <w:szCs w:val="24"/>
          <w:u w:val="single"/>
        </w:rPr>
      </w:pPr>
    </w:p>
    <w:p w14:paraId="75F1D560" w14:textId="77777777" w:rsidR="003328BB" w:rsidRDefault="003328BB" w:rsidP="003328BB">
      <w:pPr>
        <w:jc w:val="both"/>
        <w:rPr>
          <w:rFonts w:ascii="Arial" w:hAnsi="Arial" w:cs="Arial"/>
          <w:sz w:val="24"/>
          <w:szCs w:val="24"/>
          <w:u w:val="single"/>
        </w:rPr>
      </w:pPr>
    </w:p>
    <w:p w14:paraId="5993A894" w14:textId="77777777" w:rsidR="003328BB" w:rsidRDefault="003328BB" w:rsidP="003328BB">
      <w:pPr>
        <w:jc w:val="both"/>
        <w:rPr>
          <w:rFonts w:ascii="Arial" w:hAnsi="Arial" w:cs="Arial"/>
          <w:sz w:val="24"/>
          <w:szCs w:val="24"/>
          <w:u w:val="single"/>
        </w:rPr>
      </w:pPr>
    </w:p>
    <w:p w14:paraId="1F797098" w14:textId="77777777" w:rsidR="00C10B36" w:rsidRDefault="00C10B36"/>
    <w:sectPr w:rsidR="00C10B36">
      <w:head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7BB0C5" w14:textId="77777777" w:rsidR="003328BB" w:rsidRDefault="003328BB" w:rsidP="003328BB">
      <w:pPr>
        <w:spacing w:after="0" w:line="240" w:lineRule="auto"/>
      </w:pPr>
      <w:r>
        <w:separator/>
      </w:r>
    </w:p>
  </w:endnote>
  <w:endnote w:type="continuationSeparator" w:id="0">
    <w:p w14:paraId="44FB8547" w14:textId="77777777" w:rsidR="003328BB" w:rsidRDefault="003328BB" w:rsidP="003328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E8AFD4" w14:textId="77777777" w:rsidR="003328BB" w:rsidRDefault="003328BB" w:rsidP="003328BB">
      <w:pPr>
        <w:spacing w:after="0" w:line="240" w:lineRule="auto"/>
      </w:pPr>
      <w:r>
        <w:separator/>
      </w:r>
    </w:p>
  </w:footnote>
  <w:footnote w:type="continuationSeparator" w:id="0">
    <w:p w14:paraId="21ACFD95" w14:textId="77777777" w:rsidR="003328BB" w:rsidRDefault="003328BB" w:rsidP="003328B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8CB5D4" w14:textId="312355F3" w:rsidR="00303400" w:rsidRPr="00303400" w:rsidRDefault="00303400">
    <w:pPr>
      <w:pStyle w:val="Header"/>
      <w:rPr>
        <w:rFonts w:ascii="Arial" w:hAnsi="Arial" w:cs="Arial"/>
        <w:sz w:val="24"/>
        <w:szCs w:val="24"/>
      </w:rPr>
    </w:pPr>
    <w:r w:rsidRPr="00303400">
      <w:rPr>
        <w:rFonts w:ascii="Arial" w:hAnsi="Arial" w:cs="Arial"/>
        <w:sz w:val="24"/>
        <w:szCs w:val="24"/>
      </w:rPr>
      <w:t>Jarad Bethley</w:t>
    </w:r>
  </w:p>
  <w:p w14:paraId="33A52199" w14:textId="220FBB7C" w:rsidR="00303400" w:rsidRPr="00303400" w:rsidRDefault="00303400">
    <w:pPr>
      <w:pStyle w:val="Header"/>
      <w:rPr>
        <w:rFonts w:ascii="Arial" w:hAnsi="Arial" w:cs="Arial"/>
        <w:sz w:val="24"/>
        <w:szCs w:val="24"/>
      </w:rPr>
    </w:pPr>
    <w:r w:rsidRPr="00303400">
      <w:rPr>
        <w:rFonts w:ascii="Arial" w:hAnsi="Arial" w:cs="Arial"/>
        <w:sz w:val="24"/>
        <w:szCs w:val="24"/>
      </w:rPr>
      <w:t>2117845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8A39EF"/>
    <w:multiLevelType w:val="hybridMultilevel"/>
    <w:tmpl w:val="B114DE7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443F7905"/>
    <w:multiLevelType w:val="hybridMultilevel"/>
    <w:tmpl w:val="2D5C986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654675814">
    <w:abstractNumId w:val="1"/>
  </w:num>
  <w:num w:numId="2" w16cid:durableId="11328708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28BB"/>
    <w:rsid w:val="00063A99"/>
    <w:rsid w:val="00077CD6"/>
    <w:rsid w:val="0017019D"/>
    <w:rsid w:val="001D56E3"/>
    <w:rsid w:val="002C4999"/>
    <w:rsid w:val="00303400"/>
    <w:rsid w:val="003328BB"/>
    <w:rsid w:val="00705491"/>
    <w:rsid w:val="009A4BB6"/>
    <w:rsid w:val="00C10B36"/>
    <w:rsid w:val="00D553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E139804"/>
  <w15:chartTrackingRefBased/>
  <w15:docId w15:val="{2E9AA9B3-6152-47A4-B85F-E59DEA43FA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28BB"/>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328BB"/>
    <w:rPr>
      <w:color w:val="0563C1" w:themeColor="hyperlink"/>
      <w:u w:val="single"/>
    </w:rPr>
  </w:style>
  <w:style w:type="paragraph" w:styleId="NoSpacing">
    <w:name w:val="No Spacing"/>
    <w:uiPriority w:val="1"/>
    <w:qFormat/>
    <w:rsid w:val="003328BB"/>
    <w:pPr>
      <w:spacing w:after="0" w:line="240" w:lineRule="auto"/>
    </w:pPr>
  </w:style>
  <w:style w:type="paragraph" w:styleId="NormalWeb">
    <w:name w:val="Normal (Web)"/>
    <w:basedOn w:val="Normal"/>
    <w:uiPriority w:val="99"/>
    <w:semiHidden/>
    <w:unhideWhenUsed/>
    <w:rsid w:val="003328B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3328BB"/>
    <w:pPr>
      <w:spacing w:line="259" w:lineRule="auto"/>
      <w:ind w:left="720"/>
      <w:contextualSpacing/>
    </w:pPr>
  </w:style>
  <w:style w:type="paragraph" w:styleId="Header">
    <w:name w:val="header"/>
    <w:basedOn w:val="Normal"/>
    <w:link w:val="HeaderChar"/>
    <w:uiPriority w:val="99"/>
    <w:unhideWhenUsed/>
    <w:rsid w:val="003034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3400"/>
  </w:style>
  <w:style w:type="paragraph" w:styleId="Footer">
    <w:name w:val="footer"/>
    <w:basedOn w:val="Normal"/>
    <w:link w:val="FooterChar"/>
    <w:uiPriority w:val="99"/>
    <w:unhideWhenUsed/>
    <w:rsid w:val="003034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34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7596774">
      <w:bodyDiv w:val="1"/>
      <w:marLeft w:val="0"/>
      <w:marRight w:val="0"/>
      <w:marTop w:val="0"/>
      <w:marBottom w:val="0"/>
      <w:divBdr>
        <w:top w:val="none" w:sz="0" w:space="0" w:color="auto"/>
        <w:left w:val="none" w:sz="0" w:space="0" w:color="auto"/>
        <w:bottom w:val="none" w:sz="0" w:space="0" w:color="auto"/>
        <w:right w:val="none" w:sz="0" w:space="0" w:color="auto"/>
      </w:divBdr>
    </w:div>
    <w:div w:id="13502515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untyhealthrankings.org/explore-health-rankings/county-health-rankings-model/health-factors/social-economic-factors" TargetMode="External"/><Relationship Id="rId18" Type="http://schemas.openxmlformats.org/officeDocument/2006/relationships/hyperlink" Target="https://www.policeconduct.gov.uk/sites/default/files/Documents/statistics/IOPC_public_perceptions_tracker_annual_report_summary_201819.pdf" TargetMode="External"/><Relationship Id="rId26" Type="http://schemas.openxmlformats.org/officeDocument/2006/relationships/hyperlink" Target="https://www.nacro.org.uk/criminal-record-support-service/support-for-individuals/advice-prisoners-people-licence-sex-offenders-mappa/advice-people-mappa/" TargetMode="External"/><Relationship Id="rId21" Type="http://schemas.openxmlformats.org/officeDocument/2006/relationships/hyperlink" Target="https://www.instituteforgovernment.org.uk/article/explainer/police-accountability" TargetMode="External"/><Relationship Id="rId34" Type="http://schemas.openxmlformats.org/officeDocument/2006/relationships/hyperlink" Target="https://www.unodc.org/pdf/criminal_justice/Handbook_on_police_Accountability_Oversight_and_Integrity.pdf" TargetMode="External"/><Relationship Id="rId7" Type="http://schemas.openxmlformats.org/officeDocument/2006/relationships/hyperlink" Target="https://www.policechiefmagazine.org/community-policing-in-multicultural-communities/" TargetMode="External"/><Relationship Id="rId12" Type="http://schemas.openxmlformats.org/officeDocument/2006/relationships/hyperlink" Target="https://thecommissiononyounglives.co.uk/new-figures-reveal-12720-children-in-england-were-identified-by-social-services-as-being-at-risk-of-criminal-exploitation-by-gangs-in-2020-21/" TargetMode="External"/><Relationship Id="rId17" Type="http://schemas.openxmlformats.org/officeDocument/2006/relationships/hyperlink" Target="https://www.instituteforgovernment.org.uk/article/explainer/police-accountability" TargetMode="External"/><Relationship Id="rId25" Type="http://schemas.openxmlformats.org/officeDocument/2006/relationships/hyperlink" Target="https://www.echr.coe.int/documents/handbook_european_convention_police_eng.pdf" TargetMode="External"/><Relationship Id="rId33" Type="http://schemas.openxmlformats.org/officeDocument/2006/relationships/hyperlink" Target="https://www.childrenssociety.org.uk/what-we-do/our-work/child-criminal-exploitation-and-county-lines/what-is-county-lines" TargetMode="External"/><Relationship Id="rId2" Type="http://schemas.openxmlformats.org/officeDocument/2006/relationships/styles" Target="styles.xml"/><Relationship Id="rId16" Type="http://schemas.openxmlformats.org/officeDocument/2006/relationships/hyperlink" Target="https://www.gov.uk/government/publications/criminal-exploitation-of-children-and-vulnerable-adults-county-lines/criminal-exploitation-of-children-and-vulnerable-adults-county-lines" TargetMode="External"/><Relationship Id="rId20" Type="http://schemas.openxmlformats.org/officeDocument/2006/relationships/hyperlink" Target="https://www.policeconduct.gov.uk/who-we-are" TargetMode="External"/><Relationship Id="rId29" Type="http://schemas.openxmlformats.org/officeDocument/2006/relationships/hyperlink" Target="https://www.southtynesidesafeguardingappp.co.uk/multi-agency-public-protection-arrangements-mappa/"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ollege.police.uk/app/major-investigation-and-public-protection/managing-sexual-offenders-and-violent-offenders/multi-agency-public-protection-arrangements-mappa" TargetMode="External"/><Relationship Id="rId24" Type="http://schemas.openxmlformats.org/officeDocument/2006/relationships/hyperlink" Target="https://www.humanrightsinitiative.org/programs/aj/police/res_mat/police_accountability_in_uk.pdf" TargetMode="External"/><Relationship Id="rId32" Type="http://schemas.openxmlformats.org/officeDocument/2006/relationships/hyperlink" Target="https://en.wikipedia.org/wiki/Police_and_Criminal_Evidence_Act_1984"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study.com/learn/lesson/cultural-norms-definition-examples.html" TargetMode="External"/><Relationship Id="rId23" Type="http://schemas.openxmlformats.org/officeDocument/2006/relationships/hyperlink" Target="https://www.llradultsafeguarding.co.uk/criminal-exploitation-of-adults/" TargetMode="External"/><Relationship Id="rId28" Type="http://schemas.openxmlformats.org/officeDocument/2006/relationships/hyperlink" Target="https://www.preventingexploitationtoolkit.org.uk/home/what-is-exploitation/what-is-vulnerability/gangs/" TargetMode="External"/><Relationship Id="rId36" Type="http://schemas.openxmlformats.org/officeDocument/2006/relationships/fontTable" Target="fontTable.xml"/><Relationship Id="rId10" Type="http://schemas.openxmlformats.org/officeDocument/2006/relationships/hyperlink" Target="https://www.childrenscommissioner.gov.uk/wp-content/uploads/2019/02/CCO-Gangs.pdf" TargetMode="External"/><Relationship Id="rId19" Type="http://schemas.openxmlformats.org/officeDocument/2006/relationships/hyperlink" Target="https://www.policeconduct.gov.uk/complaints-reviews-and-appeals" TargetMode="External"/><Relationship Id="rId31" Type="http://schemas.openxmlformats.org/officeDocument/2006/relationships/hyperlink" Target="https://www.mirror.co.uk/tv/tv-news/cardiff-5-now-ptsd-reclusive-24945920" TargetMode="External"/><Relationship Id="rId4" Type="http://schemas.openxmlformats.org/officeDocument/2006/relationships/webSettings" Target="webSettings.xml"/><Relationship Id="rId9" Type="http://schemas.openxmlformats.org/officeDocument/2006/relationships/hyperlink" Target="https://profdev.college.police.uk/professional-profile/neighbourhood-policing-constable/" TargetMode="External"/><Relationship Id="rId14" Type="http://schemas.openxmlformats.org/officeDocument/2006/relationships/hyperlink" Target="https://www.ojp.gov/ncjrs/virtual-library/abstracts/policing-multicultural-community" TargetMode="External"/><Relationship Id="rId22" Type="http://schemas.openxmlformats.org/officeDocument/2006/relationships/hyperlink" Target="https://www.ncbi.nlm.nih.gov/pmc/articles/PMC7509625/" TargetMode="External"/><Relationship Id="rId27" Type="http://schemas.openxmlformats.org/officeDocument/2006/relationships/hyperlink" Target="https://www.nidirect.gov.uk/articles/recognising-adult-abuse-exploitation-and-neglect" TargetMode="External"/><Relationship Id="rId30" Type="http://schemas.openxmlformats.org/officeDocument/2006/relationships/hyperlink" Target="https://commissioner.south-wales.police.uk/media/2330/2022-03-04-police-crime-plan-2226-final-eng.pdf" TargetMode="External"/><Relationship Id="rId35" Type="http://schemas.openxmlformats.org/officeDocument/2006/relationships/header" Target="header1.xml"/><Relationship Id="rId8" Type="http://schemas.openxmlformats.org/officeDocument/2006/relationships/hyperlink" Target="https://assets.publishing.service.gov.uk/government/uploads/system/uploads/attachment_data/file/341650/Code_of_Ethics_2014_FINAL_July14.pdf"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11</Pages>
  <Words>5224</Words>
  <Characters>29782</Characters>
  <Application>Microsoft Office Word</Application>
  <DocSecurity>0</DocSecurity>
  <Lines>248</Lines>
  <Paragraphs>69</Paragraphs>
  <ScaleCrop>false</ScaleCrop>
  <Company/>
  <LinksUpToDate>false</LinksUpToDate>
  <CharactersWithSpaces>34937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Bethley,Jarad swp8093</dc:creator>
  <cp:keywords/>
  <dc:description/>
  <cp:lastModifiedBy>Bethley,Jarad swp8093</cp:lastModifiedBy>
  <cp:revision>8</cp:revision>
  <dcterms:created xsi:type="dcterms:W3CDTF">2023-01-18T19:39:00Z</dcterms:created>
  <dcterms:modified xsi:type="dcterms:W3CDTF">2023-01-18T20:06:00Z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2023-01-18T19:46:05Z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d22c03c8-c7d3-43d7-b13c-bfbfa1a17fda</vt:lpwstr>
  </property>
  <property fmtid="{D5CDD505-2E9C-101B-9397-08002B2CF9AE}" pid="8" name="MSIP_Label_66cf8fe5-b7b7-4df7-b38d-1c61ac2f6639_ContentBits">
    <vt:lpwstr>0</vt:lpwstr>
  </property>
</Properties>
</file>