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41A95A0">
      <w:pPr>
        <w:jc w:val="center"/>
      </w:pPr>
      <w:r>
        <w:drawing>
          <wp:inline distT="0" distB="0" distL="114300" distR="114300">
            <wp:extent cx="2936875" cy="1311275"/>
            <wp:effectExtent l="0" t="0" r="4445" b="1460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rcRect l="1343"/>
                    <a:stretch>
                      <a:fillRect/>
                    </a:stretch>
                  </pic:blipFill>
                  <pic:spPr>
                    <a:xfrm>
                      <a:off x="0" y="0"/>
                      <a:ext cx="2936875" cy="1311275"/>
                    </a:xfrm>
                    <a:prstGeom prst="rect">
                      <a:avLst/>
                    </a:prstGeom>
                    <a:noFill/>
                    <a:ln>
                      <a:noFill/>
                    </a:ln>
                  </pic:spPr>
                </pic:pic>
              </a:graphicData>
            </a:graphic>
          </wp:inline>
        </w:drawing>
      </w:r>
    </w:p>
    <w:tbl>
      <w:tblPr>
        <w:tblStyle w:val="10"/>
        <w:tblW w:w="9540" w:type="dxa"/>
        <w:jc w:val="center"/>
        <w:tblBorders>
          <w:top w:val="single" w:color="800000" w:sz="18"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240"/>
        <w:gridCol w:w="6300"/>
      </w:tblGrid>
      <w:tr w14:paraId="630E9FDB">
        <w:tblPrEx>
          <w:tblBorders>
            <w:top w:val="single" w:color="800000" w:sz="18"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3240" w:type="dxa"/>
          </w:tcPr>
          <w:p w14:paraId="77B11C56">
            <w:pPr>
              <w:pageBreakBefore w:val="0"/>
              <w:kinsoku/>
              <w:wordWrap/>
              <w:overflowPunct/>
              <w:topLinePunct w:val="0"/>
              <w:autoSpaceDE/>
              <w:autoSpaceDN/>
              <w:bidi w:val="0"/>
              <w:adjustRightInd/>
              <w:spacing w:line="240" w:lineRule="auto"/>
              <w:jc w:val="center"/>
              <w:textAlignment w:val="auto"/>
              <w:rPr>
                <w:rFonts w:hint="eastAsia"/>
                <w:highlight w:val="none"/>
              </w:rPr>
            </w:pPr>
            <w:r>
              <w:rPr>
                <w:rFonts w:hint="eastAsia" w:ascii="Arial" w:hAnsi="Arial" w:cs="Arial"/>
                <w:b/>
                <w:sz w:val="24"/>
                <w:highlight w:val="none"/>
                <w:lang w:val="en-US" w:eastAsia="zh-CN"/>
              </w:rPr>
              <w:t>Module</w:t>
            </w:r>
            <w:r>
              <w:rPr>
                <w:rFonts w:ascii="Arial" w:hAnsi="Arial" w:cs="Arial"/>
                <w:b/>
                <w:sz w:val="24"/>
                <w:highlight w:val="none"/>
              </w:rPr>
              <w:t xml:space="preserve"> code:</w:t>
            </w:r>
            <w:r>
              <w:rPr>
                <w:rFonts w:ascii="Arial" w:hAnsi="Arial" w:cs="Arial"/>
                <w:b/>
                <w:color w:val="000000"/>
                <w:sz w:val="24"/>
                <w:highlight w:val="none"/>
              </w:rPr>
              <w:t xml:space="preserve"> </w:t>
            </w:r>
            <w:r>
              <w:rPr>
                <w:rFonts w:hint="eastAsia" w:ascii="Arial" w:hAnsi="Arial" w:cs="Arial"/>
                <w:b/>
                <w:color w:val="000000"/>
                <w:sz w:val="24"/>
                <w:highlight w:val="none"/>
              </w:rPr>
              <w:t>BMBM6021</w:t>
            </w:r>
          </w:p>
        </w:tc>
        <w:tc>
          <w:tcPr>
            <w:tcW w:w="6300" w:type="dxa"/>
          </w:tcPr>
          <w:p w14:paraId="01B66235">
            <w:pPr>
              <w:pageBreakBefore w:val="0"/>
              <w:kinsoku/>
              <w:wordWrap/>
              <w:overflowPunct/>
              <w:topLinePunct w:val="0"/>
              <w:autoSpaceDE/>
              <w:autoSpaceDN/>
              <w:bidi w:val="0"/>
              <w:adjustRightInd/>
              <w:spacing w:line="240" w:lineRule="auto"/>
              <w:textAlignment w:val="auto"/>
              <w:rPr>
                <w:rFonts w:hint="default" w:eastAsia="楷体"/>
                <w:highlight w:val="none"/>
                <w:lang w:val="en-US" w:eastAsia="zh-CN"/>
              </w:rPr>
            </w:pPr>
            <w:r>
              <w:rPr>
                <w:rFonts w:hint="eastAsia" w:ascii="Arial" w:hAnsi="Arial" w:cs="Arial"/>
                <w:b/>
                <w:sz w:val="24"/>
                <w:highlight w:val="none"/>
                <w:lang w:val="en-US" w:eastAsia="zh-CN"/>
              </w:rPr>
              <w:t>Module</w:t>
            </w:r>
            <w:r>
              <w:rPr>
                <w:rFonts w:ascii="Arial" w:hAnsi="Arial" w:cs="Arial"/>
                <w:b/>
                <w:sz w:val="24"/>
                <w:highlight w:val="none"/>
              </w:rPr>
              <w:t xml:space="preserve">: </w:t>
            </w:r>
            <w:r>
              <w:rPr>
                <w:rFonts w:hint="eastAsia" w:ascii="Arial" w:hAnsi="Arial" w:cs="Arial"/>
                <w:b/>
                <w:sz w:val="24"/>
                <w:highlight w:val="none"/>
                <w:lang w:val="en-US" w:eastAsia="zh-CN"/>
              </w:rPr>
              <w:t>International Business Communication</w:t>
            </w:r>
          </w:p>
        </w:tc>
      </w:tr>
    </w:tbl>
    <w:p w14:paraId="15DCE15A">
      <w:pPr>
        <w:jc w:val="center"/>
      </w:pPr>
    </w:p>
    <w:p w14:paraId="33F74CC3">
      <w:pPr>
        <w:jc w:val="center"/>
      </w:pPr>
    </w:p>
    <w:p w14:paraId="1394ABDE">
      <w:pPr>
        <w:jc w:val="both"/>
      </w:pPr>
    </w:p>
    <w:p w14:paraId="2C6C1179">
      <w:pPr>
        <w:jc w:val="center"/>
        <w:rPr>
          <w:rFonts w:hint="eastAsia"/>
          <w:b/>
          <w:bCs/>
          <w:sz w:val="36"/>
          <w:szCs w:val="36"/>
          <w:lang w:val="en-US" w:eastAsia="zh-CN"/>
        </w:rPr>
      </w:pPr>
      <w:r>
        <w:rPr>
          <w:rFonts w:hint="eastAsia"/>
          <w:b/>
          <w:bCs/>
          <w:sz w:val="36"/>
          <w:szCs w:val="36"/>
          <w:lang w:val="en-US" w:eastAsia="zh-CN"/>
        </w:rPr>
        <w:t>Application of International Business Communication in the international expansion</w:t>
      </w:r>
    </w:p>
    <w:p w14:paraId="7A25DE71">
      <w:pPr>
        <w:jc w:val="both"/>
        <w:rPr>
          <w:rFonts w:hint="default"/>
          <w:b/>
          <w:bCs/>
          <w:sz w:val="36"/>
          <w:szCs w:val="36"/>
          <w:lang w:val="en-US" w:eastAsia="zh-CN"/>
        </w:rPr>
      </w:pPr>
    </w:p>
    <w:p w14:paraId="2E5C74B0">
      <w:pPr>
        <w:jc w:val="center"/>
        <w:rPr>
          <w:rFonts w:hint="default" w:ascii="Times New Roman" w:hAnsi="Times New Roman" w:eastAsia="宋体" w:cs="Times New Roman"/>
          <w:sz w:val="28"/>
          <w:szCs w:val="28"/>
        </w:rPr>
      </w:pPr>
      <w:r>
        <w:rPr>
          <w:rFonts w:hint="default" w:ascii="Times New Roman" w:hAnsi="Times New Roman" w:eastAsia="宋体" w:cs="Times New Roman"/>
          <w:sz w:val="28"/>
          <w:szCs w:val="28"/>
        </w:rPr>
        <w:drawing>
          <wp:inline distT="0" distB="0" distL="114300" distR="114300">
            <wp:extent cx="2727325" cy="1837055"/>
            <wp:effectExtent l="0" t="0" r="635" b="698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rot="10800000" flipV="1">
                      <a:off x="0" y="0"/>
                      <a:ext cx="2727325" cy="1837055"/>
                    </a:xfrm>
                    <a:prstGeom prst="rect">
                      <a:avLst/>
                    </a:prstGeom>
                    <a:noFill/>
                    <a:ln w="9525">
                      <a:noFill/>
                    </a:ln>
                  </pic:spPr>
                </pic:pic>
              </a:graphicData>
            </a:graphic>
          </wp:inline>
        </w:drawing>
      </w:r>
    </w:p>
    <w:p w14:paraId="2CA705A8">
      <w:pPr>
        <w:jc w:val="both"/>
        <w:rPr>
          <w:rFonts w:hint="default" w:ascii="Times New Roman" w:hAnsi="Times New Roman" w:eastAsia="宋体" w:cs="Times New Roman"/>
          <w:sz w:val="28"/>
          <w:szCs w:val="28"/>
        </w:rPr>
      </w:pPr>
    </w:p>
    <w:p w14:paraId="1D5FEF78">
      <w:pPr>
        <w:jc w:val="cente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rPr>
        <w:t xml:space="preserve">Name: </w:t>
      </w:r>
      <w:r>
        <w:rPr>
          <w:rFonts w:hint="eastAsia" w:eastAsia="宋体" w:cs="Times New Roman"/>
          <w:sz w:val="28"/>
          <w:szCs w:val="28"/>
          <w:lang w:val="en-US" w:eastAsia="zh-CN"/>
        </w:rPr>
        <w:t>Jian Huang</w:t>
      </w:r>
    </w:p>
    <w:p w14:paraId="2BCDC18F">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Student number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2400261</w:t>
      </w:r>
    </w:p>
    <w:p w14:paraId="0781A9D8">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Lecturer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Arup Kumar</w:t>
      </w:r>
    </w:p>
    <w:p w14:paraId="7598C06E">
      <w:pPr>
        <w:jc w:val="center"/>
        <w:rPr>
          <w:rFonts w:hint="eastAsia" w:eastAsia="宋体" w:cs="Times New Roman"/>
          <w:sz w:val="28"/>
          <w:szCs w:val="28"/>
          <w:lang w:val="en-US" w:eastAsia="zh-CN"/>
        </w:rPr>
      </w:pPr>
      <w:r>
        <w:rPr>
          <w:rFonts w:hint="default" w:ascii="Times New Roman" w:hAnsi="Times New Roman" w:eastAsia="宋体" w:cs="Times New Roman"/>
          <w:sz w:val="28"/>
          <w:szCs w:val="28"/>
        </w:rPr>
        <w:t>Submission Date: 2024</w:t>
      </w:r>
      <w:r>
        <w:rPr>
          <w:rFonts w:hint="eastAsia" w:eastAsia="宋体" w:cs="Times New Roman"/>
          <w:sz w:val="28"/>
          <w:szCs w:val="28"/>
          <w:lang w:val="en-US" w:eastAsia="zh-CN"/>
        </w:rPr>
        <w:t>.12.9</w:t>
      </w:r>
    </w:p>
    <w:p w14:paraId="11116561">
      <w:pPr>
        <w:jc w:val="center"/>
        <w:rPr>
          <w:rFonts w:hint="default" w:eastAsia="宋体" w:cs="Times New Roman"/>
          <w:sz w:val="28"/>
          <w:szCs w:val="28"/>
          <w:lang w:val="en-US" w:eastAsia="zh-CN"/>
        </w:rPr>
      </w:pPr>
      <w:r>
        <w:rPr>
          <w:rFonts w:hint="eastAsia" w:eastAsia="宋体" w:cs="Times New Roman"/>
          <w:sz w:val="28"/>
          <w:szCs w:val="28"/>
          <w:lang w:val="en-US" w:eastAsia="zh-CN"/>
        </w:rPr>
        <w:t xml:space="preserve">Words account: </w:t>
      </w:r>
      <w:bookmarkStart w:id="17" w:name="_GoBack"/>
      <w:bookmarkEnd w:id="17"/>
    </w:p>
    <w:p w14:paraId="244062A0">
      <w:pPr>
        <w:jc w:val="both"/>
        <w:rPr>
          <w:rFonts w:hint="eastAsia" w:eastAsia="宋体" w:cs="Times New Roman"/>
          <w:sz w:val="28"/>
          <w:szCs w:val="28"/>
          <w:lang w:val="en-US" w:eastAsia="zh-CN"/>
        </w:rPr>
      </w:pPr>
    </w:p>
    <w:p w14:paraId="36B09387">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University of Wales Trinity Saint David</w:t>
      </w:r>
    </w:p>
    <w:p w14:paraId="53AB1089">
      <w:pPr>
        <w:rPr>
          <w:rFonts w:hint="default" w:eastAsia="宋体" w:cs="Times New Roman"/>
          <w:b/>
          <w:bCs/>
          <w:sz w:val="32"/>
          <w:szCs w:val="32"/>
          <w:lang w:val="en-US" w:eastAsia="zh-CN"/>
        </w:rPr>
      </w:pPr>
      <w:r>
        <w:rPr>
          <w:rFonts w:hint="default" w:eastAsia="宋体" w:cs="Times New Roman"/>
          <w:b/>
          <w:bCs/>
          <w:sz w:val="32"/>
          <w:szCs w:val="32"/>
          <w:lang w:val="en-US" w:eastAsia="zh-CN"/>
        </w:rPr>
        <w:br w:type="page"/>
      </w:r>
    </w:p>
    <w:p w14:paraId="7E1FAF65">
      <w:pPr>
        <w:spacing w:line="360" w:lineRule="auto"/>
        <w:jc w:val="center"/>
        <w:rPr>
          <w:rFonts w:hint="default" w:eastAsia="宋体" w:cs="Times New Roman"/>
          <w:b/>
          <w:bCs/>
          <w:sz w:val="32"/>
          <w:szCs w:val="32"/>
          <w:lang w:val="en-US" w:eastAsia="zh-CN"/>
        </w:rPr>
      </w:pPr>
      <w:r>
        <w:rPr>
          <w:rFonts w:hint="default" w:eastAsia="宋体" w:cs="Times New Roman"/>
          <w:b/>
          <w:bCs/>
          <w:sz w:val="32"/>
          <w:szCs w:val="32"/>
          <w:lang w:val="en-US" w:eastAsia="zh-CN"/>
        </w:rPr>
        <w:t>Executive summary</w:t>
      </w:r>
    </w:p>
    <w:p w14:paraId="0A5BE403">
      <w:pPr>
        <w:bidi w:val="0"/>
        <w:spacing w:line="360" w:lineRule="auto"/>
        <w:rPr>
          <w:rFonts w:hint="eastAsia"/>
          <w:lang w:val="en-US" w:eastAsia="zh-CN"/>
        </w:rPr>
      </w:pPr>
    </w:p>
    <w:p w14:paraId="61F94300">
      <w:pPr>
        <w:bidi w:val="0"/>
        <w:spacing w:line="360" w:lineRule="auto"/>
        <w:rPr>
          <w:rFonts w:hint="default"/>
          <w:lang w:val="en-US" w:eastAsia="zh-CN"/>
        </w:rPr>
      </w:pPr>
      <w:r>
        <w:rPr>
          <w:rFonts w:hint="eastAsia"/>
          <w:lang w:val="en-US" w:eastAsia="zh-CN"/>
        </w:rPr>
        <w:t>There are three primary sections to this study. The role of international business communication in global expansion and the necessary competencies to employ it are the main topics of the first section. Furthermore, this section will outline the many communication techniques that can be employed and offer some tactics to assist businesses in communicating successfully.</w:t>
      </w:r>
    </w:p>
    <w:p w14:paraId="0F7F6B9E">
      <w:pPr>
        <w:spacing w:line="360" w:lineRule="auto"/>
        <w:rPr>
          <w:rFonts w:hint="eastAsia"/>
          <w:lang w:val="en-US" w:eastAsia="zh-CN"/>
        </w:rPr>
      </w:pPr>
    </w:p>
    <w:p w14:paraId="1FFAB7A1">
      <w:pPr>
        <w:spacing w:line="360" w:lineRule="auto"/>
        <w:rPr>
          <w:rFonts w:hint="eastAsia"/>
          <w:lang w:val="en-US" w:eastAsia="zh-CN"/>
        </w:rPr>
      </w:pPr>
      <w:r>
        <w:rPr>
          <w:rFonts w:hint="eastAsia"/>
          <w:lang w:val="en-US" w:eastAsia="zh-CN"/>
        </w:rPr>
        <w:t>This report's second section will examine how culture affects business communication from a global cultural standpoint. Additionally, two theoretical models for exceptional circumstances will be used to analyze it.</w:t>
      </w:r>
    </w:p>
    <w:p w14:paraId="74F73F60">
      <w:pPr>
        <w:spacing w:line="360" w:lineRule="auto"/>
        <w:rPr>
          <w:rFonts w:hint="eastAsia"/>
          <w:lang w:val="en-US" w:eastAsia="zh-CN"/>
        </w:rPr>
      </w:pPr>
    </w:p>
    <w:p w14:paraId="0AAE71FC">
      <w:pPr>
        <w:spacing w:line="360" w:lineRule="auto"/>
        <w:rPr>
          <w:rFonts w:hint="eastAsia"/>
          <w:lang w:val="en-US" w:eastAsia="zh-CN"/>
        </w:rPr>
      </w:pPr>
      <w:r>
        <w:rPr>
          <w:rFonts w:hint="eastAsia"/>
          <w:lang w:val="en-US" w:eastAsia="zh-CN"/>
        </w:rPr>
        <w:t>The impact of developing business relationships on international business communication will be the main topic of the third section. It will also highlight how crucial it is to establish confidence in international cooperation. Lastly, it will examine the causes of business relationship failures and the potential consequences.</w:t>
      </w:r>
      <w:r>
        <w:rPr>
          <w:rFonts w:hint="eastAsia"/>
          <w:lang w:val="en-US" w:eastAsia="zh-CN"/>
        </w:rPr>
        <w:br w:type="page"/>
      </w:r>
    </w:p>
    <w:p w14:paraId="253B70D4">
      <w:pPr>
        <w:bidi w:val="0"/>
        <w:spacing w:line="360" w:lineRule="auto"/>
        <w:jc w:val="center"/>
        <w:rPr>
          <w:rFonts w:hint="eastAsia"/>
          <w:b/>
          <w:bCs/>
          <w:sz w:val="32"/>
          <w:szCs w:val="32"/>
          <w:lang w:val="en-US" w:eastAsia="zh-CN"/>
        </w:rPr>
      </w:pPr>
      <w:r>
        <w:rPr>
          <w:rFonts w:hint="eastAsia"/>
          <w:b/>
          <w:bCs/>
          <w:sz w:val="32"/>
          <w:szCs w:val="32"/>
          <w:lang w:val="en-US" w:eastAsia="zh-CN"/>
        </w:rPr>
        <w:t>Content</w:t>
      </w:r>
    </w:p>
    <w:p w14:paraId="606B8292">
      <w:pPr>
        <w:spacing w:line="360" w:lineRule="auto"/>
        <w:rPr>
          <w:rFonts w:hint="eastAsia"/>
          <w:lang w:val="en-US" w:eastAsia="zh-CN"/>
        </w:rPr>
      </w:pPr>
    </w:p>
    <w:p w14:paraId="45170499">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TOC \o "1-3" \h \u </w:instrText>
      </w:r>
      <w:r>
        <w:rPr>
          <w:rFonts w:hint="default"/>
          <w:sz w:val="24"/>
          <w:szCs w:val="24"/>
          <w:lang w:val="en-US" w:eastAsia="zh-CN"/>
        </w:rPr>
        <w:fldChar w:fldCharType="separate"/>
      </w:r>
      <w:r>
        <w:rPr>
          <w:rFonts w:hint="default"/>
          <w:sz w:val="24"/>
          <w:szCs w:val="24"/>
          <w:lang w:val="en-US" w:eastAsia="zh-CN"/>
        </w:rPr>
        <w:fldChar w:fldCharType="begin"/>
      </w:r>
      <w:r>
        <w:rPr>
          <w:rFonts w:hint="default"/>
          <w:sz w:val="24"/>
          <w:szCs w:val="24"/>
          <w:lang w:val="en-US" w:eastAsia="zh-CN"/>
        </w:rPr>
        <w:instrText xml:space="preserve"> HYPERLINK \l _Toc11360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1.0 Introduction</w:t>
      </w:r>
      <w:r>
        <w:rPr>
          <w:sz w:val="24"/>
          <w:szCs w:val="24"/>
        </w:rPr>
        <w:tab/>
      </w:r>
      <w:r>
        <w:rPr>
          <w:sz w:val="24"/>
          <w:szCs w:val="24"/>
        </w:rPr>
        <w:fldChar w:fldCharType="begin"/>
      </w:r>
      <w:r>
        <w:rPr>
          <w:sz w:val="24"/>
          <w:szCs w:val="24"/>
        </w:rPr>
        <w:instrText xml:space="preserve"> PAGEREF _Toc11360 \h </w:instrText>
      </w:r>
      <w:r>
        <w:rPr>
          <w:sz w:val="24"/>
          <w:szCs w:val="24"/>
        </w:rPr>
        <w:fldChar w:fldCharType="separate"/>
      </w:r>
      <w:r>
        <w:rPr>
          <w:sz w:val="24"/>
          <w:szCs w:val="24"/>
        </w:rPr>
        <w:t>1</w:t>
      </w:r>
      <w:r>
        <w:rPr>
          <w:sz w:val="24"/>
          <w:szCs w:val="24"/>
        </w:rPr>
        <w:fldChar w:fldCharType="end"/>
      </w:r>
      <w:r>
        <w:rPr>
          <w:rFonts w:hint="default"/>
          <w:sz w:val="24"/>
          <w:szCs w:val="24"/>
          <w:lang w:val="en-US" w:eastAsia="zh-CN"/>
        </w:rPr>
        <w:fldChar w:fldCharType="end"/>
      </w:r>
    </w:p>
    <w:p w14:paraId="55BA5B96">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_Toc15185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2.0 Main Findings</w:t>
      </w:r>
      <w:r>
        <w:rPr>
          <w:sz w:val="24"/>
          <w:szCs w:val="24"/>
        </w:rPr>
        <w:tab/>
      </w:r>
      <w:r>
        <w:rPr>
          <w:sz w:val="24"/>
          <w:szCs w:val="24"/>
        </w:rPr>
        <w:fldChar w:fldCharType="begin"/>
      </w:r>
      <w:r>
        <w:rPr>
          <w:sz w:val="24"/>
          <w:szCs w:val="24"/>
        </w:rPr>
        <w:instrText xml:space="preserve"> PAGEREF _Toc15185 \h </w:instrText>
      </w:r>
      <w:r>
        <w:rPr>
          <w:sz w:val="24"/>
          <w:szCs w:val="24"/>
        </w:rPr>
        <w:fldChar w:fldCharType="separate"/>
      </w:r>
      <w:r>
        <w:rPr>
          <w:sz w:val="24"/>
          <w:szCs w:val="24"/>
        </w:rPr>
        <w:t>2</w:t>
      </w:r>
      <w:r>
        <w:rPr>
          <w:sz w:val="24"/>
          <w:szCs w:val="24"/>
        </w:rPr>
        <w:fldChar w:fldCharType="end"/>
      </w:r>
      <w:r>
        <w:rPr>
          <w:rFonts w:hint="default"/>
          <w:sz w:val="24"/>
          <w:szCs w:val="24"/>
          <w:lang w:val="en-US" w:eastAsia="zh-CN"/>
        </w:rPr>
        <w:fldChar w:fldCharType="end"/>
      </w:r>
    </w:p>
    <w:p w14:paraId="6C03253B">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_Toc18119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2.1 International Business Communication</w:t>
      </w:r>
      <w:r>
        <w:rPr>
          <w:sz w:val="24"/>
          <w:szCs w:val="24"/>
        </w:rPr>
        <w:tab/>
      </w:r>
      <w:r>
        <w:rPr>
          <w:sz w:val="24"/>
          <w:szCs w:val="24"/>
        </w:rPr>
        <w:fldChar w:fldCharType="begin"/>
      </w:r>
      <w:r>
        <w:rPr>
          <w:sz w:val="24"/>
          <w:szCs w:val="24"/>
        </w:rPr>
        <w:instrText xml:space="preserve"> PAGEREF _Toc18119 \h </w:instrText>
      </w:r>
      <w:r>
        <w:rPr>
          <w:sz w:val="24"/>
          <w:szCs w:val="24"/>
        </w:rPr>
        <w:fldChar w:fldCharType="separate"/>
      </w:r>
      <w:r>
        <w:rPr>
          <w:sz w:val="24"/>
          <w:szCs w:val="24"/>
        </w:rPr>
        <w:t>2</w:t>
      </w:r>
      <w:r>
        <w:rPr>
          <w:sz w:val="24"/>
          <w:szCs w:val="24"/>
        </w:rPr>
        <w:fldChar w:fldCharType="end"/>
      </w:r>
      <w:r>
        <w:rPr>
          <w:rFonts w:hint="default"/>
          <w:sz w:val="24"/>
          <w:szCs w:val="24"/>
          <w:lang w:val="en-US" w:eastAsia="zh-CN"/>
        </w:rPr>
        <w:fldChar w:fldCharType="end"/>
      </w:r>
    </w:p>
    <w:p w14:paraId="5ECE7148">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_Toc31158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2.1.1 Skills Requirements</w:t>
      </w:r>
      <w:r>
        <w:rPr>
          <w:sz w:val="24"/>
          <w:szCs w:val="24"/>
        </w:rPr>
        <w:tab/>
      </w:r>
      <w:r>
        <w:rPr>
          <w:sz w:val="24"/>
          <w:szCs w:val="24"/>
        </w:rPr>
        <w:fldChar w:fldCharType="begin"/>
      </w:r>
      <w:r>
        <w:rPr>
          <w:sz w:val="24"/>
          <w:szCs w:val="24"/>
        </w:rPr>
        <w:instrText xml:space="preserve"> PAGEREF _Toc31158 \h </w:instrText>
      </w:r>
      <w:r>
        <w:rPr>
          <w:sz w:val="24"/>
          <w:szCs w:val="24"/>
        </w:rPr>
        <w:fldChar w:fldCharType="separate"/>
      </w:r>
      <w:r>
        <w:rPr>
          <w:sz w:val="24"/>
          <w:szCs w:val="24"/>
        </w:rPr>
        <w:t>2</w:t>
      </w:r>
      <w:r>
        <w:rPr>
          <w:sz w:val="24"/>
          <w:szCs w:val="24"/>
        </w:rPr>
        <w:fldChar w:fldCharType="end"/>
      </w:r>
      <w:r>
        <w:rPr>
          <w:rFonts w:hint="default"/>
          <w:sz w:val="24"/>
          <w:szCs w:val="24"/>
          <w:lang w:val="en-US" w:eastAsia="zh-CN"/>
        </w:rPr>
        <w:fldChar w:fldCharType="end"/>
      </w:r>
    </w:p>
    <w:p w14:paraId="4DB93A13">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_Toc9826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2.1.2 Methods of Communication</w:t>
      </w:r>
      <w:r>
        <w:rPr>
          <w:sz w:val="24"/>
          <w:szCs w:val="24"/>
        </w:rPr>
        <w:tab/>
      </w:r>
      <w:r>
        <w:rPr>
          <w:sz w:val="24"/>
          <w:szCs w:val="24"/>
        </w:rPr>
        <w:fldChar w:fldCharType="begin"/>
      </w:r>
      <w:r>
        <w:rPr>
          <w:sz w:val="24"/>
          <w:szCs w:val="24"/>
        </w:rPr>
        <w:instrText xml:space="preserve"> PAGEREF _Toc9826 \h </w:instrText>
      </w:r>
      <w:r>
        <w:rPr>
          <w:sz w:val="24"/>
          <w:szCs w:val="24"/>
        </w:rPr>
        <w:fldChar w:fldCharType="separate"/>
      </w:r>
      <w:r>
        <w:rPr>
          <w:sz w:val="24"/>
          <w:szCs w:val="24"/>
        </w:rPr>
        <w:t>3</w:t>
      </w:r>
      <w:r>
        <w:rPr>
          <w:sz w:val="24"/>
          <w:szCs w:val="24"/>
        </w:rPr>
        <w:fldChar w:fldCharType="end"/>
      </w:r>
      <w:r>
        <w:rPr>
          <w:rFonts w:hint="default"/>
          <w:sz w:val="24"/>
          <w:szCs w:val="24"/>
          <w:lang w:val="en-US" w:eastAsia="zh-CN"/>
        </w:rPr>
        <w:fldChar w:fldCharType="end"/>
      </w:r>
    </w:p>
    <w:p w14:paraId="09501EE4">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_Toc16294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2.1.3 Effective Communication</w:t>
      </w:r>
      <w:r>
        <w:rPr>
          <w:sz w:val="24"/>
          <w:szCs w:val="24"/>
        </w:rPr>
        <w:tab/>
      </w:r>
      <w:r>
        <w:rPr>
          <w:sz w:val="24"/>
          <w:szCs w:val="24"/>
        </w:rPr>
        <w:fldChar w:fldCharType="begin"/>
      </w:r>
      <w:r>
        <w:rPr>
          <w:sz w:val="24"/>
          <w:szCs w:val="24"/>
        </w:rPr>
        <w:instrText xml:space="preserve"> PAGEREF _Toc16294 \h </w:instrText>
      </w:r>
      <w:r>
        <w:rPr>
          <w:sz w:val="24"/>
          <w:szCs w:val="24"/>
        </w:rPr>
        <w:fldChar w:fldCharType="separate"/>
      </w:r>
      <w:r>
        <w:rPr>
          <w:sz w:val="24"/>
          <w:szCs w:val="24"/>
        </w:rPr>
        <w:t>4</w:t>
      </w:r>
      <w:r>
        <w:rPr>
          <w:sz w:val="24"/>
          <w:szCs w:val="24"/>
        </w:rPr>
        <w:fldChar w:fldCharType="end"/>
      </w:r>
      <w:r>
        <w:rPr>
          <w:rFonts w:hint="default"/>
          <w:sz w:val="24"/>
          <w:szCs w:val="24"/>
          <w:lang w:val="en-US" w:eastAsia="zh-CN"/>
        </w:rPr>
        <w:fldChar w:fldCharType="end"/>
      </w:r>
    </w:p>
    <w:p w14:paraId="614D7B8E">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_Toc1779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2.2 International Culture</w:t>
      </w:r>
      <w:r>
        <w:rPr>
          <w:sz w:val="24"/>
          <w:szCs w:val="24"/>
        </w:rPr>
        <w:tab/>
      </w:r>
      <w:r>
        <w:rPr>
          <w:sz w:val="24"/>
          <w:szCs w:val="24"/>
        </w:rPr>
        <w:fldChar w:fldCharType="begin"/>
      </w:r>
      <w:r>
        <w:rPr>
          <w:sz w:val="24"/>
          <w:szCs w:val="24"/>
        </w:rPr>
        <w:instrText xml:space="preserve"> PAGEREF _Toc1779 \h </w:instrText>
      </w:r>
      <w:r>
        <w:rPr>
          <w:sz w:val="24"/>
          <w:szCs w:val="24"/>
        </w:rPr>
        <w:fldChar w:fldCharType="separate"/>
      </w:r>
      <w:r>
        <w:rPr>
          <w:sz w:val="24"/>
          <w:szCs w:val="24"/>
        </w:rPr>
        <w:t>5</w:t>
      </w:r>
      <w:r>
        <w:rPr>
          <w:sz w:val="24"/>
          <w:szCs w:val="24"/>
        </w:rPr>
        <w:fldChar w:fldCharType="end"/>
      </w:r>
      <w:r>
        <w:rPr>
          <w:rFonts w:hint="default"/>
          <w:sz w:val="24"/>
          <w:szCs w:val="24"/>
          <w:lang w:val="en-US" w:eastAsia="zh-CN"/>
        </w:rPr>
        <w:fldChar w:fldCharType="end"/>
      </w:r>
    </w:p>
    <w:p w14:paraId="5951ADC7">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_Toc25838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2.2.1 Trompenaar’s 7 dimensions to culture</w:t>
      </w:r>
      <w:r>
        <w:rPr>
          <w:sz w:val="24"/>
          <w:szCs w:val="24"/>
        </w:rPr>
        <w:tab/>
      </w:r>
      <w:r>
        <w:rPr>
          <w:sz w:val="24"/>
          <w:szCs w:val="24"/>
        </w:rPr>
        <w:fldChar w:fldCharType="begin"/>
      </w:r>
      <w:r>
        <w:rPr>
          <w:sz w:val="24"/>
          <w:szCs w:val="24"/>
        </w:rPr>
        <w:instrText xml:space="preserve"> PAGEREF _Toc25838 \h </w:instrText>
      </w:r>
      <w:r>
        <w:rPr>
          <w:sz w:val="24"/>
          <w:szCs w:val="24"/>
        </w:rPr>
        <w:fldChar w:fldCharType="separate"/>
      </w:r>
      <w:r>
        <w:rPr>
          <w:sz w:val="24"/>
          <w:szCs w:val="24"/>
        </w:rPr>
        <w:t>5</w:t>
      </w:r>
      <w:r>
        <w:rPr>
          <w:sz w:val="24"/>
          <w:szCs w:val="24"/>
        </w:rPr>
        <w:fldChar w:fldCharType="end"/>
      </w:r>
      <w:r>
        <w:rPr>
          <w:rFonts w:hint="default"/>
          <w:sz w:val="24"/>
          <w:szCs w:val="24"/>
          <w:lang w:val="en-US" w:eastAsia="zh-CN"/>
        </w:rPr>
        <w:fldChar w:fldCharType="end"/>
      </w:r>
    </w:p>
    <w:p w14:paraId="2250F47A">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_Toc10180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2.2.2 Hofstede’s cultural dimensions theory</w:t>
      </w:r>
      <w:r>
        <w:rPr>
          <w:sz w:val="24"/>
          <w:szCs w:val="24"/>
        </w:rPr>
        <w:tab/>
      </w:r>
      <w:r>
        <w:rPr>
          <w:sz w:val="24"/>
          <w:szCs w:val="24"/>
        </w:rPr>
        <w:fldChar w:fldCharType="begin"/>
      </w:r>
      <w:r>
        <w:rPr>
          <w:sz w:val="24"/>
          <w:szCs w:val="24"/>
        </w:rPr>
        <w:instrText xml:space="preserve"> PAGEREF _Toc10180 \h </w:instrText>
      </w:r>
      <w:r>
        <w:rPr>
          <w:sz w:val="24"/>
          <w:szCs w:val="24"/>
        </w:rPr>
        <w:fldChar w:fldCharType="separate"/>
      </w:r>
      <w:r>
        <w:rPr>
          <w:sz w:val="24"/>
          <w:szCs w:val="24"/>
        </w:rPr>
        <w:t>5</w:t>
      </w:r>
      <w:r>
        <w:rPr>
          <w:sz w:val="24"/>
          <w:szCs w:val="24"/>
        </w:rPr>
        <w:fldChar w:fldCharType="end"/>
      </w:r>
      <w:r>
        <w:rPr>
          <w:rFonts w:hint="default"/>
          <w:sz w:val="24"/>
          <w:szCs w:val="24"/>
          <w:lang w:val="en-US" w:eastAsia="zh-CN"/>
        </w:rPr>
        <w:fldChar w:fldCharType="end"/>
      </w:r>
    </w:p>
    <w:p w14:paraId="2B65C95B">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_Toc8097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2.3 Importance of Building Relationships</w:t>
      </w:r>
      <w:r>
        <w:rPr>
          <w:sz w:val="24"/>
          <w:szCs w:val="24"/>
        </w:rPr>
        <w:tab/>
      </w:r>
      <w:r>
        <w:rPr>
          <w:sz w:val="24"/>
          <w:szCs w:val="24"/>
        </w:rPr>
        <w:fldChar w:fldCharType="begin"/>
      </w:r>
      <w:r>
        <w:rPr>
          <w:sz w:val="24"/>
          <w:szCs w:val="24"/>
        </w:rPr>
        <w:instrText xml:space="preserve"> PAGEREF _Toc8097 \h </w:instrText>
      </w:r>
      <w:r>
        <w:rPr>
          <w:sz w:val="24"/>
          <w:szCs w:val="24"/>
        </w:rPr>
        <w:fldChar w:fldCharType="separate"/>
      </w:r>
      <w:r>
        <w:rPr>
          <w:sz w:val="24"/>
          <w:szCs w:val="24"/>
        </w:rPr>
        <w:t>6</w:t>
      </w:r>
      <w:r>
        <w:rPr>
          <w:sz w:val="24"/>
          <w:szCs w:val="24"/>
        </w:rPr>
        <w:fldChar w:fldCharType="end"/>
      </w:r>
      <w:r>
        <w:rPr>
          <w:rFonts w:hint="default"/>
          <w:sz w:val="24"/>
          <w:szCs w:val="24"/>
          <w:lang w:val="en-US" w:eastAsia="zh-CN"/>
        </w:rPr>
        <w:fldChar w:fldCharType="end"/>
      </w:r>
    </w:p>
    <w:p w14:paraId="6C1D5EF9">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_Toc13023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2.3.1 How to build Trust</w:t>
      </w:r>
      <w:r>
        <w:rPr>
          <w:sz w:val="24"/>
          <w:szCs w:val="24"/>
        </w:rPr>
        <w:tab/>
      </w:r>
      <w:r>
        <w:rPr>
          <w:sz w:val="24"/>
          <w:szCs w:val="24"/>
        </w:rPr>
        <w:fldChar w:fldCharType="begin"/>
      </w:r>
      <w:r>
        <w:rPr>
          <w:sz w:val="24"/>
          <w:szCs w:val="24"/>
        </w:rPr>
        <w:instrText xml:space="preserve"> PAGEREF _Toc13023 \h </w:instrText>
      </w:r>
      <w:r>
        <w:rPr>
          <w:sz w:val="24"/>
          <w:szCs w:val="24"/>
        </w:rPr>
        <w:fldChar w:fldCharType="separate"/>
      </w:r>
      <w:r>
        <w:rPr>
          <w:sz w:val="24"/>
          <w:szCs w:val="24"/>
        </w:rPr>
        <w:t>6</w:t>
      </w:r>
      <w:r>
        <w:rPr>
          <w:sz w:val="24"/>
          <w:szCs w:val="24"/>
        </w:rPr>
        <w:fldChar w:fldCharType="end"/>
      </w:r>
      <w:r>
        <w:rPr>
          <w:rFonts w:hint="default"/>
          <w:sz w:val="24"/>
          <w:szCs w:val="24"/>
          <w:lang w:val="en-US" w:eastAsia="zh-CN"/>
        </w:rPr>
        <w:fldChar w:fldCharType="end"/>
      </w:r>
    </w:p>
    <w:p w14:paraId="02C6C464">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_Toc5334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2.3.2 Failed Relationships</w:t>
      </w:r>
      <w:r>
        <w:rPr>
          <w:sz w:val="24"/>
          <w:szCs w:val="24"/>
        </w:rPr>
        <w:tab/>
      </w:r>
      <w:r>
        <w:rPr>
          <w:sz w:val="24"/>
          <w:szCs w:val="24"/>
        </w:rPr>
        <w:fldChar w:fldCharType="begin"/>
      </w:r>
      <w:r>
        <w:rPr>
          <w:sz w:val="24"/>
          <w:szCs w:val="24"/>
        </w:rPr>
        <w:instrText xml:space="preserve"> PAGEREF _Toc5334 \h </w:instrText>
      </w:r>
      <w:r>
        <w:rPr>
          <w:sz w:val="24"/>
          <w:szCs w:val="24"/>
        </w:rPr>
        <w:fldChar w:fldCharType="separate"/>
      </w:r>
      <w:r>
        <w:rPr>
          <w:sz w:val="24"/>
          <w:szCs w:val="24"/>
        </w:rPr>
        <w:t>7</w:t>
      </w:r>
      <w:r>
        <w:rPr>
          <w:sz w:val="24"/>
          <w:szCs w:val="24"/>
        </w:rPr>
        <w:fldChar w:fldCharType="end"/>
      </w:r>
      <w:r>
        <w:rPr>
          <w:rFonts w:hint="default"/>
          <w:sz w:val="24"/>
          <w:szCs w:val="24"/>
          <w:lang w:val="en-US" w:eastAsia="zh-CN"/>
        </w:rPr>
        <w:fldChar w:fldCharType="end"/>
      </w:r>
    </w:p>
    <w:p w14:paraId="7DD97499">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_Toc14160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3.0 Conclusions</w:t>
      </w:r>
      <w:r>
        <w:rPr>
          <w:sz w:val="24"/>
          <w:szCs w:val="24"/>
        </w:rPr>
        <w:tab/>
      </w:r>
      <w:r>
        <w:rPr>
          <w:sz w:val="24"/>
          <w:szCs w:val="24"/>
        </w:rPr>
        <w:fldChar w:fldCharType="begin"/>
      </w:r>
      <w:r>
        <w:rPr>
          <w:sz w:val="24"/>
          <w:szCs w:val="24"/>
        </w:rPr>
        <w:instrText xml:space="preserve"> PAGEREF _Toc14160 \h </w:instrText>
      </w:r>
      <w:r>
        <w:rPr>
          <w:sz w:val="24"/>
          <w:szCs w:val="24"/>
        </w:rPr>
        <w:fldChar w:fldCharType="separate"/>
      </w:r>
      <w:r>
        <w:rPr>
          <w:sz w:val="24"/>
          <w:szCs w:val="24"/>
        </w:rPr>
        <w:t>8</w:t>
      </w:r>
      <w:r>
        <w:rPr>
          <w:sz w:val="24"/>
          <w:szCs w:val="24"/>
        </w:rPr>
        <w:fldChar w:fldCharType="end"/>
      </w:r>
      <w:r>
        <w:rPr>
          <w:rFonts w:hint="default"/>
          <w:sz w:val="24"/>
          <w:szCs w:val="24"/>
          <w:lang w:val="en-US" w:eastAsia="zh-CN"/>
        </w:rPr>
        <w:fldChar w:fldCharType="end"/>
      </w:r>
    </w:p>
    <w:p w14:paraId="4784FA97">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_Toc25716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4.0 Recommendations</w:t>
      </w:r>
      <w:r>
        <w:rPr>
          <w:sz w:val="24"/>
          <w:szCs w:val="24"/>
        </w:rPr>
        <w:tab/>
      </w:r>
      <w:r>
        <w:rPr>
          <w:sz w:val="24"/>
          <w:szCs w:val="24"/>
        </w:rPr>
        <w:fldChar w:fldCharType="begin"/>
      </w:r>
      <w:r>
        <w:rPr>
          <w:sz w:val="24"/>
          <w:szCs w:val="24"/>
        </w:rPr>
        <w:instrText xml:space="preserve"> PAGEREF _Toc25716 \h </w:instrText>
      </w:r>
      <w:r>
        <w:rPr>
          <w:sz w:val="24"/>
          <w:szCs w:val="24"/>
        </w:rPr>
        <w:fldChar w:fldCharType="separate"/>
      </w:r>
      <w:r>
        <w:rPr>
          <w:sz w:val="24"/>
          <w:szCs w:val="24"/>
        </w:rPr>
        <w:t>9</w:t>
      </w:r>
      <w:r>
        <w:rPr>
          <w:sz w:val="24"/>
          <w:szCs w:val="24"/>
        </w:rPr>
        <w:fldChar w:fldCharType="end"/>
      </w:r>
      <w:r>
        <w:rPr>
          <w:rFonts w:hint="default"/>
          <w:sz w:val="24"/>
          <w:szCs w:val="24"/>
          <w:lang w:val="en-US" w:eastAsia="zh-CN"/>
        </w:rPr>
        <w:fldChar w:fldCharType="end"/>
      </w:r>
    </w:p>
    <w:p w14:paraId="661F96C2">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_Toc5700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4.1 Attach importance to the ability of employees and enhance enterprise trust</w:t>
      </w:r>
      <w:r>
        <w:rPr>
          <w:sz w:val="24"/>
          <w:szCs w:val="24"/>
        </w:rPr>
        <w:tab/>
      </w:r>
      <w:r>
        <w:rPr>
          <w:sz w:val="24"/>
          <w:szCs w:val="24"/>
        </w:rPr>
        <w:fldChar w:fldCharType="begin"/>
      </w:r>
      <w:r>
        <w:rPr>
          <w:sz w:val="24"/>
          <w:szCs w:val="24"/>
        </w:rPr>
        <w:instrText xml:space="preserve"> PAGEREF _Toc5700 \h </w:instrText>
      </w:r>
      <w:r>
        <w:rPr>
          <w:sz w:val="24"/>
          <w:szCs w:val="24"/>
        </w:rPr>
        <w:fldChar w:fldCharType="separate"/>
      </w:r>
      <w:r>
        <w:rPr>
          <w:sz w:val="24"/>
          <w:szCs w:val="24"/>
        </w:rPr>
        <w:t>9</w:t>
      </w:r>
      <w:r>
        <w:rPr>
          <w:sz w:val="24"/>
          <w:szCs w:val="24"/>
        </w:rPr>
        <w:fldChar w:fldCharType="end"/>
      </w:r>
      <w:r>
        <w:rPr>
          <w:rFonts w:hint="default"/>
          <w:sz w:val="24"/>
          <w:szCs w:val="24"/>
          <w:lang w:val="en-US" w:eastAsia="zh-CN"/>
        </w:rPr>
        <w:fldChar w:fldCharType="end"/>
      </w:r>
    </w:p>
    <w:p w14:paraId="5183AB53">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_Toc12364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4.2 Publicize the corporate culture and build a positive image</w:t>
      </w:r>
      <w:r>
        <w:rPr>
          <w:sz w:val="24"/>
          <w:szCs w:val="24"/>
        </w:rPr>
        <w:tab/>
      </w:r>
      <w:r>
        <w:rPr>
          <w:sz w:val="24"/>
          <w:szCs w:val="24"/>
        </w:rPr>
        <w:fldChar w:fldCharType="begin"/>
      </w:r>
      <w:r>
        <w:rPr>
          <w:sz w:val="24"/>
          <w:szCs w:val="24"/>
        </w:rPr>
        <w:instrText xml:space="preserve"> PAGEREF _Toc12364 \h </w:instrText>
      </w:r>
      <w:r>
        <w:rPr>
          <w:sz w:val="24"/>
          <w:szCs w:val="24"/>
        </w:rPr>
        <w:fldChar w:fldCharType="separate"/>
      </w:r>
      <w:r>
        <w:rPr>
          <w:sz w:val="24"/>
          <w:szCs w:val="24"/>
        </w:rPr>
        <w:t>9</w:t>
      </w:r>
      <w:r>
        <w:rPr>
          <w:sz w:val="24"/>
          <w:szCs w:val="24"/>
        </w:rPr>
        <w:fldChar w:fldCharType="end"/>
      </w:r>
      <w:r>
        <w:rPr>
          <w:rFonts w:hint="default"/>
          <w:sz w:val="24"/>
          <w:szCs w:val="24"/>
          <w:lang w:val="en-US" w:eastAsia="zh-CN"/>
        </w:rPr>
        <w:fldChar w:fldCharType="end"/>
      </w:r>
    </w:p>
    <w:p w14:paraId="0E0329D6">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_Toc571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Reference</w:t>
      </w:r>
      <w:r>
        <w:rPr>
          <w:sz w:val="24"/>
          <w:szCs w:val="24"/>
        </w:rPr>
        <w:tab/>
      </w:r>
      <w:r>
        <w:rPr>
          <w:sz w:val="24"/>
          <w:szCs w:val="24"/>
        </w:rPr>
        <w:fldChar w:fldCharType="begin"/>
      </w:r>
      <w:r>
        <w:rPr>
          <w:sz w:val="24"/>
          <w:szCs w:val="24"/>
        </w:rPr>
        <w:instrText xml:space="preserve"> PAGEREF _Toc571 \h </w:instrText>
      </w:r>
      <w:r>
        <w:rPr>
          <w:sz w:val="24"/>
          <w:szCs w:val="24"/>
        </w:rPr>
        <w:fldChar w:fldCharType="separate"/>
      </w:r>
      <w:r>
        <w:rPr>
          <w:sz w:val="24"/>
          <w:szCs w:val="24"/>
        </w:rPr>
        <w:t>10</w:t>
      </w:r>
      <w:r>
        <w:rPr>
          <w:sz w:val="24"/>
          <w:szCs w:val="24"/>
        </w:rPr>
        <w:fldChar w:fldCharType="end"/>
      </w:r>
      <w:r>
        <w:rPr>
          <w:rFonts w:hint="default"/>
          <w:sz w:val="24"/>
          <w:szCs w:val="24"/>
          <w:lang w:val="en-US" w:eastAsia="zh-CN"/>
        </w:rPr>
        <w:fldChar w:fldCharType="end"/>
      </w:r>
    </w:p>
    <w:p w14:paraId="4EC4BDA4">
      <w:pPr>
        <w:spacing w:line="360" w:lineRule="auto"/>
        <w:rPr>
          <w:rFonts w:hint="default"/>
          <w:lang w:val="en-US" w:eastAsia="zh-CN"/>
        </w:rPr>
        <w:sectPr>
          <w:pgSz w:w="11906" w:h="16838"/>
          <w:pgMar w:top="1440" w:right="1800" w:bottom="1440" w:left="1800" w:header="851" w:footer="992" w:gutter="0"/>
          <w:cols w:space="0" w:num="1"/>
          <w:rtlGutter w:val="0"/>
          <w:docGrid w:type="lines" w:linePitch="312" w:charSpace="0"/>
        </w:sectPr>
      </w:pPr>
      <w:r>
        <w:rPr>
          <w:rFonts w:hint="default"/>
          <w:sz w:val="24"/>
          <w:szCs w:val="24"/>
          <w:lang w:val="en-US" w:eastAsia="zh-CN"/>
        </w:rPr>
        <w:fldChar w:fldCharType="end"/>
      </w:r>
    </w:p>
    <w:p w14:paraId="791570DA">
      <w:pPr>
        <w:pStyle w:val="2"/>
        <w:bidi w:val="0"/>
        <w:spacing w:line="360" w:lineRule="auto"/>
        <w:rPr>
          <w:rFonts w:hint="default" w:ascii="Times New Roman" w:hAnsi="Times New Roman" w:cs="Times New Roman"/>
          <w:sz w:val="28"/>
          <w:szCs w:val="28"/>
          <w:lang w:val="en-US" w:eastAsia="zh-CN"/>
        </w:rPr>
      </w:pPr>
      <w:bookmarkStart w:id="0" w:name="_Toc11360"/>
      <w:r>
        <w:rPr>
          <w:rFonts w:hint="default" w:ascii="Times New Roman" w:hAnsi="Times New Roman" w:cs="Times New Roman"/>
          <w:sz w:val="28"/>
          <w:szCs w:val="28"/>
          <w:lang w:val="en-US" w:eastAsia="zh-CN"/>
        </w:rPr>
        <w:t>1.0 Introduction</w:t>
      </w:r>
      <w:bookmarkEnd w:id="0"/>
    </w:p>
    <w:p w14:paraId="409A512D">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majority of foreign company operations revolve around communication. Communication plays a key role in the creation, management, leadership, and dissolution of organizations. It facilitates knowledge sharing, connection building and maintenance, deal negotiation, and partnership formation and maintenance.</w:t>
      </w:r>
      <w:r>
        <w:rPr>
          <w:rFonts w:hint="eastAsia"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importance of effective communication in the operations of multinational organizations is becoming more widely acknowledged. international companies. (2020, Szkudlarek) Intercultural communication is therefore becoming increasingly crucial in international business as globalization continues to grow. Various viewpoints on the value of international business communication in fostering connections with foreign partners will be presented in this paper.</w:t>
      </w:r>
    </w:p>
    <w:p w14:paraId="5AE583F9">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p>
    <w:p w14:paraId="175AD409">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Clothing retailers who want to use business communication skills in their worldwide growth operations are examined in this </w:t>
      </w:r>
      <w:r>
        <w:rPr>
          <w:rFonts w:hint="eastAsia" w:cs="Times New Roman"/>
          <w:b w:val="0"/>
          <w:bCs w:val="0"/>
          <w:sz w:val="24"/>
          <w:szCs w:val="24"/>
          <w:highlight w:val="none"/>
          <w:lang w:val="en-US" w:eastAsia="zh-CN"/>
        </w:rPr>
        <w:t>report</w:t>
      </w:r>
      <w:r>
        <w:rPr>
          <w:rFonts w:hint="default" w:ascii="Times New Roman" w:hAnsi="Times New Roman" w:cs="Times New Roman"/>
          <w:b w:val="0"/>
          <w:bCs w:val="0"/>
          <w:sz w:val="24"/>
          <w:szCs w:val="24"/>
          <w:highlight w:val="none"/>
          <w:lang w:val="en-US" w:eastAsia="zh-CN"/>
        </w:rPr>
        <w:t>, which also identifies potential issues with international communication and offers workable answers. Through the creation of a cultural identity and the adaptation of various communication styles, this report will help businesses understand the value of international communication for their global expansion and the strategies for preventing or quickly resolving cross-cultural barriers. In addition, this research will highlight potential issues with businesses' international business communications and offer remedies appropriately. Multinational firms and associated industries will therefore find this technology beneficial.</w:t>
      </w:r>
    </w:p>
    <w:p w14:paraId="1F1A366B">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p>
    <w:p w14:paraId="58C8647D">
      <w:pPr>
        <w:widowControl w:val="0"/>
        <w:numPr>
          <w:ilvl w:val="0"/>
          <w:numId w:val="0"/>
        </w:numPr>
        <w:spacing w:line="360" w:lineRule="auto"/>
        <w:jc w:val="both"/>
        <w:rPr>
          <w:rFonts w:hint="default" w:ascii="Times New Roman" w:hAnsi="Times New Roman" w:eastAsia="宋体" w:cs="Times New Roman"/>
          <w:b/>
          <w:bCs/>
          <w:sz w:val="24"/>
          <w:szCs w:val="24"/>
          <w:lang w:val="en-US" w:eastAsia="zh-CN"/>
        </w:rPr>
      </w:pPr>
      <w:r>
        <w:rPr>
          <w:rFonts w:hint="eastAsia" w:cs="Times New Roman"/>
          <w:b w:val="0"/>
          <w:bCs w:val="0"/>
          <w:sz w:val="24"/>
          <w:szCs w:val="24"/>
          <w:highlight w:val="none"/>
          <w:lang w:val="en-US" w:eastAsia="zh-CN"/>
        </w:rPr>
        <w:t xml:space="preserve">This report will be analyzed mainly using the following models. </w:t>
      </w:r>
      <w:r>
        <w:rPr>
          <w:rFonts w:hint="default" w:ascii="Times New Roman" w:hAnsi="Times New Roman" w:cs="Times New Roman"/>
          <w:b w:val="0"/>
          <w:bCs w:val="0"/>
          <w:sz w:val="24"/>
          <w:szCs w:val="24"/>
          <w:highlight w:val="none"/>
          <w:lang w:val="en-US" w:eastAsia="zh-CN"/>
        </w:rPr>
        <w:t>The Hall High-Low Theory, Trompenaar's Seven Dimensions of Culture, and Hofstede's Cultural Dimensions Theory are the primary theoretical models utilized in this paper. In order for organizations to employ effective communication styles in the workplace, these theoretical models can assist them in understanding how national cultures affect social behaviors, management styles, and interpersonal interactions.</w:t>
      </w:r>
      <w:r>
        <w:rPr>
          <w:rFonts w:hint="default" w:ascii="Times New Roman" w:hAnsi="Times New Roman" w:eastAsia="宋体" w:cs="Times New Roman"/>
          <w:b/>
          <w:bCs/>
          <w:sz w:val="24"/>
          <w:szCs w:val="24"/>
          <w:lang w:val="en-US" w:eastAsia="zh-CN"/>
        </w:rPr>
        <w:br w:type="page"/>
      </w:r>
    </w:p>
    <w:p w14:paraId="4E25EEA2">
      <w:pPr>
        <w:pStyle w:val="2"/>
        <w:bidi w:val="0"/>
        <w:spacing w:line="360" w:lineRule="auto"/>
        <w:rPr>
          <w:rFonts w:hint="default" w:ascii="Times New Roman" w:hAnsi="Times New Roman" w:cs="Times New Roman"/>
          <w:b/>
          <w:bCs/>
          <w:sz w:val="28"/>
          <w:szCs w:val="28"/>
          <w:highlight w:val="none"/>
          <w:lang w:val="en-US" w:eastAsia="zh-CN"/>
        </w:rPr>
      </w:pPr>
      <w:bookmarkStart w:id="1" w:name="_Toc15185"/>
      <w:r>
        <w:rPr>
          <w:rFonts w:hint="default" w:ascii="Times New Roman" w:hAnsi="Times New Roman" w:cs="Times New Roman"/>
          <w:sz w:val="28"/>
          <w:szCs w:val="28"/>
          <w:lang w:val="en-US" w:eastAsia="zh-CN"/>
        </w:rPr>
        <w:t>2.0 Main Findings</w:t>
      </w:r>
      <w:bookmarkEnd w:id="1"/>
    </w:p>
    <w:p w14:paraId="441E966E">
      <w:pPr>
        <w:pStyle w:val="3"/>
        <w:bidi w:val="0"/>
        <w:spacing w:line="360" w:lineRule="auto"/>
        <w:rPr>
          <w:rFonts w:hint="default" w:ascii="Times New Roman" w:hAnsi="Times New Roman" w:cs="Times New Roman"/>
          <w:b w:val="0"/>
          <w:bCs w:val="0"/>
          <w:sz w:val="28"/>
          <w:szCs w:val="28"/>
          <w:highlight w:val="none"/>
          <w:lang w:val="en-US" w:eastAsia="zh-CN"/>
        </w:rPr>
      </w:pPr>
      <w:bookmarkStart w:id="2" w:name="_Toc18119"/>
      <w:r>
        <w:rPr>
          <w:rFonts w:hint="default" w:ascii="Times New Roman" w:hAnsi="Times New Roman" w:cs="Times New Roman"/>
          <w:sz w:val="28"/>
          <w:szCs w:val="28"/>
          <w:lang w:val="en-US" w:eastAsia="zh-CN"/>
        </w:rPr>
        <w:t>2.1 International Business Communication</w:t>
      </w:r>
      <w:bookmarkEnd w:id="2"/>
    </w:p>
    <w:p w14:paraId="3998A3F3">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terms of international business communication, it refers to that in the process of international business activities, enterprises need to exchange information and resources with their customers through the form of communication. Meanwhile, international business communication is also a business tool and business strategy. The correct use of it can help enterprises to reduce communication resistance in the process of international trade and avoid economic losses caused by cultural differences.  </w:t>
      </w:r>
    </w:p>
    <w:p w14:paraId="22275068">
      <w:pPr>
        <w:spacing w:line="360" w:lineRule="auto"/>
        <w:jc w:val="both"/>
        <w:rPr>
          <w:rFonts w:hint="default" w:ascii="Times New Roman" w:hAnsi="Times New Roman" w:cs="Times New Roman"/>
          <w:b w:val="0"/>
          <w:bCs w:val="0"/>
          <w:sz w:val="24"/>
          <w:szCs w:val="24"/>
          <w:highlight w:val="none"/>
          <w:lang w:val="en-US" w:eastAsia="zh-CN"/>
        </w:rPr>
      </w:pPr>
    </w:p>
    <w:p w14:paraId="05D51375">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When a company wants to enter Asian markets, it's critical to understand how crucial intercultural communication is to the expansion process.</w:t>
      </w:r>
      <w:r>
        <w:rPr>
          <w:rFonts w:hint="eastAsia"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Oland (2024) highlights how difficult it is to research multicultural communication in a global commercial setting. This viewpoint not only highlights the value of intercultural communication, but also makes clear that other pertinent variables are just as important for businesses when it comes to international trade. Therefore, in order to prevent communication and exchange issues brought on by cultural differences, we should become familiar with the pertinent cultural information of our partners when conducting international expansion activities. Additionally, businesses can create a more focused market strategy and product program and accomplish more seamless international expansion by better understanding the cultural traits of the target market and consumer demand through effective cross-cultural communication. As a result, a key component of global trade is international business communication.</w:t>
      </w:r>
    </w:p>
    <w:p w14:paraId="6AF07C59">
      <w:pPr>
        <w:pStyle w:val="4"/>
        <w:bidi w:val="0"/>
        <w:spacing w:line="360" w:lineRule="auto"/>
        <w:rPr>
          <w:rFonts w:hint="default" w:ascii="Times New Roman" w:hAnsi="Times New Roman" w:cs="Times New Roman"/>
          <w:b w:val="0"/>
          <w:bCs w:val="0"/>
          <w:sz w:val="28"/>
          <w:szCs w:val="28"/>
          <w:highlight w:val="none"/>
          <w:lang w:val="en-US" w:eastAsia="zh-CN"/>
        </w:rPr>
      </w:pPr>
      <w:bookmarkStart w:id="3" w:name="_Toc31158"/>
      <w:r>
        <w:rPr>
          <w:rFonts w:hint="default" w:ascii="Times New Roman" w:hAnsi="Times New Roman" w:cs="Times New Roman"/>
          <w:sz w:val="28"/>
          <w:szCs w:val="28"/>
          <w:lang w:val="en-US" w:eastAsia="zh-CN"/>
        </w:rPr>
        <w:t>2.1.1 Skills Requirements</w:t>
      </w:r>
      <w:bookmarkEnd w:id="3"/>
    </w:p>
    <w:p w14:paraId="3DAA12E2">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It takes certain abilities to become proficient in and make effective use of international business communication as a tool.</w:t>
      </w:r>
      <w:r>
        <w:rPr>
          <w:rFonts w:hint="eastAsia"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According to Ursu (2024), businesses should use sample analysis to learn how to tell stories in corporate communication. The primary sample in Ursu's study was students, which limits the study's breadth. An expanded sample would make the findings more compelling. However, in order to prevent the use of storytelling as a communication tool that could result in disastrous commercial cooperation, firms should first take into account the cultural backgrounds of both sides.</w:t>
      </w:r>
    </w:p>
    <w:p w14:paraId="51ED5A78">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p>
    <w:p w14:paraId="1FB5839A">
      <w:pPr>
        <w:numPr>
          <w:ilvl w:val="0"/>
          <w:numId w:val="1"/>
        </w:numPr>
        <w:spacing w:line="360" w:lineRule="auto"/>
        <w:ind w:left="425" w:leftChars="0" w:hanging="425" w:firstLineChars="0"/>
        <w:jc w:val="both"/>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Language skill</w:t>
      </w:r>
    </w:p>
    <w:p w14:paraId="3C764800">
      <w:pPr>
        <w:spacing w:line="360" w:lineRule="auto"/>
        <w:jc w:val="both"/>
        <w:rPr>
          <w:rFonts w:hint="default" w:ascii="Times New Roman" w:hAnsi="Times New Roman" w:cs="Times New Roman"/>
          <w:b w:val="0"/>
          <w:bCs w:val="0"/>
          <w:sz w:val="24"/>
          <w:szCs w:val="24"/>
          <w:highlight w:val="none"/>
          <w:u w:val="none" w:color="auto"/>
          <w:lang w:val="en-US" w:eastAsia="zh-CN"/>
        </w:rPr>
      </w:pPr>
      <w:r>
        <w:rPr>
          <w:rFonts w:hint="default" w:ascii="Times New Roman" w:hAnsi="Times New Roman" w:cs="Times New Roman"/>
          <w:b w:val="0"/>
          <w:bCs w:val="0"/>
          <w:sz w:val="24"/>
          <w:szCs w:val="24"/>
          <w:highlight w:val="none"/>
          <w:u w:val="none" w:color="auto"/>
          <w:lang w:val="en-US" w:eastAsia="zh-CN"/>
        </w:rPr>
        <w:t>According to Bodomo and Che (2020), intercultural business transactions necessitate the use of comprehensible language as a communication medium between the business entities and their prospective clients or customers. Thus, language is essential to conducting business effectively (Adanlawo, 2020). Language is utilized as a communication medium in a variety of ways to accommodate or communicate with all groups in commercial transactions, according to Ai et al. (2019). As a result, the language serves as a bridge for international business communication.</w:t>
      </w:r>
    </w:p>
    <w:p w14:paraId="560987BC">
      <w:pPr>
        <w:spacing w:line="360" w:lineRule="auto"/>
        <w:jc w:val="both"/>
        <w:rPr>
          <w:rFonts w:hint="default" w:ascii="Times New Roman" w:hAnsi="Times New Roman" w:cs="Times New Roman"/>
          <w:b w:val="0"/>
          <w:bCs w:val="0"/>
          <w:sz w:val="24"/>
          <w:szCs w:val="24"/>
          <w:highlight w:val="none"/>
          <w:lang w:val="en-US" w:eastAsia="zh-CN"/>
        </w:rPr>
      </w:pPr>
    </w:p>
    <w:p w14:paraId="2573FFD2">
      <w:pPr>
        <w:numPr>
          <w:ilvl w:val="0"/>
          <w:numId w:val="1"/>
        </w:numPr>
        <w:spacing w:line="360" w:lineRule="auto"/>
        <w:ind w:left="425" w:leftChars="0" w:hanging="425" w:firstLineChars="0"/>
        <w:jc w:val="both"/>
        <w:rPr>
          <w:rFonts w:hint="default" w:ascii="Times New Roman" w:hAnsi="Times New Roman" w:cs="Times New Roman"/>
          <w:b/>
          <w:bCs/>
          <w:sz w:val="24"/>
          <w:szCs w:val="24"/>
          <w:highlight w:val="none"/>
          <w:u w:val="none" w:color="auto"/>
          <w:lang w:val="en-US" w:eastAsia="zh-CN"/>
        </w:rPr>
      </w:pPr>
      <w:r>
        <w:rPr>
          <w:rFonts w:hint="default" w:ascii="Times New Roman" w:hAnsi="Times New Roman" w:cs="Times New Roman"/>
          <w:b/>
          <w:bCs/>
          <w:sz w:val="24"/>
          <w:szCs w:val="24"/>
          <w:highlight w:val="none"/>
          <w:u w:val="none" w:color="auto"/>
          <w:lang w:val="en-US" w:eastAsia="zh-CN"/>
        </w:rPr>
        <w:t>Familiar with the business negotiating knowledge and skills</w:t>
      </w:r>
    </w:p>
    <w:p w14:paraId="2536EB76">
      <w:pPr>
        <w:spacing w:line="360" w:lineRule="auto"/>
        <w:jc w:val="both"/>
        <w:rPr>
          <w:rFonts w:hint="default" w:ascii="Times New Roman" w:hAnsi="Times New Roman" w:cs="Times New Roman"/>
          <w:b w:val="0"/>
          <w:bCs w:val="0"/>
          <w:sz w:val="24"/>
          <w:szCs w:val="24"/>
          <w:highlight w:val="none"/>
          <w:u w:val="none" w:color="auto"/>
          <w:lang w:val="en-US" w:eastAsia="zh-CN"/>
        </w:rPr>
      </w:pPr>
      <w:r>
        <w:rPr>
          <w:rFonts w:hint="default" w:ascii="Times New Roman" w:hAnsi="Times New Roman" w:cs="Times New Roman"/>
          <w:b w:val="0"/>
          <w:bCs w:val="0"/>
          <w:sz w:val="24"/>
          <w:szCs w:val="24"/>
          <w:highlight w:val="none"/>
          <w:u w:val="none" w:color="auto"/>
          <w:lang w:val="en-US" w:eastAsia="zh-CN"/>
        </w:rPr>
        <w:t>Negotiation is a communication skill that businesses need to have.International business negotiation is a crucial communication ability, as demonstrated by Zhang Jing and Shi Yeli (2017).According to David Conrad and Robert Newberry (2011), business negotiations are an essential component of corporate communication. First and foremost, businesses that engage in international trade must acknowledge the significance of negotiation abilities in commercial communication. Second, in order to guarantee the seamless execution of collaboration, it is imperative that businesses set up sophisticated and successful negotiating processes through expert staff training and personnel counseling. Thus, the ability to negotiate effectively is one of the key competencies in international business communication.</w:t>
      </w:r>
    </w:p>
    <w:p w14:paraId="377BA409">
      <w:pPr>
        <w:spacing w:line="360" w:lineRule="auto"/>
        <w:jc w:val="both"/>
        <w:rPr>
          <w:rFonts w:hint="default" w:ascii="Times New Roman" w:hAnsi="Times New Roman" w:cs="Times New Roman"/>
          <w:b w:val="0"/>
          <w:bCs w:val="0"/>
          <w:sz w:val="24"/>
          <w:szCs w:val="24"/>
          <w:highlight w:val="none"/>
          <w:u w:val="none" w:color="auto"/>
          <w:lang w:val="en-US" w:eastAsia="zh-CN"/>
        </w:rPr>
      </w:pPr>
    </w:p>
    <w:p w14:paraId="1D3A203A">
      <w:pPr>
        <w:numPr>
          <w:ilvl w:val="0"/>
          <w:numId w:val="1"/>
        </w:numPr>
        <w:spacing w:line="360" w:lineRule="auto"/>
        <w:ind w:left="425" w:leftChars="0" w:hanging="425" w:firstLineChars="0"/>
        <w:jc w:val="both"/>
        <w:rPr>
          <w:rFonts w:hint="default" w:ascii="Times New Roman" w:hAnsi="Times New Roman" w:cs="Times New Roman"/>
          <w:b/>
          <w:bCs/>
          <w:sz w:val="24"/>
          <w:szCs w:val="24"/>
          <w:highlight w:val="none"/>
          <w:u w:val="none" w:color="auto"/>
          <w:lang w:val="en-US" w:eastAsia="zh-CN"/>
        </w:rPr>
      </w:pPr>
      <w:r>
        <w:rPr>
          <w:rFonts w:hint="default" w:ascii="Times New Roman" w:hAnsi="Times New Roman" w:cs="Times New Roman"/>
          <w:b/>
          <w:bCs/>
          <w:sz w:val="24"/>
          <w:szCs w:val="24"/>
          <w:highlight w:val="none"/>
          <w:u w:val="none" w:color="auto"/>
          <w:lang w:val="en-US" w:eastAsia="zh-CN"/>
        </w:rPr>
        <w:t>Familiar with the business rules in official business occasion</w:t>
      </w:r>
    </w:p>
    <w:p w14:paraId="3B001693">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u w:val="none" w:color="auto"/>
          <w:lang w:val="en-US" w:eastAsia="zh-CN"/>
        </w:rPr>
        <w:t>Additionally, businesses must educate themselves on proper business communication etiquette in formal business settings.According to Carmine Gallo (2022), a strong leader must communicate in a straightforward and succinct manner. This point of view is helpful in assisting organizations in realizing that while communicating for international expansion, the message should be clear and succinct. However, in order to establish positive relationships, communicators in formal corporate settings should not just speak simply but also act with decency and respect. Thus, appropriate corporate communication etiquette can facilitate communication and guarantee seamless collaboration.</w:t>
      </w:r>
    </w:p>
    <w:p w14:paraId="7C532178">
      <w:pPr>
        <w:pStyle w:val="4"/>
        <w:bidi w:val="0"/>
        <w:spacing w:line="360" w:lineRule="auto"/>
        <w:rPr>
          <w:rFonts w:hint="default" w:ascii="Times New Roman" w:hAnsi="Times New Roman" w:cs="Times New Roman"/>
          <w:b w:val="0"/>
          <w:bCs w:val="0"/>
          <w:sz w:val="28"/>
          <w:szCs w:val="28"/>
          <w:highlight w:val="none"/>
          <w:lang w:val="en-US" w:eastAsia="zh-CN"/>
        </w:rPr>
      </w:pPr>
      <w:bookmarkStart w:id="4" w:name="_Toc9826"/>
      <w:r>
        <w:rPr>
          <w:rFonts w:hint="default" w:ascii="Times New Roman" w:hAnsi="Times New Roman" w:cs="Times New Roman"/>
          <w:sz w:val="28"/>
          <w:szCs w:val="28"/>
          <w:lang w:val="en-US" w:eastAsia="zh-CN"/>
        </w:rPr>
        <w:t>2.1.2 Methods of Communication</w:t>
      </w:r>
      <w:bookmarkEnd w:id="4"/>
    </w:p>
    <w:p w14:paraId="163F4FFA">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Hall’s context theory, different cultures have different ways of communicating; some communicate explicitly (low context culture) while others communicate implicitly (high-context culture). (Alizadeh, 2021)</w:t>
      </w:r>
    </w:p>
    <w:p w14:paraId="1807B655">
      <w:pPr>
        <w:spacing w:line="360" w:lineRule="auto"/>
        <w:jc w:val="both"/>
        <w:rPr>
          <w:rFonts w:hint="default" w:ascii="Times New Roman" w:hAnsi="Times New Roman" w:cs="Times New Roman"/>
          <w:b w:val="0"/>
          <w:bCs w:val="0"/>
          <w:sz w:val="24"/>
          <w:szCs w:val="24"/>
          <w:highlight w:val="none"/>
          <w:lang w:val="en-US" w:eastAsia="zh-CN"/>
        </w:rPr>
      </w:pPr>
    </w:p>
    <w:p w14:paraId="1ECCF989">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Different groups of individuals employ different forms of communication. According to Qi (2023), low-context cultures prefer to express themselves linearly, rely on explicit language, and support individualism, whereas high-context cultures emphasize collectivism, adopt spiral thinking, and rely on shared contexts. In order to conduct market research more effectively, develop communication strategies, encourage team culture integration, and foster trust and cooperation with target markets, businesses must be able to understand and adjust to communication styles in various cultural contexts. Halls' high-context and low-context culture theory is essential for international expansion. As a result, businesses operating internationally should modify their communication methods in accordance with the communication goals.</w:t>
      </w:r>
    </w:p>
    <w:p w14:paraId="0501307A">
      <w:pPr>
        <w:pStyle w:val="4"/>
        <w:bidi w:val="0"/>
        <w:spacing w:line="360" w:lineRule="auto"/>
        <w:rPr>
          <w:rFonts w:hint="default" w:ascii="Times New Roman" w:hAnsi="Times New Roman" w:cs="Times New Roman"/>
          <w:b w:val="0"/>
          <w:bCs w:val="0"/>
          <w:sz w:val="28"/>
          <w:szCs w:val="28"/>
          <w:highlight w:val="none"/>
          <w:lang w:val="en-US" w:eastAsia="zh-CN"/>
        </w:rPr>
      </w:pPr>
      <w:bookmarkStart w:id="5" w:name="_Toc16294"/>
      <w:r>
        <w:rPr>
          <w:rFonts w:hint="default" w:ascii="Times New Roman" w:hAnsi="Times New Roman" w:cs="Times New Roman"/>
          <w:sz w:val="28"/>
          <w:szCs w:val="28"/>
          <w:lang w:val="en-US" w:eastAsia="zh-CN"/>
        </w:rPr>
        <w:t>2.1.3 Effective Communication</w:t>
      </w:r>
      <w:bookmarkEnd w:id="5"/>
    </w:p>
    <w:p w14:paraId="6B66809D">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Chirwa (2021), accurate and helpful information is transmitted through effective communication.According to Liu (2019), knowledge of global cultural differences—which are a result of cultural traditions and practices throughout human history—is a necessity for developing effective communication. There are significant cultural and customary variations between nations, particularly when it comes to international commerce. Good communication can prevent meaning alterations throughout information transfer, which can result in content misunderstandings and other consequences. However, other aspects of efficient communication, such communication style, should also be taken into account. Therefore, it is advantageous for businesses to communicate effectively when expanding internationally.</w:t>
      </w:r>
    </w:p>
    <w:p w14:paraId="5668824C">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p>
    <w:p w14:paraId="335A1E20">
      <w:pPr>
        <w:numPr>
          <w:ilvl w:val="0"/>
          <w:numId w:val="2"/>
        </w:numPr>
        <w:spacing w:line="360" w:lineRule="auto"/>
        <w:jc w:val="both"/>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The cultivation of culture awareness</w:t>
      </w:r>
    </w:p>
    <w:p w14:paraId="5636E2EF">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Vermeersch (2024), establishing successful cross-cultural communication and preventing cultural misunderstandings and disputes are made easier with an understanding of other cultures. People who are expressive and culturally aware in global business settings are better equipped to comprehend and adjust to the communication styles, business processes, and values of other cultures, which helps them function more successfully in global markets. This viewpoint does have certain drawbacks, though, because the complexity of the global corporate environment makes it impossible to guarantee efficient communication by merely comprehending foreign cultures without conducting in-depth research on them. Finding and communicating feedback to members of the target market in order to ascertain the cultural connotations within that market should be founded on an understanding of the target market. Therefore, in order to develop cultural identity, understanding cultural diversity is a necessity for good communication.</w:t>
      </w:r>
    </w:p>
    <w:p w14:paraId="5648EBAD">
      <w:pPr>
        <w:spacing w:line="360" w:lineRule="auto"/>
        <w:jc w:val="both"/>
        <w:rPr>
          <w:rFonts w:hint="default" w:ascii="Times New Roman" w:hAnsi="Times New Roman" w:cs="Times New Roman"/>
          <w:b w:val="0"/>
          <w:bCs w:val="0"/>
          <w:sz w:val="24"/>
          <w:szCs w:val="24"/>
          <w:highlight w:val="none"/>
          <w:lang w:val="en-US" w:eastAsia="zh-CN"/>
        </w:rPr>
      </w:pPr>
    </w:p>
    <w:p w14:paraId="19633AC7">
      <w:pPr>
        <w:numPr>
          <w:ilvl w:val="0"/>
          <w:numId w:val="2"/>
        </w:numPr>
        <w:spacing w:line="360" w:lineRule="auto"/>
        <w:ind w:left="0" w:leftChars="0" w:firstLine="0" w:firstLineChars="0"/>
        <w:jc w:val="both"/>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The adaptation of the varied communication styles</w:t>
      </w:r>
    </w:p>
    <w:p w14:paraId="4722BCFF">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Organizations can express their opinions in the most effective manner during the communication process by adjusting to various communication styles. In 2024, the British Council Given that the great majority of Indians are bilingual or even trilingual, Gupta, M. and Sukamto, K. (2020) contend that multilingual communication techniques are common in India.Bengali is the second most spoken language in India, whereas Hindi is the first language. According to Wang (2022), formality, sequencing, and life-work balance are some of the ways that Chinese and American communication styles differ from one another. Therefore, businesses can effectively communicate during international expansion by choosing the right communication styles for a given business situation.</w:t>
      </w:r>
    </w:p>
    <w:p w14:paraId="78CB2F67">
      <w:pPr>
        <w:pStyle w:val="3"/>
        <w:bidi w:val="0"/>
        <w:spacing w:line="360" w:lineRule="auto"/>
        <w:rPr>
          <w:rFonts w:hint="default" w:ascii="Times New Roman" w:hAnsi="Times New Roman" w:cs="Times New Roman"/>
          <w:b w:val="0"/>
          <w:bCs w:val="0"/>
          <w:sz w:val="28"/>
          <w:szCs w:val="28"/>
          <w:highlight w:val="none"/>
          <w:lang w:val="en-US" w:eastAsia="zh-CN"/>
        </w:rPr>
      </w:pPr>
      <w:bookmarkStart w:id="6" w:name="_Toc1779"/>
      <w:r>
        <w:rPr>
          <w:rFonts w:hint="default" w:ascii="Times New Roman" w:hAnsi="Times New Roman" w:cs="Times New Roman"/>
          <w:sz w:val="28"/>
          <w:szCs w:val="28"/>
          <w:lang w:val="en-US" w:eastAsia="zh-CN"/>
        </w:rPr>
        <w:t>2.2 International Culture</w:t>
      </w:r>
      <w:bookmarkEnd w:id="6"/>
    </w:p>
    <w:p w14:paraId="2E302D8E">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Culture is interpreted as a sociosymbolic reality with social, ideational, and material aspects.（Valery，2024）Culture is consist of several components including source, message, channel, receiver, encoding, decoding, noise and feedback. Based on the conception, international culture can be regraded as a cultural phenomenon arising from the interaction between different countries and peoples.</w:t>
      </w:r>
    </w:p>
    <w:p w14:paraId="7E674F01">
      <w:pPr>
        <w:pStyle w:val="4"/>
        <w:bidi w:val="0"/>
        <w:spacing w:line="360" w:lineRule="auto"/>
        <w:rPr>
          <w:rFonts w:hint="default" w:ascii="Times New Roman" w:hAnsi="Times New Roman" w:cs="Times New Roman"/>
          <w:b w:val="0"/>
          <w:bCs w:val="0"/>
          <w:color w:val="auto"/>
          <w:sz w:val="28"/>
          <w:szCs w:val="28"/>
          <w:highlight w:val="none"/>
          <w:lang w:val="en-US" w:eastAsia="zh-CN"/>
        </w:rPr>
      </w:pPr>
      <w:bookmarkStart w:id="7" w:name="_Toc25838"/>
      <w:r>
        <w:rPr>
          <w:rFonts w:hint="default" w:ascii="Times New Roman" w:hAnsi="Times New Roman" w:cs="Times New Roman"/>
          <w:sz w:val="28"/>
          <w:szCs w:val="28"/>
          <w:lang w:val="en-US" w:eastAsia="zh-CN"/>
        </w:rPr>
        <w:t>2.2.1 Trompenaar’s 7 dimensions to culture</w:t>
      </w:r>
      <w:bookmarkEnd w:id="7"/>
    </w:p>
    <w:p w14:paraId="6D4391B8">
      <w:pPr>
        <w:spacing w:line="360" w:lineRule="auto"/>
        <w:jc w:val="both"/>
        <w:rPr>
          <w:rFonts w:hint="default" w:ascii="Times New Roman" w:hAnsi="Times New Roman" w:cs="Times New Roman"/>
          <w:b w:val="0"/>
          <w:bCs w:val="0"/>
          <w:color w:val="auto"/>
          <w:sz w:val="24"/>
          <w:szCs w:val="24"/>
          <w:highlight w:val="none"/>
          <w:lang w:val="en-US" w:eastAsia="zh-CN"/>
        </w:rPr>
      </w:pPr>
      <w:r>
        <w:rPr>
          <w:rFonts w:hint="default" w:ascii="Times New Roman" w:hAnsi="Times New Roman" w:cs="Times New Roman"/>
          <w:b w:val="0"/>
          <w:bCs w:val="0"/>
          <w:color w:val="auto"/>
          <w:sz w:val="24"/>
          <w:szCs w:val="24"/>
          <w:highlight w:val="none"/>
          <w:lang w:val="en-US" w:eastAsia="zh-CN"/>
        </w:rPr>
        <w:t>Trompennars’ Seven Dimensions of Culture is a model that to analyze the different people from different cultural background. It is contains seven components including Universalism vs. Particularism, Individualism vs. Communitarianism, Specific vs. Diffuse, Neutral vs. Affective, Achievement vs. Ascription, Sequential time vs. synchronous time and Internal direction vs. external direction, which can help organization to work more effectively with people from different cultures.(Denis G, 2024)</w:t>
      </w:r>
    </w:p>
    <w:p w14:paraId="5335994C">
      <w:pPr>
        <w:spacing w:line="360" w:lineRule="auto"/>
        <w:jc w:val="both"/>
        <w:rPr>
          <w:rFonts w:hint="default" w:ascii="Times New Roman" w:hAnsi="Times New Roman" w:cs="Times New Roman"/>
          <w:b w:val="0"/>
          <w:bCs w:val="0"/>
          <w:color w:val="auto"/>
          <w:sz w:val="24"/>
          <w:szCs w:val="24"/>
          <w:highlight w:val="none"/>
          <w:lang w:val="en-US" w:eastAsia="zh-CN"/>
        </w:rPr>
      </w:pPr>
    </w:p>
    <w:p w14:paraId="72D5F043">
      <w:pPr>
        <w:spacing w:line="360" w:lineRule="auto"/>
        <w:jc w:val="both"/>
        <w:rPr>
          <w:rFonts w:hint="default" w:ascii="Times New Roman" w:hAnsi="Times New Roman" w:cs="Times New Roman"/>
          <w:b w:val="0"/>
          <w:bCs w:val="0"/>
          <w:color w:val="auto"/>
          <w:sz w:val="24"/>
          <w:szCs w:val="24"/>
          <w:highlight w:val="none"/>
          <w:lang w:val="en-US" w:eastAsia="zh-CN"/>
        </w:rPr>
      </w:pPr>
      <w:r>
        <w:rPr>
          <w:rFonts w:hint="default" w:ascii="Times New Roman" w:hAnsi="Times New Roman" w:cs="Times New Roman"/>
          <w:b w:val="0"/>
          <w:bCs w:val="0"/>
          <w:color w:val="auto"/>
          <w:sz w:val="24"/>
          <w:szCs w:val="24"/>
          <w:highlight w:val="none"/>
          <w:lang w:val="en-US" w:eastAsia="zh-CN"/>
        </w:rPr>
        <w:t xml:space="preserve">Businesses can use Trompenaar's seven dimensions cultural theory to inform their marketing approach. According to Shuqi (2024), businesses can better understand how cultural diversity influences organizational behavior and decision-making by utilizing Trompenaar's seven dimensions cultural theory. Businesses can use this idea to divide markets and position and modify goods and services to meet the needs of various cultural groups in the context of cross-border trade. As a result, this theory may help in the formulation of plans and decisions. </w:t>
      </w:r>
    </w:p>
    <w:p w14:paraId="14581796">
      <w:pPr>
        <w:pStyle w:val="4"/>
        <w:bidi w:val="0"/>
        <w:spacing w:line="360" w:lineRule="auto"/>
        <w:rPr>
          <w:rFonts w:hint="default" w:ascii="Times New Roman" w:hAnsi="Times New Roman" w:cs="Times New Roman"/>
          <w:sz w:val="28"/>
          <w:szCs w:val="28"/>
          <w:lang w:val="en-US" w:eastAsia="zh-CN"/>
        </w:rPr>
      </w:pPr>
      <w:bookmarkStart w:id="8" w:name="_Toc10180"/>
      <w:r>
        <w:rPr>
          <w:rFonts w:hint="default" w:ascii="Times New Roman" w:hAnsi="Times New Roman" w:cs="Times New Roman"/>
          <w:sz w:val="28"/>
          <w:szCs w:val="28"/>
          <w:lang w:val="en-US" w:eastAsia="zh-CN"/>
        </w:rPr>
        <w:t>2.2.2 Hofstede’s cultural dimensions theory</w:t>
      </w:r>
      <w:bookmarkEnd w:id="8"/>
    </w:p>
    <w:p w14:paraId="14B59FF3">
      <w:pPr>
        <w:spacing w:line="360" w:lineRule="auto"/>
        <w:jc w:val="both"/>
        <w:rPr>
          <w:rFonts w:hint="default" w:ascii="Times New Roman" w:hAnsi="Times New Roman" w:cs="Times New Roman"/>
          <w:b w:val="0"/>
          <w:bCs w:val="0"/>
          <w:color w:val="auto"/>
          <w:sz w:val="24"/>
          <w:szCs w:val="24"/>
          <w:highlight w:val="none"/>
          <w:lang w:val="en-US" w:eastAsia="zh-CN"/>
        </w:rPr>
      </w:pPr>
      <w:r>
        <w:rPr>
          <w:rFonts w:hint="default" w:ascii="Times New Roman" w:hAnsi="Times New Roman" w:cs="Times New Roman"/>
          <w:b w:val="0"/>
          <w:bCs w:val="0"/>
          <w:color w:val="auto"/>
          <w:sz w:val="24"/>
          <w:szCs w:val="24"/>
          <w:highlight w:val="none"/>
          <w:lang w:val="en-US" w:eastAsia="zh-CN"/>
        </w:rPr>
        <w:t>Hofstede’s cultural dimensions theory refers to cross-cultural differences in organizational and national culture defined as “the collective programming of the mind that distinguishes the members of one group or category of people from others”(Hofstede, 2011, p. 3).</w:t>
      </w:r>
    </w:p>
    <w:p w14:paraId="0B1982D1">
      <w:pPr>
        <w:spacing w:line="360" w:lineRule="auto"/>
        <w:jc w:val="both"/>
        <w:rPr>
          <w:rFonts w:hint="default" w:ascii="Times New Roman" w:hAnsi="Times New Roman" w:cs="Times New Roman"/>
          <w:b w:val="0"/>
          <w:bCs w:val="0"/>
          <w:color w:val="auto"/>
          <w:sz w:val="24"/>
          <w:szCs w:val="24"/>
          <w:highlight w:val="none"/>
          <w:lang w:val="en-US" w:eastAsia="zh-CN"/>
        </w:rPr>
      </w:pPr>
    </w:p>
    <w:p w14:paraId="260477CE">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Hofstede’s cultural dimensions can be used to help businesses adapt their products and marketing to different cultures. For example, if a company wants to sell its products in a country with a high collectivism score, it may need to design its packaging and advertising to appeal to groups rather than individuals.(Charlotte，2023) Therefore, by assisting businesses in selecting the best product strategy for the target market, this theoretical model can promote cooperation in worldwide expansion.</w:t>
      </w:r>
    </w:p>
    <w:p w14:paraId="3F41F967">
      <w:pPr>
        <w:pStyle w:val="3"/>
        <w:bidi w:val="0"/>
        <w:spacing w:line="360" w:lineRule="auto"/>
        <w:rPr>
          <w:rFonts w:hint="default" w:ascii="Times New Roman" w:hAnsi="Times New Roman" w:cs="Times New Roman"/>
          <w:b w:val="0"/>
          <w:bCs w:val="0"/>
          <w:sz w:val="28"/>
          <w:szCs w:val="28"/>
          <w:lang w:val="en-US" w:eastAsia="zh-CN"/>
        </w:rPr>
      </w:pPr>
      <w:bookmarkStart w:id="9" w:name="_Toc8097"/>
      <w:r>
        <w:rPr>
          <w:rFonts w:hint="default" w:ascii="Times New Roman" w:hAnsi="Times New Roman" w:cs="Times New Roman"/>
          <w:sz w:val="28"/>
          <w:szCs w:val="28"/>
          <w:lang w:val="en-US" w:eastAsia="zh-CN"/>
        </w:rPr>
        <w:t>2.3 Importance of Building Relationships</w:t>
      </w:r>
      <w:bookmarkEnd w:id="9"/>
    </w:p>
    <w:p w14:paraId="5C2E8D3C">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Building strong international ties can assist businesses in lowering communication barriers and efficiently sharing information while expanding internationally. In addition to facilitating resource and information sharing during the relationship-building process, cordial relationship-building can assist businesses in developing in the global market in a stable and long-term way. As a result, building strong business relationships is essential to communicating internationally.</w:t>
      </w:r>
    </w:p>
    <w:p w14:paraId="4E3AA4F9">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p>
    <w:p w14:paraId="18235FB6">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Building strong business relationships might help a company attract more potential clients. Once a business and its partner have developed a positive working relationship, the business can use the partner's resources to carry out the appropriate promotion and publicity to the partner's target market. This will improve the business's international reputation and brand image and result in customer diversion. As a result, the development of positive business relationships helps the company attract more clients and boost profits.</w:t>
      </w:r>
    </w:p>
    <w:p w14:paraId="496F5256">
      <w:pPr>
        <w:pStyle w:val="4"/>
        <w:bidi w:val="0"/>
        <w:spacing w:line="360" w:lineRule="auto"/>
        <w:rPr>
          <w:rFonts w:hint="default" w:ascii="Times New Roman" w:hAnsi="Times New Roman" w:cs="Times New Roman"/>
          <w:sz w:val="28"/>
          <w:szCs w:val="28"/>
          <w:lang w:val="en-US" w:eastAsia="zh-CN"/>
        </w:rPr>
      </w:pPr>
      <w:bookmarkStart w:id="10" w:name="_Toc13023"/>
      <w:r>
        <w:rPr>
          <w:rFonts w:hint="default" w:ascii="Times New Roman" w:hAnsi="Times New Roman" w:cs="Times New Roman"/>
          <w:sz w:val="28"/>
          <w:szCs w:val="28"/>
          <w:lang w:val="en-US" w:eastAsia="zh-CN"/>
        </w:rPr>
        <w:t>2.3.1 How to build Trust</w:t>
      </w:r>
      <w:bookmarkEnd w:id="10"/>
    </w:p>
    <w:p w14:paraId="694ACD99">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Building trust has a positive impact on businesses' ability to encourage collaboration and increase productivity. In addition, the development of trust can help to make cooperation between the two sides more stable. According to Santos (2024), trust is the foundation of business negotiations and can assist organizations in lowering risk and uncertainty during the cooperative process. However, given the complexity of the global market, other elements including communication channels, legal and regulatory constraints, cultural differences, and so forth must be taken into account in order to lessen the friction between cooperation.</w:t>
      </w:r>
    </w:p>
    <w:p w14:paraId="043F325A">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p>
    <w:p w14:paraId="215DF736">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Shah (2023) demonstrated how businesses can strengthen their relationship with customers and establish commercial trust by using explicit communication.According to Long Kim,</w:t>
      </w:r>
      <w:r>
        <w:rPr>
          <w:rFonts w:hint="eastAsia" w:cs="Times New Roman"/>
          <w:b w:val="0"/>
          <w:bCs w:val="0"/>
          <w:sz w:val="24"/>
          <w:szCs w:val="24"/>
          <w:highlight w:val="none"/>
          <w:lang w:val="en-US" w:eastAsia="zh-CN"/>
        </w:rPr>
        <w:t xml:space="preserve"> etc</w:t>
      </w:r>
      <w:r>
        <w:rPr>
          <w:rFonts w:hint="default" w:ascii="Times New Roman" w:hAnsi="Times New Roman" w:cs="Times New Roman"/>
          <w:b w:val="0"/>
          <w:bCs w:val="0"/>
          <w:sz w:val="24"/>
          <w:szCs w:val="24"/>
          <w:highlight w:val="none"/>
          <w:lang w:val="en-US" w:eastAsia="zh-CN"/>
        </w:rPr>
        <w:t xml:space="preserve"> (2021), businesses can successfully gain and keep the trust of their customers by enhancing the perceived value of their products and improving their quality. Establishing a positive corporate image through thorough operations and management is necessary to increase the persuasiveness of commercial trust in an international setting. Therefore, in international expansion, trust affects both corporate cooperation and customers.</w:t>
      </w:r>
    </w:p>
    <w:p w14:paraId="1806C29E">
      <w:pPr>
        <w:pStyle w:val="4"/>
        <w:bidi w:val="0"/>
        <w:spacing w:line="360" w:lineRule="auto"/>
        <w:rPr>
          <w:rFonts w:hint="default" w:ascii="Times New Roman" w:hAnsi="Times New Roman" w:cs="Times New Roman"/>
          <w:sz w:val="28"/>
          <w:szCs w:val="28"/>
          <w:lang w:val="en-US" w:eastAsia="zh-CN"/>
        </w:rPr>
      </w:pPr>
      <w:bookmarkStart w:id="11" w:name="_Toc5334"/>
      <w:r>
        <w:rPr>
          <w:rFonts w:hint="default" w:ascii="Times New Roman" w:hAnsi="Times New Roman" w:cs="Times New Roman"/>
          <w:sz w:val="28"/>
          <w:szCs w:val="28"/>
          <w:lang w:val="en-US" w:eastAsia="zh-CN"/>
        </w:rPr>
        <w:t>2.3.2 Failed Relationships</w:t>
      </w:r>
      <w:bookmarkEnd w:id="11"/>
      <w:r>
        <w:rPr>
          <w:rFonts w:hint="default" w:ascii="Times New Roman" w:hAnsi="Times New Roman" w:cs="Times New Roman"/>
          <w:sz w:val="28"/>
          <w:szCs w:val="28"/>
          <w:lang w:val="en-US" w:eastAsia="zh-CN"/>
        </w:rPr>
        <w:t xml:space="preserve"> </w:t>
      </w:r>
    </w:p>
    <w:p w14:paraId="01077F5D">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case of failure, entrepreneurs could endure various financial, psychological, and social costs.(De Hoe &amp; Janssen, 2022) Ineffective business partnerships can immediately result in a breakdown of collaboration between the two companies, which impedes the growth of the organization. However, a failed business partnership can also result in a decline in the company's global reputation and brand image, which has a major detrimental effect on worldwide expansion efforts.</w:t>
      </w:r>
    </w:p>
    <w:p w14:paraId="5592F854">
      <w:pPr>
        <w:widowControl w:val="0"/>
        <w:numPr>
          <w:ilvl w:val="0"/>
          <w:numId w:val="0"/>
        </w:numPr>
        <w:spacing w:line="360" w:lineRule="auto"/>
        <w:ind w:leftChars="0"/>
        <w:jc w:val="both"/>
        <w:rPr>
          <w:rFonts w:hint="default" w:ascii="Times New Roman" w:hAnsi="Times New Roman" w:cs="Times New Roman"/>
          <w:b w:val="0"/>
          <w:bCs w:val="0"/>
          <w:sz w:val="24"/>
          <w:szCs w:val="24"/>
          <w:lang w:val="en-US" w:eastAsia="zh-CN"/>
        </w:rPr>
      </w:pPr>
    </w:p>
    <w:p w14:paraId="36808D60">
      <w:pPr>
        <w:widowControl w:val="0"/>
        <w:numPr>
          <w:ilvl w:val="0"/>
          <w:numId w:val="3"/>
        </w:numPr>
        <w:spacing w:line="360"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 Lack of trust, hinder cooperation</w:t>
      </w:r>
    </w:p>
    <w:p w14:paraId="6BC15CD4">
      <w:pPr>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absence of trust between the organizations involved in this relationship is significantly detrimental to the overall business activities as well as the operations of the enterprises that are engaged in this collaborative effort. When trust is lacking, it creates an environment where collaboration becomes challenging, and the willingness to share information and resources diminishes. This lack of confidence not only hampers their ability to work together effectively but also adversely affects their ability to coordinate efforts in a timely and efficient manner. Consequently, the productivity of both parties suffers, leading to missed opportunities and potential losses that could otherwise have been avoided.</w:t>
      </w:r>
    </w:p>
    <w:p w14:paraId="67BBE113">
      <w:pPr>
        <w:spacing w:line="360" w:lineRule="auto"/>
        <w:rPr>
          <w:rFonts w:hint="default" w:ascii="Times New Roman" w:hAnsi="Times New Roman" w:cs="Times New Roman"/>
          <w:b w:val="0"/>
          <w:bCs w:val="0"/>
          <w:sz w:val="24"/>
          <w:szCs w:val="24"/>
          <w:lang w:val="en-US" w:eastAsia="zh-CN"/>
        </w:rPr>
      </w:pPr>
    </w:p>
    <w:p w14:paraId="02883674">
      <w:pPr>
        <w:numPr>
          <w:ilvl w:val="0"/>
          <w:numId w:val="3"/>
        </w:numPr>
        <w:spacing w:line="360" w:lineRule="auto"/>
        <w:ind w:left="0" w:leftChars="0" w:firstLine="0" w:firstLine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 Affect the corporate brand image</w:t>
      </w:r>
    </w:p>
    <w:p w14:paraId="0F35590B">
      <w:pPr>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establishment of an unfavorable business relationship will seriously harm the company's reputation. This trauma is not only immediately evident in the breakdown of the cooperative partnership and the trembling of the trust foundation, but it also deeply erodes the company's market reputation and prospective consumers' trust over the long run. As a result, a number of chain reactions take place, many possible trade prospects silently disappear, the enterprise's future development route is fraught with difficulties, and market competitiveness has been severely undermined. A broken brand image is like an invisible shackle in the highly competitive market, limiting the enterprise's success and making it hard to stand out in the complicated and constantly shifting market environment. This hinders the achievement of sound and long-lasting development.</w:t>
      </w:r>
    </w:p>
    <w:p w14:paraId="5C589C3F">
      <w:pPr>
        <w:spacing w:line="360" w:lineRule="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br w:type="page"/>
      </w:r>
    </w:p>
    <w:p w14:paraId="37BE1944">
      <w:pPr>
        <w:pStyle w:val="2"/>
        <w:bidi w:val="0"/>
        <w:spacing w:line="360" w:lineRule="auto"/>
        <w:rPr>
          <w:rFonts w:hint="default" w:ascii="Times New Roman" w:hAnsi="Times New Roman" w:cs="Times New Roman"/>
          <w:sz w:val="28"/>
          <w:szCs w:val="28"/>
          <w:lang w:val="en-US" w:eastAsia="zh-CN"/>
        </w:rPr>
      </w:pPr>
      <w:bookmarkStart w:id="12" w:name="_Toc14160"/>
      <w:r>
        <w:rPr>
          <w:rFonts w:hint="default" w:ascii="Times New Roman" w:hAnsi="Times New Roman" w:cs="Times New Roman"/>
          <w:sz w:val="28"/>
          <w:szCs w:val="28"/>
          <w:lang w:val="en-US" w:eastAsia="zh-CN"/>
        </w:rPr>
        <w:t>3.0 Conclusions</w:t>
      </w:r>
      <w:bookmarkEnd w:id="12"/>
    </w:p>
    <w:p w14:paraId="4DE3EA3A">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order to assist organizations do business more effectively, this paper first presents international business communication as a tool. Second, this paper outlines the language proficiency, negotiation abilities, and business etiquette that are essential for international business communication. The Hall high-low hypothesis is also introduced in this study as a way to prevent misunderstandings in business collaboration. This paper focuses on understanding cultural differences and adjusting to various communication styles for successful international business communication.</w:t>
      </w:r>
    </w:p>
    <w:p w14:paraId="75F24166">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p>
    <w:p w14:paraId="5235C3C5">
      <w:pPr>
        <w:widowControl w:val="0"/>
        <w:numPr>
          <w:ilvl w:val="0"/>
          <w:numId w:val="0"/>
        </w:numPr>
        <w:spacing w:line="360" w:lineRule="auto"/>
        <w:jc w:val="both"/>
        <w:rPr>
          <w:rFonts w:hint="default" w:ascii="Times New Roman" w:hAnsi="Times New Roman" w:eastAsia="楷体" w:cs="Times New Roman"/>
          <w:sz w:val="24"/>
          <w:szCs w:val="24"/>
          <w:lang w:val="en-US" w:eastAsia="zh-CN"/>
        </w:rPr>
      </w:pPr>
      <w:r>
        <w:rPr>
          <w:rFonts w:hint="default" w:ascii="Times New Roman" w:hAnsi="Times New Roman" w:cs="Times New Roman"/>
          <w:b w:val="0"/>
          <w:bCs w:val="0"/>
          <w:sz w:val="24"/>
          <w:szCs w:val="24"/>
          <w:lang w:val="en-US" w:eastAsia="zh-CN"/>
        </w:rPr>
        <w:t>Trompenaar's seven dimensions theory and Hofstede's cultural dimensions theory, which are the appropriate theories for communicating with various groups of people in international business, are used in this report to explain and illustrate the relationship between international culture and business communication. The relevance of applying the appropriate theories for various groups of individuals in international business is explained and demonstrated in the paper. Additionally, this paper explains how organizations can improve communication with their partners and increase profits by developing strong business connections in an international business environment. However, in order to facilitate international expansion, businesses should also concentrate on establishing business trust during the cooperation process. Lastly, the paper makes the argument that businesses may lose faith in collaboration if they build unsuccessful business ties. On the other hand, a company's international image cannot be established through bad business ties.</w:t>
      </w:r>
    </w:p>
    <w:p w14:paraId="51479291">
      <w:pPr>
        <w:spacing w:line="360" w:lineRule="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br w:type="page"/>
      </w:r>
    </w:p>
    <w:p w14:paraId="4D0836C1">
      <w:pPr>
        <w:pStyle w:val="2"/>
        <w:bidi w:val="0"/>
        <w:spacing w:line="360" w:lineRule="auto"/>
        <w:rPr>
          <w:rFonts w:hint="default" w:ascii="Times New Roman" w:hAnsi="Times New Roman" w:cs="Times New Roman"/>
          <w:sz w:val="28"/>
          <w:szCs w:val="28"/>
          <w:lang w:val="en-US" w:eastAsia="zh-CN"/>
        </w:rPr>
      </w:pPr>
      <w:bookmarkStart w:id="13" w:name="_Toc25716"/>
      <w:r>
        <w:rPr>
          <w:rFonts w:hint="default" w:ascii="Times New Roman" w:hAnsi="Times New Roman" w:cs="Times New Roman"/>
          <w:sz w:val="28"/>
          <w:szCs w:val="28"/>
          <w:lang w:val="en-US" w:eastAsia="zh-CN"/>
        </w:rPr>
        <w:t>4.0 Recommendations</w:t>
      </w:r>
      <w:bookmarkEnd w:id="13"/>
    </w:p>
    <w:p w14:paraId="377D7B1E">
      <w:pPr>
        <w:pStyle w:val="3"/>
        <w:bidi w:val="0"/>
        <w:spacing w:line="360" w:lineRule="auto"/>
        <w:rPr>
          <w:rFonts w:hint="default" w:ascii="Times New Roman" w:hAnsi="Times New Roman" w:cs="Times New Roman"/>
          <w:sz w:val="28"/>
          <w:szCs w:val="28"/>
          <w:lang w:val="en-US" w:eastAsia="zh-CN"/>
        </w:rPr>
      </w:pPr>
      <w:bookmarkStart w:id="14" w:name="_Toc5700"/>
      <w:r>
        <w:rPr>
          <w:rFonts w:hint="default" w:ascii="Times New Roman" w:hAnsi="Times New Roman" w:cs="Times New Roman"/>
          <w:sz w:val="28"/>
          <w:szCs w:val="28"/>
          <w:lang w:val="en-US" w:eastAsia="zh-CN"/>
        </w:rPr>
        <w:t>4.1 Attach importance to the ability of employees and enhance enterprise trust</w:t>
      </w:r>
      <w:bookmarkEnd w:id="14"/>
    </w:p>
    <w:p w14:paraId="2FD21585">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Tamanna, Parvin Eva; Afroze, Rumana; and Md Atiqur Rahman Sarker (2024), businesses should prioritize the needs and growth of their staff during operations. This will increase employee trust in the company, which will boost the company's business trust in the sector and, eventually, increase its market value.According to Brandl (2020), fostering trust in the workplace can increase a company's profitability. Before thinking about forming a business relationship, many partners in the global market will unavoidably carry out some market research to verify the value of the collaboration. Additionally, the company's employees are a trustworthy source of information. Therefore, by showing concern and attention to their employees, businesses can improve their credibility and dependability in the global marketplace, which will improve communication between cross-border trade collaboration.</w:t>
      </w:r>
    </w:p>
    <w:p w14:paraId="0306139E">
      <w:pPr>
        <w:pStyle w:val="3"/>
        <w:bidi w:val="0"/>
        <w:spacing w:line="360" w:lineRule="auto"/>
        <w:rPr>
          <w:rFonts w:hint="default" w:ascii="Times New Roman" w:hAnsi="Times New Roman" w:cs="Times New Roman"/>
          <w:sz w:val="28"/>
          <w:szCs w:val="28"/>
          <w:lang w:val="en-US" w:eastAsia="zh-CN"/>
        </w:rPr>
      </w:pPr>
      <w:bookmarkStart w:id="15" w:name="_Toc12364"/>
      <w:r>
        <w:rPr>
          <w:rFonts w:hint="default" w:ascii="Times New Roman" w:hAnsi="Times New Roman" w:cs="Times New Roman"/>
          <w:sz w:val="28"/>
          <w:szCs w:val="28"/>
          <w:lang w:val="en-US" w:eastAsia="zh-CN"/>
        </w:rPr>
        <w:t>4.2 Publicize the corporate culture and build a positive image</w:t>
      </w:r>
      <w:bookmarkEnd w:id="15"/>
    </w:p>
    <w:p w14:paraId="0C63175D">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Building a positive public perception and fortifying corporate culture and brand values are the keys to enhancing a company's brand image. Businesses can gain loyalty and word-of-mouth by offering top-notch goods and services and making sure that customers are satisfied. Simultaneously, exhibiting the company's feeling of social responsibility and actively taking part in social welfare initiatives can assist improve the brand image. In order to boost brand exposure and awareness, businesses must also concentrate on brand communication through a range of media and platforms. Moreover, enhancing internal management and employee training to raise the caliber and professionalism of services is another crucial way to build a positive brand image. By using these steps, businesses may progressively build a distinctive and powerful brand identity, which will help them hold a favorable position in the market.</w:t>
      </w:r>
    </w:p>
    <w:p w14:paraId="75A1E1B4">
      <w:pPr>
        <w:spacing w:line="360" w:lineRule="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br w:type="page"/>
      </w:r>
    </w:p>
    <w:p w14:paraId="6CCE5883">
      <w:pPr>
        <w:pStyle w:val="2"/>
        <w:bidi w:val="0"/>
        <w:spacing w:line="360" w:lineRule="auto"/>
        <w:jc w:val="center"/>
        <w:rPr>
          <w:rFonts w:hint="default" w:ascii="Times New Roman" w:hAnsi="Times New Roman" w:cs="Times New Roman"/>
          <w:sz w:val="28"/>
          <w:szCs w:val="28"/>
        </w:rPr>
      </w:pPr>
      <w:bookmarkStart w:id="16" w:name="_Toc571"/>
      <w:r>
        <w:rPr>
          <w:rFonts w:hint="default" w:ascii="Times New Roman" w:hAnsi="Times New Roman" w:cs="Times New Roman"/>
          <w:sz w:val="28"/>
          <w:szCs w:val="28"/>
          <w:lang w:val="en-US" w:eastAsia="zh-CN"/>
        </w:rPr>
        <w:t>Reference</w:t>
      </w:r>
      <w:bookmarkEnd w:id="16"/>
    </w:p>
    <w:p w14:paraId="56C4589B">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Adanlawo E F, Reddy M M, Rugbeer H. Intercultural business communication: The implications of language barriers[J]. Psychology and Education Journal, 2021, 58(5): 6281-6290.</w:t>
      </w:r>
    </w:p>
    <w:p w14:paraId="500E958F">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Adanlawo, E.F. (2020). The role of innovative intercultural business communication for the improvement of Nigerian and South African dairy industries. Unpublished Doctoral Thesis, University of Zululand, South Africa.</w:t>
      </w:r>
    </w:p>
    <w:p w14:paraId="3942123A">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Ai, B., Cui, C. &amp; Wang, L. (2019). Language, Identity, and Transnational Communication: Chinese Business Expatriates in Africa. IEEE Transactions on Professional Communication, 62 (2), 178-191. doi: 10.1109/TPC.2019.2893463.</w:t>
      </w:r>
    </w:p>
    <w:p w14:paraId="6CB8B464">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ALIZADEH, A.O., 2021. Humanitarian behavior across high-/low-context cultures: a comparative analysis between Switzerland and Colombia. Journal of International Humanitarian Action, 6(1),.</w:t>
      </w:r>
    </w:p>
    <w:p w14:paraId="7D694AF7">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Bodomo A., Che D. (2020). The Globalisation of Foreign Investment in Africa: In Comes the Dragon. In: Anthony R., Ruppert U. (eds) Reconfiguring Transregionalisation in the Global South. International Political Economy Series. Palgrave Macmillan, Cham</w:t>
      </w:r>
    </w:p>
    <w:p w14:paraId="2112539B">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Brandl, B. (2020) ‘Trust Relationships in Employment Relationships: the Role of Trust for Firm Profitability’, International Journal of the Economics of Business, 28(1), pp. 139–161. doi: 10.1080/13571516.2020.1802213.</w:t>
      </w:r>
    </w:p>
    <w:p w14:paraId="094389C8">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Chirkov, V. (2024). An Introduction to Culture and Psychology: A Sociocultural Perspective (1st ed.). Routledge.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"https://doi.org/10.4324/9781003334996"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https://doi.org/10.4324/9781003334996</w:t>
      </w:r>
      <w:r>
        <w:rPr>
          <w:rFonts w:hint="default" w:ascii="Times New Roman" w:hAnsi="Times New Roman" w:cs="Times New Roman"/>
          <w:sz w:val="24"/>
          <w:szCs w:val="24"/>
        </w:rPr>
        <w:fldChar w:fldCharType="end"/>
      </w:r>
    </w:p>
    <w:p w14:paraId="1F410625">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CHIRWA, M., 2021. The Role of Effective Communication in Successful Strategy Implementation, University of Johannesburg (South Africa).</w:t>
      </w:r>
    </w:p>
    <w:p w14:paraId="7E0F3133">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Chitakornkijsil, P. (2010). INTERCULTURAL COMMUNICATION CHALLENGES AND MULTINATIONAL ORGANIZATION COMMUNICATION. International Journal of Organizational Innovation, 3(2).</w:t>
      </w:r>
    </w:p>
    <w:p w14:paraId="3821243B">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Conrad, D., &amp; Newberry, R. (2011). 24 Business communication skills: Attitudes of human resource managers versus business educators. American Communication Journal, 13(1).</w:t>
      </w:r>
    </w:p>
    <w:p w14:paraId="148B8916">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De Hoe, R., &amp; Janssen, F. (2022). Re-creation After Business Failure: A Conceptual Model of the Mediating Role of Psychological Capital. Frontiers in psychology, 13, 842590.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"https://doi.org/10.3389/fpsyg.2022.842590"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https://doi.org/10.3389/fpsyg.2022.842590</w:t>
      </w:r>
      <w:r>
        <w:rPr>
          <w:rFonts w:hint="default" w:ascii="Times New Roman" w:hAnsi="Times New Roman" w:cs="Times New Roman"/>
          <w:sz w:val="24"/>
          <w:szCs w:val="24"/>
        </w:rPr>
        <w:fldChar w:fldCharType="end"/>
      </w:r>
    </w:p>
    <w:p w14:paraId="5A6D021D">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Denis g. (2024). Trompenaars Cultural Dimensions – The 7 Dimensions of Culture. Expert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Program Management[online]. </w:t>
      </w:r>
      <w:r>
        <w:rPr>
          <w:rFonts w:hint="default" w:ascii="Times New Roman" w:hAnsi="Times New Roman" w:eastAsia="宋体" w:cs="Times New Roman"/>
          <w:sz w:val="24"/>
          <w:szCs w:val="24"/>
          <w:highlight w:val="none"/>
          <w:lang w:val="en-US" w:eastAsia="zh-CN"/>
        </w:rPr>
        <w:t>Available from:</w:t>
      </w:r>
      <w:r>
        <w:rPr>
          <w:rFonts w:hint="default" w:ascii="Times New Roman" w:hAnsi="Times New Roman" w:cs="Times New Roman"/>
          <w:sz w:val="24"/>
          <w:szCs w:val="24"/>
        </w:rPr>
        <w:t>https://expertprogrammanagement.com/2017/10/trompenaars-cultural-dimensions/[Accessed 1</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 xml:space="preserve">th </w:t>
      </w:r>
      <w:r>
        <w:rPr>
          <w:rFonts w:hint="default" w:ascii="Times New Roman" w:hAnsi="Times New Roman" w:cs="Times New Roman"/>
          <w:sz w:val="24"/>
          <w:szCs w:val="24"/>
          <w:lang w:val="en-US" w:eastAsia="zh-CN"/>
        </w:rPr>
        <w:t xml:space="preserve">November </w:t>
      </w:r>
      <w:r>
        <w:rPr>
          <w:rFonts w:hint="default" w:ascii="Times New Roman" w:hAnsi="Times New Roman" w:cs="Times New Roman"/>
          <w:sz w:val="24"/>
          <w:szCs w:val="24"/>
        </w:rPr>
        <w:t>202</w:t>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w:t>
      </w:r>
    </w:p>
    <w:p w14:paraId="68B236F9">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Gupta, M., &amp; Sukamto, K. (2020). Cultural Communicative Styles: The Case of India and Indonesia. International Journal of Society, Culture &amp; Language, 8(2), 105-120.</w:t>
      </w:r>
    </w:p>
    <w:p w14:paraId="4645A691">
      <w:pPr>
        <w:widowControl w:val="0"/>
        <w:numPr>
          <w:ilvl w:val="0"/>
          <w:numId w:val="0"/>
        </w:numPr>
        <w:spacing w:line="360" w:lineRule="auto"/>
        <w:jc w:val="both"/>
        <w:rPr>
          <w:rFonts w:hint="default" w:ascii="Times New Roman" w:hAnsi="Times New Roman" w:cs="Times New Roman"/>
          <w:sz w:val="24"/>
          <w:szCs w:val="24"/>
        </w:rPr>
      </w:pPr>
    </w:p>
    <w:p w14:paraId="114D8210">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Hofstede, G. (2011). Dimensionalizing cultures: The Hofstede model in context. Online Readings in Psychology and Culture, 2(1).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"https://doi.org/10.9707/2307-0919.1014"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https://doi.org/10.9707/2307-0919.1014</w:t>
      </w:r>
      <w:r>
        <w:rPr>
          <w:rFonts w:hint="default" w:ascii="Times New Roman" w:hAnsi="Times New Roman" w:cs="Times New Roman"/>
          <w:sz w:val="24"/>
          <w:szCs w:val="24"/>
        </w:rPr>
        <w:fldChar w:fldCharType="end"/>
      </w:r>
    </w:p>
    <w:p w14:paraId="0E40DE6B">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Kalogiannidis, S. (2020). Impact of effective business communication on employee performance. European Journal of Business and Management Research, 5(6).</w:t>
      </w:r>
    </w:p>
    <w:p w14:paraId="1FA4A546">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Liu, S., Volcic, Z., &amp; Gallois, C. (2019). Introducing Intercultural Communication: Global Cultures and Contexts.</w:t>
      </w:r>
    </w:p>
    <w:p w14:paraId="0A018324">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Long Kim, Pattarawadee Maijan, Teerasak Jindabot and Wanamina Bostan Ali (2021). How to build trust: Evidence from Thai customers in the latex glove industry. Innovative Marketing , 17(4), 120-131. doi:10.21511/im.17(4).2021.11</w:t>
      </w:r>
    </w:p>
    <w:p w14:paraId="4B74CA21">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Nickerson, C. (2023). Hofstede’s Cultural Dimensions Theory &amp; Examples. Simplypsychology[online]. </w:t>
      </w:r>
      <w:r>
        <w:rPr>
          <w:rFonts w:hint="default" w:ascii="Times New Roman" w:hAnsi="Times New Roman" w:cs="Times New Roman"/>
          <w:sz w:val="24"/>
          <w:szCs w:val="24"/>
          <w:lang w:val="en-US" w:eastAsia="zh-CN"/>
        </w:rPr>
        <w:t>A</w:t>
      </w:r>
      <w:r>
        <w:rPr>
          <w:rFonts w:hint="default" w:ascii="Times New Roman" w:hAnsi="Times New Roman" w:eastAsia="宋体" w:cs="Times New Roman"/>
          <w:sz w:val="24"/>
          <w:szCs w:val="24"/>
          <w:highlight w:val="none"/>
          <w:lang w:val="en-US" w:eastAsia="zh-CN"/>
        </w:rPr>
        <w:t>vailable from:</w:t>
      </w:r>
      <w:r>
        <w:rPr>
          <w:rFonts w:hint="default" w:ascii="Times New Roman" w:hAnsi="Times New Roman" w:cs="Times New Roman"/>
          <w:sz w:val="24"/>
          <w:szCs w:val="24"/>
        </w:rPr>
        <w:t>https://www.simplypsychology.org/hofstedes-cultural-dimensions-theory.html[Accessed 1</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 xml:space="preserve">th </w:t>
      </w:r>
      <w:r>
        <w:rPr>
          <w:rFonts w:hint="default" w:ascii="Times New Roman" w:hAnsi="Times New Roman" w:cs="Times New Roman"/>
          <w:sz w:val="24"/>
          <w:szCs w:val="24"/>
          <w:lang w:val="en-US" w:eastAsia="zh-CN"/>
        </w:rPr>
        <w:t xml:space="preserve">November </w:t>
      </w:r>
      <w:r>
        <w:rPr>
          <w:rFonts w:hint="default" w:ascii="Times New Roman" w:hAnsi="Times New Roman" w:cs="Times New Roman"/>
          <w:sz w:val="24"/>
          <w:szCs w:val="24"/>
        </w:rPr>
        <w:t>202</w:t>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w:t>
      </w:r>
    </w:p>
    <w:p w14:paraId="09E70A00">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OLAND, J., 2024. Communication and Cultural Aspects in International Business. Global Media Journal, 22(67), pp. 1-3.</w:t>
      </w:r>
    </w:p>
    <w:p w14:paraId="199126EF">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QI, J., 2023. Interpretation of Cultural Conflict in The Joy Luck Club from Perspective of High-context and Low-context Cultures. Les Ulis: EDP Sciences.</w:t>
      </w:r>
    </w:p>
    <w:p w14:paraId="26550E12">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Santos, M., &amp; Dias , M. de O. (2024). Best Practices for Building Trust in Virtual Business Negotiations. British Journal of Multidisciplinary and Advanced Studies, 5(2), 46–66.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"https://doi.org/10.37745/bjmas.2022.0450"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https://doi.org/10.37745/bjmas.2022.0450</w:t>
      </w:r>
      <w:r>
        <w:rPr>
          <w:rFonts w:hint="default" w:ascii="Times New Roman" w:hAnsi="Times New Roman" w:cs="Times New Roman"/>
          <w:sz w:val="24"/>
          <w:szCs w:val="24"/>
        </w:rPr>
        <w:fldChar w:fldCharType="end"/>
      </w:r>
    </w:p>
    <w:p w14:paraId="1748AD80">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Shah, M. A. (2023). Effective Communication Strategies for Business Leaders: A Guide to Building Trust, Collaboration, and Success. Finance &amp; Audit Research Archive Letters, 1(1), 13-16.</w:t>
      </w:r>
    </w:p>
    <w:p w14:paraId="30048187">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Shuqi Wei, Discussion of Cross-Culture Management in Cultural Diversified Workplace. Journal of Sociology and Ethnology (2024) Vol. 6: 164-168. </w:t>
      </w:r>
      <w:r>
        <w:rPr>
          <w:rFonts w:hint="eastAsia" w:cs="Times New Roman"/>
          <w:sz w:val="24"/>
          <w:szCs w:val="24"/>
          <w:lang w:val="en-US" w:eastAsia="zh-CN"/>
        </w:rPr>
        <w:t xml:space="preserve">    </w:t>
      </w:r>
      <w:r>
        <w:rPr>
          <w:rFonts w:hint="default" w:ascii="Times New Roman" w:hAnsi="Times New Roman" w:cs="Times New Roman"/>
          <w:sz w:val="24"/>
          <w:szCs w:val="24"/>
        </w:rPr>
        <w:t xml:space="preserve">DOI: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"http://dx.doi.org/10.23977/jsoce.2024.060122."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http://dx.doi.org/10.23977/jsoce.2024.060122.</w:t>
      </w:r>
      <w:r>
        <w:rPr>
          <w:rFonts w:hint="default" w:ascii="Times New Roman" w:hAnsi="Times New Roman" w:cs="Times New Roman"/>
          <w:sz w:val="24"/>
          <w:szCs w:val="24"/>
        </w:rPr>
        <w:fldChar w:fldCharType="end"/>
      </w:r>
    </w:p>
    <w:p w14:paraId="44602557">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SUDARMADJI, S., 2022. THE INFLUENCE OF ORGANIZATIONAL COMMUNICATIONS ON EFFECTIVE BUSINESS MANAGEMENT. Polish Journal of Management Studies, 25(2), pp. 308-322.</w:t>
      </w:r>
    </w:p>
    <w:p w14:paraId="591ECD40">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Szkudlarek, B., Osland, J. S., Nardon, L., &amp; Zander, L. (2020). Communication and culture in international business–Moving the field forward. Journal of World Business, 55(6), 101126.</w:t>
      </w:r>
    </w:p>
    <w:p w14:paraId="19772B39">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TAMANNA, P.E., AFROZE, R. and MD ATIQUR, R.S., 2024. The Impact of Leadership, Communication, and Teamwork Practices on Employee Trust in the Workplace. Management Dynamics in the Knowledge Economy, 12(3), </w:t>
      </w:r>
      <w:r>
        <w:rPr>
          <w:rFonts w:hint="eastAsia" w:cs="Times New Roman"/>
          <w:sz w:val="24"/>
          <w:szCs w:val="24"/>
          <w:lang w:val="en-US" w:eastAsia="zh-CN"/>
        </w:rPr>
        <w:t xml:space="preserve">   </w:t>
      </w:r>
      <w:r>
        <w:rPr>
          <w:rFonts w:hint="default" w:ascii="Times New Roman" w:hAnsi="Times New Roman" w:cs="Times New Roman"/>
          <w:sz w:val="24"/>
          <w:szCs w:val="24"/>
        </w:rPr>
        <w:t>pp. 241-261.</w:t>
      </w:r>
    </w:p>
    <w:p w14:paraId="43B1B455">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URSU, O., 2024. Building business communication skills: Storytelling. Agathos, 15(1), pp. 347-357.</w:t>
      </w:r>
    </w:p>
    <w:p w14:paraId="6C84806D">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Vermeersch, L. (2024). Cultural awareness and expression. What does it mean and why is it important?.</w:t>
      </w:r>
    </w:p>
    <w:p w14:paraId="74D8D4B7">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Wang Yating. A Comparative Study of Communication Styles between China and America. Academic Journal of Humanities &amp; Social Sciences (2022) Vol. 5, Issue 5: 91-101.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"https://doi.org/10.25236/AJHSS.2022.050514."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https://doi.org/10.25236/AJHSS.2022.050514.</w:t>
      </w:r>
      <w:r>
        <w:rPr>
          <w:rFonts w:hint="default" w:ascii="Times New Roman" w:hAnsi="Times New Roman" w:cs="Times New Roman"/>
          <w:sz w:val="24"/>
          <w:szCs w:val="24"/>
        </w:rPr>
        <w:fldChar w:fldCharType="end"/>
      </w:r>
    </w:p>
    <w:p w14:paraId="6D6881DC">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ZHANG, J. and SHI, Y., 2017. The Application of Vague Language in International Business Negotiations from a Cross-cultural Perspective. Theory and Practice in Language Studies, 7(7), pp. 585-589.</w:t>
      </w:r>
    </w:p>
    <w:p w14:paraId="312BDDF6">
      <w:pPr>
        <w:spacing w:line="360" w:lineRule="auto"/>
        <w:jc w:val="both"/>
        <w:rPr>
          <w:rFonts w:hint="default" w:ascii="Times New Roman" w:hAnsi="Times New Roman" w:eastAsia="宋体" w:cs="Times New Roman"/>
          <w:b/>
          <w:bCs/>
          <w:sz w:val="24"/>
          <w:szCs w:val="24"/>
          <w:lang w:val="en-US" w:eastAsia="zh-CN"/>
        </w:rPr>
      </w:pPr>
    </w:p>
    <w:sectPr>
      <w:footerReference r:id="rId3" w:type="default"/>
      <w:pgSz w:w="11906" w:h="16838"/>
      <w:pgMar w:top="1440" w:right="1800" w:bottom="1440" w:left="1800"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楷体">
    <w:panose1 w:val="02010609060101010101"/>
    <w:charset w:val="86"/>
    <w:family w:val="auto"/>
    <w:pitch w:val="default"/>
    <w:sig w:usb0="800002BF" w:usb1="38CF7CFA"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CBD490A">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CB6F923">
                          <w:pPr>
                            <w:pStyle w:val="6"/>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14:paraId="2CB6F923">
                    <w:pPr>
                      <w:pStyle w:val="6"/>
                    </w:pPr>
                    <w:r>
                      <w:fldChar w:fldCharType="begin"/>
                    </w:r>
                    <w:r>
                      <w:instrText xml:space="preserve"> PAGE  \* MERGEFORMAT </w:instrText>
                    </w:r>
                    <w:r>
                      <w:fldChar w:fldCharType="separate"/>
                    </w:r>
                    <w:r>
                      <w:t>3</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67ECC12"/>
    <w:multiLevelType w:val="singleLevel"/>
    <w:tmpl w:val="867ECC12"/>
    <w:lvl w:ilvl="0" w:tentative="0">
      <w:start w:val="1"/>
      <w:numFmt w:val="decimal"/>
      <w:suff w:val="space"/>
      <w:lvlText w:val="%1."/>
      <w:lvlJc w:val="left"/>
    </w:lvl>
  </w:abstractNum>
  <w:abstractNum w:abstractNumId="1">
    <w:nsid w:val="88831191"/>
    <w:multiLevelType w:val="singleLevel"/>
    <w:tmpl w:val="88831191"/>
    <w:lvl w:ilvl="0" w:tentative="0">
      <w:start w:val="1"/>
      <w:numFmt w:val="decimal"/>
      <w:lvlText w:val="【%1】"/>
      <w:lvlJc w:val="left"/>
      <w:pPr>
        <w:tabs>
          <w:tab w:val="left" w:pos="420"/>
        </w:tabs>
        <w:ind w:left="425" w:leftChars="0" w:hanging="425" w:firstLineChars="0"/>
      </w:pPr>
      <w:rPr>
        <w:rFonts w:hint="default"/>
      </w:rPr>
    </w:lvl>
  </w:abstractNum>
  <w:abstractNum w:abstractNumId="2">
    <w:nsid w:val="2146705D"/>
    <w:multiLevelType w:val="singleLevel"/>
    <w:tmpl w:val="2146705D"/>
    <w:lvl w:ilvl="0" w:tentative="0">
      <w:start w:val="1"/>
      <w:numFmt w:val="decimal"/>
      <w:lvlText w:val="%1."/>
      <w:lvlJc w:val="left"/>
      <w:pPr>
        <w:ind w:left="425" w:hanging="425"/>
      </w:pPr>
      <w:rPr>
        <w:rFonts w:hint="default"/>
      </w:rPr>
    </w:lvl>
  </w:abstractNum>
  <w:abstractNum w:abstractNumId="3">
    <w:nsid w:val="24B99F3A"/>
    <w:multiLevelType w:val="singleLevel"/>
    <w:tmpl w:val="24B99F3A"/>
    <w:lvl w:ilvl="0" w:tentative="0">
      <w:start w:val="1"/>
      <w:numFmt w:val="decimal"/>
      <w:suff w:val="space"/>
      <w:lvlText w:val="%1."/>
      <w:lvlJc w:val="left"/>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885B23"/>
    <w:rsid w:val="00E80873"/>
    <w:rsid w:val="01053D4B"/>
    <w:rsid w:val="126660CC"/>
    <w:rsid w:val="17A056D1"/>
    <w:rsid w:val="194518CB"/>
    <w:rsid w:val="19466BCB"/>
    <w:rsid w:val="237464B5"/>
    <w:rsid w:val="3D1D6D77"/>
    <w:rsid w:val="3E741203"/>
    <w:rsid w:val="3F8D6285"/>
    <w:rsid w:val="418B58D5"/>
    <w:rsid w:val="5715646F"/>
    <w:rsid w:val="5A86312A"/>
    <w:rsid w:val="5F7858AF"/>
    <w:rsid w:val="63647537"/>
    <w:rsid w:val="73BA5859"/>
    <w:rsid w:val="767A564D"/>
    <w:rsid w:val="7AD175E3"/>
    <w:rsid w:val="7C630B21"/>
    <w:rsid w:val="7F635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楷体" w:cs="Times New Roman"/>
      <w:spacing w:val="0"/>
      <w:kern w:val="21"/>
      <w:position w:val="0"/>
      <w:sz w:val="24"/>
      <w:szCs w:val="24"/>
      <w:u w:val="none" w:color="FF0000"/>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楷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character" w:styleId="12">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20</Pages>
  <Words>1798</Words>
  <Characters>11530</Characters>
  <Lines>0</Lines>
  <Paragraphs>0</Paragraphs>
  <TotalTime>42</TotalTime>
  <ScaleCrop>false</ScaleCrop>
  <LinksUpToDate>false</LinksUpToDate>
  <CharactersWithSpaces>13275</CharactersWithSpaces>
  <Application>WPS Office_12.1.0.18912_F1E327BC-269C-435d-A152-05C5408002CA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2022-01-05T06:20:00Z</dcterms:created>
  <dc:creator>HONOR</dc:creator>
  <cp:lastModifiedBy>。</cp:lastModifiedBy>
  <dcterms:modified xsi:type="dcterms:W3CDTF">2024-12-03T11:35:00Z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2052-12.1.0.18912</vt:lpwstr>
  </property>
  <property fmtid="{D5CDD505-2E9C-101B-9397-08002B2CF9AE}" pid="3" name="ICV">
    <vt:lpwstr>2D0D256DE78D4F7BAD3938ADB08E94D7</vt:lpwstr>
  </property>
</Properties>
</file>