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8C371D8" w14:textId="77777777" w:rsidR="00EC7B5F" w:rsidRPr="000042D0" w:rsidRDefault="00EC7B5F" w:rsidP="009C725D">
      <w:pPr>
        <w:spacing w:before="240" w:line="360" w:lineRule="auto"/>
        <w:jc w:val="both"/>
        <w:rPr>
          <w:rFonts w:ascii="Arial" w:hAnsi="Arial" w:cs="Arial"/>
          <w:b/>
          <w:bCs/>
          <w:sz w:val="24"/>
          <w:szCs w:val="24"/>
        </w:rPr>
      </w:pPr>
    </w:p>
    <w:p w14:paraId="4A1BB75E" w14:textId="77777777" w:rsidR="00EC7B5F" w:rsidRPr="000042D0" w:rsidRDefault="00EC7B5F" w:rsidP="009C725D">
      <w:pPr>
        <w:spacing w:before="240" w:line="360" w:lineRule="auto"/>
        <w:jc w:val="both"/>
        <w:rPr>
          <w:rFonts w:ascii="Arial" w:hAnsi="Arial" w:cs="Arial"/>
          <w:b/>
          <w:bCs/>
          <w:sz w:val="24"/>
          <w:szCs w:val="24"/>
        </w:rPr>
      </w:pPr>
    </w:p>
    <w:p w14:paraId="20CC4F2C" w14:textId="77777777" w:rsidR="00EC7B5F" w:rsidRPr="000042D0" w:rsidRDefault="00EC7B5F" w:rsidP="009C725D">
      <w:pPr>
        <w:spacing w:before="240" w:line="360" w:lineRule="auto"/>
        <w:jc w:val="both"/>
        <w:rPr>
          <w:rFonts w:ascii="Arial" w:hAnsi="Arial" w:cs="Arial"/>
          <w:b/>
          <w:bCs/>
          <w:sz w:val="24"/>
          <w:szCs w:val="24"/>
        </w:rPr>
      </w:pPr>
    </w:p>
    <w:p w14:paraId="596F5EF7" w14:textId="77777777" w:rsidR="00EC7B5F" w:rsidRPr="000042D0" w:rsidRDefault="00EC7B5F" w:rsidP="009C725D">
      <w:pPr>
        <w:spacing w:before="240" w:line="360" w:lineRule="auto"/>
        <w:jc w:val="both"/>
        <w:rPr>
          <w:rFonts w:ascii="Arial" w:hAnsi="Arial" w:cs="Arial"/>
          <w:b/>
          <w:bCs/>
          <w:sz w:val="24"/>
          <w:szCs w:val="24"/>
        </w:rPr>
      </w:pPr>
    </w:p>
    <w:p w14:paraId="1EC53B4F" w14:textId="32F85131" w:rsidR="00701EF5" w:rsidRPr="000042D0" w:rsidRDefault="00EC7B5F" w:rsidP="00EC7B5F">
      <w:pPr>
        <w:spacing w:before="240" w:line="360" w:lineRule="auto"/>
        <w:jc w:val="center"/>
        <w:rPr>
          <w:rFonts w:ascii="Arial" w:hAnsi="Arial" w:cs="Arial"/>
          <w:b/>
          <w:bCs/>
          <w:sz w:val="24"/>
          <w:szCs w:val="24"/>
        </w:rPr>
      </w:pPr>
      <w:r w:rsidRPr="000042D0">
        <w:rPr>
          <w:rFonts w:ascii="Arial" w:hAnsi="Arial" w:cs="Arial"/>
          <w:b/>
          <w:bCs/>
          <w:sz w:val="24"/>
          <w:szCs w:val="24"/>
        </w:rPr>
        <w:t>MODULE NAME: FINANCIAL MANAGEMENT</w:t>
      </w:r>
    </w:p>
    <w:p w14:paraId="48F79372" w14:textId="38634CCD" w:rsidR="00EC7B5F" w:rsidRPr="000042D0" w:rsidRDefault="00EC7B5F" w:rsidP="00EC7B5F">
      <w:pPr>
        <w:spacing w:before="240" w:line="360" w:lineRule="auto"/>
        <w:jc w:val="center"/>
        <w:rPr>
          <w:rFonts w:ascii="Arial" w:hAnsi="Arial" w:cs="Arial"/>
          <w:b/>
          <w:bCs/>
          <w:sz w:val="24"/>
          <w:szCs w:val="24"/>
        </w:rPr>
      </w:pPr>
      <w:r w:rsidRPr="000042D0">
        <w:rPr>
          <w:rFonts w:ascii="Arial" w:hAnsi="Arial" w:cs="Arial"/>
          <w:b/>
          <w:bCs/>
          <w:sz w:val="24"/>
          <w:szCs w:val="24"/>
        </w:rPr>
        <w:t>MODULE CODE:</w:t>
      </w:r>
      <w:r w:rsidRPr="000042D0">
        <w:rPr>
          <w:rFonts w:ascii="Arial" w:hAnsi="Arial" w:cs="Arial"/>
          <w:b/>
          <w:bCs/>
          <w:sz w:val="24"/>
          <w:szCs w:val="24"/>
        </w:rPr>
        <w:tab/>
        <w:t>LCMB7002</w:t>
      </w:r>
    </w:p>
    <w:p w14:paraId="0A28CFF3" w14:textId="65B36AA2" w:rsidR="00EC7B5F" w:rsidRPr="000042D0" w:rsidRDefault="00EC7B5F" w:rsidP="00EC7B5F">
      <w:pPr>
        <w:spacing w:before="240" w:line="360" w:lineRule="auto"/>
        <w:jc w:val="center"/>
        <w:rPr>
          <w:rFonts w:ascii="Arial" w:hAnsi="Arial" w:cs="Arial"/>
          <w:b/>
          <w:bCs/>
          <w:sz w:val="32"/>
          <w:szCs w:val="32"/>
        </w:rPr>
      </w:pPr>
      <w:r w:rsidRPr="000042D0">
        <w:rPr>
          <w:rFonts w:ascii="Arial" w:hAnsi="Arial" w:cs="Arial"/>
          <w:b/>
          <w:bCs/>
          <w:sz w:val="32"/>
          <w:szCs w:val="32"/>
        </w:rPr>
        <w:t>FINANCIAL PERFORMANCE AND MANAGEMENT OF HILTON WORLDWIDE HOLDINGS INC.</w:t>
      </w:r>
    </w:p>
    <w:p w14:paraId="706B8E8D" w14:textId="77777777" w:rsidR="00CB4C82" w:rsidRPr="00CB4C82" w:rsidRDefault="008E54FF" w:rsidP="00CB4C82">
      <w:pPr>
        <w:spacing w:before="240" w:line="360" w:lineRule="auto"/>
        <w:jc w:val="center"/>
        <w:rPr>
          <w:rFonts w:ascii="Arial" w:hAnsi="Arial" w:cs="Arial"/>
          <w:b/>
          <w:bCs/>
          <w:sz w:val="24"/>
          <w:szCs w:val="24"/>
        </w:rPr>
      </w:pPr>
      <w:r w:rsidRPr="000042D0">
        <w:rPr>
          <w:rFonts w:ascii="Arial" w:hAnsi="Arial" w:cs="Arial"/>
          <w:b/>
          <w:bCs/>
          <w:sz w:val="24"/>
          <w:szCs w:val="24"/>
        </w:rPr>
        <w:t xml:space="preserve">STUDENT NAME: </w:t>
      </w:r>
      <w:proofErr w:type="spellStart"/>
      <w:r w:rsidR="00CB4C82" w:rsidRPr="00CB4C82">
        <w:rPr>
          <w:rFonts w:ascii="Arial" w:hAnsi="Arial" w:cs="Arial"/>
          <w:b/>
          <w:bCs/>
          <w:sz w:val="24"/>
          <w:szCs w:val="24"/>
        </w:rPr>
        <w:t>Siddharth</w:t>
      </w:r>
      <w:proofErr w:type="spellEnd"/>
      <w:r w:rsidR="00CB4C82" w:rsidRPr="00CB4C82">
        <w:rPr>
          <w:rFonts w:ascii="Arial" w:hAnsi="Arial" w:cs="Arial"/>
          <w:b/>
          <w:bCs/>
          <w:sz w:val="24"/>
          <w:szCs w:val="24"/>
        </w:rPr>
        <w:t xml:space="preserve"> </w:t>
      </w:r>
      <w:proofErr w:type="spellStart"/>
      <w:r w:rsidR="00CB4C82" w:rsidRPr="00CB4C82">
        <w:rPr>
          <w:rFonts w:ascii="Arial" w:hAnsi="Arial" w:cs="Arial"/>
          <w:b/>
          <w:bCs/>
          <w:sz w:val="24"/>
          <w:szCs w:val="24"/>
        </w:rPr>
        <w:t>Jangir</w:t>
      </w:r>
      <w:proofErr w:type="spellEnd"/>
    </w:p>
    <w:p w14:paraId="3C49721D" w14:textId="6D67886E" w:rsidR="00EC7B5F" w:rsidRPr="000042D0" w:rsidRDefault="00CB4C82" w:rsidP="00CB4C82">
      <w:pPr>
        <w:spacing w:before="240" w:line="360" w:lineRule="auto"/>
        <w:jc w:val="center"/>
        <w:rPr>
          <w:rFonts w:ascii="Arial" w:hAnsi="Arial" w:cs="Arial"/>
          <w:b/>
          <w:bCs/>
          <w:sz w:val="24"/>
          <w:szCs w:val="24"/>
        </w:rPr>
      </w:pPr>
      <w:r>
        <w:rPr>
          <w:rFonts w:ascii="Arial" w:hAnsi="Arial" w:cs="Arial"/>
          <w:b/>
          <w:bCs/>
          <w:sz w:val="24"/>
          <w:szCs w:val="24"/>
        </w:rPr>
        <w:t>STUDENT ID:</w:t>
      </w:r>
      <w:bookmarkStart w:id="0" w:name="_GoBack"/>
      <w:bookmarkEnd w:id="0"/>
      <w:r w:rsidRPr="00CB4C82">
        <w:rPr>
          <w:rFonts w:ascii="Arial" w:hAnsi="Arial" w:cs="Arial"/>
          <w:b/>
          <w:bCs/>
          <w:sz w:val="24"/>
          <w:szCs w:val="24"/>
        </w:rPr>
        <w:t xml:space="preserve"> 253896</w:t>
      </w:r>
      <w:r>
        <w:rPr>
          <w:rFonts w:ascii="Arial" w:hAnsi="Arial" w:cs="Arial"/>
          <w:b/>
          <w:bCs/>
          <w:sz w:val="24"/>
          <w:szCs w:val="24"/>
        </w:rPr>
        <w:t>9</w:t>
      </w:r>
    </w:p>
    <w:p w14:paraId="4EBF157C" w14:textId="1AFC49E7" w:rsidR="00EC7B5F" w:rsidRPr="00701EF5" w:rsidRDefault="008E54FF" w:rsidP="00EC7B5F">
      <w:pPr>
        <w:spacing w:before="240" w:line="360" w:lineRule="auto"/>
        <w:jc w:val="center"/>
        <w:rPr>
          <w:rFonts w:ascii="Arial" w:hAnsi="Arial" w:cs="Arial"/>
          <w:b/>
          <w:bCs/>
          <w:sz w:val="24"/>
          <w:szCs w:val="24"/>
        </w:rPr>
      </w:pPr>
      <w:r w:rsidRPr="000042D0">
        <w:rPr>
          <w:rFonts w:ascii="Arial" w:hAnsi="Arial" w:cs="Arial"/>
          <w:b/>
          <w:bCs/>
          <w:sz w:val="24"/>
          <w:szCs w:val="24"/>
        </w:rPr>
        <w:t>WORDCOUNT: 5000</w:t>
      </w:r>
    </w:p>
    <w:p w14:paraId="196E6A8F" w14:textId="77777777" w:rsidR="00EC7B5F" w:rsidRPr="000042D0" w:rsidRDefault="00EC7B5F">
      <w:pPr>
        <w:rPr>
          <w:rFonts w:ascii="Arial" w:hAnsi="Arial" w:cs="Arial"/>
          <w:b/>
          <w:bCs/>
          <w:sz w:val="24"/>
          <w:szCs w:val="24"/>
        </w:rPr>
      </w:pPr>
      <w:r w:rsidRPr="000042D0">
        <w:rPr>
          <w:rFonts w:ascii="Arial" w:hAnsi="Arial" w:cs="Arial"/>
          <w:b/>
          <w:bCs/>
          <w:sz w:val="24"/>
          <w:szCs w:val="24"/>
        </w:rPr>
        <w:br w:type="page"/>
      </w:r>
    </w:p>
    <w:sdt>
      <w:sdtPr>
        <w:rPr>
          <w:rFonts w:asciiTheme="minorHAnsi" w:eastAsiaTheme="minorHAnsi" w:hAnsiTheme="minorHAnsi" w:cstheme="minorBidi"/>
          <w:color w:val="auto"/>
          <w:sz w:val="22"/>
          <w:szCs w:val="22"/>
          <w:lang w:val="en-GB"/>
        </w:rPr>
        <w:id w:val="1986120584"/>
        <w:docPartObj>
          <w:docPartGallery w:val="Table of Contents"/>
          <w:docPartUnique/>
        </w:docPartObj>
      </w:sdtPr>
      <w:sdtEndPr>
        <w:rPr>
          <w:b/>
          <w:bCs/>
          <w:noProof/>
        </w:rPr>
      </w:sdtEndPr>
      <w:sdtContent>
        <w:p w14:paraId="7E550B8E" w14:textId="44A9411E" w:rsidR="00D56E53" w:rsidRPr="002935DF" w:rsidRDefault="00D56E53" w:rsidP="002935DF">
          <w:pPr>
            <w:pStyle w:val="TOCHeading"/>
            <w:spacing w:before="0" w:line="360" w:lineRule="auto"/>
            <w:jc w:val="center"/>
            <w:rPr>
              <w:rFonts w:ascii="Arial" w:hAnsi="Arial" w:cs="Arial"/>
              <w:b/>
              <w:bCs/>
              <w:color w:val="000000" w:themeColor="text1"/>
              <w:sz w:val="24"/>
              <w:szCs w:val="24"/>
              <w:lang w:val="en-GB"/>
            </w:rPr>
          </w:pPr>
          <w:r w:rsidRPr="002935DF">
            <w:rPr>
              <w:rFonts w:ascii="Arial" w:hAnsi="Arial" w:cs="Arial"/>
              <w:b/>
              <w:bCs/>
              <w:color w:val="000000" w:themeColor="text1"/>
              <w:sz w:val="24"/>
              <w:szCs w:val="24"/>
              <w:lang w:val="en-GB"/>
            </w:rPr>
            <w:t>Table of Contents</w:t>
          </w:r>
        </w:p>
        <w:p w14:paraId="6450E846" w14:textId="3CC30542" w:rsidR="002935DF" w:rsidRPr="002935DF" w:rsidRDefault="00D56E53" w:rsidP="002935DF">
          <w:pPr>
            <w:pStyle w:val="TOC1"/>
            <w:tabs>
              <w:tab w:val="right" w:leader="dot" w:pos="9350"/>
            </w:tabs>
            <w:spacing w:line="360" w:lineRule="auto"/>
            <w:rPr>
              <w:rFonts w:ascii="Arial" w:eastAsiaTheme="minorEastAsia" w:hAnsi="Arial" w:cs="Arial"/>
              <w:noProof/>
              <w:sz w:val="24"/>
              <w:szCs w:val="24"/>
              <w:lang w:eastAsia="en-GB"/>
            </w:rPr>
          </w:pPr>
          <w:r w:rsidRPr="002935DF">
            <w:rPr>
              <w:rFonts w:ascii="Arial" w:hAnsi="Arial" w:cs="Arial"/>
              <w:sz w:val="24"/>
              <w:szCs w:val="24"/>
            </w:rPr>
            <w:fldChar w:fldCharType="begin"/>
          </w:r>
          <w:r w:rsidRPr="002935DF">
            <w:rPr>
              <w:rFonts w:ascii="Arial" w:hAnsi="Arial" w:cs="Arial"/>
              <w:sz w:val="24"/>
              <w:szCs w:val="24"/>
            </w:rPr>
            <w:instrText xml:space="preserve"> TOC \o "1-3" \h \z \u </w:instrText>
          </w:r>
          <w:r w:rsidRPr="002935DF">
            <w:rPr>
              <w:rFonts w:ascii="Arial" w:hAnsi="Arial" w:cs="Arial"/>
              <w:sz w:val="24"/>
              <w:szCs w:val="24"/>
            </w:rPr>
            <w:fldChar w:fldCharType="separate"/>
          </w:r>
          <w:hyperlink w:anchor="_Toc235622240" w:history="1">
            <w:r w:rsidR="002935DF" w:rsidRPr="002935DF">
              <w:rPr>
                <w:rStyle w:val="Hyperlink"/>
                <w:rFonts w:ascii="Arial" w:hAnsi="Arial" w:cs="Arial"/>
                <w:noProof/>
                <w:sz w:val="24"/>
                <w:szCs w:val="24"/>
              </w:rPr>
              <w:t>Introduction</w:t>
            </w:r>
            <w:r w:rsidR="002935DF" w:rsidRPr="002935DF">
              <w:rPr>
                <w:rFonts w:ascii="Arial" w:hAnsi="Arial" w:cs="Arial"/>
                <w:noProof/>
                <w:webHidden/>
                <w:sz w:val="24"/>
                <w:szCs w:val="24"/>
              </w:rPr>
              <w:tab/>
            </w:r>
            <w:r w:rsidR="002935DF" w:rsidRPr="002935DF">
              <w:rPr>
                <w:rFonts w:ascii="Arial" w:hAnsi="Arial" w:cs="Arial"/>
                <w:noProof/>
                <w:webHidden/>
                <w:sz w:val="24"/>
                <w:szCs w:val="24"/>
              </w:rPr>
              <w:fldChar w:fldCharType="begin"/>
            </w:r>
            <w:r w:rsidR="002935DF" w:rsidRPr="002935DF">
              <w:rPr>
                <w:rFonts w:ascii="Arial" w:hAnsi="Arial" w:cs="Arial"/>
                <w:noProof/>
                <w:webHidden/>
                <w:sz w:val="24"/>
                <w:szCs w:val="24"/>
              </w:rPr>
              <w:instrText xml:space="preserve"> PAGEREF _Toc235622240 \h </w:instrText>
            </w:r>
            <w:r w:rsidR="002935DF" w:rsidRPr="002935DF">
              <w:rPr>
                <w:rFonts w:ascii="Arial" w:hAnsi="Arial" w:cs="Arial"/>
                <w:noProof/>
                <w:webHidden/>
                <w:sz w:val="24"/>
                <w:szCs w:val="24"/>
              </w:rPr>
            </w:r>
            <w:r w:rsidR="002935DF" w:rsidRPr="002935DF">
              <w:rPr>
                <w:rFonts w:ascii="Arial" w:hAnsi="Arial" w:cs="Arial"/>
                <w:noProof/>
                <w:webHidden/>
                <w:sz w:val="24"/>
                <w:szCs w:val="24"/>
              </w:rPr>
              <w:fldChar w:fldCharType="separate"/>
            </w:r>
            <w:r w:rsidR="002935DF" w:rsidRPr="002935DF">
              <w:rPr>
                <w:rFonts w:ascii="Arial" w:hAnsi="Arial" w:cs="Arial"/>
                <w:noProof/>
                <w:webHidden/>
                <w:sz w:val="24"/>
                <w:szCs w:val="24"/>
              </w:rPr>
              <w:t>3</w:t>
            </w:r>
            <w:r w:rsidR="002935DF" w:rsidRPr="002935DF">
              <w:rPr>
                <w:rFonts w:ascii="Arial" w:hAnsi="Arial" w:cs="Arial"/>
                <w:noProof/>
                <w:webHidden/>
                <w:sz w:val="24"/>
                <w:szCs w:val="24"/>
              </w:rPr>
              <w:fldChar w:fldCharType="end"/>
            </w:r>
          </w:hyperlink>
        </w:p>
        <w:p w14:paraId="0EEBBC58" w14:textId="2C29D6C7" w:rsidR="002935DF" w:rsidRPr="002935DF" w:rsidRDefault="00353728" w:rsidP="002935DF">
          <w:pPr>
            <w:pStyle w:val="TOC1"/>
            <w:tabs>
              <w:tab w:val="right" w:leader="dot" w:pos="9350"/>
            </w:tabs>
            <w:spacing w:line="360" w:lineRule="auto"/>
            <w:rPr>
              <w:rFonts w:ascii="Arial" w:eastAsiaTheme="minorEastAsia" w:hAnsi="Arial" w:cs="Arial"/>
              <w:noProof/>
              <w:sz w:val="24"/>
              <w:szCs w:val="24"/>
              <w:lang w:eastAsia="en-GB"/>
            </w:rPr>
          </w:pPr>
          <w:hyperlink w:anchor="_Toc235622241" w:history="1">
            <w:r w:rsidR="002935DF" w:rsidRPr="002935DF">
              <w:rPr>
                <w:rStyle w:val="Hyperlink"/>
                <w:rFonts w:ascii="Arial" w:hAnsi="Arial" w:cs="Arial"/>
                <w:noProof/>
                <w:sz w:val="24"/>
                <w:szCs w:val="24"/>
              </w:rPr>
              <w:t>1. Financial Health Check</w:t>
            </w:r>
            <w:r w:rsidR="002935DF" w:rsidRPr="002935DF">
              <w:rPr>
                <w:rFonts w:ascii="Arial" w:hAnsi="Arial" w:cs="Arial"/>
                <w:noProof/>
                <w:webHidden/>
                <w:sz w:val="24"/>
                <w:szCs w:val="24"/>
              </w:rPr>
              <w:tab/>
            </w:r>
            <w:r w:rsidR="002935DF" w:rsidRPr="002935DF">
              <w:rPr>
                <w:rFonts w:ascii="Arial" w:hAnsi="Arial" w:cs="Arial"/>
                <w:noProof/>
                <w:webHidden/>
                <w:sz w:val="24"/>
                <w:szCs w:val="24"/>
              </w:rPr>
              <w:fldChar w:fldCharType="begin"/>
            </w:r>
            <w:r w:rsidR="002935DF" w:rsidRPr="002935DF">
              <w:rPr>
                <w:rFonts w:ascii="Arial" w:hAnsi="Arial" w:cs="Arial"/>
                <w:noProof/>
                <w:webHidden/>
                <w:sz w:val="24"/>
                <w:szCs w:val="24"/>
              </w:rPr>
              <w:instrText xml:space="preserve"> PAGEREF _Toc235622241 \h </w:instrText>
            </w:r>
            <w:r w:rsidR="002935DF" w:rsidRPr="002935DF">
              <w:rPr>
                <w:rFonts w:ascii="Arial" w:hAnsi="Arial" w:cs="Arial"/>
                <w:noProof/>
                <w:webHidden/>
                <w:sz w:val="24"/>
                <w:szCs w:val="24"/>
              </w:rPr>
            </w:r>
            <w:r w:rsidR="002935DF" w:rsidRPr="002935DF">
              <w:rPr>
                <w:rFonts w:ascii="Arial" w:hAnsi="Arial" w:cs="Arial"/>
                <w:noProof/>
                <w:webHidden/>
                <w:sz w:val="24"/>
                <w:szCs w:val="24"/>
              </w:rPr>
              <w:fldChar w:fldCharType="separate"/>
            </w:r>
            <w:r w:rsidR="002935DF" w:rsidRPr="002935DF">
              <w:rPr>
                <w:rFonts w:ascii="Arial" w:hAnsi="Arial" w:cs="Arial"/>
                <w:noProof/>
                <w:webHidden/>
                <w:sz w:val="24"/>
                <w:szCs w:val="24"/>
              </w:rPr>
              <w:t>4</w:t>
            </w:r>
            <w:r w:rsidR="002935DF" w:rsidRPr="002935DF">
              <w:rPr>
                <w:rFonts w:ascii="Arial" w:hAnsi="Arial" w:cs="Arial"/>
                <w:noProof/>
                <w:webHidden/>
                <w:sz w:val="24"/>
                <w:szCs w:val="24"/>
              </w:rPr>
              <w:fldChar w:fldCharType="end"/>
            </w:r>
          </w:hyperlink>
        </w:p>
        <w:p w14:paraId="04A53990" w14:textId="1143B497" w:rsidR="002935DF" w:rsidRPr="002935DF" w:rsidRDefault="00353728" w:rsidP="002935DF">
          <w:pPr>
            <w:pStyle w:val="TOC2"/>
            <w:tabs>
              <w:tab w:val="right" w:leader="dot" w:pos="9350"/>
            </w:tabs>
            <w:spacing w:line="360" w:lineRule="auto"/>
            <w:rPr>
              <w:rFonts w:ascii="Arial" w:eastAsiaTheme="minorEastAsia" w:hAnsi="Arial" w:cs="Arial"/>
              <w:noProof/>
              <w:sz w:val="24"/>
              <w:szCs w:val="24"/>
              <w:lang w:eastAsia="en-GB"/>
            </w:rPr>
          </w:pPr>
          <w:hyperlink w:anchor="_Toc235622242" w:history="1">
            <w:r w:rsidR="002935DF" w:rsidRPr="002935DF">
              <w:rPr>
                <w:rStyle w:val="Hyperlink"/>
                <w:rFonts w:ascii="Arial" w:hAnsi="Arial" w:cs="Arial"/>
                <w:noProof/>
                <w:sz w:val="24"/>
                <w:szCs w:val="24"/>
              </w:rPr>
              <w:t>1.1 Financial Performance Overview</w:t>
            </w:r>
            <w:r w:rsidR="002935DF" w:rsidRPr="002935DF">
              <w:rPr>
                <w:rFonts w:ascii="Arial" w:hAnsi="Arial" w:cs="Arial"/>
                <w:noProof/>
                <w:webHidden/>
                <w:sz w:val="24"/>
                <w:szCs w:val="24"/>
              </w:rPr>
              <w:tab/>
            </w:r>
            <w:r w:rsidR="002935DF" w:rsidRPr="002935DF">
              <w:rPr>
                <w:rFonts w:ascii="Arial" w:hAnsi="Arial" w:cs="Arial"/>
                <w:noProof/>
                <w:webHidden/>
                <w:sz w:val="24"/>
                <w:szCs w:val="24"/>
              </w:rPr>
              <w:fldChar w:fldCharType="begin"/>
            </w:r>
            <w:r w:rsidR="002935DF" w:rsidRPr="002935DF">
              <w:rPr>
                <w:rFonts w:ascii="Arial" w:hAnsi="Arial" w:cs="Arial"/>
                <w:noProof/>
                <w:webHidden/>
                <w:sz w:val="24"/>
                <w:szCs w:val="24"/>
              </w:rPr>
              <w:instrText xml:space="preserve"> PAGEREF _Toc235622242 \h </w:instrText>
            </w:r>
            <w:r w:rsidR="002935DF" w:rsidRPr="002935DF">
              <w:rPr>
                <w:rFonts w:ascii="Arial" w:hAnsi="Arial" w:cs="Arial"/>
                <w:noProof/>
                <w:webHidden/>
                <w:sz w:val="24"/>
                <w:szCs w:val="24"/>
              </w:rPr>
            </w:r>
            <w:r w:rsidR="002935DF" w:rsidRPr="002935DF">
              <w:rPr>
                <w:rFonts w:ascii="Arial" w:hAnsi="Arial" w:cs="Arial"/>
                <w:noProof/>
                <w:webHidden/>
                <w:sz w:val="24"/>
                <w:szCs w:val="24"/>
              </w:rPr>
              <w:fldChar w:fldCharType="separate"/>
            </w:r>
            <w:r w:rsidR="002935DF" w:rsidRPr="002935DF">
              <w:rPr>
                <w:rFonts w:ascii="Arial" w:hAnsi="Arial" w:cs="Arial"/>
                <w:noProof/>
                <w:webHidden/>
                <w:sz w:val="24"/>
                <w:szCs w:val="24"/>
              </w:rPr>
              <w:t>4</w:t>
            </w:r>
            <w:r w:rsidR="002935DF" w:rsidRPr="002935DF">
              <w:rPr>
                <w:rFonts w:ascii="Arial" w:hAnsi="Arial" w:cs="Arial"/>
                <w:noProof/>
                <w:webHidden/>
                <w:sz w:val="24"/>
                <w:szCs w:val="24"/>
              </w:rPr>
              <w:fldChar w:fldCharType="end"/>
            </w:r>
          </w:hyperlink>
        </w:p>
        <w:p w14:paraId="519E08A0" w14:textId="02F088A5" w:rsidR="002935DF" w:rsidRPr="002935DF" w:rsidRDefault="00353728" w:rsidP="002935DF">
          <w:pPr>
            <w:pStyle w:val="TOC2"/>
            <w:tabs>
              <w:tab w:val="right" w:leader="dot" w:pos="9350"/>
            </w:tabs>
            <w:spacing w:line="360" w:lineRule="auto"/>
            <w:rPr>
              <w:rFonts w:ascii="Arial" w:eastAsiaTheme="minorEastAsia" w:hAnsi="Arial" w:cs="Arial"/>
              <w:noProof/>
              <w:sz w:val="24"/>
              <w:szCs w:val="24"/>
              <w:lang w:eastAsia="en-GB"/>
            </w:rPr>
          </w:pPr>
          <w:hyperlink w:anchor="_Toc235622243" w:history="1">
            <w:r w:rsidR="002935DF" w:rsidRPr="002935DF">
              <w:rPr>
                <w:rStyle w:val="Hyperlink"/>
                <w:rFonts w:ascii="Arial" w:hAnsi="Arial" w:cs="Arial"/>
                <w:noProof/>
                <w:sz w:val="24"/>
                <w:szCs w:val="24"/>
              </w:rPr>
              <w:t>1.2 Profitability Analysis</w:t>
            </w:r>
            <w:r w:rsidR="002935DF" w:rsidRPr="002935DF">
              <w:rPr>
                <w:rFonts w:ascii="Arial" w:hAnsi="Arial" w:cs="Arial"/>
                <w:noProof/>
                <w:webHidden/>
                <w:sz w:val="24"/>
                <w:szCs w:val="24"/>
              </w:rPr>
              <w:tab/>
            </w:r>
            <w:r w:rsidR="002935DF" w:rsidRPr="002935DF">
              <w:rPr>
                <w:rFonts w:ascii="Arial" w:hAnsi="Arial" w:cs="Arial"/>
                <w:noProof/>
                <w:webHidden/>
                <w:sz w:val="24"/>
                <w:szCs w:val="24"/>
              </w:rPr>
              <w:fldChar w:fldCharType="begin"/>
            </w:r>
            <w:r w:rsidR="002935DF" w:rsidRPr="002935DF">
              <w:rPr>
                <w:rFonts w:ascii="Arial" w:hAnsi="Arial" w:cs="Arial"/>
                <w:noProof/>
                <w:webHidden/>
                <w:sz w:val="24"/>
                <w:szCs w:val="24"/>
              </w:rPr>
              <w:instrText xml:space="preserve"> PAGEREF _Toc235622243 \h </w:instrText>
            </w:r>
            <w:r w:rsidR="002935DF" w:rsidRPr="002935DF">
              <w:rPr>
                <w:rFonts w:ascii="Arial" w:hAnsi="Arial" w:cs="Arial"/>
                <w:noProof/>
                <w:webHidden/>
                <w:sz w:val="24"/>
                <w:szCs w:val="24"/>
              </w:rPr>
            </w:r>
            <w:r w:rsidR="002935DF" w:rsidRPr="002935DF">
              <w:rPr>
                <w:rFonts w:ascii="Arial" w:hAnsi="Arial" w:cs="Arial"/>
                <w:noProof/>
                <w:webHidden/>
                <w:sz w:val="24"/>
                <w:szCs w:val="24"/>
              </w:rPr>
              <w:fldChar w:fldCharType="separate"/>
            </w:r>
            <w:r w:rsidR="002935DF" w:rsidRPr="002935DF">
              <w:rPr>
                <w:rFonts w:ascii="Arial" w:hAnsi="Arial" w:cs="Arial"/>
                <w:noProof/>
                <w:webHidden/>
                <w:sz w:val="24"/>
                <w:szCs w:val="24"/>
              </w:rPr>
              <w:t>4</w:t>
            </w:r>
            <w:r w:rsidR="002935DF" w:rsidRPr="002935DF">
              <w:rPr>
                <w:rFonts w:ascii="Arial" w:hAnsi="Arial" w:cs="Arial"/>
                <w:noProof/>
                <w:webHidden/>
                <w:sz w:val="24"/>
                <w:szCs w:val="24"/>
              </w:rPr>
              <w:fldChar w:fldCharType="end"/>
            </w:r>
          </w:hyperlink>
        </w:p>
        <w:p w14:paraId="36BDCE9F" w14:textId="6FB15EFD" w:rsidR="002935DF" w:rsidRPr="002935DF" w:rsidRDefault="00353728" w:rsidP="002935DF">
          <w:pPr>
            <w:pStyle w:val="TOC2"/>
            <w:tabs>
              <w:tab w:val="right" w:leader="dot" w:pos="9350"/>
            </w:tabs>
            <w:spacing w:line="360" w:lineRule="auto"/>
            <w:rPr>
              <w:rFonts w:ascii="Arial" w:eastAsiaTheme="minorEastAsia" w:hAnsi="Arial" w:cs="Arial"/>
              <w:noProof/>
              <w:sz w:val="24"/>
              <w:szCs w:val="24"/>
              <w:lang w:eastAsia="en-GB"/>
            </w:rPr>
          </w:pPr>
          <w:hyperlink w:anchor="_Toc235622244" w:history="1">
            <w:r w:rsidR="002935DF" w:rsidRPr="002935DF">
              <w:rPr>
                <w:rStyle w:val="Hyperlink"/>
                <w:rFonts w:ascii="Arial" w:hAnsi="Arial" w:cs="Arial"/>
                <w:noProof/>
                <w:sz w:val="24"/>
                <w:szCs w:val="24"/>
              </w:rPr>
              <w:t>1.3 Liquidity and Asset Efficiency Analysis</w:t>
            </w:r>
            <w:r w:rsidR="002935DF" w:rsidRPr="002935DF">
              <w:rPr>
                <w:rFonts w:ascii="Arial" w:hAnsi="Arial" w:cs="Arial"/>
                <w:noProof/>
                <w:webHidden/>
                <w:sz w:val="24"/>
                <w:szCs w:val="24"/>
              </w:rPr>
              <w:tab/>
            </w:r>
            <w:r w:rsidR="002935DF" w:rsidRPr="002935DF">
              <w:rPr>
                <w:rFonts w:ascii="Arial" w:hAnsi="Arial" w:cs="Arial"/>
                <w:noProof/>
                <w:webHidden/>
                <w:sz w:val="24"/>
                <w:szCs w:val="24"/>
              </w:rPr>
              <w:fldChar w:fldCharType="begin"/>
            </w:r>
            <w:r w:rsidR="002935DF" w:rsidRPr="002935DF">
              <w:rPr>
                <w:rFonts w:ascii="Arial" w:hAnsi="Arial" w:cs="Arial"/>
                <w:noProof/>
                <w:webHidden/>
                <w:sz w:val="24"/>
                <w:szCs w:val="24"/>
              </w:rPr>
              <w:instrText xml:space="preserve"> PAGEREF _Toc235622244 \h </w:instrText>
            </w:r>
            <w:r w:rsidR="002935DF" w:rsidRPr="002935DF">
              <w:rPr>
                <w:rFonts w:ascii="Arial" w:hAnsi="Arial" w:cs="Arial"/>
                <w:noProof/>
                <w:webHidden/>
                <w:sz w:val="24"/>
                <w:szCs w:val="24"/>
              </w:rPr>
            </w:r>
            <w:r w:rsidR="002935DF" w:rsidRPr="002935DF">
              <w:rPr>
                <w:rFonts w:ascii="Arial" w:hAnsi="Arial" w:cs="Arial"/>
                <w:noProof/>
                <w:webHidden/>
                <w:sz w:val="24"/>
                <w:szCs w:val="24"/>
              </w:rPr>
              <w:fldChar w:fldCharType="separate"/>
            </w:r>
            <w:r w:rsidR="002935DF" w:rsidRPr="002935DF">
              <w:rPr>
                <w:rFonts w:ascii="Arial" w:hAnsi="Arial" w:cs="Arial"/>
                <w:noProof/>
                <w:webHidden/>
                <w:sz w:val="24"/>
                <w:szCs w:val="24"/>
              </w:rPr>
              <w:t>7</w:t>
            </w:r>
            <w:r w:rsidR="002935DF" w:rsidRPr="002935DF">
              <w:rPr>
                <w:rFonts w:ascii="Arial" w:hAnsi="Arial" w:cs="Arial"/>
                <w:noProof/>
                <w:webHidden/>
                <w:sz w:val="24"/>
                <w:szCs w:val="24"/>
              </w:rPr>
              <w:fldChar w:fldCharType="end"/>
            </w:r>
          </w:hyperlink>
        </w:p>
        <w:p w14:paraId="2AAC8434" w14:textId="44859A1D" w:rsidR="002935DF" w:rsidRPr="002935DF" w:rsidRDefault="00353728" w:rsidP="002935DF">
          <w:pPr>
            <w:pStyle w:val="TOC2"/>
            <w:tabs>
              <w:tab w:val="right" w:leader="dot" w:pos="9350"/>
            </w:tabs>
            <w:spacing w:line="360" w:lineRule="auto"/>
            <w:rPr>
              <w:rFonts w:ascii="Arial" w:eastAsiaTheme="minorEastAsia" w:hAnsi="Arial" w:cs="Arial"/>
              <w:noProof/>
              <w:sz w:val="24"/>
              <w:szCs w:val="24"/>
              <w:lang w:eastAsia="en-GB"/>
            </w:rPr>
          </w:pPr>
          <w:hyperlink w:anchor="_Toc235622245" w:history="1">
            <w:r w:rsidR="002935DF" w:rsidRPr="002935DF">
              <w:rPr>
                <w:rStyle w:val="Hyperlink"/>
                <w:rFonts w:ascii="Arial" w:hAnsi="Arial" w:cs="Arial"/>
                <w:noProof/>
                <w:sz w:val="24"/>
                <w:szCs w:val="24"/>
              </w:rPr>
              <w:t>1.4 Capital Structure, Investment Ratios and Industry Benchmark</w:t>
            </w:r>
            <w:r w:rsidR="002935DF" w:rsidRPr="002935DF">
              <w:rPr>
                <w:rFonts w:ascii="Arial" w:hAnsi="Arial" w:cs="Arial"/>
                <w:noProof/>
                <w:webHidden/>
                <w:sz w:val="24"/>
                <w:szCs w:val="24"/>
              </w:rPr>
              <w:tab/>
            </w:r>
            <w:r w:rsidR="002935DF" w:rsidRPr="002935DF">
              <w:rPr>
                <w:rFonts w:ascii="Arial" w:hAnsi="Arial" w:cs="Arial"/>
                <w:noProof/>
                <w:webHidden/>
                <w:sz w:val="24"/>
                <w:szCs w:val="24"/>
              </w:rPr>
              <w:fldChar w:fldCharType="begin"/>
            </w:r>
            <w:r w:rsidR="002935DF" w:rsidRPr="002935DF">
              <w:rPr>
                <w:rFonts w:ascii="Arial" w:hAnsi="Arial" w:cs="Arial"/>
                <w:noProof/>
                <w:webHidden/>
                <w:sz w:val="24"/>
                <w:szCs w:val="24"/>
              </w:rPr>
              <w:instrText xml:space="preserve"> PAGEREF _Toc235622245 \h </w:instrText>
            </w:r>
            <w:r w:rsidR="002935DF" w:rsidRPr="002935DF">
              <w:rPr>
                <w:rFonts w:ascii="Arial" w:hAnsi="Arial" w:cs="Arial"/>
                <w:noProof/>
                <w:webHidden/>
                <w:sz w:val="24"/>
                <w:szCs w:val="24"/>
              </w:rPr>
            </w:r>
            <w:r w:rsidR="002935DF" w:rsidRPr="002935DF">
              <w:rPr>
                <w:rFonts w:ascii="Arial" w:hAnsi="Arial" w:cs="Arial"/>
                <w:noProof/>
                <w:webHidden/>
                <w:sz w:val="24"/>
                <w:szCs w:val="24"/>
              </w:rPr>
              <w:fldChar w:fldCharType="separate"/>
            </w:r>
            <w:r w:rsidR="002935DF" w:rsidRPr="002935DF">
              <w:rPr>
                <w:rFonts w:ascii="Arial" w:hAnsi="Arial" w:cs="Arial"/>
                <w:noProof/>
                <w:webHidden/>
                <w:sz w:val="24"/>
                <w:szCs w:val="24"/>
              </w:rPr>
              <w:t>9</w:t>
            </w:r>
            <w:r w:rsidR="002935DF" w:rsidRPr="002935DF">
              <w:rPr>
                <w:rFonts w:ascii="Arial" w:hAnsi="Arial" w:cs="Arial"/>
                <w:noProof/>
                <w:webHidden/>
                <w:sz w:val="24"/>
                <w:szCs w:val="24"/>
              </w:rPr>
              <w:fldChar w:fldCharType="end"/>
            </w:r>
          </w:hyperlink>
        </w:p>
        <w:p w14:paraId="37587B95" w14:textId="33D82054" w:rsidR="002935DF" w:rsidRPr="002935DF" w:rsidRDefault="00353728" w:rsidP="002935DF">
          <w:pPr>
            <w:pStyle w:val="TOC1"/>
            <w:tabs>
              <w:tab w:val="right" w:leader="dot" w:pos="9350"/>
            </w:tabs>
            <w:spacing w:line="360" w:lineRule="auto"/>
            <w:rPr>
              <w:rFonts w:ascii="Arial" w:eastAsiaTheme="minorEastAsia" w:hAnsi="Arial" w:cs="Arial"/>
              <w:noProof/>
              <w:sz w:val="24"/>
              <w:szCs w:val="24"/>
              <w:lang w:eastAsia="en-GB"/>
            </w:rPr>
          </w:pPr>
          <w:hyperlink w:anchor="_Toc235622246" w:history="1">
            <w:r w:rsidR="002935DF" w:rsidRPr="002935DF">
              <w:rPr>
                <w:rStyle w:val="Hyperlink"/>
                <w:rFonts w:ascii="Arial" w:hAnsi="Arial" w:cs="Arial"/>
                <w:noProof/>
                <w:sz w:val="24"/>
                <w:szCs w:val="24"/>
              </w:rPr>
              <w:t>2. Working Capital Management Analysis</w:t>
            </w:r>
            <w:r w:rsidR="002935DF" w:rsidRPr="002935DF">
              <w:rPr>
                <w:rFonts w:ascii="Arial" w:hAnsi="Arial" w:cs="Arial"/>
                <w:noProof/>
                <w:webHidden/>
                <w:sz w:val="24"/>
                <w:szCs w:val="24"/>
              </w:rPr>
              <w:tab/>
            </w:r>
            <w:r w:rsidR="002935DF" w:rsidRPr="002935DF">
              <w:rPr>
                <w:rFonts w:ascii="Arial" w:hAnsi="Arial" w:cs="Arial"/>
                <w:noProof/>
                <w:webHidden/>
                <w:sz w:val="24"/>
                <w:szCs w:val="24"/>
              </w:rPr>
              <w:fldChar w:fldCharType="begin"/>
            </w:r>
            <w:r w:rsidR="002935DF" w:rsidRPr="002935DF">
              <w:rPr>
                <w:rFonts w:ascii="Arial" w:hAnsi="Arial" w:cs="Arial"/>
                <w:noProof/>
                <w:webHidden/>
                <w:sz w:val="24"/>
                <w:szCs w:val="24"/>
              </w:rPr>
              <w:instrText xml:space="preserve"> PAGEREF _Toc235622246 \h </w:instrText>
            </w:r>
            <w:r w:rsidR="002935DF" w:rsidRPr="002935DF">
              <w:rPr>
                <w:rFonts w:ascii="Arial" w:hAnsi="Arial" w:cs="Arial"/>
                <w:noProof/>
                <w:webHidden/>
                <w:sz w:val="24"/>
                <w:szCs w:val="24"/>
              </w:rPr>
            </w:r>
            <w:r w:rsidR="002935DF" w:rsidRPr="002935DF">
              <w:rPr>
                <w:rFonts w:ascii="Arial" w:hAnsi="Arial" w:cs="Arial"/>
                <w:noProof/>
                <w:webHidden/>
                <w:sz w:val="24"/>
                <w:szCs w:val="24"/>
              </w:rPr>
              <w:fldChar w:fldCharType="separate"/>
            </w:r>
            <w:r w:rsidR="002935DF" w:rsidRPr="002935DF">
              <w:rPr>
                <w:rFonts w:ascii="Arial" w:hAnsi="Arial" w:cs="Arial"/>
                <w:noProof/>
                <w:webHidden/>
                <w:sz w:val="24"/>
                <w:szCs w:val="24"/>
              </w:rPr>
              <w:t>12</w:t>
            </w:r>
            <w:r w:rsidR="002935DF" w:rsidRPr="002935DF">
              <w:rPr>
                <w:rFonts w:ascii="Arial" w:hAnsi="Arial" w:cs="Arial"/>
                <w:noProof/>
                <w:webHidden/>
                <w:sz w:val="24"/>
                <w:szCs w:val="24"/>
              </w:rPr>
              <w:fldChar w:fldCharType="end"/>
            </w:r>
          </w:hyperlink>
        </w:p>
        <w:p w14:paraId="5889E1E9" w14:textId="0B1B2AA9" w:rsidR="002935DF" w:rsidRPr="002935DF" w:rsidRDefault="00353728" w:rsidP="002935DF">
          <w:pPr>
            <w:pStyle w:val="TOC2"/>
            <w:tabs>
              <w:tab w:val="right" w:leader="dot" w:pos="9350"/>
            </w:tabs>
            <w:spacing w:line="360" w:lineRule="auto"/>
            <w:rPr>
              <w:rFonts w:ascii="Arial" w:eastAsiaTheme="minorEastAsia" w:hAnsi="Arial" w:cs="Arial"/>
              <w:noProof/>
              <w:sz w:val="24"/>
              <w:szCs w:val="24"/>
              <w:lang w:eastAsia="en-GB"/>
            </w:rPr>
          </w:pPr>
          <w:hyperlink w:anchor="_Toc235622247" w:history="1">
            <w:r w:rsidR="002935DF" w:rsidRPr="002935DF">
              <w:rPr>
                <w:rStyle w:val="Hyperlink"/>
                <w:rFonts w:ascii="Arial" w:hAnsi="Arial" w:cs="Arial"/>
                <w:noProof/>
                <w:sz w:val="24"/>
                <w:szCs w:val="24"/>
              </w:rPr>
              <w:t>2.1 Cash Operating Cycle Assessment</w:t>
            </w:r>
            <w:r w:rsidR="002935DF" w:rsidRPr="002935DF">
              <w:rPr>
                <w:rFonts w:ascii="Arial" w:hAnsi="Arial" w:cs="Arial"/>
                <w:noProof/>
                <w:webHidden/>
                <w:sz w:val="24"/>
                <w:szCs w:val="24"/>
              </w:rPr>
              <w:tab/>
            </w:r>
            <w:r w:rsidR="002935DF" w:rsidRPr="002935DF">
              <w:rPr>
                <w:rFonts w:ascii="Arial" w:hAnsi="Arial" w:cs="Arial"/>
                <w:noProof/>
                <w:webHidden/>
                <w:sz w:val="24"/>
                <w:szCs w:val="24"/>
              </w:rPr>
              <w:fldChar w:fldCharType="begin"/>
            </w:r>
            <w:r w:rsidR="002935DF" w:rsidRPr="002935DF">
              <w:rPr>
                <w:rFonts w:ascii="Arial" w:hAnsi="Arial" w:cs="Arial"/>
                <w:noProof/>
                <w:webHidden/>
                <w:sz w:val="24"/>
                <w:szCs w:val="24"/>
              </w:rPr>
              <w:instrText xml:space="preserve"> PAGEREF _Toc235622247 \h </w:instrText>
            </w:r>
            <w:r w:rsidR="002935DF" w:rsidRPr="002935DF">
              <w:rPr>
                <w:rFonts w:ascii="Arial" w:hAnsi="Arial" w:cs="Arial"/>
                <w:noProof/>
                <w:webHidden/>
                <w:sz w:val="24"/>
                <w:szCs w:val="24"/>
              </w:rPr>
            </w:r>
            <w:r w:rsidR="002935DF" w:rsidRPr="002935DF">
              <w:rPr>
                <w:rFonts w:ascii="Arial" w:hAnsi="Arial" w:cs="Arial"/>
                <w:noProof/>
                <w:webHidden/>
                <w:sz w:val="24"/>
                <w:szCs w:val="24"/>
              </w:rPr>
              <w:fldChar w:fldCharType="separate"/>
            </w:r>
            <w:r w:rsidR="002935DF" w:rsidRPr="002935DF">
              <w:rPr>
                <w:rFonts w:ascii="Arial" w:hAnsi="Arial" w:cs="Arial"/>
                <w:noProof/>
                <w:webHidden/>
                <w:sz w:val="24"/>
                <w:szCs w:val="24"/>
              </w:rPr>
              <w:t>12</w:t>
            </w:r>
            <w:r w:rsidR="002935DF" w:rsidRPr="002935DF">
              <w:rPr>
                <w:rFonts w:ascii="Arial" w:hAnsi="Arial" w:cs="Arial"/>
                <w:noProof/>
                <w:webHidden/>
                <w:sz w:val="24"/>
                <w:szCs w:val="24"/>
              </w:rPr>
              <w:fldChar w:fldCharType="end"/>
            </w:r>
          </w:hyperlink>
        </w:p>
        <w:p w14:paraId="3CAC9F3B" w14:textId="318396A4" w:rsidR="002935DF" w:rsidRPr="002935DF" w:rsidRDefault="00353728" w:rsidP="002935DF">
          <w:pPr>
            <w:pStyle w:val="TOC2"/>
            <w:tabs>
              <w:tab w:val="right" w:leader="dot" w:pos="9350"/>
            </w:tabs>
            <w:spacing w:line="360" w:lineRule="auto"/>
            <w:rPr>
              <w:rFonts w:ascii="Arial" w:eastAsiaTheme="minorEastAsia" w:hAnsi="Arial" w:cs="Arial"/>
              <w:noProof/>
              <w:sz w:val="24"/>
              <w:szCs w:val="24"/>
              <w:lang w:eastAsia="en-GB"/>
            </w:rPr>
          </w:pPr>
          <w:hyperlink w:anchor="_Toc235622248" w:history="1">
            <w:r w:rsidR="002935DF" w:rsidRPr="002935DF">
              <w:rPr>
                <w:rStyle w:val="Hyperlink"/>
                <w:rFonts w:ascii="Arial" w:hAnsi="Arial" w:cs="Arial"/>
                <w:noProof/>
                <w:sz w:val="24"/>
                <w:szCs w:val="24"/>
              </w:rPr>
              <w:t>2.2 Working Capital Improvement Strategies</w:t>
            </w:r>
            <w:r w:rsidR="002935DF" w:rsidRPr="002935DF">
              <w:rPr>
                <w:rFonts w:ascii="Arial" w:hAnsi="Arial" w:cs="Arial"/>
                <w:noProof/>
                <w:webHidden/>
                <w:sz w:val="24"/>
                <w:szCs w:val="24"/>
              </w:rPr>
              <w:tab/>
            </w:r>
            <w:r w:rsidR="002935DF" w:rsidRPr="002935DF">
              <w:rPr>
                <w:rFonts w:ascii="Arial" w:hAnsi="Arial" w:cs="Arial"/>
                <w:noProof/>
                <w:webHidden/>
                <w:sz w:val="24"/>
                <w:szCs w:val="24"/>
              </w:rPr>
              <w:fldChar w:fldCharType="begin"/>
            </w:r>
            <w:r w:rsidR="002935DF" w:rsidRPr="002935DF">
              <w:rPr>
                <w:rFonts w:ascii="Arial" w:hAnsi="Arial" w:cs="Arial"/>
                <w:noProof/>
                <w:webHidden/>
                <w:sz w:val="24"/>
                <w:szCs w:val="24"/>
              </w:rPr>
              <w:instrText xml:space="preserve"> PAGEREF _Toc235622248 \h </w:instrText>
            </w:r>
            <w:r w:rsidR="002935DF" w:rsidRPr="002935DF">
              <w:rPr>
                <w:rFonts w:ascii="Arial" w:hAnsi="Arial" w:cs="Arial"/>
                <w:noProof/>
                <w:webHidden/>
                <w:sz w:val="24"/>
                <w:szCs w:val="24"/>
              </w:rPr>
            </w:r>
            <w:r w:rsidR="002935DF" w:rsidRPr="002935DF">
              <w:rPr>
                <w:rFonts w:ascii="Arial" w:hAnsi="Arial" w:cs="Arial"/>
                <w:noProof/>
                <w:webHidden/>
                <w:sz w:val="24"/>
                <w:szCs w:val="24"/>
              </w:rPr>
              <w:fldChar w:fldCharType="separate"/>
            </w:r>
            <w:r w:rsidR="002935DF" w:rsidRPr="002935DF">
              <w:rPr>
                <w:rFonts w:ascii="Arial" w:hAnsi="Arial" w:cs="Arial"/>
                <w:noProof/>
                <w:webHidden/>
                <w:sz w:val="24"/>
                <w:szCs w:val="24"/>
              </w:rPr>
              <w:t>13</w:t>
            </w:r>
            <w:r w:rsidR="002935DF" w:rsidRPr="002935DF">
              <w:rPr>
                <w:rFonts w:ascii="Arial" w:hAnsi="Arial" w:cs="Arial"/>
                <w:noProof/>
                <w:webHidden/>
                <w:sz w:val="24"/>
                <w:szCs w:val="24"/>
              </w:rPr>
              <w:fldChar w:fldCharType="end"/>
            </w:r>
          </w:hyperlink>
        </w:p>
        <w:p w14:paraId="45657060" w14:textId="3D496C33" w:rsidR="002935DF" w:rsidRPr="002935DF" w:rsidRDefault="00353728" w:rsidP="002935DF">
          <w:pPr>
            <w:pStyle w:val="TOC2"/>
            <w:tabs>
              <w:tab w:val="right" w:leader="dot" w:pos="9350"/>
            </w:tabs>
            <w:spacing w:line="360" w:lineRule="auto"/>
            <w:rPr>
              <w:rFonts w:ascii="Arial" w:eastAsiaTheme="minorEastAsia" w:hAnsi="Arial" w:cs="Arial"/>
              <w:noProof/>
              <w:sz w:val="24"/>
              <w:szCs w:val="24"/>
              <w:lang w:eastAsia="en-GB"/>
            </w:rPr>
          </w:pPr>
          <w:hyperlink w:anchor="_Toc235622249" w:history="1">
            <w:r w:rsidR="002935DF" w:rsidRPr="002935DF">
              <w:rPr>
                <w:rStyle w:val="Hyperlink"/>
                <w:rFonts w:ascii="Arial" w:hAnsi="Arial" w:cs="Arial"/>
                <w:noProof/>
                <w:sz w:val="24"/>
                <w:szCs w:val="24"/>
              </w:rPr>
              <w:t>2.3 Financing Alternatives</w:t>
            </w:r>
            <w:r w:rsidR="002935DF" w:rsidRPr="002935DF">
              <w:rPr>
                <w:rFonts w:ascii="Arial" w:hAnsi="Arial" w:cs="Arial"/>
                <w:noProof/>
                <w:webHidden/>
                <w:sz w:val="24"/>
                <w:szCs w:val="24"/>
              </w:rPr>
              <w:tab/>
            </w:r>
            <w:r w:rsidR="002935DF" w:rsidRPr="002935DF">
              <w:rPr>
                <w:rFonts w:ascii="Arial" w:hAnsi="Arial" w:cs="Arial"/>
                <w:noProof/>
                <w:webHidden/>
                <w:sz w:val="24"/>
                <w:szCs w:val="24"/>
              </w:rPr>
              <w:fldChar w:fldCharType="begin"/>
            </w:r>
            <w:r w:rsidR="002935DF" w:rsidRPr="002935DF">
              <w:rPr>
                <w:rFonts w:ascii="Arial" w:hAnsi="Arial" w:cs="Arial"/>
                <w:noProof/>
                <w:webHidden/>
                <w:sz w:val="24"/>
                <w:szCs w:val="24"/>
              </w:rPr>
              <w:instrText xml:space="preserve"> PAGEREF _Toc235622249 \h </w:instrText>
            </w:r>
            <w:r w:rsidR="002935DF" w:rsidRPr="002935DF">
              <w:rPr>
                <w:rFonts w:ascii="Arial" w:hAnsi="Arial" w:cs="Arial"/>
                <w:noProof/>
                <w:webHidden/>
                <w:sz w:val="24"/>
                <w:szCs w:val="24"/>
              </w:rPr>
            </w:r>
            <w:r w:rsidR="002935DF" w:rsidRPr="002935DF">
              <w:rPr>
                <w:rFonts w:ascii="Arial" w:hAnsi="Arial" w:cs="Arial"/>
                <w:noProof/>
                <w:webHidden/>
                <w:sz w:val="24"/>
                <w:szCs w:val="24"/>
              </w:rPr>
              <w:fldChar w:fldCharType="separate"/>
            </w:r>
            <w:r w:rsidR="002935DF" w:rsidRPr="002935DF">
              <w:rPr>
                <w:rFonts w:ascii="Arial" w:hAnsi="Arial" w:cs="Arial"/>
                <w:noProof/>
                <w:webHidden/>
                <w:sz w:val="24"/>
                <w:szCs w:val="24"/>
              </w:rPr>
              <w:t>14</w:t>
            </w:r>
            <w:r w:rsidR="002935DF" w:rsidRPr="002935DF">
              <w:rPr>
                <w:rFonts w:ascii="Arial" w:hAnsi="Arial" w:cs="Arial"/>
                <w:noProof/>
                <w:webHidden/>
                <w:sz w:val="24"/>
                <w:szCs w:val="24"/>
              </w:rPr>
              <w:fldChar w:fldCharType="end"/>
            </w:r>
          </w:hyperlink>
        </w:p>
        <w:p w14:paraId="5F94F9D3" w14:textId="3C4BC214" w:rsidR="002935DF" w:rsidRPr="002935DF" w:rsidRDefault="00353728" w:rsidP="002935DF">
          <w:pPr>
            <w:pStyle w:val="TOC1"/>
            <w:tabs>
              <w:tab w:val="right" w:leader="dot" w:pos="9350"/>
            </w:tabs>
            <w:spacing w:line="360" w:lineRule="auto"/>
            <w:rPr>
              <w:rFonts w:ascii="Arial" w:eastAsiaTheme="minorEastAsia" w:hAnsi="Arial" w:cs="Arial"/>
              <w:noProof/>
              <w:sz w:val="24"/>
              <w:szCs w:val="24"/>
              <w:lang w:eastAsia="en-GB"/>
            </w:rPr>
          </w:pPr>
          <w:hyperlink w:anchor="_Toc235622250" w:history="1">
            <w:r w:rsidR="002935DF" w:rsidRPr="002935DF">
              <w:rPr>
                <w:rStyle w:val="Hyperlink"/>
                <w:rFonts w:ascii="Arial" w:hAnsi="Arial" w:cs="Arial"/>
                <w:noProof/>
                <w:sz w:val="24"/>
                <w:szCs w:val="24"/>
              </w:rPr>
              <w:t>3. Strategic Financial Restructuring Plan</w:t>
            </w:r>
            <w:r w:rsidR="002935DF" w:rsidRPr="002935DF">
              <w:rPr>
                <w:rFonts w:ascii="Arial" w:hAnsi="Arial" w:cs="Arial"/>
                <w:noProof/>
                <w:webHidden/>
                <w:sz w:val="24"/>
                <w:szCs w:val="24"/>
              </w:rPr>
              <w:tab/>
            </w:r>
            <w:r w:rsidR="002935DF" w:rsidRPr="002935DF">
              <w:rPr>
                <w:rFonts w:ascii="Arial" w:hAnsi="Arial" w:cs="Arial"/>
                <w:noProof/>
                <w:webHidden/>
                <w:sz w:val="24"/>
                <w:szCs w:val="24"/>
              </w:rPr>
              <w:fldChar w:fldCharType="begin"/>
            </w:r>
            <w:r w:rsidR="002935DF" w:rsidRPr="002935DF">
              <w:rPr>
                <w:rFonts w:ascii="Arial" w:hAnsi="Arial" w:cs="Arial"/>
                <w:noProof/>
                <w:webHidden/>
                <w:sz w:val="24"/>
                <w:szCs w:val="24"/>
              </w:rPr>
              <w:instrText xml:space="preserve"> PAGEREF _Toc235622250 \h </w:instrText>
            </w:r>
            <w:r w:rsidR="002935DF" w:rsidRPr="002935DF">
              <w:rPr>
                <w:rFonts w:ascii="Arial" w:hAnsi="Arial" w:cs="Arial"/>
                <w:noProof/>
                <w:webHidden/>
                <w:sz w:val="24"/>
                <w:szCs w:val="24"/>
              </w:rPr>
            </w:r>
            <w:r w:rsidR="002935DF" w:rsidRPr="002935DF">
              <w:rPr>
                <w:rFonts w:ascii="Arial" w:hAnsi="Arial" w:cs="Arial"/>
                <w:noProof/>
                <w:webHidden/>
                <w:sz w:val="24"/>
                <w:szCs w:val="24"/>
              </w:rPr>
              <w:fldChar w:fldCharType="separate"/>
            </w:r>
            <w:r w:rsidR="002935DF" w:rsidRPr="002935DF">
              <w:rPr>
                <w:rFonts w:ascii="Arial" w:hAnsi="Arial" w:cs="Arial"/>
                <w:noProof/>
                <w:webHidden/>
                <w:sz w:val="24"/>
                <w:szCs w:val="24"/>
              </w:rPr>
              <w:t>14</w:t>
            </w:r>
            <w:r w:rsidR="002935DF" w:rsidRPr="002935DF">
              <w:rPr>
                <w:rFonts w:ascii="Arial" w:hAnsi="Arial" w:cs="Arial"/>
                <w:noProof/>
                <w:webHidden/>
                <w:sz w:val="24"/>
                <w:szCs w:val="24"/>
              </w:rPr>
              <w:fldChar w:fldCharType="end"/>
            </w:r>
          </w:hyperlink>
        </w:p>
        <w:p w14:paraId="71410385" w14:textId="7875980C" w:rsidR="002935DF" w:rsidRPr="002935DF" w:rsidRDefault="00353728" w:rsidP="002935DF">
          <w:pPr>
            <w:pStyle w:val="TOC2"/>
            <w:tabs>
              <w:tab w:val="right" w:leader="dot" w:pos="9350"/>
            </w:tabs>
            <w:spacing w:line="360" w:lineRule="auto"/>
            <w:rPr>
              <w:rFonts w:ascii="Arial" w:eastAsiaTheme="minorEastAsia" w:hAnsi="Arial" w:cs="Arial"/>
              <w:noProof/>
              <w:sz w:val="24"/>
              <w:szCs w:val="24"/>
              <w:lang w:eastAsia="en-GB"/>
            </w:rPr>
          </w:pPr>
          <w:hyperlink w:anchor="_Toc235622251" w:history="1">
            <w:r w:rsidR="002935DF" w:rsidRPr="002935DF">
              <w:rPr>
                <w:rStyle w:val="Hyperlink"/>
                <w:rFonts w:ascii="Arial" w:hAnsi="Arial" w:cs="Arial"/>
                <w:noProof/>
                <w:sz w:val="24"/>
                <w:szCs w:val="24"/>
              </w:rPr>
              <w:t>3.1 Restructuring Recommendations</w:t>
            </w:r>
            <w:r w:rsidR="002935DF" w:rsidRPr="002935DF">
              <w:rPr>
                <w:rFonts w:ascii="Arial" w:hAnsi="Arial" w:cs="Arial"/>
                <w:noProof/>
                <w:webHidden/>
                <w:sz w:val="24"/>
                <w:szCs w:val="24"/>
              </w:rPr>
              <w:tab/>
            </w:r>
            <w:r w:rsidR="002935DF" w:rsidRPr="002935DF">
              <w:rPr>
                <w:rFonts w:ascii="Arial" w:hAnsi="Arial" w:cs="Arial"/>
                <w:noProof/>
                <w:webHidden/>
                <w:sz w:val="24"/>
                <w:szCs w:val="24"/>
              </w:rPr>
              <w:fldChar w:fldCharType="begin"/>
            </w:r>
            <w:r w:rsidR="002935DF" w:rsidRPr="002935DF">
              <w:rPr>
                <w:rFonts w:ascii="Arial" w:hAnsi="Arial" w:cs="Arial"/>
                <w:noProof/>
                <w:webHidden/>
                <w:sz w:val="24"/>
                <w:szCs w:val="24"/>
              </w:rPr>
              <w:instrText xml:space="preserve"> PAGEREF _Toc235622251 \h </w:instrText>
            </w:r>
            <w:r w:rsidR="002935DF" w:rsidRPr="002935DF">
              <w:rPr>
                <w:rFonts w:ascii="Arial" w:hAnsi="Arial" w:cs="Arial"/>
                <w:noProof/>
                <w:webHidden/>
                <w:sz w:val="24"/>
                <w:szCs w:val="24"/>
              </w:rPr>
            </w:r>
            <w:r w:rsidR="002935DF" w:rsidRPr="002935DF">
              <w:rPr>
                <w:rFonts w:ascii="Arial" w:hAnsi="Arial" w:cs="Arial"/>
                <w:noProof/>
                <w:webHidden/>
                <w:sz w:val="24"/>
                <w:szCs w:val="24"/>
              </w:rPr>
              <w:fldChar w:fldCharType="separate"/>
            </w:r>
            <w:r w:rsidR="002935DF" w:rsidRPr="002935DF">
              <w:rPr>
                <w:rFonts w:ascii="Arial" w:hAnsi="Arial" w:cs="Arial"/>
                <w:noProof/>
                <w:webHidden/>
                <w:sz w:val="24"/>
                <w:szCs w:val="24"/>
              </w:rPr>
              <w:t>14</w:t>
            </w:r>
            <w:r w:rsidR="002935DF" w:rsidRPr="002935DF">
              <w:rPr>
                <w:rFonts w:ascii="Arial" w:hAnsi="Arial" w:cs="Arial"/>
                <w:noProof/>
                <w:webHidden/>
                <w:sz w:val="24"/>
                <w:szCs w:val="24"/>
              </w:rPr>
              <w:fldChar w:fldCharType="end"/>
            </w:r>
          </w:hyperlink>
        </w:p>
        <w:p w14:paraId="6630E66C" w14:textId="5C9010AD" w:rsidR="002935DF" w:rsidRPr="002935DF" w:rsidRDefault="00353728" w:rsidP="002935DF">
          <w:pPr>
            <w:pStyle w:val="TOC2"/>
            <w:tabs>
              <w:tab w:val="right" w:leader="dot" w:pos="9350"/>
            </w:tabs>
            <w:spacing w:line="360" w:lineRule="auto"/>
            <w:rPr>
              <w:rFonts w:ascii="Arial" w:eastAsiaTheme="minorEastAsia" w:hAnsi="Arial" w:cs="Arial"/>
              <w:noProof/>
              <w:sz w:val="24"/>
              <w:szCs w:val="24"/>
              <w:lang w:eastAsia="en-GB"/>
            </w:rPr>
          </w:pPr>
          <w:hyperlink w:anchor="_Toc235622252" w:history="1">
            <w:r w:rsidR="002935DF" w:rsidRPr="002935DF">
              <w:rPr>
                <w:rStyle w:val="Hyperlink"/>
                <w:rFonts w:ascii="Arial" w:hAnsi="Arial" w:cs="Arial"/>
                <w:noProof/>
                <w:sz w:val="24"/>
                <w:szCs w:val="24"/>
              </w:rPr>
              <w:t>3.2 Impact Assessment and Global Considerations</w:t>
            </w:r>
            <w:r w:rsidR="002935DF" w:rsidRPr="002935DF">
              <w:rPr>
                <w:rFonts w:ascii="Arial" w:hAnsi="Arial" w:cs="Arial"/>
                <w:noProof/>
                <w:webHidden/>
                <w:sz w:val="24"/>
                <w:szCs w:val="24"/>
              </w:rPr>
              <w:tab/>
            </w:r>
            <w:r w:rsidR="002935DF" w:rsidRPr="002935DF">
              <w:rPr>
                <w:rFonts w:ascii="Arial" w:hAnsi="Arial" w:cs="Arial"/>
                <w:noProof/>
                <w:webHidden/>
                <w:sz w:val="24"/>
                <w:szCs w:val="24"/>
              </w:rPr>
              <w:fldChar w:fldCharType="begin"/>
            </w:r>
            <w:r w:rsidR="002935DF" w:rsidRPr="002935DF">
              <w:rPr>
                <w:rFonts w:ascii="Arial" w:hAnsi="Arial" w:cs="Arial"/>
                <w:noProof/>
                <w:webHidden/>
                <w:sz w:val="24"/>
                <w:szCs w:val="24"/>
              </w:rPr>
              <w:instrText xml:space="preserve"> PAGEREF _Toc235622252 \h </w:instrText>
            </w:r>
            <w:r w:rsidR="002935DF" w:rsidRPr="002935DF">
              <w:rPr>
                <w:rFonts w:ascii="Arial" w:hAnsi="Arial" w:cs="Arial"/>
                <w:noProof/>
                <w:webHidden/>
                <w:sz w:val="24"/>
                <w:szCs w:val="24"/>
              </w:rPr>
            </w:r>
            <w:r w:rsidR="002935DF" w:rsidRPr="002935DF">
              <w:rPr>
                <w:rFonts w:ascii="Arial" w:hAnsi="Arial" w:cs="Arial"/>
                <w:noProof/>
                <w:webHidden/>
                <w:sz w:val="24"/>
                <w:szCs w:val="24"/>
              </w:rPr>
              <w:fldChar w:fldCharType="separate"/>
            </w:r>
            <w:r w:rsidR="002935DF" w:rsidRPr="002935DF">
              <w:rPr>
                <w:rFonts w:ascii="Arial" w:hAnsi="Arial" w:cs="Arial"/>
                <w:noProof/>
                <w:webHidden/>
                <w:sz w:val="24"/>
                <w:szCs w:val="24"/>
              </w:rPr>
              <w:t>15</w:t>
            </w:r>
            <w:r w:rsidR="002935DF" w:rsidRPr="002935DF">
              <w:rPr>
                <w:rFonts w:ascii="Arial" w:hAnsi="Arial" w:cs="Arial"/>
                <w:noProof/>
                <w:webHidden/>
                <w:sz w:val="24"/>
                <w:szCs w:val="24"/>
              </w:rPr>
              <w:fldChar w:fldCharType="end"/>
            </w:r>
          </w:hyperlink>
        </w:p>
        <w:p w14:paraId="7D04A6A8" w14:textId="15FF0E32" w:rsidR="002935DF" w:rsidRPr="002935DF" w:rsidRDefault="00353728" w:rsidP="002935DF">
          <w:pPr>
            <w:pStyle w:val="TOC1"/>
            <w:tabs>
              <w:tab w:val="right" w:leader="dot" w:pos="9350"/>
            </w:tabs>
            <w:spacing w:line="360" w:lineRule="auto"/>
            <w:rPr>
              <w:rFonts w:ascii="Arial" w:eastAsiaTheme="minorEastAsia" w:hAnsi="Arial" w:cs="Arial"/>
              <w:noProof/>
              <w:sz w:val="24"/>
              <w:szCs w:val="24"/>
              <w:lang w:eastAsia="en-GB"/>
            </w:rPr>
          </w:pPr>
          <w:hyperlink w:anchor="_Toc235622253" w:history="1">
            <w:r w:rsidR="002935DF" w:rsidRPr="002935DF">
              <w:rPr>
                <w:rStyle w:val="Hyperlink"/>
                <w:rFonts w:ascii="Arial" w:hAnsi="Arial" w:cs="Arial"/>
                <w:noProof/>
                <w:sz w:val="24"/>
                <w:szCs w:val="24"/>
              </w:rPr>
              <w:t>4. Investment Appraisal and Capital Budgeting</w:t>
            </w:r>
            <w:r w:rsidR="002935DF" w:rsidRPr="002935DF">
              <w:rPr>
                <w:rFonts w:ascii="Arial" w:hAnsi="Arial" w:cs="Arial"/>
                <w:noProof/>
                <w:webHidden/>
                <w:sz w:val="24"/>
                <w:szCs w:val="24"/>
              </w:rPr>
              <w:tab/>
            </w:r>
            <w:r w:rsidR="002935DF" w:rsidRPr="002935DF">
              <w:rPr>
                <w:rFonts w:ascii="Arial" w:hAnsi="Arial" w:cs="Arial"/>
                <w:noProof/>
                <w:webHidden/>
                <w:sz w:val="24"/>
                <w:szCs w:val="24"/>
              </w:rPr>
              <w:fldChar w:fldCharType="begin"/>
            </w:r>
            <w:r w:rsidR="002935DF" w:rsidRPr="002935DF">
              <w:rPr>
                <w:rFonts w:ascii="Arial" w:hAnsi="Arial" w:cs="Arial"/>
                <w:noProof/>
                <w:webHidden/>
                <w:sz w:val="24"/>
                <w:szCs w:val="24"/>
              </w:rPr>
              <w:instrText xml:space="preserve"> PAGEREF _Toc235622253 \h </w:instrText>
            </w:r>
            <w:r w:rsidR="002935DF" w:rsidRPr="002935DF">
              <w:rPr>
                <w:rFonts w:ascii="Arial" w:hAnsi="Arial" w:cs="Arial"/>
                <w:noProof/>
                <w:webHidden/>
                <w:sz w:val="24"/>
                <w:szCs w:val="24"/>
              </w:rPr>
            </w:r>
            <w:r w:rsidR="002935DF" w:rsidRPr="002935DF">
              <w:rPr>
                <w:rFonts w:ascii="Arial" w:hAnsi="Arial" w:cs="Arial"/>
                <w:noProof/>
                <w:webHidden/>
                <w:sz w:val="24"/>
                <w:szCs w:val="24"/>
              </w:rPr>
              <w:fldChar w:fldCharType="separate"/>
            </w:r>
            <w:r w:rsidR="002935DF" w:rsidRPr="002935DF">
              <w:rPr>
                <w:rFonts w:ascii="Arial" w:hAnsi="Arial" w:cs="Arial"/>
                <w:noProof/>
                <w:webHidden/>
                <w:sz w:val="24"/>
                <w:szCs w:val="24"/>
              </w:rPr>
              <w:t>17</w:t>
            </w:r>
            <w:r w:rsidR="002935DF" w:rsidRPr="002935DF">
              <w:rPr>
                <w:rFonts w:ascii="Arial" w:hAnsi="Arial" w:cs="Arial"/>
                <w:noProof/>
                <w:webHidden/>
                <w:sz w:val="24"/>
                <w:szCs w:val="24"/>
              </w:rPr>
              <w:fldChar w:fldCharType="end"/>
            </w:r>
          </w:hyperlink>
        </w:p>
        <w:p w14:paraId="367A6AAD" w14:textId="1330414C" w:rsidR="002935DF" w:rsidRPr="002935DF" w:rsidRDefault="00353728" w:rsidP="002935DF">
          <w:pPr>
            <w:pStyle w:val="TOC2"/>
            <w:tabs>
              <w:tab w:val="right" w:leader="dot" w:pos="9350"/>
            </w:tabs>
            <w:spacing w:line="360" w:lineRule="auto"/>
            <w:rPr>
              <w:rFonts w:ascii="Arial" w:eastAsiaTheme="minorEastAsia" w:hAnsi="Arial" w:cs="Arial"/>
              <w:noProof/>
              <w:sz w:val="24"/>
              <w:szCs w:val="24"/>
              <w:lang w:eastAsia="en-GB"/>
            </w:rPr>
          </w:pPr>
          <w:hyperlink w:anchor="_Toc235622254" w:history="1">
            <w:r w:rsidR="002935DF" w:rsidRPr="002935DF">
              <w:rPr>
                <w:rStyle w:val="Hyperlink"/>
                <w:rFonts w:ascii="Arial" w:hAnsi="Arial" w:cs="Arial"/>
                <w:noProof/>
                <w:sz w:val="24"/>
                <w:szCs w:val="24"/>
              </w:rPr>
              <w:t>4.1 Investment Appraisal</w:t>
            </w:r>
            <w:r w:rsidR="002935DF" w:rsidRPr="002935DF">
              <w:rPr>
                <w:rFonts w:ascii="Arial" w:hAnsi="Arial" w:cs="Arial"/>
                <w:noProof/>
                <w:webHidden/>
                <w:sz w:val="24"/>
                <w:szCs w:val="24"/>
              </w:rPr>
              <w:tab/>
            </w:r>
            <w:r w:rsidR="002935DF" w:rsidRPr="002935DF">
              <w:rPr>
                <w:rFonts w:ascii="Arial" w:hAnsi="Arial" w:cs="Arial"/>
                <w:noProof/>
                <w:webHidden/>
                <w:sz w:val="24"/>
                <w:szCs w:val="24"/>
              </w:rPr>
              <w:fldChar w:fldCharType="begin"/>
            </w:r>
            <w:r w:rsidR="002935DF" w:rsidRPr="002935DF">
              <w:rPr>
                <w:rFonts w:ascii="Arial" w:hAnsi="Arial" w:cs="Arial"/>
                <w:noProof/>
                <w:webHidden/>
                <w:sz w:val="24"/>
                <w:szCs w:val="24"/>
              </w:rPr>
              <w:instrText xml:space="preserve"> PAGEREF _Toc235622254 \h </w:instrText>
            </w:r>
            <w:r w:rsidR="002935DF" w:rsidRPr="002935DF">
              <w:rPr>
                <w:rFonts w:ascii="Arial" w:hAnsi="Arial" w:cs="Arial"/>
                <w:noProof/>
                <w:webHidden/>
                <w:sz w:val="24"/>
                <w:szCs w:val="24"/>
              </w:rPr>
            </w:r>
            <w:r w:rsidR="002935DF" w:rsidRPr="002935DF">
              <w:rPr>
                <w:rFonts w:ascii="Arial" w:hAnsi="Arial" w:cs="Arial"/>
                <w:noProof/>
                <w:webHidden/>
                <w:sz w:val="24"/>
                <w:szCs w:val="24"/>
              </w:rPr>
              <w:fldChar w:fldCharType="separate"/>
            </w:r>
            <w:r w:rsidR="002935DF" w:rsidRPr="002935DF">
              <w:rPr>
                <w:rFonts w:ascii="Arial" w:hAnsi="Arial" w:cs="Arial"/>
                <w:noProof/>
                <w:webHidden/>
                <w:sz w:val="24"/>
                <w:szCs w:val="24"/>
              </w:rPr>
              <w:t>17</w:t>
            </w:r>
            <w:r w:rsidR="002935DF" w:rsidRPr="002935DF">
              <w:rPr>
                <w:rFonts w:ascii="Arial" w:hAnsi="Arial" w:cs="Arial"/>
                <w:noProof/>
                <w:webHidden/>
                <w:sz w:val="24"/>
                <w:szCs w:val="24"/>
              </w:rPr>
              <w:fldChar w:fldCharType="end"/>
            </w:r>
          </w:hyperlink>
        </w:p>
        <w:p w14:paraId="115B3B34" w14:textId="6B06D7B5" w:rsidR="002935DF" w:rsidRPr="002935DF" w:rsidRDefault="00353728" w:rsidP="002935DF">
          <w:pPr>
            <w:pStyle w:val="TOC2"/>
            <w:tabs>
              <w:tab w:val="right" w:leader="dot" w:pos="9350"/>
            </w:tabs>
            <w:spacing w:line="360" w:lineRule="auto"/>
            <w:rPr>
              <w:rFonts w:ascii="Arial" w:eastAsiaTheme="minorEastAsia" w:hAnsi="Arial" w:cs="Arial"/>
              <w:noProof/>
              <w:sz w:val="24"/>
              <w:szCs w:val="24"/>
              <w:lang w:eastAsia="en-GB"/>
            </w:rPr>
          </w:pPr>
          <w:hyperlink w:anchor="_Toc235622255" w:history="1">
            <w:r w:rsidR="002935DF" w:rsidRPr="002935DF">
              <w:rPr>
                <w:rStyle w:val="Hyperlink"/>
                <w:rFonts w:ascii="Arial" w:hAnsi="Arial" w:cs="Arial"/>
                <w:noProof/>
                <w:sz w:val="24"/>
                <w:szCs w:val="24"/>
              </w:rPr>
              <w:t>4.2 Capital Rationing and Final Recommendation</w:t>
            </w:r>
            <w:r w:rsidR="002935DF" w:rsidRPr="002935DF">
              <w:rPr>
                <w:rFonts w:ascii="Arial" w:hAnsi="Arial" w:cs="Arial"/>
                <w:noProof/>
                <w:webHidden/>
                <w:sz w:val="24"/>
                <w:szCs w:val="24"/>
              </w:rPr>
              <w:tab/>
            </w:r>
            <w:r w:rsidR="002935DF" w:rsidRPr="002935DF">
              <w:rPr>
                <w:rFonts w:ascii="Arial" w:hAnsi="Arial" w:cs="Arial"/>
                <w:noProof/>
                <w:webHidden/>
                <w:sz w:val="24"/>
                <w:szCs w:val="24"/>
              </w:rPr>
              <w:fldChar w:fldCharType="begin"/>
            </w:r>
            <w:r w:rsidR="002935DF" w:rsidRPr="002935DF">
              <w:rPr>
                <w:rFonts w:ascii="Arial" w:hAnsi="Arial" w:cs="Arial"/>
                <w:noProof/>
                <w:webHidden/>
                <w:sz w:val="24"/>
                <w:szCs w:val="24"/>
              </w:rPr>
              <w:instrText xml:space="preserve"> PAGEREF _Toc235622255 \h </w:instrText>
            </w:r>
            <w:r w:rsidR="002935DF" w:rsidRPr="002935DF">
              <w:rPr>
                <w:rFonts w:ascii="Arial" w:hAnsi="Arial" w:cs="Arial"/>
                <w:noProof/>
                <w:webHidden/>
                <w:sz w:val="24"/>
                <w:szCs w:val="24"/>
              </w:rPr>
            </w:r>
            <w:r w:rsidR="002935DF" w:rsidRPr="002935DF">
              <w:rPr>
                <w:rFonts w:ascii="Arial" w:hAnsi="Arial" w:cs="Arial"/>
                <w:noProof/>
                <w:webHidden/>
                <w:sz w:val="24"/>
                <w:szCs w:val="24"/>
              </w:rPr>
              <w:fldChar w:fldCharType="separate"/>
            </w:r>
            <w:r w:rsidR="002935DF" w:rsidRPr="002935DF">
              <w:rPr>
                <w:rFonts w:ascii="Arial" w:hAnsi="Arial" w:cs="Arial"/>
                <w:noProof/>
                <w:webHidden/>
                <w:sz w:val="24"/>
                <w:szCs w:val="24"/>
              </w:rPr>
              <w:t>19</w:t>
            </w:r>
            <w:r w:rsidR="002935DF" w:rsidRPr="002935DF">
              <w:rPr>
                <w:rFonts w:ascii="Arial" w:hAnsi="Arial" w:cs="Arial"/>
                <w:noProof/>
                <w:webHidden/>
                <w:sz w:val="24"/>
                <w:szCs w:val="24"/>
              </w:rPr>
              <w:fldChar w:fldCharType="end"/>
            </w:r>
          </w:hyperlink>
        </w:p>
        <w:p w14:paraId="73FAF0E3" w14:textId="65B0E0FF" w:rsidR="002935DF" w:rsidRPr="002935DF" w:rsidRDefault="00353728" w:rsidP="002935DF">
          <w:pPr>
            <w:pStyle w:val="TOC1"/>
            <w:tabs>
              <w:tab w:val="right" w:leader="dot" w:pos="9350"/>
            </w:tabs>
            <w:spacing w:line="360" w:lineRule="auto"/>
            <w:rPr>
              <w:rFonts w:ascii="Arial" w:eastAsiaTheme="minorEastAsia" w:hAnsi="Arial" w:cs="Arial"/>
              <w:noProof/>
              <w:sz w:val="24"/>
              <w:szCs w:val="24"/>
              <w:lang w:eastAsia="en-GB"/>
            </w:rPr>
          </w:pPr>
          <w:hyperlink w:anchor="_Toc235622256" w:history="1">
            <w:r w:rsidR="002935DF" w:rsidRPr="002935DF">
              <w:rPr>
                <w:rStyle w:val="Hyperlink"/>
                <w:rFonts w:ascii="Arial" w:hAnsi="Arial" w:cs="Arial"/>
                <w:noProof/>
                <w:sz w:val="24"/>
                <w:szCs w:val="24"/>
              </w:rPr>
              <w:t>5. Critical Reflection on AI Usage</w:t>
            </w:r>
            <w:r w:rsidR="002935DF" w:rsidRPr="002935DF">
              <w:rPr>
                <w:rFonts w:ascii="Arial" w:hAnsi="Arial" w:cs="Arial"/>
                <w:noProof/>
                <w:webHidden/>
                <w:sz w:val="24"/>
                <w:szCs w:val="24"/>
              </w:rPr>
              <w:tab/>
            </w:r>
            <w:r w:rsidR="002935DF" w:rsidRPr="002935DF">
              <w:rPr>
                <w:rFonts w:ascii="Arial" w:hAnsi="Arial" w:cs="Arial"/>
                <w:noProof/>
                <w:webHidden/>
                <w:sz w:val="24"/>
                <w:szCs w:val="24"/>
              </w:rPr>
              <w:fldChar w:fldCharType="begin"/>
            </w:r>
            <w:r w:rsidR="002935DF" w:rsidRPr="002935DF">
              <w:rPr>
                <w:rFonts w:ascii="Arial" w:hAnsi="Arial" w:cs="Arial"/>
                <w:noProof/>
                <w:webHidden/>
                <w:sz w:val="24"/>
                <w:szCs w:val="24"/>
              </w:rPr>
              <w:instrText xml:space="preserve"> PAGEREF _Toc235622256 \h </w:instrText>
            </w:r>
            <w:r w:rsidR="002935DF" w:rsidRPr="002935DF">
              <w:rPr>
                <w:rFonts w:ascii="Arial" w:hAnsi="Arial" w:cs="Arial"/>
                <w:noProof/>
                <w:webHidden/>
                <w:sz w:val="24"/>
                <w:szCs w:val="24"/>
              </w:rPr>
            </w:r>
            <w:r w:rsidR="002935DF" w:rsidRPr="002935DF">
              <w:rPr>
                <w:rFonts w:ascii="Arial" w:hAnsi="Arial" w:cs="Arial"/>
                <w:noProof/>
                <w:webHidden/>
                <w:sz w:val="24"/>
                <w:szCs w:val="24"/>
              </w:rPr>
              <w:fldChar w:fldCharType="separate"/>
            </w:r>
            <w:r w:rsidR="002935DF" w:rsidRPr="002935DF">
              <w:rPr>
                <w:rFonts w:ascii="Arial" w:hAnsi="Arial" w:cs="Arial"/>
                <w:noProof/>
                <w:webHidden/>
                <w:sz w:val="24"/>
                <w:szCs w:val="24"/>
              </w:rPr>
              <w:t>20</w:t>
            </w:r>
            <w:r w:rsidR="002935DF" w:rsidRPr="002935DF">
              <w:rPr>
                <w:rFonts w:ascii="Arial" w:hAnsi="Arial" w:cs="Arial"/>
                <w:noProof/>
                <w:webHidden/>
                <w:sz w:val="24"/>
                <w:szCs w:val="24"/>
              </w:rPr>
              <w:fldChar w:fldCharType="end"/>
            </w:r>
          </w:hyperlink>
        </w:p>
        <w:p w14:paraId="7CF81ABD" w14:textId="560276B9" w:rsidR="002935DF" w:rsidRPr="002935DF" w:rsidRDefault="00353728" w:rsidP="002935DF">
          <w:pPr>
            <w:pStyle w:val="TOC1"/>
            <w:tabs>
              <w:tab w:val="right" w:leader="dot" w:pos="9350"/>
            </w:tabs>
            <w:spacing w:line="360" w:lineRule="auto"/>
            <w:rPr>
              <w:rFonts w:ascii="Arial" w:eastAsiaTheme="minorEastAsia" w:hAnsi="Arial" w:cs="Arial"/>
              <w:noProof/>
              <w:sz w:val="24"/>
              <w:szCs w:val="24"/>
              <w:lang w:eastAsia="en-GB"/>
            </w:rPr>
          </w:pPr>
          <w:hyperlink w:anchor="_Toc235622257" w:history="1">
            <w:r w:rsidR="002935DF" w:rsidRPr="002935DF">
              <w:rPr>
                <w:rStyle w:val="Hyperlink"/>
                <w:rFonts w:ascii="Arial" w:hAnsi="Arial" w:cs="Arial"/>
                <w:noProof/>
                <w:sz w:val="24"/>
                <w:szCs w:val="24"/>
              </w:rPr>
              <w:t>Conclusion</w:t>
            </w:r>
            <w:r w:rsidR="002935DF" w:rsidRPr="002935DF">
              <w:rPr>
                <w:rFonts w:ascii="Arial" w:hAnsi="Arial" w:cs="Arial"/>
                <w:noProof/>
                <w:webHidden/>
                <w:sz w:val="24"/>
                <w:szCs w:val="24"/>
              </w:rPr>
              <w:tab/>
            </w:r>
            <w:r w:rsidR="002935DF" w:rsidRPr="002935DF">
              <w:rPr>
                <w:rFonts w:ascii="Arial" w:hAnsi="Arial" w:cs="Arial"/>
                <w:noProof/>
                <w:webHidden/>
                <w:sz w:val="24"/>
                <w:szCs w:val="24"/>
              </w:rPr>
              <w:fldChar w:fldCharType="begin"/>
            </w:r>
            <w:r w:rsidR="002935DF" w:rsidRPr="002935DF">
              <w:rPr>
                <w:rFonts w:ascii="Arial" w:hAnsi="Arial" w:cs="Arial"/>
                <w:noProof/>
                <w:webHidden/>
                <w:sz w:val="24"/>
                <w:szCs w:val="24"/>
              </w:rPr>
              <w:instrText xml:space="preserve"> PAGEREF _Toc235622257 \h </w:instrText>
            </w:r>
            <w:r w:rsidR="002935DF" w:rsidRPr="002935DF">
              <w:rPr>
                <w:rFonts w:ascii="Arial" w:hAnsi="Arial" w:cs="Arial"/>
                <w:noProof/>
                <w:webHidden/>
                <w:sz w:val="24"/>
                <w:szCs w:val="24"/>
              </w:rPr>
            </w:r>
            <w:r w:rsidR="002935DF" w:rsidRPr="002935DF">
              <w:rPr>
                <w:rFonts w:ascii="Arial" w:hAnsi="Arial" w:cs="Arial"/>
                <w:noProof/>
                <w:webHidden/>
                <w:sz w:val="24"/>
                <w:szCs w:val="24"/>
              </w:rPr>
              <w:fldChar w:fldCharType="separate"/>
            </w:r>
            <w:r w:rsidR="002935DF" w:rsidRPr="002935DF">
              <w:rPr>
                <w:rFonts w:ascii="Arial" w:hAnsi="Arial" w:cs="Arial"/>
                <w:noProof/>
                <w:webHidden/>
                <w:sz w:val="24"/>
                <w:szCs w:val="24"/>
              </w:rPr>
              <w:t>21</w:t>
            </w:r>
            <w:r w:rsidR="002935DF" w:rsidRPr="002935DF">
              <w:rPr>
                <w:rFonts w:ascii="Arial" w:hAnsi="Arial" w:cs="Arial"/>
                <w:noProof/>
                <w:webHidden/>
                <w:sz w:val="24"/>
                <w:szCs w:val="24"/>
              </w:rPr>
              <w:fldChar w:fldCharType="end"/>
            </w:r>
          </w:hyperlink>
        </w:p>
        <w:p w14:paraId="5526C29D" w14:textId="5F8A5E7C" w:rsidR="002935DF" w:rsidRPr="002935DF" w:rsidRDefault="00353728" w:rsidP="002935DF">
          <w:pPr>
            <w:pStyle w:val="TOC1"/>
            <w:tabs>
              <w:tab w:val="right" w:leader="dot" w:pos="9350"/>
            </w:tabs>
            <w:spacing w:line="360" w:lineRule="auto"/>
            <w:rPr>
              <w:rFonts w:ascii="Arial" w:eastAsiaTheme="minorEastAsia" w:hAnsi="Arial" w:cs="Arial"/>
              <w:noProof/>
              <w:sz w:val="24"/>
              <w:szCs w:val="24"/>
              <w:lang w:eastAsia="en-GB"/>
            </w:rPr>
          </w:pPr>
          <w:hyperlink w:anchor="_Toc235622258" w:history="1">
            <w:r w:rsidR="002935DF" w:rsidRPr="002935DF">
              <w:rPr>
                <w:rStyle w:val="Hyperlink"/>
                <w:rFonts w:ascii="Arial" w:hAnsi="Arial" w:cs="Arial"/>
                <w:noProof/>
                <w:sz w:val="24"/>
                <w:szCs w:val="24"/>
              </w:rPr>
              <w:t>References</w:t>
            </w:r>
            <w:r w:rsidR="002935DF" w:rsidRPr="002935DF">
              <w:rPr>
                <w:rFonts w:ascii="Arial" w:hAnsi="Arial" w:cs="Arial"/>
                <w:noProof/>
                <w:webHidden/>
                <w:sz w:val="24"/>
                <w:szCs w:val="24"/>
              </w:rPr>
              <w:tab/>
            </w:r>
            <w:r w:rsidR="002935DF" w:rsidRPr="002935DF">
              <w:rPr>
                <w:rFonts w:ascii="Arial" w:hAnsi="Arial" w:cs="Arial"/>
                <w:noProof/>
                <w:webHidden/>
                <w:sz w:val="24"/>
                <w:szCs w:val="24"/>
              </w:rPr>
              <w:fldChar w:fldCharType="begin"/>
            </w:r>
            <w:r w:rsidR="002935DF" w:rsidRPr="002935DF">
              <w:rPr>
                <w:rFonts w:ascii="Arial" w:hAnsi="Arial" w:cs="Arial"/>
                <w:noProof/>
                <w:webHidden/>
                <w:sz w:val="24"/>
                <w:szCs w:val="24"/>
              </w:rPr>
              <w:instrText xml:space="preserve"> PAGEREF _Toc235622258 \h </w:instrText>
            </w:r>
            <w:r w:rsidR="002935DF" w:rsidRPr="002935DF">
              <w:rPr>
                <w:rFonts w:ascii="Arial" w:hAnsi="Arial" w:cs="Arial"/>
                <w:noProof/>
                <w:webHidden/>
                <w:sz w:val="24"/>
                <w:szCs w:val="24"/>
              </w:rPr>
            </w:r>
            <w:r w:rsidR="002935DF" w:rsidRPr="002935DF">
              <w:rPr>
                <w:rFonts w:ascii="Arial" w:hAnsi="Arial" w:cs="Arial"/>
                <w:noProof/>
                <w:webHidden/>
                <w:sz w:val="24"/>
                <w:szCs w:val="24"/>
              </w:rPr>
              <w:fldChar w:fldCharType="separate"/>
            </w:r>
            <w:r w:rsidR="002935DF" w:rsidRPr="002935DF">
              <w:rPr>
                <w:rFonts w:ascii="Arial" w:hAnsi="Arial" w:cs="Arial"/>
                <w:noProof/>
                <w:webHidden/>
                <w:sz w:val="24"/>
                <w:szCs w:val="24"/>
              </w:rPr>
              <w:t>23</w:t>
            </w:r>
            <w:r w:rsidR="002935DF" w:rsidRPr="002935DF">
              <w:rPr>
                <w:rFonts w:ascii="Arial" w:hAnsi="Arial" w:cs="Arial"/>
                <w:noProof/>
                <w:webHidden/>
                <w:sz w:val="24"/>
                <w:szCs w:val="24"/>
              </w:rPr>
              <w:fldChar w:fldCharType="end"/>
            </w:r>
          </w:hyperlink>
        </w:p>
        <w:p w14:paraId="1FA94E35" w14:textId="4B04E7E9" w:rsidR="00D56E53" w:rsidRPr="000042D0" w:rsidRDefault="00D56E53" w:rsidP="002935DF">
          <w:pPr>
            <w:spacing w:after="0" w:line="360" w:lineRule="auto"/>
            <w:jc w:val="both"/>
          </w:pPr>
          <w:r w:rsidRPr="002935DF">
            <w:rPr>
              <w:rFonts w:ascii="Arial" w:hAnsi="Arial" w:cs="Arial"/>
              <w:b/>
              <w:bCs/>
              <w:noProof/>
              <w:sz w:val="24"/>
              <w:szCs w:val="24"/>
            </w:rPr>
            <w:fldChar w:fldCharType="end"/>
          </w:r>
        </w:p>
      </w:sdtContent>
    </w:sdt>
    <w:p w14:paraId="25360553" w14:textId="77777777" w:rsidR="00D56E53" w:rsidRPr="000042D0" w:rsidRDefault="00D56E53">
      <w:pPr>
        <w:rPr>
          <w:rFonts w:ascii="Arial" w:hAnsi="Arial" w:cs="Arial"/>
          <w:b/>
          <w:bCs/>
          <w:sz w:val="24"/>
          <w:szCs w:val="24"/>
        </w:rPr>
      </w:pPr>
      <w:r w:rsidRPr="000042D0">
        <w:rPr>
          <w:rFonts w:ascii="Arial" w:hAnsi="Arial" w:cs="Arial"/>
          <w:b/>
          <w:bCs/>
          <w:sz w:val="24"/>
          <w:szCs w:val="24"/>
        </w:rPr>
        <w:br w:type="page"/>
      </w:r>
    </w:p>
    <w:p w14:paraId="0F80F894" w14:textId="1415D917" w:rsidR="00701EF5" w:rsidRPr="000042D0" w:rsidRDefault="00701EF5" w:rsidP="00D56E53">
      <w:pPr>
        <w:pStyle w:val="Heading1"/>
      </w:pPr>
      <w:bookmarkStart w:id="1" w:name="_Toc235622240"/>
      <w:r w:rsidRPr="000042D0">
        <w:lastRenderedPageBreak/>
        <w:t>Introduction</w:t>
      </w:r>
      <w:bookmarkEnd w:id="1"/>
    </w:p>
    <w:p w14:paraId="394FE4BA" w14:textId="6BE9BD10" w:rsidR="008D54E2" w:rsidRPr="000042D0" w:rsidRDefault="00B769B4" w:rsidP="008D54E2">
      <w:pPr>
        <w:spacing w:before="240" w:line="360" w:lineRule="auto"/>
        <w:jc w:val="both"/>
        <w:rPr>
          <w:rFonts w:ascii="Arial" w:hAnsi="Arial" w:cs="Arial"/>
          <w:sz w:val="24"/>
          <w:szCs w:val="24"/>
        </w:rPr>
      </w:pPr>
      <w:r w:rsidRPr="00B769B4">
        <w:rPr>
          <w:rFonts w:ascii="Arial" w:hAnsi="Arial" w:cs="Arial"/>
          <w:sz w:val="24"/>
          <w:szCs w:val="24"/>
        </w:rPr>
        <w:t>Hilton Worldwide Holdings Inc. is a worldwide leader in the hospitality industry, operating a diverse portfolio of luxury, full-service, focused-service and extended-stay hotels across more than 140 countries and territories. It has established itself well in the international markets, with an asset light business model, and a wide focus on managing hotels and owning a franchise with a small portfolio of owned hotels.</w:t>
      </w:r>
      <w:r>
        <w:rPr>
          <w:rFonts w:ascii="Arial" w:hAnsi="Arial" w:cs="Arial"/>
          <w:sz w:val="24"/>
          <w:szCs w:val="24"/>
        </w:rPr>
        <w:t xml:space="preserve"> </w:t>
      </w:r>
      <w:r w:rsidR="008D54E2" w:rsidRPr="000042D0">
        <w:rPr>
          <w:rFonts w:ascii="Arial" w:hAnsi="Arial" w:cs="Arial"/>
          <w:sz w:val="24"/>
          <w:szCs w:val="24"/>
        </w:rPr>
        <w:t>This approach allows Hilton to have consistent fee income, to streamline operations and to grow on a global scale with relatively low capital expenditure. While the pandemic caused significant disruption, Hilton has proven themselves to be very resilient, with the recovery of global tourism, an improvement in occupancy and growing interest in business and leisure travel.</w:t>
      </w:r>
    </w:p>
    <w:p w14:paraId="49069221" w14:textId="2A84028D" w:rsidR="008D54E2" w:rsidRPr="000042D0" w:rsidRDefault="008D54E2" w:rsidP="008D54E2">
      <w:pPr>
        <w:spacing w:before="240" w:line="360" w:lineRule="auto"/>
        <w:jc w:val="both"/>
        <w:rPr>
          <w:rFonts w:ascii="Arial" w:hAnsi="Arial" w:cs="Arial"/>
          <w:sz w:val="24"/>
          <w:szCs w:val="24"/>
        </w:rPr>
      </w:pPr>
      <w:r w:rsidRPr="000042D0">
        <w:rPr>
          <w:rFonts w:ascii="Arial" w:hAnsi="Arial" w:cs="Arial"/>
          <w:sz w:val="24"/>
          <w:szCs w:val="24"/>
        </w:rPr>
        <w:t xml:space="preserve">The objective of this report is to </w:t>
      </w:r>
      <w:r w:rsidR="002B0F7C" w:rsidRPr="000042D0">
        <w:rPr>
          <w:rFonts w:ascii="Arial" w:hAnsi="Arial" w:cs="Arial"/>
          <w:sz w:val="24"/>
          <w:szCs w:val="24"/>
        </w:rPr>
        <w:t>analyse</w:t>
      </w:r>
      <w:r w:rsidRPr="000042D0">
        <w:rPr>
          <w:rFonts w:ascii="Arial" w:hAnsi="Arial" w:cs="Arial"/>
          <w:sz w:val="24"/>
          <w:szCs w:val="24"/>
        </w:rPr>
        <w:t>, interpret and assess the financial performance of Hilton Worldwide over the last five years (2021-2025) in a critical manner through the company's financial statements. Key financial management techniques such as profitability, liquidity, asset efficiency, gearing and investment ratio analysis are utilized to evaluate the financial health of an organization and the areas of financial strength and concern. The working capital management practices, capital structure and financing decision affecting the long-term sustainability of the company and creation of shareholder value are given special consideration.</w:t>
      </w:r>
    </w:p>
    <w:p w14:paraId="4811BFDB" w14:textId="3CC800AB" w:rsidR="00701EF5" w:rsidRPr="00701EF5" w:rsidRDefault="008D54E2" w:rsidP="008D54E2">
      <w:pPr>
        <w:spacing w:before="240" w:line="360" w:lineRule="auto"/>
        <w:jc w:val="both"/>
        <w:rPr>
          <w:rFonts w:ascii="Arial" w:hAnsi="Arial" w:cs="Arial"/>
          <w:sz w:val="24"/>
          <w:szCs w:val="24"/>
        </w:rPr>
      </w:pPr>
      <w:r w:rsidRPr="000042D0">
        <w:rPr>
          <w:rFonts w:ascii="Arial" w:hAnsi="Arial" w:cs="Arial"/>
          <w:sz w:val="24"/>
          <w:szCs w:val="24"/>
        </w:rPr>
        <w:t>The report also includes an analysis of the financial performance of the past and strategic financial recommendations to improve Hilton's financial standing and contribute to the robustness of the organization in the current highly competitive world of hospitality. The last section assesses three potential capital investment projects through the use of investment appraisal tools such as Net Present Value (NPV), Internal Rate of Return (IRR), Profitability Index (PI) and Accounting Rate of Return (ARR) and then recommends the best investment under the conditions of capital rationing. The report makes recommendations based on the evidence, which will help Hilton to make financial decisions for the future and grow sustainably</w:t>
      </w:r>
      <w:r w:rsidR="009C725D" w:rsidRPr="009C725D">
        <w:rPr>
          <w:rFonts w:ascii="Arial" w:hAnsi="Arial" w:cs="Arial"/>
          <w:sz w:val="24"/>
          <w:szCs w:val="24"/>
        </w:rPr>
        <w:t>.</w:t>
      </w:r>
    </w:p>
    <w:p w14:paraId="5764CE96" w14:textId="6DE2A28C" w:rsidR="00BA55DF" w:rsidRPr="000042D0" w:rsidRDefault="001F13BF" w:rsidP="00D56E53">
      <w:pPr>
        <w:pStyle w:val="Heading1"/>
      </w:pPr>
      <w:bookmarkStart w:id="2" w:name="_Toc235622241"/>
      <w:r w:rsidRPr="000042D0">
        <w:lastRenderedPageBreak/>
        <w:t xml:space="preserve">1. </w:t>
      </w:r>
      <w:r w:rsidR="00BA55DF" w:rsidRPr="000042D0">
        <w:t>Financial Health Check</w:t>
      </w:r>
      <w:bookmarkEnd w:id="2"/>
    </w:p>
    <w:p w14:paraId="097326B2" w14:textId="73733F4A" w:rsidR="00C1336E" w:rsidRPr="000042D0" w:rsidRDefault="001F13BF" w:rsidP="00D56E53">
      <w:pPr>
        <w:pStyle w:val="Heading2"/>
      </w:pPr>
      <w:bookmarkStart w:id="3" w:name="_Toc235622242"/>
      <w:r w:rsidRPr="000042D0">
        <w:t>1</w:t>
      </w:r>
      <w:r w:rsidR="00C1336E" w:rsidRPr="000042D0">
        <w:t>.1 Financial Performance Overview</w:t>
      </w:r>
      <w:bookmarkEnd w:id="3"/>
    </w:p>
    <w:p w14:paraId="0A317168" w14:textId="452F3F73" w:rsidR="008D54E2" w:rsidRPr="000042D0" w:rsidRDefault="008D54E2" w:rsidP="008D54E2">
      <w:pPr>
        <w:spacing w:before="240" w:line="360" w:lineRule="auto"/>
        <w:jc w:val="both"/>
        <w:rPr>
          <w:rFonts w:ascii="Arial" w:hAnsi="Arial" w:cs="Arial"/>
          <w:sz w:val="24"/>
          <w:szCs w:val="24"/>
        </w:rPr>
      </w:pPr>
      <w:r w:rsidRPr="000042D0">
        <w:rPr>
          <w:rFonts w:ascii="Arial" w:hAnsi="Arial" w:cs="Arial"/>
          <w:sz w:val="24"/>
          <w:szCs w:val="24"/>
        </w:rPr>
        <w:t xml:space="preserve">Hilton Worldwide recovered well financially, and continued to grow its operations from 2021 to 2025. There has been a significant rise in revenue, from £5,788 million in 2021 to £12,039 million in 2025, as the global hospitality industry has bounced back after the COVID-19 pandemic (Hilton Worldwide, 2025). Factors that contributed to this growth include the growth in occupancy rates, average daily room rate (ADR) and revenue per available room (RevPAR), as well as continued international expansion via asset-light operations. </w:t>
      </w:r>
      <w:r w:rsidR="00B769B4" w:rsidRPr="00B769B4">
        <w:rPr>
          <w:rFonts w:ascii="Arial" w:hAnsi="Arial" w:cs="Arial"/>
          <w:sz w:val="24"/>
          <w:szCs w:val="24"/>
        </w:rPr>
        <w:t>The company concentrated on the management and franchise and grew well with relatively low capital investment.</w:t>
      </w:r>
    </w:p>
    <w:p w14:paraId="25D864A5" w14:textId="5B6F819A" w:rsidR="008D54E2" w:rsidRPr="000042D0" w:rsidRDefault="00B769B4" w:rsidP="008D54E2">
      <w:pPr>
        <w:spacing w:before="240" w:line="360" w:lineRule="auto"/>
        <w:jc w:val="both"/>
        <w:rPr>
          <w:rFonts w:ascii="Arial" w:hAnsi="Arial" w:cs="Arial"/>
          <w:sz w:val="24"/>
          <w:szCs w:val="24"/>
        </w:rPr>
      </w:pPr>
      <w:r w:rsidRPr="00B769B4">
        <w:rPr>
          <w:rFonts w:ascii="Arial" w:hAnsi="Arial" w:cs="Arial"/>
          <w:sz w:val="24"/>
          <w:szCs w:val="24"/>
        </w:rPr>
        <w:t>The profitability also improved along with the revenue. The gross profit figure increased from £1,655 million to £3,395 million, and the operating profit figure improved from £1,010 million to £2,693 million, which means that the company is getting effective value for money on its expenditure and the operating leverage is growing (Hilton Worldwide, 2024). Net profit was only slightly influenced in the period under review, although in the midst of inflation and higher financing costs, and economic uncertainty, Hilton continued to report positive profits.</w:t>
      </w:r>
    </w:p>
    <w:p w14:paraId="0188A0E7" w14:textId="228BAF4D" w:rsidR="00C1336E" w:rsidRPr="00C1336E" w:rsidRDefault="008D54E2" w:rsidP="008D54E2">
      <w:pPr>
        <w:spacing w:before="240" w:line="360" w:lineRule="auto"/>
        <w:jc w:val="both"/>
        <w:rPr>
          <w:rFonts w:ascii="Arial" w:hAnsi="Arial" w:cs="Arial"/>
          <w:sz w:val="24"/>
          <w:szCs w:val="24"/>
        </w:rPr>
      </w:pPr>
      <w:r w:rsidRPr="000042D0">
        <w:rPr>
          <w:rFonts w:ascii="Arial" w:hAnsi="Arial" w:cs="Arial"/>
          <w:sz w:val="24"/>
          <w:szCs w:val="24"/>
        </w:rPr>
        <w:t>Growth in the company's asset base was relatively low, rising by 13 per cent from £15,441m in 2021 to £16,774m in 2025, which reflects that the company has grown primarily through operational efficiency, rather than through investment in its assets. Current assets were, however, always less than current liabilities indicating ongoing liquidity issues. Hilton's overall performance was solid, with good operational and financial recovery, but there is a need to work on liquidity and the financial structure to achieve long-term resilience</w:t>
      </w:r>
      <w:r w:rsidR="00C1336E" w:rsidRPr="00C1336E">
        <w:rPr>
          <w:rFonts w:ascii="Arial" w:hAnsi="Arial" w:cs="Arial"/>
          <w:sz w:val="24"/>
          <w:szCs w:val="24"/>
        </w:rPr>
        <w:t>.</w:t>
      </w:r>
    </w:p>
    <w:p w14:paraId="719172F7" w14:textId="3FC46BFD" w:rsidR="00C1336E" w:rsidRPr="000042D0" w:rsidRDefault="001F13BF" w:rsidP="00D56E53">
      <w:pPr>
        <w:pStyle w:val="Heading2"/>
      </w:pPr>
      <w:bookmarkStart w:id="4" w:name="_Toc235622243"/>
      <w:r w:rsidRPr="000042D0">
        <w:t>1</w:t>
      </w:r>
      <w:r w:rsidR="00C1336E" w:rsidRPr="000042D0">
        <w:t>.2 Profitability Analysis</w:t>
      </w:r>
      <w:bookmarkEnd w:id="4"/>
    </w:p>
    <w:p w14:paraId="73F45EA5" w14:textId="18CBB2D6" w:rsidR="00C1336E" w:rsidRPr="000042D0" w:rsidRDefault="008D54E2" w:rsidP="009C725D">
      <w:pPr>
        <w:spacing w:before="240" w:line="360" w:lineRule="auto"/>
        <w:jc w:val="both"/>
        <w:rPr>
          <w:rFonts w:ascii="Arial" w:hAnsi="Arial" w:cs="Arial"/>
          <w:sz w:val="24"/>
          <w:szCs w:val="24"/>
        </w:rPr>
      </w:pPr>
      <w:r w:rsidRPr="000042D0">
        <w:rPr>
          <w:rFonts w:ascii="Arial" w:hAnsi="Arial" w:cs="Arial"/>
          <w:sz w:val="24"/>
          <w:szCs w:val="24"/>
        </w:rPr>
        <w:t xml:space="preserve">The profitability ratios offer a glimpse into Hilton </w:t>
      </w:r>
      <w:proofErr w:type="spellStart"/>
      <w:r w:rsidRPr="000042D0">
        <w:rPr>
          <w:rFonts w:ascii="Arial" w:hAnsi="Arial" w:cs="Arial"/>
          <w:sz w:val="24"/>
          <w:szCs w:val="24"/>
        </w:rPr>
        <w:t>Worldwide's</w:t>
      </w:r>
      <w:proofErr w:type="spellEnd"/>
      <w:r w:rsidRPr="000042D0">
        <w:rPr>
          <w:rFonts w:ascii="Arial" w:hAnsi="Arial" w:cs="Arial"/>
          <w:sz w:val="24"/>
          <w:szCs w:val="24"/>
        </w:rPr>
        <w:t xml:space="preserve"> profitability and efficiency in using its financial resources. The company's profitability grew significantly during the </w:t>
      </w:r>
      <w:r w:rsidRPr="000042D0">
        <w:rPr>
          <w:rFonts w:ascii="Arial" w:hAnsi="Arial" w:cs="Arial"/>
          <w:sz w:val="24"/>
          <w:szCs w:val="24"/>
        </w:rPr>
        <w:lastRenderedPageBreak/>
        <w:t>reporting period as it has successfully recovered from the pandemic and effective operation of management</w:t>
      </w:r>
      <w:r w:rsidR="00C1336E" w:rsidRPr="00C1336E">
        <w:rPr>
          <w:rFonts w:ascii="Arial" w:hAnsi="Arial" w:cs="Arial"/>
          <w:sz w:val="24"/>
          <w:szCs w:val="24"/>
        </w:rPr>
        <w:t>.</w:t>
      </w:r>
    </w:p>
    <w:p w14:paraId="0AA231D0" w14:textId="0C9511A2" w:rsidR="00D44DF2" w:rsidRPr="000042D0" w:rsidRDefault="00D44DF2" w:rsidP="00D44DF2">
      <w:pPr>
        <w:spacing w:before="240" w:line="360" w:lineRule="auto"/>
        <w:jc w:val="center"/>
        <w:rPr>
          <w:rFonts w:ascii="Arial" w:hAnsi="Arial" w:cs="Arial"/>
          <w:sz w:val="24"/>
          <w:szCs w:val="24"/>
        </w:rPr>
      </w:pPr>
      <w:r w:rsidRPr="000042D0">
        <w:rPr>
          <w:noProof/>
          <w:lang w:val="en-IN" w:eastAsia="en-IN"/>
        </w:rPr>
        <w:drawing>
          <wp:inline distT="0" distB="0" distL="0" distR="0" wp14:anchorId="3C9D2435" wp14:editId="2A09D6DF">
            <wp:extent cx="5943600" cy="2536825"/>
            <wp:effectExtent l="76200" t="76200" r="133350" b="130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536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9A4157" w14:textId="2CA24676" w:rsidR="00F023E4" w:rsidRPr="00C1336E" w:rsidRDefault="00F023E4" w:rsidP="00D44DF2">
      <w:pPr>
        <w:spacing w:before="240" w:line="360" w:lineRule="auto"/>
        <w:jc w:val="center"/>
        <w:rPr>
          <w:rFonts w:ascii="Arial" w:hAnsi="Arial" w:cs="Arial"/>
          <w:b/>
          <w:bCs/>
          <w:sz w:val="24"/>
          <w:szCs w:val="24"/>
        </w:rPr>
      </w:pPr>
      <w:r w:rsidRPr="000042D0">
        <w:rPr>
          <w:rFonts w:ascii="Arial" w:hAnsi="Arial" w:cs="Arial"/>
          <w:b/>
          <w:bCs/>
          <w:sz w:val="24"/>
          <w:szCs w:val="24"/>
        </w:rPr>
        <w:t>(Source: Obtained from Excel)</w:t>
      </w:r>
    </w:p>
    <w:p w14:paraId="61A781EE" w14:textId="77777777" w:rsidR="008D54E2" w:rsidRPr="000042D0" w:rsidRDefault="008D54E2" w:rsidP="008D54E2">
      <w:pPr>
        <w:spacing w:before="240" w:line="360" w:lineRule="auto"/>
        <w:jc w:val="both"/>
        <w:rPr>
          <w:rFonts w:ascii="Arial" w:hAnsi="Arial" w:cs="Arial"/>
          <w:sz w:val="24"/>
          <w:szCs w:val="24"/>
        </w:rPr>
      </w:pPr>
      <w:r w:rsidRPr="000042D0">
        <w:rPr>
          <w:rFonts w:ascii="Arial" w:hAnsi="Arial" w:cs="Arial"/>
          <w:sz w:val="24"/>
          <w:szCs w:val="24"/>
        </w:rPr>
        <w:t>The company has seen a huge jump in its Return on Capital Employed (ROCE) from 8.13% to 21.95% from 2021 to 2025, showing a dramatic improvement in the use of long-term capital to produce operating profits. This is because Hilton has been able to grow earnings without a corresponding growth in its capital assets, aided by solid occupancy levels and rising management and franchise income.</w:t>
      </w:r>
    </w:p>
    <w:p w14:paraId="27DA7ADD" w14:textId="5302D3E0" w:rsidR="00C1336E" w:rsidRPr="000042D0" w:rsidRDefault="008D54E2" w:rsidP="008D54E2">
      <w:pPr>
        <w:spacing w:before="240" w:line="360" w:lineRule="auto"/>
        <w:jc w:val="both"/>
        <w:rPr>
          <w:rFonts w:ascii="Arial" w:hAnsi="Arial" w:cs="Arial"/>
          <w:sz w:val="24"/>
          <w:szCs w:val="24"/>
        </w:rPr>
      </w:pPr>
      <w:r w:rsidRPr="000042D0">
        <w:rPr>
          <w:rFonts w:ascii="Arial" w:hAnsi="Arial" w:cs="Arial"/>
          <w:sz w:val="24"/>
          <w:szCs w:val="24"/>
        </w:rPr>
        <w:t>The Gross Profit Margin was fairly consistent from 27.41% to 30.75% over the last five years. Despite increasing labour, energy and operating expenses in the hospitality industry (Cowling et al. 2022), Hilton was able to keep its margin healthy despite the drop after 2022. The stability is an indicator of effective pricing and cost management</w:t>
      </w:r>
      <w:r w:rsidR="00C1336E" w:rsidRPr="00C1336E">
        <w:rPr>
          <w:rFonts w:ascii="Arial" w:hAnsi="Arial" w:cs="Arial"/>
          <w:sz w:val="24"/>
          <w:szCs w:val="24"/>
        </w:rPr>
        <w:t>.</w:t>
      </w:r>
    </w:p>
    <w:p w14:paraId="1110A0A4" w14:textId="45EF6D33" w:rsidR="00D44DF2" w:rsidRPr="000042D0" w:rsidRDefault="00D44DF2" w:rsidP="00D44DF2">
      <w:pPr>
        <w:spacing w:before="240" w:line="360" w:lineRule="auto"/>
        <w:jc w:val="center"/>
        <w:rPr>
          <w:rFonts w:ascii="Arial" w:hAnsi="Arial" w:cs="Arial"/>
          <w:sz w:val="24"/>
          <w:szCs w:val="24"/>
        </w:rPr>
      </w:pPr>
      <w:r w:rsidRPr="000042D0">
        <w:rPr>
          <w:rFonts w:ascii="Arial" w:hAnsi="Arial" w:cs="Arial"/>
          <w:noProof/>
          <w:sz w:val="24"/>
          <w:szCs w:val="24"/>
          <w:lang w:val="en-IN" w:eastAsia="en-IN"/>
        </w:rPr>
        <w:lastRenderedPageBreak/>
        <w:drawing>
          <wp:inline distT="0" distB="0" distL="0" distR="0" wp14:anchorId="0D3D0B28" wp14:editId="79E1B7E6">
            <wp:extent cx="5478780" cy="3522669"/>
            <wp:effectExtent l="0" t="0" r="762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4851" cy="3526572"/>
                    </a:xfrm>
                    <a:prstGeom prst="rect">
                      <a:avLst/>
                    </a:prstGeom>
                    <a:noFill/>
                  </pic:spPr>
                </pic:pic>
              </a:graphicData>
            </a:graphic>
          </wp:inline>
        </w:drawing>
      </w:r>
    </w:p>
    <w:p w14:paraId="711DC386" w14:textId="21B19A9E" w:rsidR="00F023E4" w:rsidRPr="00C1336E" w:rsidRDefault="00F023E4" w:rsidP="00F023E4">
      <w:pPr>
        <w:spacing w:before="240" w:line="360" w:lineRule="auto"/>
        <w:jc w:val="center"/>
        <w:rPr>
          <w:rFonts w:ascii="Arial" w:hAnsi="Arial" w:cs="Arial"/>
          <w:b/>
          <w:bCs/>
          <w:sz w:val="24"/>
          <w:szCs w:val="24"/>
        </w:rPr>
      </w:pPr>
      <w:r w:rsidRPr="000042D0">
        <w:rPr>
          <w:rFonts w:ascii="Arial" w:hAnsi="Arial" w:cs="Arial"/>
          <w:b/>
          <w:bCs/>
          <w:sz w:val="24"/>
          <w:szCs w:val="24"/>
        </w:rPr>
        <w:t>(Source: Obtained from Excel)</w:t>
      </w:r>
    </w:p>
    <w:p w14:paraId="67C54138" w14:textId="77777777" w:rsidR="00165170" w:rsidRPr="000042D0" w:rsidRDefault="00165170" w:rsidP="00165170">
      <w:pPr>
        <w:spacing w:before="240" w:line="360" w:lineRule="auto"/>
        <w:jc w:val="both"/>
        <w:rPr>
          <w:rFonts w:ascii="Arial" w:hAnsi="Arial" w:cs="Arial"/>
          <w:sz w:val="24"/>
          <w:szCs w:val="24"/>
        </w:rPr>
      </w:pPr>
      <w:r w:rsidRPr="000042D0">
        <w:rPr>
          <w:rFonts w:ascii="Arial" w:hAnsi="Arial" w:cs="Arial"/>
          <w:sz w:val="24"/>
          <w:szCs w:val="24"/>
        </w:rPr>
        <w:t>The Operating Profit Margin also got better with the Q4 2021 figure of 17.45% rising to 22.37% in Q4 2025. The higher margin suggests that Hilton was able to create more operating income per pound of revenue due to economies of scale, greater operating efficiency and the continued use of asset-light operations, which yield increased fee-based revenue and lower costs associated with owning the assets.</w:t>
      </w:r>
    </w:p>
    <w:p w14:paraId="1563EA40" w14:textId="77777777" w:rsidR="00165170" w:rsidRPr="000042D0" w:rsidRDefault="00165170" w:rsidP="00165170">
      <w:pPr>
        <w:spacing w:before="240" w:line="360" w:lineRule="auto"/>
        <w:jc w:val="both"/>
        <w:rPr>
          <w:rFonts w:ascii="Arial" w:hAnsi="Arial" w:cs="Arial"/>
          <w:sz w:val="24"/>
          <w:szCs w:val="24"/>
        </w:rPr>
      </w:pPr>
      <w:r w:rsidRPr="000042D0">
        <w:rPr>
          <w:rFonts w:ascii="Arial" w:hAnsi="Arial" w:cs="Arial"/>
          <w:sz w:val="24"/>
          <w:szCs w:val="24"/>
        </w:rPr>
        <w:t>Net Profit Margin displayed greater volatility, rising from 7.03% in 2021 to 14.33% in 2022, declining to 11.25% in 2023, increasing to 13.77% in 2024, and moderating slightly to 12.14% in 2025. These swings were more likely driven by financing charges and items other than operating (Hilton Worldwide, 2022). The company, however, posted double-digit net margins since 2022, indicating the company's ability to be profitable.</w:t>
      </w:r>
    </w:p>
    <w:p w14:paraId="75BDE0E5" w14:textId="5237707C" w:rsidR="00C1336E" w:rsidRPr="00C1336E" w:rsidRDefault="00165170" w:rsidP="00165170">
      <w:pPr>
        <w:spacing w:before="240" w:line="360" w:lineRule="auto"/>
        <w:jc w:val="both"/>
        <w:rPr>
          <w:rFonts w:ascii="Arial" w:hAnsi="Arial" w:cs="Arial"/>
          <w:sz w:val="24"/>
          <w:szCs w:val="24"/>
        </w:rPr>
      </w:pPr>
      <w:r w:rsidRPr="000042D0">
        <w:rPr>
          <w:rFonts w:ascii="Arial" w:hAnsi="Arial" w:cs="Arial"/>
          <w:sz w:val="24"/>
          <w:szCs w:val="24"/>
        </w:rPr>
        <w:t>Overall, the profitability ratios suggest that the company's ability to grow revenues and control costs was well managed, ensuring the company's post pandemic recovery is continuing to be a period of long-term earnings growth rather than a short-term reprieve, and improving operational efficiency in its international hotel portfolio</w:t>
      </w:r>
      <w:r w:rsidR="00C1336E" w:rsidRPr="00C1336E">
        <w:rPr>
          <w:rFonts w:ascii="Arial" w:hAnsi="Arial" w:cs="Arial"/>
          <w:sz w:val="24"/>
          <w:szCs w:val="24"/>
        </w:rPr>
        <w:t>.</w:t>
      </w:r>
    </w:p>
    <w:p w14:paraId="1069AD20" w14:textId="6BF7B19F" w:rsidR="00C1336E" w:rsidRPr="000042D0" w:rsidRDefault="001F13BF" w:rsidP="00D56E53">
      <w:pPr>
        <w:pStyle w:val="Heading2"/>
      </w:pPr>
      <w:bookmarkStart w:id="5" w:name="_Toc235622244"/>
      <w:r w:rsidRPr="000042D0">
        <w:lastRenderedPageBreak/>
        <w:t>1</w:t>
      </w:r>
      <w:r w:rsidR="00C1336E" w:rsidRPr="000042D0">
        <w:t>.3 Liquidity and Asset Efficiency Analysis</w:t>
      </w:r>
      <w:bookmarkEnd w:id="5"/>
    </w:p>
    <w:p w14:paraId="412368E3" w14:textId="53C12500" w:rsidR="00C1336E" w:rsidRPr="000042D0" w:rsidRDefault="00165170" w:rsidP="009C725D">
      <w:pPr>
        <w:spacing w:before="240" w:line="360" w:lineRule="auto"/>
        <w:jc w:val="both"/>
        <w:rPr>
          <w:rFonts w:ascii="Arial" w:hAnsi="Arial" w:cs="Arial"/>
          <w:sz w:val="24"/>
          <w:szCs w:val="24"/>
        </w:rPr>
      </w:pPr>
      <w:r w:rsidRPr="000042D0">
        <w:rPr>
          <w:rFonts w:ascii="Arial" w:hAnsi="Arial" w:cs="Arial"/>
          <w:sz w:val="24"/>
          <w:szCs w:val="24"/>
        </w:rPr>
        <w:t>Liquidity and asset efficiency ratios measure Hilton's short-term obligations and how well the company is using its assets to make money. These indicators collectively give an overall picture of the effectiveness of operation and working capital management</w:t>
      </w:r>
      <w:r w:rsidR="00C1336E" w:rsidRPr="00C1336E">
        <w:rPr>
          <w:rFonts w:ascii="Arial" w:hAnsi="Arial" w:cs="Arial"/>
          <w:sz w:val="24"/>
          <w:szCs w:val="24"/>
        </w:rPr>
        <w:t>.</w:t>
      </w:r>
    </w:p>
    <w:p w14:paraId="4DFEF7A7" w14:textId="5989825F" w:rsidR="00D44DF2" w:rsidRPr="000042D0" w:rsidRDefault="00D44DF2" w:rsidP="00D44DF2">
      <w:pPr>
        <w:spacing w:before="240" w:line="360" w:lineRule="auto"/>
        <w:jc w:val="center"/>
        <w:rPr>
          <w:rFonts w:ascii="Arial" w:hAnsi="Arial" w:cs="Arial"/>
          <w:sz w:val="24"/>
          <w:szCs w:val="24"/>
        </w:rPr>
      </w:pPr>
      <w:r w:rsidRPr="000042D0">
        <w:rPr>
          <w:noProof/>
          <w:lang w:val="en-IN" w:eastAsia="en-IN"/>
        </w:rPr>
        <w:drawing>
          <wp:inline distT="0" distB="0" distL="0" distR="0" wp14:anchorId="15CB317F" wp14:editId="507E8505">
            <wp:extent cx="5943600" cy="1430020"/>
            <wp:effectExtent l="76200" t="76200" r="133350" b="132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14300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91C3246" w14:textId="03DBB3F4" w:rsidR="00F023E4" w:rsidRPr="00C1336E" w:rsidRDefault="00F023E4" w:rsidP="00F023E4">
      <w:pPr>
        <w:spacing w:before="240" w:line="360" w:lineRule="auto"/>
        <w:jc w:val="center"/>
        <w:rPr>
          <w:rFonts w:ascii="Arial" w:hAnsi="Arial" w:cs="Arial"/>
          <w:b/>
          <w:bCs/>
          <w:sz w:val="24"/>
          <w:szCs w:val="24"/>
        </w:rPr>
      </w:pPr>
      <w:r w:rsidRPr="000042D0">
        <w:rPr>
          <w:rFonts w:ascii="Arial" w:hAnsi="Arial" w:cs="Arial"/>
          <w:b/>
          <w:bCs/>
          <w:sz w:val="24"/>
          <w:szCs w:val="24"/>
        </w:rPr>
        <w:t>(Source: Obtained from Excel)</w:t>
      </w:r>
    </w:p>
    <w:p w14:paraId="067B9227" w14:textId="3B5B18E9" w:rsidR="00C1336E" w:rsidRPr="000042D0" w:rsidRDefault="00165170" w:rsidP="009C725D">
      <w:pPr>
        <w:spacing w:before="240" w:line="360" w:lineRule="auto"/>
        <w:jc w:val="both"/>
        <w:rPr>
          <w:rFonts w:ascii="Arial" w:hAnsi="Arial" w:cs="Arial"/>
          <w:sz w:val="24"/>
          <w:szCs w:val="24"/>
        </w:rPr>
      </w:pPr>
      <w:r w:rsidRPr="000042D0">
        <w:rPr>
          <w:rFonts w:ascii="Arial" w:hAnsi="Arial" w:cs="Arial"/>
          <w:sz w:val="24"/>
          <w:szCs w:val="24"/>
        </w:rPr>
        <w:t>Current Ratio went on a downward trend from 0.95 in 2021 to 0.66 in 2025, which is lower than the standard Current Ratio of 1.0. This is indicative of a steady short-term deficit in liquidity, thus a somewhat low short-term liquidity ratio. The trend is worrisome for many asset-light hospitality companies, most of which have steady operating cash flow, but the drop is a reminder to focus on the cash flow of the business</w:t>
      </w:r>
      <w:r w:rsidR="00C1336E" w:rsidRPr="00C1336E">
        <w:rPr>
          <w:rFonts w:ascii="Arial" w:hAnsi="Arial" w:cs="Arial"/>
          <w:sz w:val="24"/>
          <w:szCs w:val="24"/>
        </w:rPr>
        <w:t>.</w:t>
      </w:r>
    </w:p>
    <w:p w14:paraId="38742EDF" w14:textId="68FAEBE4" w:rsidR="00D44DF2" w:rsidRPr="000042D0" w:rsidRDefault="00D44DF2" w:rsidP="00D44DF2">
      <w:pPr>
        <w:spacing w:before="240" w:line="360" w:lineRule="auto"/>
        <w:jc w:val="center"/>
        <w:rPr>
          <w:rFonts w:ascii="Arial" w:hAnsi="Arial" w:cs="Arial"/>
          <w:sz w:val="24"/>
          <w:szCs w:val="24"/>
        </w:rPr>
      </w:pPr>
      <w:r w:rsidRPr="000042D0">
        <w:rPr>
          <w:rFonts w:ascii="Arial" w:hAnsi="Arial" w:cs="Arial"/>
          <w:noProof/>
          <w:sz w:val="24"/>
          <w:szCs w:val="24"/>
          <w:lang w:val="en-IN" w:eastAsia="en-IN"/>
        </w:rPr>
        <w:lastRenderedPageBreak/>
        <w:drawing>
          <wp:inline distT="0" distB="0" distL="0" distR="0" wp14:anchorId="0D7B04EE" wp14:editId="2DD2FE42">
            <wp:extent cx="5113020" cy="34925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15385" cy="3494115"/>
                    </a:xfrm>
                    <a:prstGeom prst="rect">
                      <a:avLst/>
                    </a:prstGeom>
                    <a:noFill/>
                  </pic:spPr>
                </pic:pic>
              </a:graphicData>
            </a:graphic>
          </wp:inline>
        </w:drawing>
      </w:r>
    </w:p>
    <w:p w14:paraId="11964804" w14:textId="641FECDD" w:rsidR="00F023E4" w:rsidRPr="00C1336E" w:rsidRDefault="00F023E4" w:rsidP="00F023E4">
      <w:pPr>
        <w:spacing w:before="240" w:line="360" w:lineRule="auto"/>
        <w:jc w:val="center"/>
        <w:rPr>
          <w:rFonts w:ascii="Arial" w:hAnsi="Arial" w:cs="Arial"/>
          <w:b/>
          <w:bCs/>
          <w:sz w:val="24"/>
          <w:szCs w:val="24"/>
        </w:rPr>
      </w:pPr>
      <w:r w:rsidRPr="000042D0">
        <w:rPr>
          <w:rFonts w:ascii="Arial" w:hAnsi="Arial" w:cs="Arial"/>
          <w:b/>
          <w:bCs/>
          <w:sz w:val="24"/>
          <w:szCs w:val="24"/>
        </w:rPr>
        <w:t>(Source: Obtained from Excel)</w:t>
      </w:r>
    </w:p>
    <w:p w14:paraId="4DA292CC" w14:textId="19788A05" w:rsidR="00C1336E" w:rsidRPr="000042D0" w:rsidRDefault="00165170" w:rsidP="009C725D">
      <w:pPr>
        <w:spacing w:before="240" w:line="360" w:lineRule="auto"/>
        <w:jc w:val="both"/>
        <w:rPr>
          <w:rFonts w:ascii="Arial" w:hAnsi="Arial" w:cs="Arial"/>
          <w:sz w:val="24"/>
          <w:szCs w:val="24"/>
        </w:rPr>
      </w:pPr>
      <w:r w:rsidRPr="000042D0">
        <w:rPr>
          <w:rFonts w:ascii="Arial" w:hAnsi="Arial" w:cs="Arial"/>
          <w:sz w:val="24"/>
          <w:szCs w:val="24"/>
        </w:rPr>
        <w:t>During the review period, the Quick Ratio has also declined from 0.83 to 0.58. The figures without inventories give a more conservative picture of the liquidity, and the low levels have shown that Hilton relies heavily on the cash flow coming in, to meet immediate cash needs (</w:t>
      </w:r>
      <w:proofErr w:type="spellStart"/>
      <w:r w:rsidRPr="000042D0">
        <w:rPr>
          <w:rFonts w:ascii="Arial" w:hAnsi="Arial" w:cs="Arial"/>
          <w:sz w:val="24"/>
          <w:szCs w:val="24"/>
        </w:rPr>
        <w:t>Barykin</w:t>
      </w:r>
      <w:proofErr w:type="spellEnd"/>
      <w:r w:rsidRPr="000042D0">
        <w:rPr>
          <w:rFonts w:ascii="Arial" w:hAnsi="Arial" w:cs="Arial"/>
          <w:sz w:val="24"/>
          <w:szCs w:val="24"/>
        </w:rPr>
        <w:t xml:space="preserve"> et al. 2024). Although this is a predictable franchise income, any sharp drop in tourism demand may impose further pressures on the liquidity risk</w:t>
      </w:r>
      <w:r w:rsidR="00C1336E" w:rsidRPr="00C1336E">
        <w:rPr>
          <w:rFonts w:ascii="Arial" w:hAnsi="Arial" w:cs="Arial"/>
          <w:sz w:val="24"/>
          <w:szCs w:val="24"/>
        </w:rPr>
        <w:t>.</w:t>
      </w:r>
    </w:p>
    <w:p w14:paraId="118D2A0E" w14:textId="02D1A90B" w:rsidR="00D44DF2" w:rsidRPr="000042D0" w:rsidRDefault="003D0DF0" w:rsidP="003D0DF0">
      <w:pPr>
        <w:spacing w:before="240" w:line="360" w:lineRule="auto"/>
        <w:jc w:val="center"/>
        <w:rPr>
          <w:rFonts w:ascii="Arial" w:hAnsi="Arial" w:cs="Arial"/>
          <w:sz w:val="24"/>
          <w:szCs w:val="24"/>
        </w:rPr>
      </w:pPr>
      <w:r w:rsidRPr="000042D0">
        <w:rPr>
          <w:noProof/>
          <w:lang w:val="en-IN" w:eastAsia="en-IN"/>
        </w:rPr>
        <w:drawing>
          <wp:inline distT="0" distB="0" distL="0" distR="0" wp14:anchorId="2B33AD37" wp14:editId="02684A07">
            <wp:extent cx="5943600" cy="1904365"/>
            <wp:effectExtent l="76200" t="76200" r="133350" b="133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19043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C72277" w14:textId="42A0EE67" w:rsidR="00F023E4" w:rsidRPr="00C1336E" w:rsidRDefault="00F023E4" w:rsidP="00F023E4">
      <w:pPr>
        <w:spacing w:before="240" w:line="360" w:lineRule="auto"/>
        <w:jc w:val="center"/>
        <w:rPr>
          <w:rFonts w:ascii="Arial" w:hAnsi="Arial" w:cs="Arial"/>
          <w:b/>
          <w:bCs/>
          <w:sz w:val="24"/>
          <w:szCs w:val="24"/>
        </w:rPr>
      </w:pPr>
      <w:r w:rsidRPr="000042D0">
        <w:rPr>
          <w:rFonts w:ascii="Arial" w:hAnsi="Arial" w:cs="Arial"/>
          <w:b/>
          <w:bCs/>
          <w:sz w:val="24"/>
          <w:szCs w:val="24"/>
        </w:rPr>
        <w:t>(Source: Obtained from Excel)</w:t>
      </w:r>
    </w:p>
    <w:p w14:paraId="45EE2798" w14:textId="213E16F8" w:rsidR="005402DD" w:rsidRPr="000042D0" w:rsidRDefault="006C6885" w:rsidP="005402DD">
      <w:pPr>
        <w:spacing w:before="240" w:line="360" w:lineRule="auto"/>
        <w:jc w:val="both"/>
        <w:rPr>
          <w:rFonts w:ascii="Arial" w:hAnsi="Arial" w:cs="Arial"/>
          <w:sz w:val="24"/>
          <w:szCs w:val="24"/>
        </w:rPr>
      </w:pPr>
      <w:r w:rsidRPr="006C6885">
        <w:rPr>
          <w:rFonts w:ascii="Arial" w:hAnsi="Arial" w:cs="Arial"/>
          <w:sz w:val="24"/>
          <w:szCs w:val="24"/>
        </w:rPr>
        <w:lastRenderedPageBreak/>
        <w:t>The asset efficiency ratios, on the other hand, show good asset usage. The inventory turnover ratio was always high, between 17.11 and 22.69 times, indicating that the company managed its inventory effectively and had relatively low inventory holding costs, likely due to the high efficiency in inventory management practices at Hilton (Hilton Worldwide, 2023). This is a representation of just how fast hospitality inventories can be depleted.</w:t>
      </w:r>
    </w:p>
    <w:p w14:paraId="5C71CDA1" w14:textId="77777777" w:rsidR="005402DD" w:rsidRPr="000042D0" w:rsidRDefault="005402DD" w:rsidP="005402DD">
      <w:pPr>
        <w:spacing w:before="240" w:line="360" w:lineRule="auto"/>
        <w:jc w:val="both"/>
        <w:rPr>
          <w:rFonts w:ascii="Arial" w:hAnsi="Arial" w:cs="Arial"/>
          <w:sz w:val="24"/>
          <w:szCs w:val="24"/>
        </w:rPr>
      </w:pPr>
      <w:r w:rsidRPr="000042D0">
        <w:rPr>
          <w:rFonts w:ascii="Arial" w:hAnsi="Arial" w:cs="Arial"/>
          <w:sz w:val="24"/>
          <w:szCs w:val="24"/>
        </w:rPr>
        <w:t>With a value of around seven times per year, Receivables Turnover experienced a slight downward trend, falling from 10.84 in 2021 to 7.36 in 2025. However, despite the decrease, Hilton was still able to manage receivables effectively, which ensured stable cash flows and proper credit management (</w:t>
      </w:r>
      <w:proofErr w:type="spellStart"/>
      <w:r w:rsidRPr="000042D0">
        <w:rPr>
          <w:rFonts w:ascii="Arial" w:hAnsi="Arial" w:cs="Arial"/>
          <w:sz w:val="24"/>
          <w:szCs w:val="24"/>
        </w:rPr>
        <w:t>Huikku</w:t>
      </w:r>
      <w:proofErr w:type="spellEnd"/>
      <w:r w:rsidRPr="000042D0">
        <w:rPr>
          <w:rFonts w:ascii="Arial" w:hAnsi="Arial" w:cs="Arial"/>
          <w:sz w:val="24"/>
          <w:szCs w:val="24"/>
        </w:rPr>
        <w:t xml:space="preserve"> et al. 2025).</w:t>
      </w:r>
    </w:p>
    <w:p w14:paraId="14EA8A68" w14:textId="77777777" w:rsidR="005402DD" w:rsidRPr="000042D0" w:rsidRDefault="005402DD" w:rsidP="005402DD">
      <w:pPr>
        <w:spacing w:before="240" w:line="360" w:lineRule="auto"/>
        <w:jc w:val="both"/>
        <w:rPr>
          <w:rFonts w:ascii="Arial" w:hAnsi="Arial" w:cs="Arial"/>
          <w:sz w:val="24"/>
          <w:szCs w:val="24"/>
        </w:rPr>
      </w:pPr>
      <w:r w:rsidRPr="000042D0">
        <w:rPr>
          <w:rFonts w:ascii="Arial" w:hAnsi="Arial" w:cs="Arial"/>
          <w:sz w:val="24"/>
          <w:szCs w:val="24"/>
        </w:rPr>
        <w:t>The Asset Turnover ratio also rose steadily over time from 0.37 to 0.72, meaning that Hilton was able to produce increasingly more revenue from every pound in its assets. The improvement is the result of higher utilisation of hotels, occupancy and growth through management and franchise agreements and not by capital-intensive property acquisitions.</w:t>
      </w:r>
    </w:p>
    <w:p w14:paraId="6F88C540" w14:textId="76265FEC" w:rsidR="00C1336E" w:rsidRPr="00C1336E" w:rsidRDefault="005402DD" w:rsidP="005402DD">
      <w:pPr>
        <w:spacing w:before="240" w:line="360" w:lineRule="auto"/>
        <w:jc w:val="both"/>
        <w:rPr>
          <w:rFonts w:ascii="Arial" w:hAnsi="Arial" w:cs="Arial"/>
          <w:sz w:val="24"/>
          <w:szCs w:val="24"/>
        </w:rPr>
      </w:pPr>
      <w:r w:rsidRPr="000042D0">
        <w:rPr>
          <w:rFonts w:ascii="Arial" w:hAnsi="Arial" w:cs="Arial"/>
          <w:sz w:val="24"/>
          <w:szCs w:val="24"/>
        </w:rPr>
        <w:t>Overall, although Hilton's liquidity position is relatively weak, robust operational efficiency and asset utilisation underpins a sustainable cash generation which partially mitigates liquidity pressures</w:t>
      </w:r>
      <w:r w:rsidR="00C1336E" w:rsidRPr="00C1336E">
        <w:rPr>
          <w:rFonts w:ascii="Arial" w:hAnsi="Arial" w:cs="Arial"/>
          <w:sz w:val="24"/>
          <w:szCs w:val="24"/>
        </w:rPr>
        <w:t>.</w:t>
      </w:r>
    </w:p>
    <w:p w14:paraId="6D04265A" w14:textId="1F8A46CF" w:rsidR="00C1336E" w:rsidRPr="000042D0" w:rsidRDefault="001F13BF" w:rsidP="00D56E53">
      <w:pPr>
        <w:pStyle w:val="Heading2"/>
      </w:pPr>
      <w:bookmarkStart w:id="6" w:name="_Toc235622245"/>
      <w:r w:rsidRPr="000042D0">
        <w:t>1</w:t>
      </w:r>
      <w:r w:rsidR="00C1336E" w:rsidRPr="000042D0">
        <w:t>.4 Capital Structure, Investment Ratios and Industry Benchmark</w:t>
      </w:r>
      <w:bookmarkEnd w:id="6"/>
    </w:p>
    <w:p w14:paraId="53403F82" w14:textId="3FD2E246" w:rsidR="00C1336E" w:rsidRPr="000042D0" w:rsidRDefault="005402DD" w:rsidP="009C725D">
      <w:pPr>
        <w:spacing w:before="240" w:line="360" w:lineRule="auto"/>
        <w:jc w:val="both"/>
        <w:rPr>
          <w:rFonts w:ascii="Arial" w:hAnsi="Arial" w:cs="Arial"/>
          <w:sz w:val="24"/>
          <w:szCs w:val="24"/>
        </w:rPr>
      </w:pPr>
      <w:r w:rsidRPr="000042D0">
        <w:rPr>
          <w:rFonts w:ascii="Arial" w:hAnsi="Arial" w:cs="Arial"/>
          <w:sz w:val="24"/>
          <w:szCs w:val="24"/>
        </w:rPr>
        <w:t xml:space="preserve">Hilton </w:t>
      </w:r>
      <w:proofErr w:type="spellStart"/>
      <w:r w:rsidRPr="000042D0">
        <w:rPr>
          <w:rFonts w:ascii="Arial" w:hAnsi="Arial" w:cs="Arial"/>
          <w:sz w:val="24"/>
          <w:szCs w:val="24"/>
        </w:rPr>
        <w:t>Worldwide's</w:t>
      </w:r>
      <w:proofErr w:type="spellEnd"/>
      <w:r w:rsidRPr="000042D0">
        <w:rPr>
          <w:rFonts w:ascii="Arial" w:hAnsi="Arial" w:cs="Arial"/>
          <w:sz w:val="24"/>
          <w:szCs w:val="24"/>
        </w:rPr>
        <w:t xml:space="preserve"> capital structure is weighted heavily against debt financing and the company has distributed significant amounts of cash to its shareholders, which is why the company has negative shareholders' equity for the entire review period. Therefore, it is important to note that gearing ratios are not to be interpreted in isolation since their calculation is affected greatly by the negative equity status</w:t>
      </w:r>
      <w:r w:rsidR="00C1336E" w:rsidRPr="00C1336E">
        <w:rPr>
          <w:rFonts w:ascii="Arial" w:hAnsi="Arial" w:cs="Arial"/>
          <w:sz w:val="24"/>
          <w:szCs w:val="24"/>
        </w:rPr>
        <w:t>.</w:t>
      </w:r>
    </w:p>
    <w:p w14:paraId="35CCC7FF" w14:textId="556B8EEF" w:rsidR="003D0DF0" w:rsidRPr="000042D0" w:rsidRDefault="003D0DF0" w:rsidP="003D0DF0">
      <w:pPr>
        <w:spacing w:before="240" w:line="360" w:lineRule="auto"/>
        <w:jc w:val="center"/>
        <w:rPr>
          <w:rFonts w:ascii="Arial" w:hAnsi="Arial" w:cs="Arial"/>
          <w:sz w:val="24"/>
          <w:szCs w:val="24"/>
        </w:rPr>
      </w:pPr>
      <w:r w:rsidRPr="000042D0">
        <w:rPr>
          <w:noProof/>
          <w:lang w:val="en-IN" w:eastAsia="en-IN"/>
        </w:rPr>
        <w:lastRenderedPageBreak/>
        <w:drawing>
          <wp:inline distT="0" distB="0" distL="0" distR="0" wp14:anchorId="74359C49" wp14:editId="3BFD8C03">
            <wp:extent cx="5943600" cy="1588135"/>
            <wp:effectExtent l="76200" t="76200" r="133350" b="12636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15881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27DC78" w14:textId="43EDBFB9" w:rsidR="00F023E4" w:rsidRPr="00C1336E" w:rsidRDefault="00F023E4" w:rsidP="00F023E4">
      <w:pPr>
        <w:spacing w:before="240" w:line="360" w:lineRule="auto"/>
        <w:jc w:val="center"/>
        <w:rPr>
          <w:rFonts w:ascii="Arial" w:hAnsi="Arial" w:cs="Arial"/>
          <w:b/>
          <w:bCs/>
          <w:sz w:val="24"/>
          <w:szCs w:val="24"/>
        </w:rPr>
      </w:pPr>
      <w:r w:rsidRPr="000042D0">
        <w:rPr>
          <w:rFonts w:ascii="Arial" w:hAnsi="Arial" w:cs="Arial"/>
          <w:b/>
          <w:bCs/>
          <w:sz w:val="24"/>
          <w:szCs w:val="24"/>
        </w:rPr>
        <w:t>(Source: Obtained from Excel)</w:t>
      </w:r>
    </w:p>
    <w:p w14:paraId="55CD6C3D" w14:textId="77777777" w:rsidR="005402DD" w:rsidRPr="000042D0" w:rsidRDefault="005402DD" w:rsidP="005402DD">
      <w:pPr>
        <w:spacing w:before="240" w:line="360" w:lineRule="auto"/>
        <w:jc w:val="both"/>
        <w:rPr>
          <w:rFonts w:ascii="Arial" w:hAnsi="Arial" w:cs="Arial"/>
          <w:sz w:val="24"/>
          <w:szCs w:val="24"/>
        </w:rPr>
      </w:pPr>
      <w:r w:rsidRPr="000042D0">
        <w:rPr>
          <w:rFonts w:ascii="Arial" w:hAnsi="Arial" w:cs="Arial"/>
          <w:sz w:val="24"/>
          <w:szCs w:val="24"/>
        </w:rPr>
        <w:t>The Debt-to-Equity Ratio was -11.77 in 2021 and -2.45 in 2025, mainly due to an increase in shareholders' equity that made it less negative over the years, and not to a decrease in debt. However, total debt has risen from £9,636 million to £13,093 million, highlighting Hilton's ongoing reliance on external funding (Hilton Worldwide, 2025). While leverage has helped drive growth and investor returns, a company with higher levels of debt is also taking on more financial risk, due to increased interest payments and refinancing pressures.</w:t>
      </w:r>
    </w:p>
    <w:p w14:paraId="106929F4" w14:textId="10BB1579" w:rsidR="00C1336E" w:rsidRPr="000042D0" w:rsidRDefault="005402DD" w:rsidP="005402DD">
      <w:pPr>
        <w:spacing w:before="240" w:line="360" w:lineRule="auto"/>
        <w:jc w:val="both"/>
        <w:rPr>
          <w:rFonts w:ascii="Arial" w:hAnsi="Arial" w:cs="Arial"/>
          <w:sz w:val="24"/>
          <w:szCs w:val="24"/>
        </w:rPr>
      </w:pPr>
      <w:r w:rsidRPr="000042D0">
        <w:rPr>
          <w:rFonts w:ascii="Arial" w:hAnsi="Arial" w:cs="Arial"/>
          <w:sz w:val="24"/>
          <w:szCs w:val="24"/>
        </w:rPr>
        <w:t xml:space="preserve">Interest Cover was negative due to the fact that interest expenses </w:t>
      </w:r>
      <w:proofErr w:type="gramStart"/>
      <w:r w:rsidRPr="000042D0">
        <w:rPr>
          <w:rFonts w:ascii="Arial" w:hAnsi="Arial" w:cs="Arial"/>
          <w:sz w:val="24"/>
          <w:szCs w:val="24"/>
        </w:rPr>
        <w:t>is</w:t>
      </w:r>
      <w:proofErr w:type="gramEnd"/>
      <w:r w:rsidRPr="000042D0">
        <w:rPr>
          <w:rFonts w:ascii="Arial" w:hAnsi="Arial" w:cs="Arial"/>
          <w:sz w:val="24"/>
          <w:szCs w:val="24"/>
        </w:rPr>
        <w:t xml:space="preserve"> shown as a negative number on the financial data. The company's leveraged financial position, however, implies that Hilton has more than adequate operating earnings to cover financing costs, as operating profit has consistently been higher than financing costs (Zhang and </w:t>
      </w:r>
      <w:proofErr w:type="spellStart"/>
      <w:r w:rsidRPr="000042D0">
        <w:rPr>
          <w:rFonts w:ascii="Arial" w:hAnsi="Arial" w:cs="Arial"/>
          <w:sz w:val="24"/>
          <w:szCs w:val="24"/>
        </w:rPr>
        <w:t>Xie</w:t>
      </w:r>
      <w:proofErr w:type="spellEnd"/>
      <w:r w:rsidRPr="000042D0">
        <w:rPr>
          <w:rFonts w:ascii="Arial" w:hAnsi="Arial" w:cs="Arial"/>
          <w:sz w:val="24"/>
          <w:szCs w:val="24"/>
        </w:rPr>
        <w:t>, 2023)</w:t>
      </w:r>
      <w:r w:rsidR="00C1336E" w:rsidRPr="00C1336E">
        <w:rPr>
          <w:rFonts w:ascii="Arial" w:hAnsi="Arial" w:cs="Arial"/>
          <w:sz w:val="24"/>
          <w:szCs w:val="24"/>
        </w:rPr>
        <w:t>.</w:t>
      </w:r>
    </w:p>
    <w:p w14:paraId="07F3982A" w14:textId="1417237C" w:rsidR="003D0DF0" w:rsidRPr="000042D0" w:rsidRDefault="003D0DF0" w:rsidP="003D0DF0">
      <w:pPr>
        <w:spacing w:before="240" w:line="360" w:lineRule="auto"/>
        <w:jc w:val="center"/>
        <w:rPr>
          <w:rFonts w:ascii="Arial" w:hAnsi="Arial" w:cs="Arial"/>
          <w:sz w:val="24"/>
          <w:szCs w:val="24"/>
        </w:rPr>
      </w:pPr>
      <w:r w:rsidRPr="000042D0">
        <w:rPr>
          <w:noProof/>
          <w:lang w:val="en-IN" w:eastAsia="en-IN"/>
        </w:rPr>
        <w:drawing>
          <wp:inline distT="0" distB="0" distL="0" distR="0" wp14:anchorId="321B8040" wp14:editId="32C29D65">
            <wp:extent cx="5943600" cy="1746250"/>
            <wp:effectExtent l="76200" t="76200" r="133350" b="13970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1746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BA51805" w14:textId="36ED201F" w:rsidR="00F023E4" w:rsidRPr="00C1336E" w:rsidRDefault="00F023E4" w:rsidP="00F023E4">
      <w:pPr>
        <w:spacing w:before="240" w:line="360" w:lineRule="auto"/>
        <w:jc w:val="center"/>
        <w:rPr>
          <w:rFonts w:ascii="Arial" w:hAnsi="Arial" w:cs="Arial"/>
          <w:b/>
          <w:bCs/>
          <w:sz w:val="24"/>
          <w:szCs w:val="24"/>
        </w:rPr>
      </w:pPr>
      <w:r w:rsidRPr="000042D0">
        <w:rPr>
          <w:rFonts w:ascii="Arial" w:hAnsi="Arial" w:cs="Arial"/>
          <w:b/>
          <w:bCs/>
          <w:sz w:val="24"/>
          <w:szCs w:val="24"/>
        </w:rPr>
        <w:lastRenderedPageBreak/>
        <w:t>(Source: Obtained from Excel)</w:t>
      </w:r>
    </w:p>
    <w:p w14:paraId="2D7B2D2A" w14:textId="147F0704" w:rsidR="00C1336E" w:rsidRPr="000042D0" w:rsidRDefault="005402DD" w:rsidP="009C725D">
      <w:pPr>
        <w:spacing w:before="240" w:line="360" w:lineRule="auto"/>
        <w:jc w:val="both"/>
        <w:rPr>
          <w:rFonts w:ascii="Arial" w:hAnsi="Arial" w:cs="Arial"/>
          <w:sz w:val="24"/>
          <w:szCs w:val="24"/>
        </w:rPr>
      </w:pPr>
      <w:r w:rsidRPr="000042D0">
        <w:rPr>
          <w:rFonts w:ascii="Arial" w:hAnsi="Arial" w:cs="Arial"/>
          <w:sz w:val="24"/>
          <w:szCs w:val="24"/>
        </w:rPr>
        <w:t>Investment ratios show that the performance of the shareholders in the review period was better. The net profit rose significantly and the number of outstanding shares decreased, leading to a significant increase in the Earnings Per Share (EPS) from 1.46 in 2021 to 6.19 in 2025. Hilton also left its dividend policy unaltered, paying out £0.60 per share in each of the next three years (2023-25) based on the management's confidence in future revenue and cash generation</w:t>
      </w:r>
      <w:r w:rsidR="00C1336E" w:rsidRPr="00C1336E">
        <w:rPr>
          <w:rFonts w:ascii="Arial" w:hAnsi="Arial" w:cs="Arial"/>
          <w:sz w:val="24"/>
          <w:szCs w:val="24"/>
        </w:rPr>
        <w:t>.</w:t>
      </w:r>
    </w:p>
    <w:p w14:paraId="40526828" w14:textId="32A946AD" w:rsidR="003D0DF0" w:rsidRPr="000042D0" w:rsidRDefault="003D0DF0" w:rsidP="003D0DF0">
      <w:pPr>
        <w:spacing w:before="240" w:line="360" w:lineRule="auto"/>
        <w:jc w:val="center"/>
        <w:rPr>
          <w:rFonts w:ascii="Arial" w:hAnsi="Arial" w:cs="Arial"/>
          <w:sz w:val="24"/>
          <w:szCs w:val="24"/>
        </w:rPr>
      </w:pPr>
      <w:r w:rsidRPr="000042D0">
        <w:rPr>
          <w:rFonts w:ascii="Arial" w:hAnsi="Arial" w:cs="Arial"/>
          <w:noProof/>
          <w:sz w:val="24"/>
          <w:szCs w:val="24"/>
          <w:lang w:val="en-IN" w:eastAsia="en-IN"/>
        </w:rPr>
        <w:drawing>
          <wp:inline distT="0" distB="0" distL="0" distR="0" wp14:anchorId="11868C81" wp14:editId="6A320F25">
            <wp:extent cx="5440680" cy="3567142"/>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47514" cy="3571622"/>
                    </a:xfrm>
                    <a:prstGeom prst="rect">
                      <a:avLst/>
                    </a:prstGeom>
                    <a:noFill/>
                  </pic:spPr>
                </pic:pic>
              </a:graphicData>
            </a:graphic>
          </wp:inline>
        </w:drawing>
      </w:r>
    </w:p>
    <w:p w14:paraId="18DAA837" w14:textId="5B380101" w:rsidR="00F023E4" w:rsidRPr="00C1336E" w:rsidRDefault="00F023E4" w:rsidP="00F023E4">
      <w:pPr>
        <w:spacing w:before="240" w:line="360" w:lineRule="auto"/>
        <w:jc w:val="center"/>
        <w:rPr>
          <w:rFonts w:ascii="Arial" w:hAnsi="Arial" w:cs="Arial"/>
          <w:b/>
          <w:bCs/>
          <w:sz w:val="24"/>
          <w:szCs w:val="24"/>
        </w:rPr>
      </w:pPr>
      <w:r w:rsidRPr="000042D0">
        <w:rPr>
          <w:rFonts w:ascii="Arial" w:hAnsi="Arial" w:cs="Arial"/>
          <w:b/>
          <w:bCs/>
          <w:sz w:val="24"/>
          <w:szCs w:val="24"/>
        </w:rPr>
        <w:t>(Source: Obtained from Excel)</w:t>
      </w:r>
    </w:p>
    <w:p w14:paraId="097290E0" w14:textId="629D9DA7" w:rsidR="00C1336E" w:rsidRPr="000042D0" w:rsidRDefault="005402DD" w:rsidP="009C725D">
      <w:pPr>
        <w:spacing w:before="240" w:line="360" w:lineRule="auto"/>
        <w:jc w:val="both"/>
        <w:rPr>
          <w:rFonts w:ascii="Arial" w:hAnsi="Arial" w:cs="Arial"/>
          <w:sz w:val="24"/>
          <w:szCs w:val="24"/>
        </w:rPr>
      </w:pPr>
      <w:r w:rsidRPr="000042D0">
        <w:rPr>
          <w:rFonts w:ascii="Arial" w:hAnsi="Arial" w:cs="Arial"/>
          <w:sz w:val="24"/>
          <w:szCs w:val="24"/>
        </w:rPr>
        <w:t xml:space="preserve">The Price-to-Earnings Ratio and Dividend Yield are shown negative because the financial data provided to the market was in negative prices. Thus, these ratios are not calculated but rather interpreted with the data provided (Nguyen et al. 2023). In general, Hilton Corporation has higher profitability and operational efficiency than the broader hotel and lodging industry, but lower liquidity and a high level of leverage than the broader hotel and lodging industry. The company's asset light business model allows for better returns at reduced capital expenditure. But bolstering liquidity, lowering the debt burden and </w:t>
      </w:r>
      <w:r w:rsidRPr="000042D0">
        <w:rPr>
          <w:rFonts w:ascii="Arial" w:hAnsi="Arial" w:cs="Arial"/>
          <w:sz w:val="24"/>
          <w:szCs w:val="24"/>
        </w:rPr>
        <w:lastRenderedPageBreak/>
        <w:t>streamlining the balance sheet are still key factors to help drive sustainable long-term growth and boost financial resilience as a whole</w:t>
      </w:r>
      <w:r w:rsidR="00C1336E" w:rsidRPr="00C1336E">
        <w:rPr>
          <w:rFonts w:ascii="Arial" w:hAnsi="Arial" w:cs="Arial"/>
          <w:sz w:val="24"/>
          <w:szCs w:val="24"/>
        </w:rPr>
        <w:t>.</w:t>
      </w:r>
    </w:p>
    <w:p w14:paraId="1431F570" w14:textId="0DD64726" w:rsidR="0032074A" w:rsidRPr="000042D0" w:rsidRDefault="001F13BF" w:rsidP="00D56E53">
      <w:pPr>
        <w:pStyle w:val="Heading1"/>
      </w:pPr>
      <w:bookmarkStart w:id="7" w:name="_Toc235622246"/>
      <w:r w:rsidRPr="000042D0">
        <w:t>2</w:t>
      </w:r>
      <w:r w:rsidR="00BA55DF" w:rsidRPr="000042D0">
        <w:t>. Working Capital Management Analysis</w:t>
      </w:r>
      <w:bookmarkEnd w:id="7"/>
    </w:p>
    <w:p w14:paraId="5BA1912B" w14:textId="3419AF94" w:rsidR="0032074A" w:rsidRPr="000042D0" w:rsidRDefault="001F13BF" w:rsidP="00D56E53">
      <w:pPr>
        <w:pStyle w:val="Heading2"/>
      </w:pPr>
      <w:bookmarkStart w:id="8" w:name="_Toc235622247"/>
      <w:r w:rsidRPr="000042D0">
        <w:t>2</w:t>
      </w:r>
      <w:r w:rsidR="0032074A" w:rsidRPr="000042D0">
        <w:t>.1 Cash Operating Cycle Assessment</w:t>
      </w:r>
      <w:bookmarkEnd w:id="8"/>
    </w:p>
    <w:p w14:paraId="5CD66A25" w14:textId="77777777" w:rsidR="003D214B" w:rsidRPr="000042D0" w:rsidRDefault="003D214B" w:rsidP="003D214B">
      <w:pPr>
        <w:spacing w:before="240" w:line="360" w:lineRule="auto"/>
        <w:jc w:val="both"/>
        <w:rPr>
          <w:rFonts w:ascii="Arial" w:hAnsi="Arial" w:cs="Arial"/>
          <w:sz w:val="24"/>
          <w:szCs w:val="24"/>
        </w:rPr>
      </w:pPr>
      <w:r w:rsidRPr="000042D0">
        <w:rPr>
          <w:rFonts w:ascii="Arial" w:hAnsi="Arial" w:cs="Arial"/>
          <w:sz w:val="24"/>
          <w:szCs w:val="24"/>
        </w:rPr>
        <w:t>Healthy working capital management is critical for ensuring the liquidity of the company, supporting its operational activities and resulting in sustainable growth in the hospitality business. Hilton Worldwide is a business that generates ongoing cash flows through room, food and beverage, franchise fees and management contracts. Hence the effective management of current assets and current liabilities is very important in maintaining financial flexibility and continuing to grow.</w:t>
      </w:r>
    </w:p>
    <w:p w14:paraId="28B30734" w14:textId="77777777" w:rsidR="003D214B" w:rsidRPr="000042D0" w:rsidRDefault="003D214B" w:rsidP="003D214B">
      <w:pPr>
        <w:spacing w:before="240" w:line="360" w:lineRule="auto"/>
        <w:jc w:val="both"/>
        <w:rPr>
          <w:rFonts w:ascii="Arial" w:hAnsi="Arial" w:cs="Arial"/>
          <w:sz w:val="24"/>
          <w:szCs w:val="24"/>
        </w:rPr>
      </w:pPr>
      <w:r w:rsidRPr="000042D0">
        <w:rPr>
          <w:rFonts w:ascii="Arial" w:hAnsi="Arial" w:cs="Arial"/>
          <w:sz w:val="24"/>
          <w:szCs w:val="24"/>
        </w:rPr>
        <w:t>The financial analysis shows that Hilton's liquidity position is gradually declining from 2021 to 2025. Current Ratio went down from 0.95 to 0.66 and Quick Ratio went down from 0.83 to 0.58, meaning that current liabilities were more than current assets throughout the period. From the foregoing trends, it is apparent that Hilton is an aggressive working capital policy as it is heavily financed by short-term debt (</w:t>
      </w:r>
      <w:proofErr w:type="spellStart"/>
      <w:r w:rsidRPr="000042D0">
        <w:rPr>
          <w:rFonts w:ascii="Arial" w:hAnsi="Arial" w:cs="Arial"/>
          <w:sz w:val="24"/>
          <w:szCs w:val="24"/>
        </w:rPr>
        <w:t>Ayodele</w:t>
      </w:r>
      <w:proofErr w:type="spellEnd"/>
      <w:r w:rsidRPr="000042D0">
        <w:rPr>
          <w:rFonts w:ascii="Arial" w:hAnsi="Arial" w:cs="Arial"/>
          <w:sz w:val="24"/>
          <w:szCs w:val="24"/>
        </w:rPr>
        <w:t>, 2022). While this can help boost profits due to fewer idle assets, it can lead to an increase in liquidity risk when economic uncertainty or lower travel demand exacerbates the situation.</w:t>
      </w:r>
    </w:p>
    <w:p w14:paraId="5C53238F" w14:textId="5036B2B2" w:rsidR="0032074A" w:rsidRPr="0032074A" w:rsidRDefault="003D214B" w:rsidP="003D214B">
      <w:pPr>
        <w:spacing w:before="240" w:line="360" w:lineRule="auto"/>
        <w:jc w:val="both"/>
        <w:rPr>
          <w:rFonts w:ascii="Arial" w:hAnsi="Arial" w:cs="Arial"/>
          <w:sz w:val="24"/>
          <w:szCs w:val="24"/>
        </w:rPr>
      </w:pPr>
      <w:r w:rsidRPr="000042D0">
        <w:rPr>
          <w:rFonts w:ascii="Arial" w:hAnsi="Arial" w:cs="Arial"/>
          <w:sz w:val="24"/>
          <w:szCs w:val="24"/>
        </w:rPr>
        <w:t>Yet Hilton's operational efficiency is very good, given these liquidity constraints. The Inventory Turnover has been very high as it approached 22 times throughout the period, which shows the good use of inventory and low holding costs (</w:t>
      </w:r>
      <w:proofErr w:type="spellStart"/>
      <w:r w:rsidRPr="000042D0">
        <w:rPr>
          <w:rFonts w:ascii="Arial" w:hAnsi="Arial" w:cs="Arial"/>
          <w:sz w:val="24"/>
          <w:szCs w:val="24"/>
        </w:rPr>
        <w:t>Jariah</w:t>
      </w:r>
      <w:proofErr w:type="spellEnd"/>
      <w:r w:rsidRPr="000042D0">
        <w:rPr>
          <w:rFonts w:ascii="Arial" w:hAnsi="Arial" w:cs="Arial"/>
          <w:sz w:val="24"/>
          <w:szCs w:val="24"/>
        </w:rPr>
        <w:t xml:space="preserve"> and </w:t>
      </w:r>
      <w:proofErr w:type="spellStart"/>
      <w:r w:rsidRPr="000042D0">
        <w:rPr>
          <w:rFonts w:ascii="Arial" w:hAnsi="Arial" w:cs="Arial"/>
          <w:sz w:val="24"/>
          <w:szCs w:val="24"/>
        </w:rPr>
        <w:t>Lukiana</w:t>
      </w:r>
      <w:proofErr w:type="spellEnd"/>
      <w:r w:rsidRPr="000042D0">
        <w:rPr>
          <w:rFonts w:ascii="Arial" w:hAnsi="Arial" w:cs="Arial"/>
          <w:sz w:val="24"/>
          <w:szCs w:val="24"/>
        </w:rPr>
        <w:t>, 2023). Likewise, Receivables Turnover was unchanged at approximately seven times per year, which means that the company is effectively collecting outstanding receivables, and cash inflows are stable. Moreover, Asset Turnover has increased from 0.37 in 2021 to 0.72 in 2025, indicating a more effective use of assets to generate sales. In total, Hilton's well-managed operations and ongoing cash generation partially counterbalance its relatively poor liquidity, which is due to the company's high debt-servicing obligations. Overall, the company's cash generation and well-managed operations offset its comparatively poor liquidity, which stems from its high debt-servicing obligations</w:t>
      </w:r>
      <w:r w:rsidR="0032074A" w:rsidRPr="0032074A">
        <w:rPr>
          <w:rFonts w:ascii="Arial" w:hAnsi="Arial" w:cs="Arial"/>
          <w:sz w:val="24"/>
          <w:szCs w:val="24"/>
        </w:rPr>
        <w:t>.</w:t>
      </w:r>
    </w:p>
    <w:p w14:paraId="7C880381" w14:textId="19E03700" w:rsidR="0032074A" w:rsidRPr="000042D0" w:rsidRDefault="001F13BF" w:rsidP="00D56E53">
      <w:pPr>
        <w:pStyle w:val="Heading2"/>
      </w:pPr>
      <w:bookmarkStart w:id="9" w:name="_Toc235622248"/>
      <w:r w:rsidRPr="000042D0">
        <w:lastRenderedPageBreak/>
        <w:t>2</w:t>
      </w:r>
      <w:r w:rsidR="0032074A" w:rsidRPr="000042D0">
        <w:t>.2 Working Capital Improvement Strategies</w:t>
      </w:r>
      <w:bookmarkEnd w:id="9"/>
    </w:p>
    <w:p w14:paraId="5BC23FF6" w14:textId="6803DD04" w:rsidR="003D214B" w:rsidRPr="000042D0" w:rsidRDefault="003D214B" w:rsidP="003D214B">
      <w:pPr>
        <w:spacing w:before="240" w:line="360" w:lineRule="auto"/>
        <w:jc w:val="both"/>
        <w:rPr>
          <w:rFonts w:ascii="Arial" w:hAnsi="Arial" w:cs="Arial"/>
          <w:sz w:val="24"/>
          <w:szCs w:val="24"/>
        </w:rPr>
      </w:pPr>
      <w:r w:rsidRPr="000042D0">
        <w:rPr>
          <w:rFonts w:ascii="Arial" w:hAnsi="Arial" w:cs="Arial"/>
          <w:sz w:val="24"/>
          <w:szCs w:val="24"/>
        </w:rPr>
        <w:t>While Hilton has been performing well operationally, there are a number of actions that may help to enhance working capital management and mitigate short-term financial risk. The deterioration of the liquidity ratios reveals the need to make the balance between current assets and current liabilities more favourable without impairing the operational efficiency.</w:t>
      </w:r>
    </w:p>
    <w:p w14:paraId="461CB09C" w14:textId="77777777" w:rsidR="003D214B" w:rsidRPr="000042D0" w:rsidRDefault="003D214B" w:rsidP="003D214B">
      <w:pPr>
        <w:spacing w:before="240" w:line="360" w:lineRule="auto"/>
        <w:jc w:val="both"/>
        <w:rPr>
          <w:rFonts w:ascii="Arial" w:hAnsi="Arial" w:cs="Arial"/>
          <w:sz w:val="24"/>
          <w:szCs w:val="24"/>
        </w:rPr>
      </w:pPr>
      <w:r w:rsidRPr="000042D0">
        <w:rPr>
          <w:rFonts w:ascii="Arial" w:hAnsi="Arial" w:cs="Arial"/>
          <w:sz w:val="24"/>
          <w:szCs w:val="24"/>
        </w:rPr>
        <w:t>A great priority should be putting in place a better receivables management system by increasing the use of digital payment solutions, automate invoicing and real-time tracking of corporate customer accounts. Although the collection is satisfactory at Hilton, a lesser number of collection periods would speed up cash flow and enhance short-term liquidity (</w:t>
      </w:r>
      <w:proofErr w:type="spellStart"/>
      <w:r w:rsidRPr="000042D0">
        <w:rPr>
          <w:rFonts w:ascii="Arial" w:hAnsi="Arial" w:cs="Arial"/>
          <w:sz w:val="24"/>
          <w:szCs w:val="24"/>
        </w:rPr>
        <w:t>Okeke</w:t>
      </w:r>
      <w:proofErr w:type="spellEnd"/>
      <w:r w:rsidRPr="000042D0">
        <w:rPr>
          <w:rFonts w:ascii="Arial" w:hAnsi="Arial" w:cs="Arial"/>
          <w:sz w:val="24"/>
          <w:szCs w:val="24"/>
        </w:rPr>
        <w:t xml:space="preserve"> et al. 2024). The use of AI systems in revenue management may take it even further by improving the credit assessment of customers and optimizing payment collection.</w:t>
      </w:r>
    </w:p>
    <w:p w14:paraId="55B02E42" w14:textId="77777777" w:rsidR="003D214B" w:rsidRPr="000042D0" w:rsidRDefault="003D214B" w:rsidP="003D214B">
      <w:pPr>
        <w:spacing w:before="240" w:line="360" w:lineRule="auto"/>
        <w:jc w:val="both"/>
        <w:rPr>
          <w:rFonts w:ascii="Arial" w:hAnsi="Arial" w:cs="Arial"/>
          <w:sz w:val="24"/>
          <w:szCs w:val="24"/>
        </w:rPr>
      </w:pPr>
      <w:r w:rsidRPr="000042D0">
        <w:rPr>
          <w:rFonts w:ascii="Arial" w:hAnsi="Arial" w:cs="Arial"/>
          <w:sz w:val="24"/>
          <w:szCs w:val="24"/>
        </w:rPr>
        <w:t>Predictive analytics and demand forecasting can also aid in inventory management. While inventory turnover is good, better forecasting would lower excess inventories, waste and procurement costs, such as in food and beverage businesses, where demand fluctuates depending on the number of guests (</w:t>
      </w:r>
      <w:proofErr w:type="spellStart"/>
      <w:r w:rsidRPr="000042D0">
        <w:rPr>
          <w:rFonts w:ascii="Arial" w:hAnsi="Arial" w:cs="Arial"/>
          <w:sz w:val="24"/>
          <w:szCs w:val="24"/>
        </w:rPr>
        <w:t>Puwanenthiren</w:t>
      </w:r>
      <w:proofErr w:type="spellEnd"/>
      <w:r w:rsidRPr="000042D0">
        <w:rPr>
          <w:rFonts w:ascii="Arial" w:hAnsi="Arial" w:cs="Arial"/>
          <w:sz w:val="24"/>
          <w:szCs w:val="24"/>
        </w:rPr>
        <w:t>, 2024).</w:t>
      </w:r>
    </w:p>
    <w:p w14:paraId="62EB6ECB" w14:textId="77777777" w:rsidR="003D214B" w:rsidRPr="000042D0" w:rsidRDefault="003D214B" w:rsidP="003D214B">
      <w:pPr>
        <w:spacing w:before="240" w:line="360" w:lineRule="auto"/>
        <w:jc w:val="both"/>
        <w:rPr>
          <w:rFonts w:ascii="Arial" w:hAnsi="Arial" w:cs="Arial"/>
          <w:sz w:val="24"/>
          <w:szCs w:val="24"/>
        </w:rPr>
      </w:pPr>
      <w:r w:rsidRPr="000042D0">
        <w:rPr>
          <w:rFonts w:ascii="Arial" w:hAnsi="Arial" w:cs="Arial"/>
          <w:sz w:val="24"/>
          <w:szCs w:val="24"/>
        </w:rPr>
        <w:t>Hilton should also discuss with suppliers the terms and conditions of payment to delay payment terms without compromising supplier relationships. This would enable the company to keep the cash on its balance sheet for longer and enhance liquidity without disrupting the company's activities (</w:t>
      </w:r>
      <w:proofErr w:type="spellStart"/>
      <w:r w:rsidRPr="000042D0">
        <w:rPr>
          <w:rFonts w:ascii="Arial" w:hAnsi="Arial" w:cs="Arial"/>
          <w:sz w:val="24"/>
          <w:szCs w:val="24"/>
        </w:rPr>
        <w:t>Fridson</w:t>
      </w:r>
      <w:proofErr w:type="spellEnd"/>
      <w:r w:rsidRPr="000042D0">
        <w:rPr>
          <w:rFonts w:ascii="Arial" w:hAnsi="Arial" w:cs="Arial"/>
          <w:sz w:val="24"/>
          <w:szCs w:val="24"/>
        </w:rPr>
        <w:t xml:space="preserve"> and Alvarez, 2022). Also, better management of discretionary spending and maintenance would eliminate wasted cash flows.</w:t>
      </w:r>
    </w:p>
    <w:p w14:paraId="5221F552" w14:textId="5CB4556B" w:rsidR="0032074A" w:rsidRPr="0032074A" w:rsidRDefault="003D214B" w:rsidP="003D214B">
      <w:pPr>
        <w:spacing w:before="240" w:line="360" w:lineRule="auto"/>
        <w:jc w:val="both"/>
        <w:rPr>
          <w:rFonts w:ascii="Arial" w:hAnsi="Arial" w:cs="Arial"/>
          <w:sz w:val="24"/>
          <w:szCs w:val="24"/>
        </w:rPr>
      </w:pPr>
      <w:r w:rsidRPr="000042D0">
        <w:rPr>
          <w:rFonts w:ascii="Arial" w:hAnsi="Arial" w:cs="Arial"/>
          <w:sz w:val="24"/>
          <w:szCs w:val="24"/>
        </w:rPr>
        <w:t>It is also essential to have adequate cash surpluses to shield the business from economic uncertainty and geopolitical risks, as well as from changes in demand for the tourism product. All of these would help to bolster working capital efficiency, bolster liquidity, and enhance Hilton's long-term financial resiliency</w:t>
      </w:r>
      <w:r w:rsidR="0032074A" w:rsidRPr="0032074A">
        <w:rPr>
          <w:rFonts w:ascii="Arial" w:hAnsi="Arial" w:cs="Arial"/>
          <w:sz w:val="24"/>
          <w:szCs w:val="24"/>
        </w:rPr>
        <w:t>.</w:t>
      </w:r>
    </w:p>
    <w:p w14:paraId="7BCD2B12" w14:textId="35084394" w:rsidR="0032074A" w:rsidRPr="000042D0" w:rsidRDefault="001F13BF" w:rsidP="00D56E53">
      <w:pPr>
        <w:pStyle w:val="Heading2"/>
      </w:pPr>
      <w:bookmarkStart w:id="10" w:name="_Toc235622249"/>
      <w:r w:rsidRPr="000042D0">
        <w:lastRenderedPageBreak/>
        <w:t>2</w:t>
      </w:r>
      <w:r w:rsidR="0032074A" w:rsidRPr="000042D0">
        <w:t>.3 Financing Alternatives</w:t>
      </w:r>
      <w:bookmarkEnd w:id="10"/>
    </w:p>
    <w:p w14:paraId="7B3A0E8E" w14:textId="6EE146D8" w:rsidR="00224E72" w:rsidRPr="000042D0" w:rsidRDefault="00224E72" w:rsidP="00224E72">
      <w:pPr>
        <w:spacing w:before="240" w:line="360" w:lineRule="auto"/>
        <w:jc w:val="both"/>
        <w:rPr>
          <w:rFonts w:ascii="Arial" w:hAnsi="Arial" w:cs="Arial"/>
          <w:sz w:val="24"/>
          <w:szCs w:val="24"/>
        </w:rPr>
      </w:pPr>
      <w:r w:rsidRPr="000042D0">
        <w:rPr>
          <w:rFonts w:ascii="Arial" w:hAnsi="Arial" w:cs="Arial"/>
          <w:sz w:val="24"/>
          <w:szCs w:val="24"/>
        </w:rPr>
        <w:t>Finding a financing option that meets the company's liquidity needs, investment opportunities and financial risk is crucial to balance. However, Hilton's financial dependence on debt financing is high with the ratio of debt to equity showing a rising trend and the liquidity ratios are rather low. So, future financing decisions have to strike a balance between short- and long-term flexibility and financial stability.</w:t>
      </w:r>
    </w:p>
    <w:p w14:paraId="7D4D5518" w14:textId="77777777" w:rsidR="00224E72" w:rsidRPr="000042D0" w:rsidRDefault="00224E72" w:rsidP="00224E72">
      <w:pPr>
        <w:spacing w:before="240" w:line="360" w:lineRule="auto"/>
        <w:jc w:val="both"/>
        <w:rPr>
          <w:rFonts w:ascii="Arial" w:hAnsi="Arial" w:cs="Arial"/>
          <w:sz w:val="24"/>
          <w:szCs w:val="24"/>
        </w:rPr>
      </w:pPr>
      <w:r w:rsidRPr="000042D0">
        <w:rPr>
          <w:rFonts w:ascii="Arial" w:hAnsi="Arial" w:cs="Arial"/>
          <w:sz w:val="24"/>
          <w:szCs w:val="24"/>
        </w:rPr>
        <w:t>Short-term financing sources such as revolving credit facilities, commercial paper and bank overdrafts are flexible sources of working capital which would help Hilton to adjust to the peaks and troughs in cash flow as these occur. (Schroeder et al. 2022) But it can become a risky situation when people become too reliant on short-term borrowing and risk refinancing if interest rates rise.</w:t>
      </w:r>
    </w:p>
    <w:p w14:paraId="08E59CDF" w14:textId="0C2B49E8" w:rsidR="00BA55DF" w:rsidRPr="00BA55DF" w:rsidRDefault="00224E72" w:rsidP="00224E72">
      <w:pPr>
        <w:spacing w:before="240" w:line="360" w:lineRule="auto"/>
        <w:jc w:val="both"/>
        <w:rPr>
          <w:rFonts w:ascii="Arial" w:hAnsi="Arial" w:cs="Arial"/>
          <w:sz w:val="24"/>
          <w:szCs w:val="24"/>
        </w:rPr>
      </w:pPr>
      <w:r w:rsidRPr="000042D0">
        <w:rPr>
          <w:rFonts w:ascii="Arial" w:hAnsi="Arial" w:cs="Arial"/>
          <w:sz w:val="24"/>
          <w:szCs w:val="24"/>
        </w:rPr>
        <w:t>Long-term financing via corporate bonds, long-term loans, or selective equity financing offers financial stability as it makes payments more spread out over the long term and facilitates strategic funding decisions like international expansion or technology development (Habib, 2022). The best financing plan for Hilton would be a balanced plan, given its financial situation. The current working capital requirements should continue to be met from the current cash generation and short-term credit facilities, and long-term investments should be primarily funded from long-term financing sources to bolster financial strength and sustainable creation of shareholder value</w:t>
      </w:r>
      <w:r w:rsidR="0032074A" w:rsidRPr="0032074A">
        <w:rPr>
          <w:rFonts w:ascii="Arial" w:hAnsi="Arial" w:cs="Arial"/>
          <w:sz w:val="24"/>
          <w:szCs w:val="24"/>
        </w:rPr>
        <w:t>.</w:t>
      </w:r>
    </w:p>
    <w:p w14:paraId="2E527F5B" w14:textId="61FE0772" w:rsidR="00887B98" w:rsidRPr="000042D0" w:rsidRDefault="001F13BF" w:rsidP="00D56E53">
      <w:pPr>
        <w:pStyle w:val="Heading1"/>
      </w:pPr>
      <w:bookmarkStart w:id="11" w:name="_Toc235622250"/>
      <w:r w:rsidRPr="000042D0">
        <w:t>3</w:t>
      </w:r>
      <w:r w:rsidR="00887B98" w:rsidRPr="000042D0">
        <w:t>. Strategic Financial Restructuring Plan</w:t>
      </w:r>
      <w:bookmarkEnd w:id="11"/>
    </w:p>
    <w:p w14:paraId="7856DF18" w14:textId="1FC62AF8" w:rsidR="00BD62F5" w:rsidRPr="000042D0" w:rsidRDefault="001F13BF" w:rsidP="00D56E53">
      <w:pPr>
        <w:pStyle w:val="Heading2"/>
      </w:pPr>
      <w:bookmarkStart w:id="12" w:name="_Toc235622251"/>
      <w:r w:rsidRPr="000042D0">
        <w:t>3</w:t>
      </w:r>
      <w:r w:rsidR="00BD62F5" w:rsidRPr="000042D0">
        <w:t>.1 Restructuring Recommendations</w:t>
      </w:r>
      <w:bookmarkEnd w:id="12"/>
    </w:p>
    <w:p w14:paraId="639308CE" w14:textId="77777777" w:rsidR="00224E72" w:rsidRPr="000042D0" w:rsidRDefault="00224E72" w:rsidP="00224E72">
      <w:pPr>
        <w:spacing w:before="240" w:line="360" w:lineRule="auto"/>
        <w:jc w:val="both"/>
        <w:rPr>
          <w:rFonts w:ascii="Arial" w:hAnsi="Arial" w:cs="Arial"/>
          <w:sz w:val="24"/>
          <w:szCs w:val="24"/>
        </w:rPr>
      </w:pPr>
      <w:r w:rsidRPr="000042D0">
        <w:rPr>
          <w:rFonts w:ascii="Arial" w:hAnsi="Arial" w:cs="Arial"/>
          <w:sz w:val="24"/>
          <w:szCs w:val="24"/>
        </w:rPr>
        <w:t>Overall, Hilton Worldwide has enhanced its profitability and operational efficiency in the last five years. The financial analysis does not, however, reveal any consistent problems with liquidity, capital structure etc. which would need to be addressed by strategic measures to ensure long-term financial sustainability. Therefore, Hilton needs to give attention to a financial restructuring program that enhances the liquidity, optimises debt levels, and increases financial flexibility for Hilton without compromising shareholder value.</w:t>
      </w:r>
    </w:p>
    <w:p w14:paraId="1AC5A938" w14:textId="5250EBF5" w:rsidR="00224E72" w:rsidRPr="000042D0" w:rsidRDefault="00224E72" w:rsidP="00224E72">
      <w:pPr>
        <w:spacing w:before="240" w:line="360" w:lineRule="auto"/>
        <w:jc w:val="both"/>
        <w:rPr>
          <w:rFonts w:ascii="Arial" w:hAnsi="Arial" w:cs="Arial"/>
          <w:sz w:val="24"/>
          <w:szCs w:val="24"/>
        </w:rPr>
      </w:pPr>
      <w:r w:rsidRPr="000042D0">
        <w:rPr>
          <w:rFonts w:ascii="Arial" w:hAnsi="Arial" w:cs="Arial"/>
          <w:sz w:val="24"/>
          <w:szCs w:val="24"/>
        </w:rPr>
        <w:lastRenderedPageBreak/>
        <w:t xml:space="preserve">One of the main objectives should be the progressive reduction of financial leverage by selectively repayment or refinancing of </w:t>
      </w:r>
      <w:r w:rsidR="002B0F7C" w:rsidRPr="000042D0">
        <w:rPr>
          <w:rFonts w:ascii="Arial" w:hAnsi="Arial" w:cs="Arial"/>
          <w:sz w:val="24"/>
          <w:szCs w:val="24"/>
        </w:rPr>
        <w:t>high-cost</w:t>
      </w:r>
      <w:r w:rsidRPr="000042D0">
        <w:rPr>
          <w:rFonts w:ascii="Arial" w:hAnsi="Arial" w:cs="Arial"/>
          <w:sz w:val="24"/>
          <w:szCs w:val="24"/>
        </w:rPr>
        <w:t xml:space="preserve"> debt. There was ongoing dependence on external funding with total debt rising from £9,636m in 2021 to £13,093m in 2025. The benefit of refinancing high interest rate loans with lower cost and longer maturity loans would be to have a lower interest cost per annum, higher cash flows and lower refinancing risk if interest rates were to rise.</w:t>
      </w:r>
    </w:p>
    <w:p w14:paraId="2BF98FC7" w14:textId="77777777" w:rsidR="00224E72" w:rsidRPr="000042D0" w:rsidRDefault="00224E72" w:rsidP="00224E72">
      <w:pPr>
        <w:spacing w:before="240" w:line="360" w:lineRule="auto"/>
        <w:jc w:val="both"/>
        <w:rPr>
          <w:rFonts w:ascii="Arial" w:hAnsi="Arial" w:cs="Arial"/>
          <w:sz w:val="24"/>
          <w:szCs w:val="24"/>
        </w:rPr>
      </w:pPr>
      <w:r w:rsidRPr="000042D0">
        <w:rPr>
          <w:rFonts w:ascii="Arial" w:hAnsi="Arial" w:cs="Arial"/>
          <w:sz w:val="24"/>
          <w:szCs w:val="24"/>
        </w:rPr>
        <w:t>Hilton is also in need of more equity since it needs to realize more of its annual profits. The negative shareholders' equity during the review period was attributed to the significant amount of share repurchases and distributions to shareholders (Ahmad et al. 2022). These measures have improved the Earnings Per Share and would be expected to have an increasing effect on retained earnings, balance sheet and the negative effect on the gearing ratios over time if the buyback programmes were moderated.</w:t>
      </w:r>
    </w:p>
    <w:p w14:paraId="200D953E" w14:textId="77777777" w:rsidR="00224E72" w:rsidRPr="000042D0" w:rsidRDefault="00224E72" w:rsidP="00224E72">
      <w:pPr>
        <w:spacing w:before="240" w:line="360" w:lineRule="auto"/>
        <w:jc w:val="both"/>
        <w:rPr>
          <w:rFonts w:ascii="Arial" w:hAnsi="Arial" w:cs="Arial"/>
          <w:sz w:val="24"/>
          <w:szCs w:val="24"/>
        </w:rPr>
      </w:pPr>
      <w:r w:rsidRPr="000042D0">
        <w:rPr>
          <w:rFonts w:ascii="Arial" w:hAnsi="Arial" w:cs="Arial"/>
          <w:sz w:val="24"/>
          <w:szCs w:val="24"/>
        </w:rPr>
        <w:t>The company needs to further strengthen its asset-light business model, boost management contracts and franchise agreements, and not make a significant investment in owned assets (</w:t>
      </w:r>
      <w:proofErr w:type="spellStart"/>
      <w:r w:rsidRPr="000042D0">
        <w:rPr>
          <w:rFonts w:ascii="Arial" w:hAnsi="Arial" w:cs="Arial"/>
          <w:sz w:val="24"/>
          <w:szCs w:val="24"/>
        </w:rPr>
        <w:t>Rodeiro</w:t>
      </w:r>
      <w:r w:rsidRPr="000042D0">
        <w:rPr>
          <w:rFonts w:ascii="Cambria Math" w:hAnsi="Cambria Math" w:cs="Cambria Math"/>
          <w:sz w:val="24"/>
          <w:szCs w:val="24"/>
        </w:rPr>
        <w:t>‐</w:t>
      </w:r>
      <w:r w:rsidRPr="000042D0">
        <w:rPr>
          <w:rFonts w:ascii="Arial" w:hAnsi="Arial" w:cs="Arial"/>
          <w:sz w:val="24"/>
          <w:szCs w:val="24"/>
        </w:rPr>
        <w:t>Pazos</w:t>
      </w:r>
      <w:proofErr w:type="spellEnd"/>
      <w:r w:rsidRPr="000042D0">
        <w:rPr>
          <w:rFonts w:ascii="Arial" w:hAnsi="Arial" w:cs="Arial"/>
          <w:sz w:val="24"/>
          <w:szCs w:val="24"/>
        </w:rPr>
        <w:t xml:space="preserve"> et al. 2023). The plan allows Hilton to make revenue from the fees that come with the recurring business it brings in, expand its business overseas with minimal capital expenditure, and increase its returns on capital employed.</w:t>
      </w:r>
    </w:p>
    <w:p w14:paraId="38FB0DF3" w14:textId="00CADAC1" w:rsidR="00BD62F5" w:rsidRPr="00BD62F5" w:rsidRDefault="00224E72" w:rsidP="00224E72">
      <w:pPr>
        <w:spacing w:before="240" w:line="360" w:lineRule="auto"/>
        <w:jc w:val="both"/>
        <w:rPr>
          <w:rFonts w:ascii="Arial" w:hAnsi="Arial" w:cs="Arial"/>
          <w:sz w:val="24"/>
          <w:szCs w:val="24"/>
        </w:rPr>
      </w:pPr>
      <w:r w:rsidRPr="000042D0">
        <w:rPr>
          <w:rFonts w:ascii="Arial" w:hAnsi="Arial" w:cs="Arial"/>
          <w:sz w:val="24"/>
          <w:szCs w:val="24"/>
        </w:rPr>
        <w:t>Lastly, ongoing digital technology investments such as the development of artificial intelligence, cloud-based property management systems and revenue optimisation software would facilitate sustainable long-term financial performance, by increasing operational efficiency, administrative cost reductions, and customer experiences</w:t>
      </w:r>
      <w:r w:rsidR="00BD62F5" w:rsidRPr="00BD62F5">
        <w:rPr>
          <w:rFonts w:ascii="Arial" w:hAnsi="Arial" w:cs="Arial"/>
          <w:sz w:val="24"/>
          <w:szCs w:val="24"/>
        </w:rPr>
        <w:t>.</w:t>
      </w:r>
    </w:p>
    <w:p w14:paraId="1252F0FB" w14:textId="7DA8FC07" w:rsidR="00BD62F5" w:rsidRPr="000042D0" w:rsidRDefault="001F13BF" w:rsidP="00D56E53">
      <w:pPr>
        <w:pStyle w:val="Heading2"/>
      </w:pPr>
      <w:bookmarkStart w:id="13" w:name="_Toc235622252"/>
      <w:r w:rsidRPr="000042D0">
        <w:t>3</w:t>
      </w:r>
      <w:r w:rsidR="00BD62F5" w:rsidRPr="000042D0">
        <w:t>.2 Impact Assessment and Global Considerations</w:t>
      </w:r>
      <w:bookmarkEnd w:id="13"/>
    </w:p>
    <w:p w14:paraId="3E81A8FA" w14:textId="77777777" w:rsidR="00224E72" w:rsidRPr="000042D0" w:rsidRDefault="00224E72" w:rsidP="00224E72">
      <w:pPr>
        <w:spacing w:before="240" w:line="360" w:lineRule="auto"/>
        <w:jc w:val="both"/>
        <w:rPr>
          <w:rFonts w:ascii="Arial" w:hAnsi="Arial" w:cs="Arial"/>
          <w:sz w:val="24"/>
          <w:szCs w:val="24"/>
        </w:rPr>
      </w:pPr>
      <w:r w:rsidRPr="000042D0">
        <w:rPr>
          <w:rFonts w:ascii="Arial" w:hAnsi="Arial" w:cs="Arial"/>
          <w:sz w:val="24"/>
          <w:szCs w:val="24"/>
        </w:rPr>
        <w:t>The plans to restructure would enhance Hilton's financial results, efficiency and long-term competitive position. This would help to minimize the need for expensive financing, as well as to generate cash, and reduce financial risk due to an over leveraged capital structure. The better handling of debt would also help to build investors' confidence in the firm's financial practices, as it would indicate that the company is more balanced and sustainable in the way it finances itself.</w:t>
      </w:r>
    </w:p>
    <w:p w14:paraId="0F3C65C6" w14:textId="77777777" w:rsidR="00224E72" w:rsidRPr="000042D0" w:rsidRDefault="00224E72" w:rsidP="00224E72">
      <w:pPr>
        <w:spacing w:before="240" w:line="360" w:lineRule="auto"/>
        <w:jc w:val="both"/>
        <w:rPr>
          <w:rFonts w:ascii="Arial" w:hAnsi="Arial" w:cs="Arial"/>
          <w:sz w:val="24"/>
          <w:szCs w:val="24"/>
        </w:rPr>
      </w:pPr>
      <w:r w:rsidRPr="000042D0">
        <w:rPr>
          <w:rFonts w:ascii="Arial" w:hAnsi="Arial" w:cs="Arial"/>
          <w:sz w:val="24"/>
          <w:szCs w:val="24"/>
        </w:rPr>
        <w:lastRenderedPageBreak/>
        <w:t>By retaining more of the company's earnings within the shareholders' equity, Hilton's balance sheet would get healthier over time, and the negative debt to equity ratio noted in the financial analysis would get better. Better equity base would strengthen the borrowing power, better withstand the economic crisis and offer more flexibility to fund future strategic investments (</w:t>
      </w:r>
      <w:proofErr w:type="spellStart"/>
      <w:r w:rsidRPr="000042D0">
        <w:rPr>
          <w:rFonts w:ascii="Arial" w:hAnsi="Arial" w:cs="Arial"/>
          <w:sz w:val="24"/>
          <w:szCs w:val="24"/>
        </w:rPr>
        <w:t>Kristiana</w:t>
      </w:r>
      <w:proofErr w:type="spellEnd"/>
      <w:r w:rsidRPr="000042D0">
        <w:rPr>
          <w:rFonts w:ascii="Arial" w:hAnsi="Arial" w:cs="Arial"/>
          <w:sz w:val="24"/>
          <w:szCs w:val="24"/>
        </w:rPr>
        <w:t xml:space="preserve"> and </w:t>
      </w:r>
      <w:proofErr w:type="spellStart"/>
      <w:r w:rsidRPr="000042D0">
        <w:rPr>
          <w:rFonts w:ascii="Arial" w:hAnsi="Arial" w:cs="Arial"/>
          <w:sz w:val="24"/>
          <w:szCs w:val="24"/>
        </w:rPr>
        <w:t>Karnasi</w:t>
      </w:r>
      <w:proofErr w:type="spellEnd"/>
      <w:r w:rsidRPr="000042D0">
        <w:rPr>
          <w:rFonts w:ascii="Arial" w:hAnsi="Arial" w:cs="Arial"/>
          <w:sz w:val="24"/>
          <w:szCs w:val="24"/>
        </w:rPr>
        <w:t>, 2023). A decrease in share buybacks can help calm the distribution of earnings to shareholders in the short term, but can provide greater value to shareholders if it leads to increased financial stability in the long term with continued earnings growth and reduced financing costs.</w:t>
      </w:r>
    </w:p>
    <w:p w14:paraId="1B192670" w14:textId="77777777" w:rsidR="00224E72" w:rsidRPr="000042D0" w:rsidRDefault="00224E72" w:rsidP="00224E72">
      <w:pPr>
        <w:spacing w:before="240" w:line="360" w:lineRule="auto"/>
        <w:jc w:val="both"/>
        <w:rPr>
          <w:rFonts w:ascii="Arial" w:hAnsi="Arial" w:cs="Arial"/>
          <w:sz w:val="24"/>
          <w:szCs w:val="24"/>
        </w:rPr>
      </w:pPr>
      <w:r w:rsidRPr="000042D0">
        <w:rPr>
          <w:rFonts w:ascii="Arial" w:hAnsi="Arial" w:cs="Arial"/>
          <w:sz w:val="24"/>
          <w:szCs w:val="24"/>
        </w:rPr>
        <w:t>Continued expansion via management contracts and franchise arrangements will continue to attract, in particular, international expansion opportunities without significant investment in hotel ownership (</w:t>
      </w:r>
      <w:proofErr w:type="spellStart"/>
      <w:r w:rsidRPr="000042D0">
        <w:rPr>
          <w:rFonts w:ascii="Arial" w:hAnsi="Arial" w:cs="Arial"/>
          <w:sz w:val="24"/>
          <w:szCs w:val="24"/>
        </w:rPr>
        <w:t>Nunden</w:t>
      </w:r>
      <w:proofErr w:type="spellEnd"/>
      <w:r w:rsidRPr="000042D0">
        <w:rPr>
          <w:rFonts w:ascii="Arial" w:hAnsi="Arial" w:cs="Arial"/>
          <w:sz w:val="24"/>
          <w:szCs w:val="24"/>
        </w:rPr>
        <w:t xml:space="preserve"> et al. 2022). Benefits include boosting Hilton's recurring management and franchise fee revenues, bolstering profitability, diversifying Hilton's geographic revenue mix and lessening reliance on any one market and greater economic resilience to regional economic shifts.</w:t>
      </w:r>
    </w:p>
    <w:p w14:paraId="2EE4516F" w14:textId="77777777" w:rsidR="00224E72" w:rsidRPr="000042D0" w:rsidRDefault="00224E72" w:rsidP="00224E72">
      <w:pPr>
        <w:spacing w:before="240" w:line="360" w:lineRule="auto"/>
        <w:jc w:val="both"/>
        <w:rPr>
          <w:rFonts w:ascii="Arial" w:hAnsi="Arial" w:cs="Arial"/>
          <w:sz w:val="24"/>
          <w:szCs w:val="24"/>
        </w:rPr>
      </w:pPr>
      <w:r w:rsidRPr="000042D0">
        <w:rPr>
          <w:rFonts w:ascii="Arial" w:hAnsi="Arial" w:cs="Arial"/>
          <w:sz w:val="24"/>
          <w:szCs w:val="24"/>
        </w:rPr>
        <w:t>There are also a few factors outside of the company that must be taken into account when handling the restructuring strategy. Interest rates are on the rise globally which means that the cost of borrowing is on the rise, and inflation remains a strain on labour cost, utility cost and operating cost for the hospitality industry. Further, exchange rates can impact the worth of foreign wages obtained from various overseas economies (Lefebvre, 2022). The risks highlight the need for financial resiliency and flexibility.</w:t>
      </w:r>
    </w:p>
    <w:p w14:paraId="0814D264" w14:textId="77777777" w:rsidR="00224E72" w:rsidRPr="000042D0" w:rsidRDefault="00224E72" w:rsidP="00224E72">
      <w:pPr>
        <w:spacing w:before="240" w:line="360" w:lineRule="auto"/>
        <w:jc w:val="both"/>
        <w:rPr>
          <w:rFonts w:ascii="Arial" w:hAnsi="Arial" w:cs="Arial"/>
          <w:sz w:val="24"/>
          <w:szCs w:val="24"/>
        </w:rPr>
      </w:pPr>
      <w:r w:rsidRPr="000042D0">
        <w:rPr>
          <w:rFonts w:ascii="Arial" w:hAnsi="Arial" w:cs="Arial"/>
          <w:sz w:val="24"/>
          <w:szCs w:val="24"/>
        </w:rPr>
        <w:t>Environmental, social and governance (ESG) programs are a long-term focus that should be carried forward by Hilton. The investment in energy efficient buildings, carbon reduction programmes, waste management and responsible sourcing can help enhance corporate reputation, lower operating costs, and access sustainable financing opportunities (</w:t>
      </w:r>
      <w:proofErr w:type="spellStart"/>
      <w:r w:rsidRPr="000042D0">
        <w:rPr>
          <w:rFonts w:ascii="Arial" w:hAnsi="Arial" w:cs="Arial"/>
          <w:sz w:val="24"/>
          <w:szCs w:val="24"/>
        </w:rPr>
        <w:t>Aniebonam</w:t>
      </w:r>
      <w:proofErr w:type="spellEnd"/>
      <w:r w:rsidRPr="000042D0">
        <w:rPr>
          <w:rFonts w:ascii="Arial" w:hAnsi="Arial" w:cs="Arial"/>
          <w:sz w:val="24"/>
          <w:szCs w:val="24"/>
        </w:rPr>
        <w:t>, 2024). Similarly, continued investment in artificial intelligence, data analytics, and digital customer engagement platforms will help Hilton further improve the guests' experiences, make the best price decisions, and optimise operations.</w:t>
      </w:r>
    </w:p>
    <w:p w14:paraId="77F47C9A" w14:textId="6E76CFCF" w:rsidR="00887B98" w:rsidRPr="00887B98" w:rsidRDefault="00224E72" w:rsidP="00224E72">
      <w:pPr>
        <w:spacing w:before="240" w:line="360" w:lineRule="auto"/>
        <w:jc w:val="both"/>
        <w:rPr>
          <w:rFonts w:ascii="Arial" w:hAnsi="Arial" w:cs="Arial"/>
          <w:sz w:val="24"/>
          <w:szCs w:val="24"/>
        </w:rPr>
      </w:pPr>
      <w:r w:rsidRPr="000042D0">
        <w:rPr>
          <w:rFonts w:ascii="Arial" w:hAnsi="Arial" w:cs="Arial"/>
          <w:sz w:val="24"/>
          <w:szCs w:val="24"/>
        </w:rPr>
        <w:t xml:space="preserve">The overall restructuring plan would increase Hilton's liquidity, optimise its capital structure, increase financial flexibility and support sustainable growth and expansion in </w:t>
      </w:r>
      <w:r w:rsidRPr="000042D0">
        <w:rPr>
          <w:rFonts w:ascii="Arial" w:hAnsi="Arial" w:cs="Arial"/>
          <w:sz w:val="24"/>
          <w:szCs w:val="24"/>
        </w:rPr>
        <w:lastRenderedPageBreak/>
        <w:t>other countries, giving the company a solid base for further long-term growth and shareholder value</w:t>
      </w:r>
      <w:r w:rsidR="00BD62F5" w:rsidRPr="00BD62F5">
        <w:rPr>
          <w:rFonts w:ascii="Arial" w:hAnsi="Arial" w:cs="Arial"/>
          <w:sz w:val="24"/>
          <w:szCs w:val="24"/>
        </w:rPr>
        <w:t>.</w:t>
      </w:r>
    </w:p>
    <w:p w14:paraId="52491708" w14:textId="7538A3F5" w:rsidR="00BD4CD3" w:rsidRPr="000042D0" w:rsidRDefault="001F13BF" w:rsidP="00D56E53">
      <w:pPr>
        <w:pStyle w:val="Heading1"/>
      </w:pPr>
      <w:bookmarkStart w:id="14" w:name="_Toc235622253"/>
      <w:r w:rsidRPr="000042D0">
        <w:t>4</w:t>
      </w:r>
      <w:r w:rsidR="00BD4CD3" w:rsidRPr="000042D0">
        <w:t>. Investment Appraisal and Capital Budgeting</w:t>
      </w:r>
      <w:bookmarkEnd w:id="14"/>
    </w:p>
    <w:p w14:paraId="4CC43DFF" w14:textId="5362617B" w:rsidR="00656AE1" w:rsidRPr="000042D0" w:rsidRDefault="001F13BF" w:rsidP="00D56E53">
      <w:pPr>
        <w:pStyle w:val="Heading2"/>
      </w:pPr>
      <w:bookmarkStart w:id="15" w:name="_Toc235622254"/>
      <w:r w:rsidRPr="000042D0">
        <w:t>4</w:t>
      </w:r>
      <w:r w:rsidR="00656AE1" w:rsidRPr="000042D0">
        <w:t>.1 Investment Appraisal</w:t>
      </w:r>
      <w:bookmarkEnd w:id="15"/>
    </w:p>
    <w:p w14:paraId="1F8B49D0" w14:textId="3CF37058" w:rsidR="00656AE1" w:rsidRPr="000042D0" w:rsidRDefault="00224E72" w:rsidP="009C725D">
      <w:pPr>
        <w:spacing w:before="240" w:line="360" w:lineRule="auto"/>
        <w:jc w:val="both"/>
        <w:rPr>
          <w:rFonts w:ascii="Arial" w:hAnsi="Arial" w:cs="Arial"/>
          <w:sz w:val="24"/>
          <w:szCs w:val="24"/>
        </w:rPr>
      </w:pPr>
      <w:r w:rsidRPr="000042D0">
        <w:rPr>
          <w:rFonts w:ascii="Arial" w:hAnsi="Arial" w:cs="Arial"/>
          <w:sz w:val="24"/>
          <w:szCs w:val="24"/>
        </w:rPr>
        <w:t>Generally, capital budgeting is a key component of a strategic financial management, which allows organizations to analyse investment opportunities and fund projects that create shareholder value. Hilton Worldwide is a global hospitality firm tasked with making sure investments have a return in excess of the cost of capital to boost long-term growth and competitiveness (Grundy et al. 2022). This investment appraisal is based on four of the most common methods of investment appraisal: Net Present Value (NPV), Internal Rate of Return (IRR), Profitability Index (PI) and Accounting Rate of Return (ARR), which are all considered mutually exclusive projects. An 8% discount rate is used for all projects, which is Hilton's required rate of return</w:t>
      </w:r>
      <w:r w:rsidR="00656AE1" w:rsidRPr="00656AE1">
        <w:rPr>
          <w:rFonts w:ascii="Arial" w:hAnsi="Arial" w:cs="Arial"/>
          <w:sz w:val="24"/>
          <w:szCs w:val="24"/>
        </w:rPr>
        <w:t>.</w:t>
      </w:r>
    </w:p>
    <w:p w14:paraId="33DFEB6C" w14:textId="62A5CB11" w:rsidR="003D0DF0" w:rsidRPr="000042D0" w:rsidRDefault="00766BBB" w:rsidP="00766BBB">
      <w:pPr>
        <w:spacing w:before="240" w:line="360" w:lineRule="auto"/>
        <w:jc w:val="center"/>
        <w:rPr>
          <w:rFonts w:ascii="Arial" w:hAnsi="Arial" w:cs="Arial"/>
          <w:sz w:val="24"/>
          <w:szCs w:val="24"/>
        </w:rPr>
      </w:pPr>
      <w:r w:rsidRPr="000042D0">
        <w:rPr>
          <w:noProof/>
          <w:lang w:val="en-IN" w:eastAsia="en-IN"/>
        </w:rPr>
        <w:drawing>
          <wp:inline distT="0" distB="0" distL="0" distR="0" wp14:anchorId="397760E3" wp14:editId="2A2101E8">
            <wp:extent cx="5943600" cy="3319145"/>
            <wp:effectExtent l="76200" t="76200" r="133350" b="128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3191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72F5B47" w14:textId="780D1FEB" w:rsidR="00F023E4" w:rsidRPr="00656AE1" w:rsidRDefault="00F023E4" w:rsidP="00F023E4">
      <w:pPr>
        <w:spacing w:before="240" w:line="360" w:lineRule="auto"/>
        <w:jc w:val="center"/>
        <w:rPr>
          <w:rFonts w:ascii="Arial" w:hAnsi="Arial" w:cs="Arial"/>
          <w:b/>
          <w:bCs/>
          <w:sz w:val="24"/>
          <w:szCs w:val="24"/>
        </w:rPr>
      </w:pPr>
      <w:r w:rsidRPr="000042D0">
        <w:rPr>
          <w:rFonts w:ascii="Arial" w:hAnsi="Arial" w:cs="Arial"/>
          <w:b/>
          <w:bCs/>
          <w:sz w:val="24"/>
          <w:szCs w:val="24"/>
        </w:rPr>
        <w:t>(Source: Obtained from Excel)</w:t>
      </w:r>
    </w:p>
    <w:p w14:paraId="07817980" w14:textId="77777777" w:rsidR="00953F25" w:rsidRPr="000042D0" w:rsidRDefault="00953F25" w:rsidP="00953F25">
      <w:pPr>
        <w:spacing w:before="240" w:line="360" w:lineRule="auto"/>
        <w:jc w:val="both"/>
        <w:rPr>
          <w:rFonts w:ascii="Arial" w:hAnsi="Arial" w:cs="Arial"/>
          <w:sz w:val="24"/>
          <w:szCs w:val="24"/>
        </w:rPr>
      </w:pPr>
      <w:r w:rsidRPr="000042D0">
        <w:rPr>
          <w:rFonts w:ascii="Arial" w:hAnsi="Arial" w:cs="Arial"/>
          <w:sz w:val="24"/>
          <w:szCs w:val="24"/>
        </w:rPr>
        <w:lastRenderedPageBreak/>
        <w:t>The financial attractiveness of the three projects is quite different as seen from the Net Present Value analysis. Project A is expected to generate £10 million, £12 million, £14 million, £10 million and £8 million in cash inflows over the five-year period, and will require an investment of £50 million to get started. When these cash flows are discounted at 8%, the project generates an NPV of -£6.54 million, meaning that the discounted future benefit of this project is not enough to make up for the initial investment. Therefore, Project A will be rejected based on the NPV decision rule since it will cause a loss of shareholder wealth.</w:t>
      </w:r>
    </w:p>
    <w:p w14:paraId="0D1EE5BD" w14:textId="77777777" w:rsidR="00953F25" w:rsidRPr="000042D0" w:rsidRDefault="00953F25" w:rsidP="00953F25">
      <w:pPr>
        <w:spacing w:before="240" w:line="360" w:lineRule="auto"/>
        <w:jc w:val="both"/>
        <w:rPr>
          <w:rFonts w:ascii="Arial" w:hAnsi="Arial" w:cs="Arial"/>
          <w:sz w:val="24"/>
          <w:szCs w:val="24"/>
        </w:rPr>
      </w:pPr>
      <w:r w:rsidRPr="000042D0">
        <w:rPr>
          <w:rFonts w:ascii="Arial" w:hAnsi="Arial" w:cs="Arial"/>
          <w:sz w:val="24"/>
          <w:szCs w:val="24"/>
        </w:rPr>
        <w:t>Project B also needs an initial investment of £50 million and is expected to generate cash inflows of £11 million per year for the next 5 years. Project B is more predictable in its cash flows than Project A, but the project has an NPV of -£6.08m, which is still not acceptable. As a result, Project B also does not create economic value as its expected returns are not above Hilton's required rate of return.</w:t>
      </w:r>
    </w:p>
    <w:p w14:paraId="75604D03" w14:textId="77777777" w:rsidR="00953F25" w:rsidRPr="000042D0" w:rsidRDefault="00953F25" w:rsidP="00953F25">
      <w:pPr>
        <w:spacing w:before="240" w:line="360" w:lineRule="auto"/>
        <w:jc w:val="both"/>
        <w:rPr>
          <w:rFonts w:ascii="Arial" w:hAnsi="Arial" w:cs="Arial"/>
          <w:sz w:val="24"/>
          <w:szCs w:val="24"/>
        </w:rPr>
      </w:pPr>
      <w:r w:rsidRPr="000042D0">
        <w:rPr>
          <w:rFonts w:ascii="Arial" w:hAnsi="Arial" w:cs="Arial"/>
          <w:sz w:val="24"/>
          <w:szCs w:val="24"/>
        </w:rPr>
        <w:t>Project C is more financially successful, on the other hand. It has the same £50m initial investment, but cash inflows of £5m, £10m, £20m, £25m and £5m during the investment period. If these cash flows are discounted by 8%, the NPV of Project C is positive, £0.86 million, and thus is the only project that has the potential to create shareholder value. If a project has a positive NPV, it means that the project is expected to generate a return of more than the required return, which means that it will be a positive contribution to Hilton's long-term financial goals.</w:t>
      </w:r>
    </w:p>
    <w:p w14:paraId="0A7765A1" w14:textId="77777777" w:rsidR="00953F25" w:rsidRPr="000042D0" w:rsidRDefault="00953F25" w:rsidP="00953F25">
      <w:pPr>
        <w:spacing w:before="240" w:line="360" w:lineRule="auto"/>
        <w:jc w:val="both"/>
        <w:rPr>
          <w:rFonts w:ascii="Arial" w:hAnsi="Arial" w:cs="Arial"/>
          <w:sz w:val="24"/>
          <w:szCs w:val="24"/>
        </w:rPr>
      </w:pPr>
      <w:r w:rsidRPr="000042D0">
        <w:rPr>
          <w:rFonts w:ascii="Arial" w:hAnsi="Arial" w:cs="Arial"/>
          <w:sz w:val="24"/>
          <w:szCs w:val="24"/>
        </w:rPr>
        <w:t>The Internal Rate of Return agrees with this conclusion. Project A has an IRR of 2.72%, and Project B has an IRR of 3.26%, both of which are well below the 8% required return rate for Hilton. Thus, both projects fail the IRR acceptance criterion. Project C, on the other hand, will have an 8.59% IRR, which is slightly above the minimum threshold. This shows that the project C is financially acceptable and substantiates the results obtained from the NPV analysis.</w:t>
      </w:r>
    </w:p>
    <w:p w14:paraId="21827694" w14:textId="77777777" w:rsidR="00953F25" w:rsidRPr="000042D0" w:rsidRDefault="00953F25" w:rsidP="00953F25">
      <w:pPr>
        <w:spacing w:before="240" w:line="360" w:lineRule="auto"/>
        <w:jc w:val="both"/>
        <w:rPr>
          <w:rFonts w:ascii="Arial" w:hAnsi="Arial" w:cs="Arial"/>
          <w:sz w:val="24"/>
          <w:szCs w:val="24"/>
        </w:rPr>
      </w:pPr>
      <w:r w:rsidRPr="000042D0">
        <w:rPr>
          <w:rFonts w:ascii="Arial" w:hAnsi="Arial" w:cs="Arial"/>
          <w:sz w:val="24"/>
          <w:szCs w:val="24"/>
        </w:rPr>
        <w:t xml:space="preserve">The Profitability Index can also be used to assess investment efficiency because it is a ratio of the present value of expected future cash inflows and the initial cash inflows. Both project A and project B have a PI below one (86.91% and 87.84%) as each £1 invested </w:t>
      </w:r>
      <w:r w:rsidRPr="000042D0">
        <w:rPr>
          <w:rFonts w:ascii="Arial" w:hAnsi="Arial" w:cs="Arial"/>
          <w:sz w:val="24"/>
          <w:szCs w:val="24"/>
        </w:rPr>
        <w:lastRenderedPageBreak/>
        <w:t>in the project returns less than £1 in discounted benefits. On the other hand, Project C shows a PI of 101.72%, meaning that the present value of future cash inflows from the project is greater than the investment and thus is financially viable.</w:t>
      </w:r>
    </w:p>
    <w:p w14:paraId="432C66D5" w14:textId="4920B681" w:rsidR="00656AE1" w:rsidRPr="00656AE1" w:rsidRDefault="00953F25" w:rsidP="00953F25">
      <w:pPr>
        <w:spacing w:before="240" w:line="360" w:lineRule="auto"/>
        <w:jc w:val="both"/>
        <w:rPr>
          <w:rFonts w:ascii="Arial" w:hAnsi="Arial" w:cs="Arial"/>
          <w:sz w:val="24"/>
          <w:szCs w:val="24"/>
        </w:rPr>
      </w:pPr>
      <w:r w:rsidRPr="000042D0">
        <w:rPr>
          <w:rFonts w:ascii="Arial" w:hAnsi="Arial" w:cs="Arial"/>
          <w:sz w:val="24"/>
          <w:szCs w:val="24"/>
        </w:rPr>
        <w:t>Another measure, besides discounted cash flows, is Accounting Rate of Return, which is based on accounting profits. Project A has an ARR of 83.20%, Project B has an ARR of 84.00%, and Project C has the highest ARR of 92.00%. These accounting returns are positive, but ARR does not account for the time value of money and thus cannot be the key factor when making investment decisions (</w:t>
      </w:r>
      <w:proofErr w:type="spellStart"/>
      <w:r w:rsidRPr="000042D0">
        <w:rPr>
          <w:rFonts w:ascii="Arial" w:hAnsi="Arial" w:cs="Arial"/>
          <w:sz w:val="24"/>
          <w:szCs w:val="24"/>
        </w:rPr>
        <w:t>Alsharari</w:t>
      </w:r>
      <w:proofErr w:type="spellEnd"/>
      <w:r w:rsidRPr="000042D0">
        <w:rPr>
          <w:rFonts w:ascii="Arial" w:hAnsi="Arial" w:cs="Arial"/>
          <w:sz w:val="24"/>
          <w:szCs w:val="24"/>
        </w:rPr>
        <w:t>, 2024). This is shown by the difference between the high ARR values and the negative NPVs of Projects A and B. The overall results indicate that the NPV, IRR and PI analysis all suggest that only Project C can create positive economic value for Hilton Worldwide</w:t>
      </w:r>
      <w:r w:rsidR="00656AE1" w:rsidRPr="00656AE1">
        <w:rPr>
          <w:rFonts w:ascii="Arial" w:hAnsi="Arial" w:cs="Arial"/>
          <w:sz w:val="24"/>
          <w:szCs w:val="24"/>
        </w:rPr>
        <w:t>.</w:t>
      </w:r>
    </w:p>
    <w:p w14:paraId="1971CBA7" w14:textId="14F4C13D" w:rsidR="00656AE1" w:rsidRPr="000042D0" w:rsidRDefault="001F13BF" w:rsidP="00D56E53">
      <w:pPr>
        <w:pStyle w:val="Heading2"/>
      </w:pPr>
      <w:bookmarkStart w:id="16" w:name="_Toc235622255"/>
      <w:r w:rsidRPr="000042D0">
        <w:t>4</w:t>
      </w:r>
      <w:r w:rsidR="00656AE1" w:rsidRPr="000042D0">
        <w:t>.2 Capital Rationing and Final Recommendation</w:t>
      </w:r>
      <w:bookmarkEnd w:id="16"/>
    </w:p>
    <w:p w14:paraId="68F46CA9" w14:textId="77777777" w:rsidR="00953F25" w:rsidRPr="000042D0" w:rsidRDefault="00953F25" w:rsidP="00953F25">
      <w:pPr>
        <w:spacing w:before="240" w:line="360" w:lineRule="auto"/>
        <w:jc w:val="both"/>
        <w:rPr>
          <w:rFonts w:ascii="Arial" w:hAnsi="Arial" w:cs="Arial"/>
          <w:sz w:val="24"/>
          <w:szCs w:val="24"/>
        </w:rPr>
      </w:pPr>
      <w:r w:rsidRPr="000042D0">
        <w:rPr>
          <w:rFonts w:ascii="Arial" w:hAnsi="Arial" w:cs="Arial"/>
          <w:sz w:val="24"/>
          <w:szCs w:val="24"/>
        </w:rPr>
        <w:t>Capital rationing occurs when an organisation has limited funds to invest and has to choose projects that will maximize the value to the shareholders from a limited amount of funds. Capital allocation is especially critical for multinationals like Hilton Worldwide, which needs to spend significant amounts of money to fuel growth abroad, new technology and development of operations.</w:t>
      </w:r>
    </w:p>
    <w:p w14:paraId="03F97394" w14:textId="77777777" w:rsidR="00953F25" w:rsidRPr="000042D0" w:rsidRDefault="00953F25" w:rsidP="00953F25">
      <w:pPr>
        <w:spacing w:before="240" w:line="360" w:lineRule="auto"/>
        <w:jc w:val="both"/>
        <w:rPr>
          <w:rFonts w:ascii="Arial" w:hAnsi="Arial" w:cs="Arial"/>
          <w:sz w:val="24"/>
          <w:szCs w:val="24"/>
        </w:rPr>
      </w:pPr>
      <w:r w:rsidRPr="000042D0">
        <w:rPr>
          <w:rFonts w:ascii="Arial" w:hAnsi="Arial" w:cs="Arial"/>
          <w:sz w:val="24"/>
          <w:szCs w:val="24"/>
        </w:rPr>
        <w:t>The investment appraisal shows that Project A and Project B have negative NPVs and IRRs which are below Hilton's required rate of return of 8%, so both should be rejected. While these projects can be considered as having high Accounting Rates of Return, the ARR value is not sufficient for making investments since it does not take into account discounted cash flows and the opportunity cost of capital (</w:t>
      </w:r>
      <w:proofErr w:type="spellStart"/>
      <w:r w:rsidRPr="000042D0">
        <w:rPr>
          <w:rFonts w:ascii="Arial" w:hAnsi="Arial" w:cs="Arial"/>
          <w:sz w:val="24"/>
          <w:szCs w:val="24"/>
        </w:rPr>
        <w:t>Purnamasari</w:t>
      </w:r>
      <w:proofErr w:type="spellEnd"/>
      <w:r w:rsidRPr="000042D0">
        <w:rPr>
          <w:rFonts w:ascii="Arial" w:hAnsi="Arial" w:cs="Arial"/>
          <w:sz w:val="24"/>
          <w:szCs w:val="24"/>
        </w:rPr>
        <w:t xml:space="preserve"> and </w:t>
      </w:r>
      <w:proofErr w:type="spellStart"/>
      <w:r w:rsidRPr="000042D0">
        <w:rPr>
          <w:rFonts w:ascii="Arial" w:hAnsi="Arial" w:cs="Arial"/>
          <w:sz w:val="24"/>
          <w:szCs w:val="24"/>
        </w:rPr>
        <w:t>Adriza</w:t>
      </w:r>
      <w:proofErr w:type="spellEnd"/>
      <w:r w:rsidRPr="000042D0">
        <w:rPr>
          <w:rFonts w:ascii="Arial" w:hAnsi="Arial" w:cs="Arial"/>
          <w:sz w:val="24"/>
          <w:szCs w:val="24"/>
        </w:rPr>
        <w:t>, 2024). Both projects would be resource commitments to value-destroying investments.</w:t>
      </w:r>
    </w:p>
    <w:p w14:paraId="13D3A2A0" w14:textId="77777777" w:rsidR="00953F25" w:rsidRPr="000042D0" w:rsidRDefault="00953F25" w:rsidP="00953F25">
      <w:pPr>
        <w:spacing w:before="240" w:line="360" w:lineRule="auto"/>
        <w:jc w:val="both"/>
        <w:rPr>
          <w:rFonts w:ascii="Arial" w:hAnsi="Arial" w:cs="Arial"/>
          <w:sz w:val="24"/>
          <w:szCs w:val="24"/>
        </w:rPr>
      </w:pPr>
      <w:r w:rsidRPr="000042D0">
        <w:rPr>
          <w:rFonts w:ascii="Arial" w:hAnsi="Arial" w:cs="Arial"/>
          <w:sz w:val="24"/>
          <w:szCs w:val="24"/>
        </w:rPr>
        <w:t>The only money-making investment is Project C. This gives a positive NPV of £0.86 million, an IRR of 8.59% which is higher than the required IRR and a Profitability Index of 101.72% which is the highest. The fact that the results are similar for different investment appraisal methods gives good evidence that Project C is the most profitable project with the lowest investment risk.</w:t>
      </w:r>
    </w:p>
    <w:p w14:paraId="39128DE5" w14:textId="77777777" w:rsidR="00953F25" w:rsidRPr="000042D0" w:rsidRDefault="00953F25" w:rsidP="00953F25">
      <w:pPr>
        <w:spacing w:before="240" w:line="360" w:lineRule="auto"/>
        <w:jc w:val="both"/>
        <w:rPr>
          <w:rFonts w:ascii="Arial" w:hAnsi="Arial" w:cs="Arial"/>
          <w:sz w:val="24"/>
          <w:szCs w:val="24"/>
        </w:rPr>
      </w:pPr>
      <w:r w:rsidRPr="000042D0">
        <w:rPr>
          <w:rFonts w:ascii="Arial" w:hAnsi="Arial" w:cs="Arial"/>
          <w:sz w:val="24"/>
          <w:szCs w:val="24"/>
        </w:rPr>
        <w:lastRenderedPageBreak/>
        <w:t>Capital rationing requires Hilton to invest all its funds into Project C, and reject Projects A and B, because focusing the resources available in the investment budget on the one project that creates value maximises shareholder value and leaves funds free to take advantage of future strategic opportunities. This recommendation is also in line with Hilton's overall financial situation (Andon et al. 2024). Previous financial analysis has shown high profitability and efficiency of operation, moderate liquidity and high leverage. In such circumstances, only projects with positive economic returns can be expected to safeguard cash flows and financial resilience.</w:t>
      </w:r>
    </w:p>
    <w:p w14:paraId="6572D8DD" w14:textId="5AA35321" w:rsidR="00656AE1" w:rsidRPr="000042D0" w:rsidRDefault="00953F25" w:rsidP="00953F25">
      <w:pPr>
        <w:spacing w:before="240" w:line="360" w:lineRule="auto"/>
        <w:jc w:val="both"/>
        <w:rPr>
          <w:rFonts w:ascii="Arial" w:hAnsi="Arial" w:cs="Arial"/>
          <w:sz w:val="24"/>
          <w:szCs w:val="24"/>
        </w:rPr>
      </w:pPr>
      <w:r w:rsidRPr="000042D0">
        <w:rPr>
          <w:rFonts w:ascii="Arial" w:hAnsi="Arial" w:cs="Arial"/>
          <w:sz w:val="24"/>
          <w:szCs w:val="24"/>
        </w:rPr>
        <w:t>To sum up, the capital budgeting analysis demonstrates that Project C would be the best investment for Hilton Worldwide. Its sole project that meets all the key investment parameters and adds value for shareholders. Therefore, it is recommended that Projects A and B should be rejected while Project C should be accepted for implementation as it offers adequate returns to justify the investment sum</w:t>
      </w:r>
      <w:r w:rsidR="00656AE1" w:rsidRPr="00656AE1">
        <w:rPr>
          <w:rFonts w:ascii="Arial" w:hAnsi="Arial" w:cs="Arial"/>
          <w:sz w:val="24"/>
          <w:szCs w:val="24"/>
        </w:rPr>
        <w:t>.</w:t>
      </w:r>
    </w:p>
    <w:p w14:paraId="41BBB474" w14:textId="39A1E954" w:rsidR="00D56E53" w:rsidRPr="000042D0" w:rsidRDefault="00D56E53" w:rsidP="00D56E53">
      <w:pPr>
        <w:pStyle w:val="Heading1"/>
      </w:pPr>
      <w:bookmarkStart w:id="17" w:name="_Toc235622256"/>
      <w:r w:rsidRPr="000042D0">
        <w:t>5. Critical Reflection on AI Usage</w:t>
      </w:r>
      <w:bookmarkEnd w:id="17"/>
    </w:p>
    <w:p w14:paraId="1F803C56" w14:textId="77777777" w:rsidR="00747DD6" w:rsidRPr="000042D0" w:rsidRDefault="00747DD6" w:rsidP="00747DD6">
      <w:pPr>
        <w:spacing w:before="240" w:line="360" w:lineRule="auto"/>
        <w:jc w:val="both"/>
        <w:rPr>
          <w:rFonts w:ascii="Arial" w:hAnsi="Arial" w:cs="Arial"/>
          <w:sz w:val="24"/>
          <w:szCs w:val="24"/>
        </w:rPr>
      </w:pPr>
      <w:r w:rsidRPr="000042D0">
        <w:rPr>
          <w:rFonts w:ascii="Arial" w:hAnsi="Arial" w:cs="Arial"/>
          <w:sz w:val="24"/>
          <w:szCs w:val="24"/>
        </w:rPr>
        <w:t xml:space="preserve">This report was prepared using Artificial Intelligence (AI) tools for information organisation, quality of the writing and efficiency in the analysis. The main use of generative AI tools, such as </w:t>
      </w:r>
      <w:proofErr w:type="spellStart"/>
      <w:r w:rsidRPr="000042D0">
        <w:rPr>
          <w:rFonts w:ascii="Arial" w:hAnsi="Arial" w:cs="Arial"/>
          <w:sz w:val="24"/>
          <w:szCs w:val="24"/>
        </w:rPr>
        <w:t>ChatGPT</w:t>
      </w:r>
      <w:proofErr w:type="spellEnd"/>
      <w:r w:rsidRPr="000042D0">
        <w:rPr>
          <w:rFonts w:ascii="Arial" w:hAnsi="Arial" w:cs="Arial"/>
          <w:sz w:val="24"/>
          <w:szCs w:val="24"/>
        </w:rPr>
        <w:t>, was for structuring the different sections of reports, the processing of academic language, grammar, and the creation of initial explanations of financial concepts. The financial data presented was also used to draft preliminary discussions and organise financial ratio interpretations, with the assistance of AI. AI was only used as an assistive tool and the benefits of using AI were acknowledged as per the requirement of the module, ensuring transparency of how AI is used.</w:t>
      </w:r>
    </w:p>
    <w:p w14:paraId="15976259" w14:textId="368DFE0E" w:rsidR="00747DD6" w:rsidRPr="000042D0" w:rsidRDefault="00747DD6" w:rsidP="00747DD6">
      <w:pPr>
        <w:spacing w:before="240" w:line="360" w:lineRule="auto"/>
        <w:jc w:val="both"/>
        <w:rPr>
          <w:rFonts w:ascii="Arial" w:hAnsi="Arial" w:cs="Arial"/>
          <w:sz w:val="24"/>
          <w:szCs w:val="24"/>
        </w:rPr>
      </w:pPr>
      <w:r w:rsidRPr="000042D0">
        <w:rPr>
          <w:rFonts w:ascii="Arial" w:hAnsi="Arial" w:cs="Arial"/>
          <w:sz w:val="24"/>
          <w:szCs w:val="24"/>
        </w:rPr>
        <w:t xml:space="preserve">All AI-generated content was critically reviewed before incorporating into the final report; AI enhanced efficiency. The financial calculations, such as profitableness ratios, liquidity ratios, gearing ratios and the results of investment appraisal, were not solely based on AI-generated interpretations, but were independently verified using Microsoft Excel and Hilton </w:t>
      </w:r>
      <w:proofErr w:type="spellStart"/>
      <w:r w:rsidRPr="000042D0">
        <w:rPr>
          <w:rFonts w:ascii="Arial" w:hAnsi="Arial" w:cs="Arial"/>
          <w:sz w:val="24"/>
          <w:szCs w:val="24"/>
        </w:rPr>
        <w:t>Worldwide's</w:t>
      </w:r>
      <w:proofErr w:type="spellEnd"/>
      <w:r w:rsidRPr="000042D0">
        <w:rPr>
          <w:rFonts w:ascii="Arial" w:hAnsi="Arial" w:cs="Arial"/>
          <w:sz w:val="24"/>
          <w:szCs w:val="24"/>
        </w:rPr>
        <w:t xml:space="preserve"> financial statements. In the process of drafting some of the explanations generated by the AI needed some editing as they were too general or made assumptions that were not substantiated in the financial data. Special care was taken with </w:t>
      </w:r>
      <w:r w:rsidRPr="000042D0">
        <w:rPr>
          <w:rFonts w:ascii="Arial" w:hAnsi="Arial" w:cs="Arial"/>
          <w:sz w:val="24"/>
          <w:szCs w:val="24"/>
        </w:rPr>
        <w:lastRenderedPageBreak/>
        <w:t xml:space="preserve">a number of </w:t>
      </w:r>
      <w:r w:rsidR="00634CB5" w:rsidRPr="000042D0">
        <w:rPr>
          <w:rFonts w:ascii="Arial" w:hAnsi="Arial" w:cs="Arial"/>
          <w:sz w:val="24"/>
          <w:szCs w:val="24"/>
        </w:rPr>
        <w:t>interpretations</w:t>
      </w:r>
      <w:r w:rsidRPr="000042D0">
        <w:rPr>
          <w:rFonts w:ascii="Arial" w:hAnsi="Arial" w:cs="Arial"/>
          <w:sz w:val="24"/>
          <w:szCs w:val="24"/>
        </w:rPr>
        <w:t xml:space="preserve"> of negative gearing and investment ratios because these were not consistent with the dataset provided. By cross checking numerical values, comparing interpretations with financial theory and validating conclusions with the company's reported financial performance, the risk of AI hallucination and logical inconsistencies was minimised.</w:t>
      </w:r>
    </w:p>
    <w:p w14:paraId="6BA49F29" w14:textId="5FE895DE" w:rsidR="00747DD6" w:rsidRPr="000042D0" w:rsidRDefault="00747DD6" w:rsidP="00747DD6">
      <w:pPr>
        <w:spacing w:before="240" w:line="360" w:lineRule="auto"/>
        <w:jc w:val="both"/>
        <w:rPr>
          <w:rFonts w:ascii="Arial" w:hAnsi="Arial" w:cs="Arial"/>
          <w:sz w:val="24"/>
          <w:szCs w:val="24"/>
        </w:rPr>
      </w:pPr>
      <w:r w:rsidRPr="000042D0">
        <w:rPr>
          <w:rFonts w:ascii="Arial" w:hAnsi="Arial" w:cs="Arial"/>
          <w:sz w:val="24"/>
          <w:szCs w:val="24"/>
        </w:rPr>
        <w:t xml:space="preserve">The report is AI-assisted and independent critical analysis. The main positive influence by AI was in sentence structure, report section organisation and financial concepts presentation in academic coherent formats. Financial ratios, interpretation of Hilton </w:t>
      </w:r>
      <w:proofErr w:type="spellStart"/>
      <w:r w:rsidRPr="000042D0">
        <w:rPr>
          <w:rFonts w:ascii="Arial" w:hAnsi="Arial" w:cs="Arial"/>
          <w:sz w:val="24"/>
          <w:szCs w:val="24"/>
        </w:rPr>
        <w:t>Worldwide's</w:t>
      </w:r>
      <w:proofErr w:type="spellEnd"/>
      <w:r w:rsidRPr="000042D0">
        <w:rPr>
          <w:rFonts w:ascii="Arial" w:hAnsi="Arial" w:cs="Arial"/>
          <w:sz w:val="24"/>
          <w:szCs w:val="24"/>
        </w:rPr>
        <w:t xml:space="preserve"> performance, evaluation of working capital management, recommendations on restructuring and investment decisions, however, were the result of separate analysis of the financial statements and Excel outputs. Strategic conclusions, like the recommendation to focus on Project C and the proposed financial restructuring plan, are not generated by AI but rather involve analytical judgement. </w:t>
      </w:r>
      <w:r w:rsidR="006C6885" w:rsidRPr="006C6885">
        <w:rPr>
          <w:rFonts w:ascii="Arial" w:hAnsi="Arial" w:cs="Arial"/>
          <w:sz w:val="24"/>
          <w:szCs w:val="24"/>
        </w:rPr>
        <w:t>This is because AI was used to support productivity, to support the writing process and not to replace thinking and financial decision making.</w:t>
      </w:r>
    </w:p>
    <w:p w14:paraId="6232A1FF" w14:textId="65CD90A1" w:rsidR="00D56E53" w:rsidRPr="000042D0" w:rsidRDefault="006C6885" w:rsidP="00747DD6">
      <w:pPr>
        <w:spacing w:before="240" w:line="360" w:lineRule="auto"/>
        <w:jc w:val="both"/>
        <w:rPr>
          <w:rFonts w:ascii="Arial" w:hAnsi="Arial" w:cs="Arial"/>
          <w:sz w:val="24"/>
          <w:szCs w:val="24"/>
        </w:rPr>
      </w:pPr>
      <w:r w:rsidRPr="006C6885">
        <w:rPr>
          <w:rFonts w:ascii="Arial" w:hAnsi="Arial" w:cs="Arial"/>
          <w:sz w:val="24"/>
          <w:szCs w:val="24"/>
        </w:rPr>
        <w:t>With the increasing use of AI in financial management, there are critical ethical and professional queries that need to be considered. Transparency in the use of AI is essential in promoting academic integrity and holding professionals accountable. Financial professionals should also ensure that their confidential organisational information is protected when managing AI systems and not uploaded to insecure platforms. When these outputs are not verified, it can result in inaccurate output, particularly when making critical decisions for the company at the executive level, such as financial decisions, where it can have a large impact on the company. The use of AI should be seen as a tool to aid, not supplant, professional skills and critical evaluation and evidence-based judgement. A continuous human oversight of responsible use of AI is needed for accuracy, ethics, and safe financial decision-making.</w:t>
      </w:r>
    </w:p>
    <w:p w14:paraId="3E91B1F5" w14:textId="74B31797" w:rsidR="00C111F4" w:rsidRPr="000042D0" w:rsidRDefault="00C111F4" w:rsidP="00D56E53">
      <w:pPr>
        <w:pStyle w:val="Heading1"/>
      </w:pPr>
      <w:bookmarkStart w:id="18" w:name="_Toc235622257"/>
      <w:r w:rsidRPr="000042D0">
        <w:t>Conclusion</w:t>
      </w:r>
      <w:bookmarkEnd w:id="18"/>
    </w:p>
    <w:p w14:paraId="752185C1" w14:textId="19535502" w:rsidR="00747DD6" w:rsidRPr="000042D0" w:rsidRDefault="00747DD6" w:rsidP="00747DD6">
      <w:pPr>
        <w:spacing w:before="240" w:line="360" w:lineRule="auto"/>
        <w:jc w:val="both"/>
        <w:rPr>
          <w:rFonts w:ascii="Arial" w:hAnsi="Arial" w:cs="Arial"/>
          <w:sz w:val="24"/>
          <w:szCs w:val="24"/>
        </w:rPr>
      </w:pPr>
      <w:r w:rsidRPr="000042D0">
        <w:rPr>
          <w:rFonts w:ascii="Arial" w:hAnsi="Arial" w:cs="Arial"/>
          <w:sz w:val="24"/>
          <w:szCs w:val="24"/>
        </w:rPr>
        <w:t xml:space="preserve">Based on the financial analysis performed in this report, it can be concluded that Hilton Worldwide has made great strides towards enhancing their financial performance from </w:t>
      </w:r>
      <w:r w:rsidRPr="000042D0">
        <w:rPr>
          <w:rFonts w:ascii="Arial" w:hAnsi="Arial" w:cs="Arial"/>
          <w:sz w:val="24"/>
          <w:szCs w:val="24"/>
        </w:rPr>
        <w:lastRenderedPageBreak/>
        <w:t>2021 to 2025. The company bounced back from the difficulties in the post COVID era as reflected in significant revenue growth, rising operating profitability and enhanced profitability on capital employed. The 5-year revenue growth of over two-fold and operating efficiency and utilisation of financial resources suggested by profitability ratios, suggested better performance.</w:t>
      </w:r>
      <w:r w:rsidR="00276972" w:rsidRPr="000042D0">
        <w:rPr>
          <w:rFonts w:ascii="Arial" w:hAnsi="Arial" w:cs="Arial"/>
          <w:sz w:val="24"/>
          <w:szCs w:val="24"/>
        </w:rPr>
        <w:t xml:space="preserve"> </w:t>
      </w:r>
      <w:r w:rsidRPr="000042D0">
        <w:rPr>
          <w:rFonts w:ascii="Arial" w:hAnsi="Arial" w:cs="Arial"/>
          <w:sz w:val="24"/>
          <w:szCs w:val="24"/>
        </w:rPr>
        <w:t>The performance shown by the 5-year revenue growth of more than two-fold, and profitability ratios suggested better utilisation of financial resources and operating efficiency. The outcome is driven by Hilton's ability to operate in a bottoms-up fashion to minimize the company's assets, its multi-brand strategy to market and its efficient management of its assets, which has helped drive consistent earnings growth and reinforce its overall competitive position in the global hospitality industry.</w:t>
      </w:r>
    </w:p>
    <w:p w14:paraId="1F2DD109" w14:textId="77777777" w:rsidR="005B34E9" w:rsidRPr="000042D0" w:rsidRDefault="00747DD6" w:rsidP="00747DD6">
      <w:pPr>
        <w:spacing w:before="240" w:line="360" w:lineRule="auto"/>
        <w:jc w:val="both"/>
        <w:rPr>
          <w:rFonts w:ascii="Arial" w:hAnsi="Arial" w:cs="Arial"/>
          <w:sz w:val="24"/>
          <w:szCs w:val="24"/>
        </w:rPr>
      </w:pPr>
      <w:r w:rsidRPr="000042D0">
        <w:rPr>
          <w:rFonts w:ascii="Arial" w:hAnsi="Arial" w:cs="Arial"/>
          <w:sz w:val="24"/>
          <w:szCs w:val="24"/>
        </w:rPr>
        <w:t xml:space="preserve">While all of the above are positive, there are a number of strategic financial issues that still need to be addressed. Liquidity ratios continued to be below the norms indicating that internally generated cash flows and </w:t>
      </w:r>
      <w:r w:rsidR="00276972" w:rsidRPr="000042D0">
        <w:rPr>
          <w:rFonts w:ascii="Arial" w:hAnsi="Arial" w:cs="Arial"/>
          <w:sz w:val="24"/>
          <w:szCs w:val="24"/>
        </w:rPr>
        <w:t>short-term</w:t>
      </w:r>
      <w:r w:rsidRPr="000042D0">
        <w:rPr>
          <w:rFonts w:ascii="Arial" w:hAnsi="Arial" w:cs="Arial"/>
          <w:sz w:val="24"/>
          <w:szCs w:val="24"/>
        </w:rPr>
        <w:t xml:space="preserve"> debt continued to be relied on to finance operations during the review period.</w:t>
      </w:r>
      <w:r w:rsidR="00276972" w:rsidRPr="000042D0">
        <w:rPr>
          <w:rFonts w:ascii="Arial" w:hAnsi="Arial" w:cs="Arial"/>
          <w:sz w:val="24"/>
          <w:szCs w:val="24"/>
        </w:rPr>
        <w:t xml:space="preserve"> </w:t>
      </w:r>
    </w:p>
    <w:p w14:paraId="2B0DF043" w14:textId="0D8E17A5" w:rsidR="00747DD6" w:rsidRPr="000042D0" w:rsidRDefault="00747DD6" w:rsidP="00747DD6">
      <w:pPr>
        <w:spacing w:before="240" w:line="360" w:lineRule="auto"/>
        <w:jc w:val="both"/>
        <w:rPr>
          <w:rFonts w:ascii="Arial" w:hAnsi="Arial" w:cs="Arial"/>
          <w:sz w:val="24"/>
          <w:szCs w:val="24"/>
        </w:rPr>
      </w:pPr>
      <w:r w:rsidRPr="000042D0">
        <w:rPr>
          <w:rFonts w:ascii="Arial" w:hAnsi="Arial" w:cs="Arial"/>
          <w:sz w:val="24"/>
          <w:szCs w:val="24"/>
        </w:rPr>
        <w:t>The working capital assessment also revealed that Hilton is very efficient in spite of having relatively weak liquidity. The inventory turnover ratio has been robust while the asset turnover ratio is also improving and the receivables management ratio has remained stable, thus implying that operating resources are being well utilized and cash generation is consistent.</w:t>
      </w:r>
      <w:r w:rsidR="00276972" w:rsidRPr="000042D0">
        <w:rPr>
          <w:rFonts w:ascii="Arial" w:hAnsi="Arial" w:cs="Arial"/>
          <w:sz w:val="24"/>
          <w:szCs w:val="24"/>
        </w:rPr>
        <w:t xml:space="preserve"> </w:t>
      </w:r>
      <w:r w:rsidRPr="000042D0">
        <w:rPr>
          <w:rFonts w:ascii="Arial" w:hAnsi="Arial" w:cs="Arial"/>
          <w:sz w:val="24"/>
          <w:szCs w:val="24"/>
        </w:rPr>
        <w:t>The investment appraisal clearly showed that project C was the most financially attractive investment opportunity. Project C had a positive NPV, an IRR higher than the required IRR and a Profitability Index greater than one, indicating that this project generates shareholder value. Thus, in a capital rationing situation, the decision to take up Project C is the best one.</w:t>
      </w:r>
    </w:p>
    <w:p w14:paraId="1CEB5472" w14:textId="6F999553" w:rsidR="00C111F4" w:rsidRPr="000042D0" w:rsidRDefault="00747DD6" w:rsidP="00747DD6">
      <w:pPr>
        <w:spacing w:before="240" w:line="360" w:lineRule="auto"/>
        <w:jc w:val="both"/>
        <w:rPr>
          <w:rFonts w:ascii="Arial" w:hAnsi="Arial" w:cs="Arial"/>
          <w:sz w:val="24"/>
          <w:szCs w:val="24"/>
        </w:rPr>
      </w:pPr>
      <w:r w:rsidRPr="000042D0">
        <w:rPr>
          <w:rFonts w:ascii="Arial" w:hAnsi="Arial" w:cs="Arial"/>
          <w:sz w:val="24"/>
          <w:szCs w:val="24"/>
        </w:rPr>
        <w:t xml:space="preserve">Hilton </w:t>
      </w:r>
      <w:proofErr w:type="spellStart"/>
      <w:r w:rsidRPr="000042D0">
        <w:rPr>
          <w:rFonts w:ascii="Arial" w:hAnsi="Arial" w:cs="Arial"/>
          <w:sz w:val="24"/>
          <w:szCs w:val="24"/>
        </w:rPr>
        <w:t>Worldwide's</w:t>
      </w:r>
      <w:proofErr w:type="spellEnd"/>
      <w:r w:rsidRPr="000042D0">
        <w:rPr>
          <w:rFonts w:ascii="Arial" w:hAnsi="Arial" w:cs="Arial"/>
          <w:sz w:val="24"/>
          <w:szCs w:val="24"/>
        </w:rPr>
        <w:t xml:space="preserve"> overall financial condition is good and the company is well positioned to compete globally for many years to come. As it continues to focus on furthering its liquidity, optimising its capital structure, investing in technology and identifying financially sustainable investment prospects, the company's financial sustainability and shareholder value will improve in an ever more dynamic international hospitality market</w:t>
      </w:r>
      <w:r w:rsidR="00C111F4" w:rsidRPr="00C111F4">
        <w:rPr>
          <w:rFonts w:ascii="Arial" w:hAnsi="Arial" w:cs="Arial"/>
          <w:sz w:val="24"/>
          <w:szCs w:val="24"/>
        </w:rPr>
        <w:t>.</w:t>
      </w:r>
    </w:p>
    <w:p w14:paraId="239B8E1C" w14:textId="21A77F9F" w:rsidR="00017A92" w:rsidRPr="000042D0" w:rsidRDefault="00017A92">
      <w:pPr>
        <w:rPr>
          <w:rFonts w:ascii="Arial" w:hAnsi="Arial" w:cs="Arial"/>
          <w:sz w:val="24"/>
          <w:szCs w:val="24"/>
        </w:rPr>
      </w:pPr>
      <w:r w:rsidRPr="000042D0">
        <w:rPr>
          <w:rFonts w:ascii="Arial" w:hAnsi="Arial" w:cs="Arial"/>
          <w:sz w:val="24"/>
          <w:szCs w:val="24"/>
        </w:rPr>
        <w:br w:type="page"/>
      </w:r>
    </w:p>
    <w:p w14:paraId="31D7BA20" w14:textId="34BE24CC" w:rsidR="00017A92" w:rsidRPr="000042D0" w:rsidRDefault="00017A92" w:rsidP="00D56E53">
      <w:pPr>
        <w:pStyle w:val="Heading1"/>
      </w:pPr>
      <w:bookmarkStart w:id="19" w:name="_Toc235622258"/>
      <w:r w:rsidRPr="000042D0">
        <w:lastRenderedPageBreak/>
        <w:t>References</w:t>
      </w:r>
      <w:bookmarkEnd w:id="19"/>
    </w:p>
    <w:p w14:paraId="598ADE5B" w14:textId="77777777" w:rsidR="00E614DC" w:rsidRPr="000042D0" w:rsidRDefault="00E614DC" w:rsidP="009C725D">
      <w:pPr>
        <w:spacing w:before="240" w:line="360" w:lineRule="auto"/>
        <w:jc w:val="both"/>
        <w:rPr>
          <w:rFonts w:ascii="Arial" w:hAnsi="Arial" w:cs="Arial"/>
          <w:sz w:val="24"/>
          <w:szCs w:val="24"/>
        </w:rPr>
      </w:pPr>
      <w:r w:rsidRPr="000042D0">
        <w:rPr>
          <w:rFonts w:ascii="Arial" w:hAnsi="Arial" w:cs="Arial"/>
          <w:sz w:val="24"/>
          <w:szCs w:val="24"/>
        </w:rPr>
        <w:t xml:space="preserve">Ahmad, M., Bashir, R. and </w:t>
      </w:r>
      <w:proofErr w:type="spellStart"/>
      <w:r w:rsidRPr="000042D0">
        <w:rPr>
          <w:rFonts w:ascii="Arial" w:hAnsi="Arial" w:cs="Arial"/>
          <w:sz w:val="24"/>
          <w:szCs w:val="24"/>
        </w:rPr>
        <w:t>Waqas</w:t>
      </w:r>
      <w:proofErr w:type="spellEnd"/>
      <w:r w:rsidRPr="000042D0">
        <w:rPr>
          <w:rFonts w:ascii="Arial" w:hAnsi="Arial" w:cs="Arial"/>
          <w:sz w:val="24"/>
          <w:szCs w:val="24"/>
        </w:rPr>
        <w:t xml:space="preserve">, H., 2022. Working capital management and firm performance: are their effects same in </w:t>
      </w:r>
      <w:proofErr w:type="spellStart"/>
      <w:r w:rsidRPr="000042D0">
        <w:rPr>
          <w:rFonts w:ascii="Arial" w:hAnsi="Arial" w:cs="Arial"/>
          <w:sz w:val="24"/>
          <w:szCs w:val="24"/>
        </w:rPr>
        <w:t>covid</w:t>
      </w:r>
      <w:proofErr w:type="spellEnd"/>
      <w:r w:rsidRPr="000042D0">
        <w:rPr>
          <w:rFonts w:ascii="Arial" w:hAnsi="Arial" w:cs="Arial"/>
          <w:sz w:val="24"/>
          <w:szCs w:val="24"/>
        </w:rPr>
        <w:t xml:space="preserve"> 19 compared to financial crisis </w:t>
      </w:r>
      <w:proofErr w:type="gramStart"/>
      <w:r w:rsidRPr="000042D0">
        <w:rPr>
          <w:rFonts w:ascii="Arial" w:hAnsi="Arial" w:cs="Arial"/>
          <w:sz w:val="24"/>
          <w:szCs w:val="24"/>
        </w:rPr>
        <w:t>2008?.</w:t>
      </w:r>
      <w:proofErr w:type="gramEnd"/>
      <w:r w:rsidRPr="000042D0">
        <w:rPr>
          <w:rFonts w:ascii="Arial" w:hAnsi="Arial" w:cs="Arial"/>
          <w:sz w:val="24"/>
          <w:szCs w:val="24"/>
        </w:rPr>
        <w:t> </w:t>
      </w:r>
      <w:r w:rsidRPr="000042D0">
        <w:rPr>
          <w:rFonts w:ascii="Arial" w:hAnsi="Arial" w:cs="Arial"/>
          <w:i/>
          <w:iCs/>
          <w:sz w:val="24"/>
          <w:szCs w:val="24"/>
        </w:rPr>
        <w:t>Cogent Economics &amp; Finance</w:t>
      </w:r>
      <w:r w:rsidRPr="000042D0">
        <w:rPr>
          <w:rFonts w:ascii="Arial" w:hAnsi="Arial" w:cs="Arial"/>
          <w:sz w:val="24"/>
          <w:szCs w:val="24"/>
        </w:rPr>
        <w:t>, </w:t>
      </w:r>
      <w:r w:rsidRPr="000042D0">
        <w:rPr>
          <w:rFonts w:ascii="Arial" w:hAnsi="Arial" w:cs="Arial"/>
          <w:i/>
          <w:iCs/>
          <w:sz w:val="24"/>
          <w:szCs w:val="24"/>
        </w:rPr>
        <w:t>10</w:t>
      </w:r>
      <w:r w:rsidRPr="000042D0">
        <w:rPr>
          <w:rFonts w:ascii="Arial" w:hAnsi="Arial" w:cs="Arial"/>
          <w:sz w:val="24"/>
          <w:szCs w:val="24"/>
        </w:rPr>
        <w:t>(1), p.2101224.</w:t>
      </w:r>
    </w:p>
    <w:p w14:paraId="3F813BD9" w14:textId="77777777" w:rsidR="00E614DC" w:rsidRPr="000042D0" w:rsidRDefault="00E614DC" w:rsidP="009C725D">
      <w:pPr>
        <w:spacing w:before="240" w:line="360" w:lineRule="auto"/>
        <w:jc w:val="both"/>
        <w:rPr>
          <w:rFonts w:ascii="Arial" w:hAnsi="Arial" w:cs="Arial"/>
          <w:sz w:val="24"/>
          <w:szCs w:val="24"/>
        </w:rPr>
      </w:pPr>
      <w:proofErr w:type="spellStart"/>
      <w:r w:rsidRPr="000042D0">
        <w:rPr>
          <w:rFonts w:ascii="Arial" w:hAnsi="Arial" w:cs="Arial"/>
          <w:sz w:val="24"/>
          <w:szCs w:val="24"/>
        </w:rPr>
        <w:t>Alsharari</w:t>
      </w:r>
      <w:proofErr w:type="spellEnd"/>
      <w:r w:rsidRPr="000042D0">
        <w:rPr>
          <w:rFonts w:ascii="Arial" w:hAnsi="Arial" w:cs="Arial"/>
          <w:sz w:val="24"/>
          <w:szCs w:val="24"/>
        </w:rPr>
        <w:t>, N.M., 2024. The interplay of strategic management accounting, business strategy and organizational change: as influenced by a configurational theory. </w:t>
      </w:r>
      <w:r w:rsidRPr="000042D0">
        <w:rPr>
          <w:rFonts w:ascii="Arial" w:hAnsi="Arial" w:cs="Arial"/>
          <w:i/>
          <w:iCs/>
          <w:sz w:val="24"/>
          <w:szCs w:val="24"/>
        </w:rPr>
        <w:t>Journal of Accounting &amp; Organizational Change</w:t>
      </w:r>
      <w:r w:rsidRPr="000042D0">
        <w:rPr>
          <w:rFonts w:ascii="Arial" w:hAnsi="Arial" w:cs="Arial"/>
          <w:sz w:val="24"/>
          <w:szCs w:val="24"/>
        </w:rPr>
        <w:t>, </w:t>
      </w:r>
      <w:r w:rsidRPr="000042D0">
        <w:rPr>
          <w:rFonts w:ascii="Arial" w:hAnsi="Arial" w:cs="Arial"/>
          <w:i/>
          <w:iCs/>
          <w:sz w:val="24"/>
          <w:szCs w:val="24"/>
        </w:rPr>
        <w:t>20</w:t>
      </w:r>
      <w:r w:rsidRPr="000042D0">
        <w:rPr>
          <w:rFonts w:ascii="Arial" w:hAnsi="Arial" w:cs="Arial"/>
          <w:sz w:val="24"/>
          <w:szCs w:val="24"/>
        </w:rPr>
        <w:t>(1), pp.153-176.</w:t>
      </w:r>
    </w:p>
    <w:p w14:paraId="5BE1D829" w14:textId="77777777" w:rsidR="00E614DC" w:rsidRPr="000042D0" w:rsidRDefault="00E614DC" w:rsidP="009C725D">
      <w:pPr>
        <w:spacing w:before="240" w:line="360" w:lineRule="auto"/>
        <w:jc w:val="both"/>
        <w:rPr>
          <w:rFonts w:ascii="Arial" w:hAnsi="Arial" w:cs="Arial"/>
          <w:sz w:val="24"/>
          <w:szCs w:val="24"/>
        </w:rPr>
      </w:pPr>
      <w:r w:rsidRPr="000042D0">
        <w:rPr>
          <w:rFonts w:ascii="Arial" w:hAnsi="Arial" w:cs="Arial"/>
          <w:sz w:val="24"/>
          <w:szCs w:val="24"/>
        </w:rPr>
        <w:t>Andon, P., Baxter, J. and Chua, W.F., 2024. Affect and reason in uncertain accounting settings: The case of capital investment appraisal. </w:t>
      </w:r>
      <w:r w:rsidRPr="000042D0">
        <w:rPr>
          <w:rFonts w:ascii="Arial" w:hAnsi="Arial" w:cs="Arial"/>
          <w:i/>
          <w:iCs/>
          <w:sz w:val="24"/>
          <w:szCs w:val="24"/>
        </w:rPr>
        <w:t>Accounting &amp; Finance</w:t>
      </w:r>
      <w:r w:rsidRPr="000042D0">
        <w:rPr>
          <w:rFonts w:ascii="Arial" w:hAnsi="Arial" w:cs="Arial"/>
          <w:sz w:val="24"/>
          <w:szCs w:val="24"/>
        </w:rPr>
        <w:t>, </w:t>
      </w:r>
      <w:r w:rsidRPr="000042D0">
        <w:rPr>
          <w:rFonts w:ascii="Arial" w:hAnsi="Arial" w:cs="Arial"/>
          <w:i/>
          <w:iCs/>
          <w:sz w:val="24"/>
          <w:szCs w:val="24"/>
        </w:rPr>
        <w:t>64</w:t>
      </w:r>
      <w:r w:rsidRPr="000042D0">
        <w:rPr>
          <w:rFonts w:ascii="Arial" w:hAnsi="Arial" w:cs="Arial"/>
          <w:sz w:val="24"/>
          <w:szCs w:val="24"/>
        </w:rPr>
        <w:t>(2), pp.1439-1470.</w:t>
      </w:r>
    </w:p>
    <w:p w14:paraId="022E7F0E" w14:textId="77777777" w:rsidR="00E614DC" w:rsidRPr="000042D0" w:rsidRDefault="00E614DC" w:rsidP="009C725D">
      <w:pPr>
        <w:spacing w:before="240" w:line="360" w:lineRule="auto"/>
        <w:jc w:val="both"/>
        <w:rPr>
          <w:rFonts w:ascii="Arial" w:hAnsi="Arial" w:cs="Arial"/>
          <w:sz w:val="24"/>
          <w:szCs w:val="24"/>
        </w:rPr>
      </w:pPr>
      <w:proofErr w:type="spellStart"/>
      <w:r w:rsidRPr="000042D0">
        <w:rPr>
          <w:rFonts w:ascii="Arial" w:hAnsi="Arial" w:cs="Arial"/>
          <w:sz w:val="24"/>
          <w:szCs w:val="24"/>
        </w:rPr>
        <w:t>Aniebonam</w:t>
      </w:r>
      <w:proofErr w:type="spellEnd"/>
      <w:r w:rsidRPr="000042D0">
        <w:rPr>
          <w:rFonts w:ascii="Arial" w:hAnsi="Arial" w:cs="Arial"/>
          <w:sz w:val="24"/>
          <w:szCs w:val="24"/>
        </w:rPr>
        <w:t>, E.E., 2024. Strategic management in turbulent markets: A case study of the USA. </w:t>
      </w:r>
      <w:r w:rsidRPr="000042D0">
        <w:rPr>
          <w:rFonts w:ascii="Arial" w:hAnsi="Arial" w:cs="Arial"/>
          <w:i/>
          <w:iCs/>
          <w:sz w:val="24"/>
          <w:szCs w:val="24"/>
        </w:rPr>
        <w:t>International Journal of Modern Science and Research Technology</w:t>
      </w:r>
      <w:r w:rsidRPr="000042D0">
        <w:rPr>
          <w:rFonts w:ascii="Arial" w:hAnsi="Arial" w:cs="Arial"/>
          <w:sz w:val="24"/>
          <w:szCs w:val="24"/>
        </w:rPr>
        <w:t>, </w:t>
      </w:r>
      <w:r w:rsidRPr="000042D0">
        <w:rPr>
          <w:rFonts w:ascii="Arial" w:hAnsi="Arial" w:cs="Arial"/>
          <w:i/>
          <w:iCs/>
          <w:sz w:val="24"/>
          <w:szCs w:val="24"/>
        </w:rPr>
        <w:t>1</w:t>
      </w:r>
      <w:r w:rsidRPr="000042D0">
        <w:rPr>
          <w:rFonts w:ascii="Arial" w:hAnsi="Arial" w:cs="Arial"/>
          <w:sz w:val="24"/>
          <w:szCs w:val="24"/>
        </w:rPr>
        <w:t>(8), pp.35-43.</w:t>
      </w:r>
    </w:p>
    <w:p w14:paraId="4CCCED9D" w14:textId="77777777" w:rsidR="00E614DC" w:rsidRPr="000042D0" w:rsidRDefault="00E614DC" w:rsidP="009C725D">
      <w:pPr>
        <w:spacing w:before="240" w:line="360" w:lineRule="auto"/>
        <w:jc w:val="both"/>
        <w:rPr>
          <w:rFonts w:ascii="Arial" w:hAnsi="Arial" w:cs="Arial"/>
          <w:sz w:val="24"/>
          <w:szCs w:val="24"/>
        </w:rPr>
      </w:pPr>
      <w:proofErr w:type="spellStart"/>
      <w:r w:rsidRPr="000042D0">
        <w:rPr>
          <w:rFonts w:ascii="Arial" w:hAnsi="Arial" w:cs="Arial"/>
          <w:sz w:val="24"/>
          <w:szCs w:val="24"/>
        </w:rPr>
        <w:t>Ayodele</w:t>
      </w:r>
      <w:proofErr w:type="spellEnd"/>
      <w:r w:rsidRPr="000042D0">
        <w:rPr>
          <w:rFonts w:ascii="Arial" w:hAnsi="Arial" w:cs="Arial"/>
          <w:sz w:val="24"/>
          <w:szCs w:val="24"/>
        </w:rPr>
        <w:t>, T.O., 2022. Factors influencing the adoption of real option analysis in RED appraisal: an emergent market perspective. </w:t>
      </w:r>
      <w:r w:rsidRPr="000042D0">
        <w:rPr>
          <w:rFonts w:ascii="Arial" w:hAnsi="Arial" w:cs="Arial"/>
          <w:i/>
          <w:iCs/>
          <w:sz w:val="24"/>
          <w:szCs w:val="24"/>
        </w:rPr>
        <w:t>International Journal of Construction Management</w:t>
      </w:r>
      <w:r w:rsidRPr="000042D0">
        <w:rPr>
          <w:rFonts w:ascii="Arial" w:hAnsi="Arial" w:cs="Arial"/>
          <w:sz w:val="24"/>
          <w:szCs w:val="24"/>
        </w:rPr>
        <w:t>, </w:t>
      </w:r>
      <w:r w:rsidRPr="000042D0">
        <w:rPr>
          <w:rFonts w:ascii="Arial" w:hAnsi="Arial" w:cs="Arial"/>
          <w:i/>
          <w:iCs/>
          <w:sz w:val="24"/>
          <w:szCs w:val="24"/>
        </w:rPr>
        <w:t>22</w:t>
      </w:r>
      <w:r w:rsidRPr="000042D0">
        <w:rPr>
          <w:rFonts w:ascii="Arial" w:hAnsi="Arial" w:cs="Arial"/>
          <w:sz w:val="24"/>
          <w:szCs w:val="24"/>
        </w:rPr>
        <w:t>(6), pp.1042-1052.</w:t>
      </w:r>
    </w:p>
    <w:p w14:paraId="6CC47C59" w14:textId="77777777" w:rsidR="00E614DC" w:rsidRPr="000042D0" w:rsidRDefault="00E614DC" w:rsidP="009C725D">
      <w:pPr>
        <w:spacing w:before="240" w:line="360" w:lineRule="auto"/>
        <w:jc w:val="both"/>
        <w:rPr>
          <w:rFonts w:ascii="Arial" w:hAnsi="Arial" w:cs="Arial"/>
          <w:sz w:val="24"/>
          <w:szCs w:val="24"/>
        </w:rPr>
      </w:pPr>
      <w:proofErr w:type="spellStart"/>
      <w:r w:rsidRPr="000042D0">
        <w:rPr>
          <w:rFonts w:ascii="Arial" w:hAnsi="Arial" w:cs="Arial"/>
          <w:sz w:val="24"/>
          <w:szCs w:val="24"/>
        </w:rPr>
        <w:t>Barykin</w:t>
      </w:r>
      <w:proofErr w:type="spellEnd"/>
      <w:r w:rsidRPr="000042D0">
        <w:rPr>
          <w:rFonts w:ascii="Arial" w:hAnsi="Arial" w:cs="Arial"/>
          <w:sz w:val="24"/>
          <w:szCs w:val="24"/>
        </w:rPr>
        <w:t xml:space="preserve">, S.E., </w:t>
      </w:r>
      <w:proofErr w:type="spellStart"/>
      <w:r w:rsidRPr="000042D0">
        <w:rPr>
          <w:rFonts w:ascii="Arial" w:hAnsi="Arial" w:cs="Arial"/>
          <w:sz w:val="24"/>
          <w:szCs w:val="24"/>
        </w:rPr>
        <w:t>Strimovskaya</w:t>
      </w:r>
      <w:proofErr w:type="spellEnd"/>
      <w:r w:rsidRPr="000042D0">
        <w:rPr>
          <w:rFonts w:ascii="Arial" w:hAnsi="Arial" w:cs="Arial"/>
          <w:sz w:val="24"/>
          <w:szCs w:val="24"/>
        </w:rPr>
        <w:t xml:space="preserve">, A.V., </w:t>
      </w:r>
      <w:proofErr w:type="spellStart"/>
      <w:r w:rsidRPr="000042D0">
        <w:rPr>
          <w:rFonts w:ascii="Arial" w:hAnsi="Arial" w:cs="Arial"/>
          <w:sz w:val="24"/>
          <w:szCs w:val="24"/>
        </w:rPr>
        <w:t>Kapustina</w:t>
      </w:r>
      <w:proofErr w:type="spellEnd"/>
      <w:r w:rsidRPr="000042D0">
        <w:rPr>
          <w:rFonts w:ascii="Arial" w:hAnsi="Arial" w:cs="Arial"/>
          <w:sz w:val="24"/>
          <w:szCs w:val="24"/>
        </w:rPr>
        <w:t xml:space="preserve">, I., </w:t>
      </w:r>
      <w:proofErr w:type="spellStart"/>
      <w:r w:rsidRPr="000042D0">
        <w:rPr>
          <w:rFonts w:ascii="Arial" w:hAnsi="Arial" w:cs="Arial"/>
          <w:sz w:val="24"/>
          <w:szCs w:val="24"/>
        </w:rPr>
        <w:t>Kadyrova</w:t>
      </w:r>
      <w:proofErr w:type="spellEnd"/>
      <w:r w:rsidRPr="000042D0">
        <w:rPr>
          <w:rFonts w:ascii="Arial" w:hAnsi="Arial" w:cs="Arial"/>
          <w:sz w:val="24"/>
          <w:szCs w:val="24"/>
        </w:rPr>
        <w:t xml:space="preserve">, O.V., </w:t>
      </w:r>
      <w:proofErr w:type="spellStart"/>
      <w:r w:rsidRPr="000042D0">
        <w:rPr>
          <w:rFonts w:ascii="Arial" w:hAnsi="Arial" w:cs="Arial"/>
          <w:sz w:val="24"/>
          <w:szCs w:val="24"/>
        </w:rPr>
        <w:t>Senchin</w:t>
      </w:r>
      <w:proofErr w:type="spellEnd"/>
      <w:r w:rsidRPr="000042D0">
        <w:rPr>
          <w:rFonts w:ascii="Arial" w:hAnsi="Arial" w:cs="Arial"/>
          <w:sz w:val="24"/>
          <w:szCs w:val="24"/>
        </w:rPr>
        <w:t xml:space="preserve">, P.K. and </w:t>
      </w:r>
      <w:proofErr w:type="spellStart"/>
      <w:r w:rsidRPr="000042D0">
        <w:rPr>
          <w:rFonts w:ascii="Arial" w:hAnsi="Arial" w:cs="Arial"/>
          <w:sz w:val="24"/>
          <w:szCs w:val="24"/>
        </w:rPr>
        <w:t>Golubetskaya</w:t>
      </w:r>
      <w:proofErr w:type="spellEnd"/>
      <w:r w:rsidRPr="000042D0">
        <w:rPr>
          <w:rFonts w:ascii="Arial" w:hAnsi="Arial" w:cs="Arial"/>
          <w:sz w:val="24"/>
          <w:szCs w:val="24"/>
        </w:rPr>
        <w:t>, N.P., 2024. Model-Based Holistic Multidimensional View on Digital Engineering Investments Appraisal. </w:t>
      </w:r>
      <w:r w:rsidRPr="000042D0">
        <w:rPr>
          <w:rFonts w:ascii="Arial" w:hAnsi="Arial" w:cs="Arial"/>
          <w:i/>
          <w:iCs/>
          <w:sz w:val="24"/>
          <w:szCs w:val="24"/>
        </w:rPr>
        <w:t>Engineered Science</w:t>
      </w:r>
      <w:r w:rsidRPr="000042D0">
        <w:rPr>
          <w:rFonts w:ascii="Arial" w:hAnsi="Arial" w:cs="Arial"/>
          <w:sz w:val="24"/>
          <w:szCs w:val="24"/>
        </w:rPr>
        <w:t>, </w:t>
      </w:r>
      <w:r w:rsidRPr="000042D0">
        <w:rPr>
          <w:rFonts w:ascii="Arial" w:hAnsi="Arial" w:cs="Arial"/>
          <w:i/>
          <w:iCs/>
          <w:sz w:val="24"/>
          <w:szCs w:val="24"/>
        </w:rPr>
        <w:t>31</w:t>
      </w:r>
      <w:r w:rsidRPr="000042D0">
        <w:rPr>
          <w:rFonts w:ascii="Arial" w:hAnsi="Arial" w:cs="Arial"/>
          <w:sz w:val="24"/>
          <w:szCs w:val="24"/>
        </w:rPr>
        <w:t>, p.1187.</w:t>
      </w:r>
    </w:p>
    <w:p w14:paraId="48E34AC8" w14:textId="77777777" w:rsidR="00E614DC" w:rsidRPr="00C111F4" w:rsidRDefault="00E614DC" w:rsidP="009C725D">
      <w:pPr>
        <w:spacing w:before="240" w:line="360" w:lineRule="auto"/>
        <w:jc w:val="both"/>
        <w:rPr>
          <w:rFonts w:ascii="Arial" w:hAnsi="Arial" w:cs="Arial"/>
          <w:sz w:val="24"/>
          <w:szCs w:val="24"/>
        </w:rPr>
      </w:pPr>
      <w:r w:rsidRPr="000042D0">
        <w:rPr>
          <w:rFonts w:ascii="Arial" w:hAnsi="Arial" w:cs="Arial"/>
          <w:sz w:val="24"/>
          <w:szCs w:val="24"/>
        </w:rPr>
        <w:t xml:space="preserve">Cowling, M., Liu, W. and </w:t>
      </w:r>
      <w:proofErr w:type="spellStart"/>
      <w:r w:rsidRPr="000042D0">
        <w:rPr>
          <w:rFonts w:ascii="Arial" w:hAnsi="Arial" w:cs="Arial"/>
          <w:sz w:val="24"/>
          <w:szCs w:val="24"/>
        </w:rPr>
        <w:t>Vorley</w:t>
      </w:r>
      <w:proofErr w:type="spellEnd"/>
      <w:r w:rsidRPr="000042D0">
        <w:rPr>
          <w:rFonts w:ascii="Arial" w:hAnsi="Arial" w:cs="Arial"/>
          <w:sz w:val="24"/>
          <w:szCs w:val="24"/>
        </w:rPr>
        <w:t>, T., 2022. From IT Investment Opportunity to Realising Investment at Scale. </w:t>
      </w:r>
      <w:r w:rsidRPr="000042D0">
        <w:rPr>
          <w:rFonts w:ascii="Arial" w:hAnsi="Arial" w:cs="Arial"/>
          <w:i/>
          <w:iCs/>
          <w:sz w:val="24"/>
          <w:szCs w:val="24"/>
        </w:rPr>
        <w:t>International Review of Entrepreneurship</w:t>
      </w:r>
      <w:r w:rsidRPr="000042D0">
        <w:rPr>
          <w:rFonts w:ascii="Arial" w:hAnsi="Arial" w:cs="Arial"/>
          <w:sz w:val="24"/>
          <w:szCs w:val="24"/>
        </w:rPr>
        <w:t>, </w:t>
      </w:r>
      <w:r w:rsidRPr="000042D0">
        <w:rPr>
          <w:rFonts w:ascii="Arial" w:hAnsi="Arial" w:cs="Arial"/>
          <w:i/>
          <w:iCs/>
          <w:sz w:val="24"/>
          <w:szCs w:val="24"/>
        </w:rPr>
        <w:t>20</w:t>
      </w:r>
      <w:r w:rsidRPr="000042D0">
        <w:rPr>
          <w:rFonts w:ascii="Arial" w:hAnsi="Arial" w:cs="Arial"/>
          <w:sz w:val="24"/>
          <w:szCs w:val="24"/>
        </w:rPr>
        <w:t>.</w:t>
      </w:r>
    </w:p>
    <w:p w14:paraId="52B8BC96" w14:textId="77777777" w:rsidR="00E614DC" w:rsidRPr="000042D0" w:rsidRDefault="00E614DC" w:rsidP="009C725D">
      <w:pPr>
        <w:spacing w:before="240" w:line="360" w:lineRule="auto"/>
        <w:jc w:val="both"/>
        <w:rPr>
          <w:rFonts w:ascii="Arial" w:hAnsi="Arial" w:cs="Arial"/>
          <w:sz w:val="24"/>
          <w:szCs w:val="24"/>
        </w:rPr>
      </w:pPr>
      <w:proofErr w:type="spellStart"/>
      <w:r w:rsidRPr="000042D0">
        <w:rPr>
          <w:rFonts w:ascii="Arial" w:hAnsi="Arial" w:cs="Arial"/>
          <w:sz w:val="24"/>
          <w:szCs w:val="24"/>
        </w:rPr>
        <w:t>Fridson</w:t>
      </w:r>
      <w:proofErr w:type="spellEnd"/>
      <w:r w:rsidRPr="000042D0">
        <w:rPr>
          <w:rFonts w:ascii="Arial" w:hAnsi="Arial" w:cs="Arial"/>
          <w:sz w:val="24"/>
          <w:szCs w:val="24"/>
        </w:rPr>
        <w:t>, M.S. and Alvarez, F., 2022. </w:t>
      </w:r>
      <w:r w:rsidRPr="000042D0">
        <w:rPr>
          <w:rFonts w:ascii="Arial" w:hAnsi="Arial" w:cs="Arial"/>
          <w:i/>
          <w:iCs/>
          <w:sz w:val="24"/>
          <w:szCs w:val="24"/>
        </w:rPr>
        <w:t>Financial statement analysis: a practitioner's guide</w:t>
      </w:r>
      <w:r w:rsidRPr="000042D0">
        <w:rPr>
          <w:rFonts w:ascii="Arial" w:hAnsi="Arial" w:cs="Arial"/>
          <w:sz w:val="24"/>
          <w:szCs w:val="24"/>
        </w:rPr>
        <w:t>. John Wiley &amp; Sons.</w:t>
      </w:r>
    </w:p>
    <w:p w14:paraId="1427AFD8" w14:textId="77777777" w:rsidR="00E614DC" w:rsidRPr="000042D0" w:rsidRDefault="00E614DC" w:rsidP="009C725D">
      <w:pPr>
        <w:spacing w:before="240" w:line="360" w:lineRule="auto"/>
        <w:jc w:val="both"/>
        <w:rPr>
          <w:rFonts w:ascii="Arial" w:hAnsi="Arial" w:cs="Arial"/>
          <w:sz w:val="24"/>
          <w:szCs w:val="24"/>
        </w:rPr>
      </w:pPr>
      <w:r w:rsidRPr="000042D0">
        <w:rPr>
          <w:rFonts w:ascii="Arial" w:hAnsi="Arial" w:cs="Arial"/>
          <w:sz w:val="24"/>
          <w:szCs w:val="24"/>
        </w:rPr>
        <w:t>Grundy, T., Johnson, G. and Scholes, K., 2022. Strategic Financial Management. </w:t>
      </w:r>
      <w:r w:rsidRPr="000042D0">
        <w:rPr>
          <w:rFonts w:ascii="Arial" w:hAnsi="Arial" w:cs="Arial"/>
          <w:i/>
          <w:iCs/>
          <w:sz w:val="24"/>
          <w:szCs w:val="24"/>
        </w:rPr>
        <w:t>Bachelor of Business Administration Programme Code: BBA Duration–3 Years Full Time</w:t>
      </w:r>
      <w:r w:rsidRPr="000042D0">
        <w:rPr>
          <w:rFonts w:ascii="Arial" w:hAnsi="Arial" w:cs="Arial"/>
          <w:sz w:val="24"/>
          <w:szCs w:val="24"/>
        </w:rPr>
        <w:t>, </w:t>
      </w:r>
      <w:r w:rsidRPr="000042D0">
        <w:rPr>
          <w:rFonts w:ascii="Arial" w:hAnsi="Arial" w:cs="Arial"/>
          <w:i/>
          <w:iCs/>
          <w:sz w:val="24"/>
          <w:szCs w:val="24"/>
        </w:rPr>
        <w:t>2</w:t>
      </w:r>
      <w:r w:rsidRPr="000042D0">
        <w:rPr>
          <w:rFonts w:ascii="Arial" w:hAnsi="Arial" w:cs="Arial"/>
          <w:sz w:val="24"/>
          <w:szCs w:val="24"/>
        </w:rPr>
        <w:t>(1), pp.1-575.</w:t>
      </w:r>
    </w:p>
    <w:p w14:paraId="5191B3C8" w14:textId="77777777" w:rsidR="00E614DC" w:rsidRPr="000042D0" w:rsidRDefault="00E614DC" w:rsidP="009C725D">
      <w:pPr>
        <w:spacing w:before="240" w:line="360" w:lineRule="auto"/>
        <w:jc w:val="both"/>
        <w:rPr>
          <w:rFonts w:ascii="Arial" w:hAnsi="Arial" w:cs="Arial"/>
          <w:sz w:val="24"/>
          <w:szCs w:val="24"/>
        </w:rPr>
      </w:pPr>
      <w:r w:rsidRPr="000042D0">
        <w:rPr>
          <w:rFonts w:ascii="Arial" w:hAnsi="Arial" w:cs="Arial"/>
          <w:sz w:val="24"/>
          <w:szCs w:val="24"/>
        </w:rPr>
        <w:lastRenderedPageBreak/>
        <w:t>Habib, A.M., 2022. Does the efficiency of working capital management and environmental, social, and governance performance affect a firm’s value? Evidence from the United States. </w:t>
      </w:r>
      <w:r w:rsidRPr="000042D0">
        <w:rPr>
          <w:rFonts w:ascii="Arial" w:hAnsi="Arial" w:cs="Arial"/>
          <w:i/>
          <w:iCs/>
          <w:sz w:val="24"/>
          <w:szCs w:val="24"/>
        </w:rPr>
        <w:t>Financial Markets, Institutions and Risks</w:t>
      </w:r>
      <w:r w:rsidRPr="000042D0">
        <w:rPr>
          <w:rFonts w:ascii="Arial" w:hAnsi="Arial" w:cs="Arial"/>
          <w:sz w:val="24"/>
          <w:szCs w:val="24"/>
        </w:rPr>
        <w:t>, </w:t>
      </w:r>
      <w:r w:rsidRPr="000042D0">
        <w:rPr>
          <w:rFonts w:ascii="Arial" w:hAnsi="Arial" w:cs="Arial"/>
          <w:i/>
          <w:iCs/>
          <w:sz w:val="24"/>
          <w:szCs w:val="24"/>
        </w:rPr>
        <w:t>6</w:t>
      </w:r>
      <w:r w:rsidRPr="000042D0">
        <w:rPr>
          <w:rFonts w:ascii="Arial" w:hAnsi="Arial" w:cs="Arial"/>
          <w:sz w:val="24"/>
          <w:szCs w:val="24"/>
        </w:rPr>
        <w:t>(3), pp.18-25.</w:t>
      </w:r>
    </w:p>
    <w:p w14:paraId="5DAACFFA" w14:textId="77777777" w:rsidR="00E614DC" w:rsidRPr="000042D0" w:rsidRDefault="00E614DC" w:rsidP="00223DDA">
      <w:pPr>
        <w:spacing w:before="240" w:line="360" w:lineRule="auto"/>
        <w:jc w:val="both"/>
        <w:rPr>
          <w:rFonts w:ascii="Arial" w:hAnsi="Arial" w:cs="Arial"/>
          <w:sz w:val="24"/>
          <w:szCs w:val="24"/>
        </w:rPr>
      </w:pPr>
      <w:r w:rsidRPr="000042D0">
        <w:rPr>
          <w:rFonts w:ascii="Arial" w:hAnsi="Arial" w:cs="Arial"/>
          <w:sz w:val="24"/>
          <w:szCs w:val="24"/>
        </w:rPr>
        <w:t xml:space="preserve">Hilton Worldwide, 2022. </w:t>
      </w:r>
      <w:r w:rsidRPr="000042D0">
        <w:rPr>
          <w:rFonts w:ascii="Arial" w:hAnsi="Arial" w:cs="Arial"/>
          <w:i/>
          <w:iCs/>
          <w:sz w:val="24"/>
          <w:szCs w:val="24"/>
        </w:rPr>
        <w:t>2022 Hilton Year in Review.</w:t>
      </w:r>
      <w:r w:rsidRPr="000042D0">
        <w:rPr>
          <w:rFonts w:ascii="Arial" w:hAnsi="Arial" w:cs="Arial"/>
          <w:sz w:val="24"/>
          <w:szCs w:val="24"/>
        </w:rPr>
        <w:t xml:space="preserve"> Available at: </w:t>
      </w:r>
      <w:hyperlink r:id="rId16" w:history="1">
        <w:r w:rsidRPr="000042D0">
          <w:rPr>
            <w:rStyle w:val="Hyperlink"/>
            <w:rFonts w:ascii="Arial" w:hAnsi="Arial" w:cs="Arial"/>
            <w:sz w:val="24"/>
            <w:szCs w:val="24"/>
          </w:rPr>
          <w:t>https://stories-editor.hilton.com/wp-content/uploads/2023/04/2022-Hilton-Year-in-Review.pdf</w:t>
        </w:r>
      </w:hyperlink>
      <w:r w:rsidRPr="000042D0">
        <w:rPr>
          <w:rFonts w:ascii="Arial" w:hAnsi="Arial" w:cs="Arial"/>
          <w:sz w:val="24"/>
          <w:szCs w:val="24"/>
        </w:rPr>
        <w:t xml:space="preserve"> [Accessed on: 22/07/2026]</w:t>
      </w:r>
    </w:p>
    <w:p w14:paraId="7CF99F3B" w14:textId="77777777" w:rsidR="00E614DC" w:rsidRPr="000042D0" w:rsidRDefault="00E614DC" w:rsidP="00223DDA">
      <w:pPr>
        <w:spacing w:before="240" w:line="360" w:lineRule="auto"/>
        <w:jc w:val="both"/>
        <w:rPr>
          <w:rFonts w:ascii="Arial" w:hAnsi="Arial" w:cs="Arial"/>
          <w:sz w:val="24"/>
          <w:szCs w:val="24"/>
        </w:rPr>
      </w:pPr>
      <w:r w:rsidRPr="000042D0">
        <w:rPr>
          <w:rFonts w:ascii="Arial" w:hAnsi="Arial" w:cs="Arial"/>
          <w:sz w:val="24"/>
          <w:szCs w:val="24"/>
        </w:rPr>
        <w:t xml:space="preserve">Hilton Worldwide, 2023. </w:t>
      </w:r>
      <w:r w:rsidRPr="000042D0">
        <w:rPr>
          <w:rFonts w:ascii="Arial" w:hAnsi="Arial" w:cs="Arial"/>
          <w:i/>
          <w:iCs/>
          <w:sz w:val="24"/>
          <w:szCs w:val="24"/>
        </w:rPr>
        <w:t>2023 Hilton Year in Review.</w:t>
      </w:r>
      <w:r w:rsidRPr="000042D0">
        <w:rPr>
          <w:rFonts w:ascii="Arial" w:hAnsi="Arial" w:cs="Arial"/>
          <w:sz w:val="24"/>
          <w:szCs w:val="24"/>
        </w:rPr>
        <w:t xml:space="preserve"> Available at: </w:t>
      </w:r>
      <w:hyperlink r:id="rId17" w:history="1">
        <w:r w:rsidRPr="000042D0">
          <w:rPr>
            <w:rStyle w:val="Hyperlink"/>
            <w:rFonts w:ascii="Arial" w:hAnsi="Arial" w:cs="Arial"/>
            <w:sz w:val="24"/>
            <w:szCs w:val="24"/>
          </w:rPr>
          <w:t>https://stories-editor.hilton.com/wp-content/uploads/2024/04/Hilton2023AnnualReport.pdf</w:t>
        </w:r>
      </w:hyperlink>
      <w:r w:rsidRPr="000042D0">
        <w:rPr>
          <w:rFonts w:ascii="Arial" w:hAnsi="Arial" w:cs="Arial"/>
          <w:sz w:val="24"/>
          <w:szCs w:val="24"/>
        </w:rPr>
        <w:t xml:space="preserve"> [Accessed on: 22/07/2026]</w:t>
      </w:r>
    </w:p>
    <w:p w14:paraId="0F5E8C7A" w14:textId="77777777" w:rsidR="00E614DC" w:rsidRPr="000042D0" w:rsidRDefault="00E614DC" w:rsidP="00223DDA">
      <w:pPr>
        <w:spacing w:before="240" w:line="360" w:lineRule="auto"/>
        <w:jc w:val="both"/>
        <w:rPr>
          <w:rFonts w:ascii="Arial" w:hAnsi="Arial" w:cs="Arial"/>
          <w:sz w:val="24"/>
          <w:szCs w:val="24"/>
        </w:rPr>
      </w:pPr>
      <w:r w:rsidRPr="000042D0">
        <w:rPr>
          <w:rFonts w:ascii="Arial" w:hAnsi="Arial" w:cs="Arial"/>
          <w:sz w:val="24"/>
          <w:szCs w:val="24"/>
        </w:rPr>
        <w:t xml:space="preserve">Hilton Worldwide, 2024. </w:t>
      </w:r>
      <w:r w:rsidRPr="000042D0">
        <w:rPr>
          <w:rFonts w:ascii="Arial" w:hAnsi="Arial" w:cs="Arial"/>
          <w:i/>
          <w:iCs/>
          <w:sz w:val="24"/>
          <w:szCs w:val="24"/>
        </w:rPr>
        <w:t>2024 Hilton Year in Review.</w:t>
      </w:r>
      <w:r w:rsidRPr="000042D0">
        <w:rPr>
          <w:rFonts w:ascii="Arial" w:hAnsi="Arial" w:cs="Arial"/>
          <w:sz w:val="24"/>
          <w:szCs w:val="24"/>
        </w:rPr>
        <w:t xml:space="preserve"> Available at: </w:t>
      </w:r>
      <w:hyperlink r:id="rId18" w:history="1">
        <w:r w:rsidRPr="000042D0">
          <w:rPr>
            <w:rStyle w:val="Hyperlink"/>
            <w:rFonts w:ascii="Arial" w:hAnsi="Arial" w:cs="Arial"/>
            <w:sz w:val="24"/>
            <w:szCs w:val="24"/>
          </w:rPr>
          <w:t>https://stories-editor.hilton.com/wp-content/uploads/2025/04/Hilton2024AnnualReport.pdf</w:t>
        </w:r>
      </w:hyperlink>
      <w:r w:rsidRPr="000042D0">
        <w:rPr>
          <w:rFonts w:ascii="Arial" w:hAnsi="Arial" w:cs="Arial"/>
          <w:sz w:val="24"/>
          <w:szCs w:val="24"/>
        </w:rPr>
        <w:t xml:space="preserve"> [Accessed on: 22/07/2026]</w:t>
      </w:r>
    </w:p>
    <w:p w14:paraId="393FE97B" w14:textId="77777777" w:rsidR="00E614DC" w:rsidRPr="000042D0" w:rsidRDefault="00E614DC" w:rsidP="00223DDA">
      <w:pPr>
        <w:spacing w:before="240" w:line="360" w:lineRule="auto"/>
        <w:jc w:val="both"/>
        <w:rPr>
          <w:rFonts w:ascii="Arial" w:hAnsi="Arial" w:cs="Arial"/>
          <w:sz w:val="24"/>
          <w:szCs w:val="24"/>
        </w:rPr>
      </w:pPr>
      <w:r w:rsidRPr="000042D0">
        <w:rPr>
          <w:rFonts w:ascii="Arial" w:hAnsi="Arial" w:cs="Arial"/>
          <w:sz w:val="24"/>
          <w:szCs w:val="24"/>
        </w:rPr>
        <w:t xml:space="preserve">Hilton Worldwide, 2025. </w:t>
      </w:r>
      <w:r w:rsidRPr="000042D0">
        <w:rPr>
          <w:rFonts w:ascii="Arial" w:hAnsi="Arial" w:cs="Arial"/>
          <w:i/>
          <w:iCs/>
          <w:sz w:val="24"/>
          <w:szCs w:val="24"/>
        </w:rPr>
        <w:t>2025 Hilton Year in Review.</w:t>
      </w:r>
      <w:r w:rsidRPr="000042D0">
        <w:rPr>
          <w:rFonts w:ascii="Arial" w:hAnsi="Arial" w:cs="Arial"/>
          <w:sz w:val="24"/>
          <w:szCs w:val="24"/>
        </w:rPr>
        <w:t xml:space="preserve"> Available at: </w:t>
      </w:r>
      <w:hyperlink r:id="rId19" w:history="1">
        <w:r w:rsidRPr="000042D0">
          <w:rPr>
            <w:rStyle w:val="Hyperlink"/>
            <w:rFonts w:ascii="Arial" w:hAnsi="Arial" w:cs="Arial"/>
            <w:sz w:val="24"/>
            <w:szCs w:val="24"/>
          </w:rPr>
          <w:t>https://stories-editor.hilton.com/wp-content/uploads/2026/04/Hilton-2025-Year-in-Review.pdf</w:t>
        </w:r>
      </w:hyperlink>
      <w:r w:rsidRPr="000042D0">
        <w:rPr>
          <w:rFonts w:ascii="Arial" w:hAnsi="Arial" w:cs="Arial"/>
          <w:sz w:val="24"/>
          <w:szCs w:val="24"/>
        </w:rPr>
        <w:t xml:space="preserve"> [Accessed on: 22/07/2026]</w:t>
      </w:r>
    </w:p>
    <w:p w14:paraId="63ECE042" w14:textId="77777777" w:rsidR="00E614DC" w:rsidRPr="000042D0" w:rsidRDefault="00E614DC" w:rsidP="009C725D">
      <w:pPr>
        <w:spacing w:before="240" w:line="360" w:lineRule="auto"/>
        <w:jc w:val="both"/>
        <w:rPr>
          <w:rFonts w:ascii="Arial" w:hAnsi="Arial" w:cs="Arial"/>
          <w:sz w:val="24"/>
          <w:szCs w:val="24"/>
        </w:rPr>
      </w:pPr>
      <w:proofErr w:type="spellStart"/>
      <w:r w:rsidRPr="000042D0">
        <w:rPr>
          <w:rFonts w:ascii="Arial" w:hAnsi="Arial" w:cs="Arial"/>
          <w:sz w:val="24"/>
          <w:szCs w:val="24"/>
        </w:rPr>
        <w:t>Huikku</w:t>
      </w:r>
      <w:proofErr w:type="spellEnd"/>
      <w:r w:rsidRPr="000042D0">
        <w:rPr>
          <w:rFonts w:ascii="Arial" w:hAnsi="Arial" w:cs="Arial"/>
          <w:sz w:val="24"/>
          <w:szCs w:val="24"/>
        </w:rPr>
        <w:t xml:space="preserve">, J., </w:t>
      </w:r>
      <w:proofErr w:type="spellStart"/>
      <w:r w:rsidRPr="000042D0">
        <w:rPr>
          <w:rFonts w:ascii="Arial" w:hAnsi="Arial" w:cs="Arial"/>
          <w:sz w:val="24"/>
          <w:szCs w:val="24"/>
        </w:rPr>
        <w:t>Karjalainen</w:t>
      </w:r>
      <w:proofErr w:type="spellEnd"/>
      <w:r w:rsidRPr="000042D0">
        <w:rPr>
          <w:rFonts w:ascii="Arial" w:hAnsi="Arial" w:cs="Arial"/>
          <w:sz w:val="24"/>
          <w:szCs w:val="24"/>
        </w:rPr>
        <w:t xml:space="preserve">, J. and </w:t>
      </w:r>
      <w:proofErr w:type="spellStart"/>
      <w:r w:rsidRPr="000042D0">
        <w:rPr>
          <w:rFonts w:ascii="Arial" w:hAnsi="Arial" w:cs="Arial"/>
          <w:sz w:val="24"/>
          <w:szCs w:val="24"/>
        </w:rPr>
        <w:t>Seppälä</w:t>
      </w:r>
      <w:proofErr w:type="spellEnd"/>
      <w:r w:rsidRPr="000042D0">
        <w:rPr>
          <w:rFonts w:ascii="Arial" w:hAnsi="Arial" w:cs="Arial"/>
          <w:sz w:val="24"/>
          <w:szCs w:val="24"/>
        </w:rPr>
        <w:t>, T., 2025. Strategic factors and the use of risk analysis techniques in strategic investment decisions. </w:t>
      </w:r>
      <w:r w:rsidRPr="000042D0">
        <w:rPr>
          <w:rFonts w:ascii="Arial" w:hAnsi="Arial" w:cs="Arial"/>
          <w:i/>
          <w:iCs/>
          <w:sz w:val="24"/>
          <w:szCs w:val="24"/>
        </w:rPr>
        <w:t>Accounting and Business Research</w:t>
      </w:r>
      <w:r w:rsidRPr="000042D0">
        <w:rPr>
          <w:rFonts w:ascii="Arial" w:hAnsi="Arial" w:cs="Arial"/>
          <w:sz w:val="24"/>
          <w:szCs w:val="24"/>
        </w:rPr>
        <w:t>, pp.1-29.</w:t>
      </w:r>
    </w:p>
    <w:p w14:paraId="1164363F" w14:textId="77777777" w:rsidR="00E614DC" w:rsidRPr="000042D0" w:rsidRDefault="00E614DC" w:rsidP="009C725D">
      <w:pPr>
        <w:spacing w:before="240" w:line="360" w:lineRule="auto"/>
        <w:jc w:val="both"/>
        <w:rPr>
          <w:rFonts w:ascii="Arial" w:hAnsi="Arial" w:cs="Arial"/>
          <w:sz w:val="24"/>
          <w:szCs w:val="24"/>
        </w:rPr>
      </w:pPr>
      <w:proofErr w:type="spellStart"/>
      <w:r w:rsidRPr="000042D0">
        <w:rPr>
          <w:rFonts w:ascii="Arial" w:hAnsi="Arial" w:cs="Arial"/>
          <w:sz w:val="24"/>
          <w:szCs w:val="24"/>
        </w:rPr>
        <w:t>Jariah</w:t>
      </w:r>
      <w:proofErr w:type="spellEnd"/>
      <w:r w:rsidRPr="000042D0">
        <w:rPr>
          <w:rFonts w:ascii="Arial" w:hAnsi="Arial" w:cs="Arial"/>
          <w:sz w:val="24"/>
          <w:szCs w:val="24"/>
        </w:rPr>
        <w:t xml:space="preserve">, A. and </w:t>
      </w:r>
      <w:proofErr w:type="spellStart"/>
      <w:r w:rsidRPr="000042D0">
        <w:rPr>
          <w:rFonts w:ascii="Arial" w:hAnsi="Arial" w:cs="Arial"/>
          <w:sz w:val="24"/>
          <w:szCs w:val="24"/>
        </w:rPr>
        <w:t>Lukiana</w:t>
      </w:r>
      <w:proofErr w:type="spellEnd"/>
      <w:r w:rsidRPr="000042D0">
        <w:rPr>
          <w:rFonts w:ascii="Arial" w:hAnsi="Arial" w:cs="Arial"/>
          <w:sz w:val="24"/>
          <w:szCs w:val="24"/>
        </w:rPr>
        <w:t>, N., 2023. Management of Financial Performance Based on Capital Structure, Liquidity Ratio, Coverage and Activity. </w:t>
      </w:r>
      <w:r w:rsidRPr="000042D0">
        <w:rPr>
          <w:rFonts w:ascii="Arial" w:hAnsi="Arial" w:cs="Arial"/>
          <w:i/>
          <w:iCs/>
          <w:sz w:val="24"/>
          <w:szCs w:val="24"/>
        </w:rPr>
        <w:t xml:space="preserve">Assets: </w:t>
      </w:r>
      <w:proofErr w:type="spellStart"/>
      <w:r w:rsidRPr="000042D0">
        <w:rPr>
          <w:rFonts w:ascii="Arial" w:hAnsi="Arial" w:cs="Arial"/>
          <w:i/>
          <w:iCs/>
          <w:sz w:val="24"/>
          <w:szCs w:val="24"/>
        </w:rPr>
        <w:t>Jurnal</w:t>
      </w:r>
      <w:proofErr w:type="spellEnd"/>
      <w:r w:rsidRPr="000042D0">
        <w:rPr>
          <w:rFonts w:ascii="Arial" w:hAnsi="Arial" w:cs="Arial"/>
          <w:i/>
          <w:iCs/>
          <w:sz w:val="24"/>
          <w:szCs w:val="24"/>
        </w:rPr>
        <w:t xml:space="preserve"> </w:t>
      </w:r>
      <w:proofErr w:type="spellStart"/>
      <w:r w:rsidRPr="000042D0">
        <w:rPr>
          <w:rFonts w:ascii="Arial" w:hAnsi="Arial" w:cs="Arial"/>
          <w:i/>
          <w:iCs/>
          <w:sz w:val="24"/>
          <w:szCs w:val="24"/>
        </w:rPr>
        <w:t>Ilmiah</w:t>
      </w:r>
      <w:proofErr w:type="spellEnd"/>
      <w:r w:rsidRPr="000042D0">
        <w:rPr>
          <w:rFonts w:ascii="Arial" w:hAnsi="Arial" w:cs="Arial"/>
          <w:i/>
          <w:iCs/>
          <w:sz w:val="24"/>
          <w:szCs w:val="24"/>
        </w:rPr>
        <w:t xml:space="preserve"> </w:t>
      </w:r>
      <w:proofErr w:type="spellStart"/>
      <w:r w:rsidRPr="000042D0">
        <w:rPr>
          <w:rFonts w:ascii="Arial" w:hAnsi="Arial" w:cs="Arial"/>
          <w:i/>
          <w:iCs/>
          <w:sz w:val="24"/>
          <w:szCs w:val="24"/>
        </w:rPr>
        <w:t>Ilmu</w:t>
      </w:r>
      <w:proofErr w:type="spellEnd"/>
      <w:r w:rsidRPr="000042D0">
        <w:rPr>
          <w:rFonts w:ascii="Arial" w:hAnsi="Arial" w:cs="Arial"/>
          <w:i/>
          <w:iCs/>
          <w:sz w:val="24"/>
          <w:szCs w:val="24"/>
        </w:rPr>
        <w:t xml:space="preserve"> </w:t>
      </w:r>
      <w:proofErr w:type="spellStart"/>
      <w:r w:rsidRPr="000042D0">
        <w:rPr>
          <w:rFonts w:ascii="Arial" w:hAnsi="Arial" w:cs="Arial"/>
          <w:i/>
          <w:iCs/>
          <w:sz w:val="24"/>
          <w:szCs w:val="24"/>
        </w:rPr>
        <w:t>Akuntansi</w:t>
      </w:r>
      <w:proofErr w:type="spellEnd"/>
      <w:r w:rsidRPr="000042D0">
        <w:rPr>
          <w:rFonts w:ascii="Arial" w:hAnsi="Arial" w:cs="Arial"/>
          <w:i/>
          <w:iCs/>
          <w:sz w:val="24"/>
          <w:szCs w:val="24"/>
        </w:rPr>
        <w:t xml:space="preserve">, </w:t>
      </w:r>
      <w:proofErr w:type="spellStart"/>
      <w:r w:rsidRPr="000042D0">
        <w:rPr>
          <w:rFonts w:ascii="Arial" w:hAnsi="Arial" w:cs="Arial"/>
          <w:i/>
          <w:iCs/>
          <w:sz w:val="24"/>
          <w:szCs w:val="24"/>
        </w:rPr>
        <w:t>Keuangan</w:t>
      </w:r>
      <w:proofErr w:type="spellEnd"/>
      <w:r w:rsidRPr="000042D0">
        <w:rPr>
          <w:rFonts w:ascii="Arial" w:hAnsi="Arial" w:cs="Arial"/>
          <w:i/>
          <w:iCs/>
          <w:sz w:val="24"/>
          <w:szCs w:val="24"/>
        </w:rPr>
        <w:t xml:space="preserve"> Dan </w:t>
      </w:r>
      <w:proofErr w:type="spellStart"/>
      <w:r w:rsidRPr="000042D0">
        <w:rPr>
          <w:rFonts w:ascii="Arial" w:hAnsi="Arial" w:cs="Arial"/>
          <w:i/>
          <w:iCs/>
          <w:sz w:val="24"/>
          <w:szCs w:val="24"/>
        </w:rPr>
        <w:t>Pajak</w:t>
      </w:r>
      <w:proofErr w:type="spellEnd"/>
      <w:r w:rsidRPr="000042D0">
        <w:rPr>
          <w:rFonts w:ascii="Arial" w:hAnsi="Arial" w:cs="Arial"/>
          <w:sz w:val="24"/>
          <w:szCs w:val="24"/>
        </w:rPr>
        <w:t>, </w:t>
      </w:r>
      <w:r w:rsidRPr="000042D0">
        <w:rPr>
          <w:rFonts w:ascii="Arial" w:hAnsi="Arial" w:cs="Arial"/>
          <w:i/>
          <w:iCs/>
          <w:sz w:val="24"/>
          <w:szCs w:val="24"/>
        </w:rPr>
        <w:t>7</w:t>
      </w:r>
      <w:r w:rsidRPr="000042D0">
        <w:rPr>
          <w:rFonts w:ascii="Arial" w:hAnsi="Arial" w:cs="Arial"/>
          <w:sz w:val="24"/>
          <w:szCs w:val="24"/>
        </w:rPr>
        <w:t>(2), pp.1-7.</w:t>
      </w:r>
    </w:p>
    <w:p w14:paraId="4C81C270" w14:textId="77777777" w:rsidR="00E614DC" w:rsidRPr="000042D0" w:rsidRDefault="00E614DC" w:rsidP="009C725D">
      <w:pPr>
        <w:spacing w:before="240" w:line="360" w:lineRule="auto"/>
        <w:jc w:val="both"/>
        <w:rPr>
          <w:rFonts w:ascii="Arial" w:hAnsi="Arial" w:cs="Arial"/>
          <w:sz w:val="24"/>
          <w:szCs w:val="24"/>
        </w:rPr>
      </w:pPr>
      <w:proofErr w:type="spellStart"/>
      <w:r w:rsidRPr="000042D0">
        <w:rPr>
          <w:rFonts w:ascii="Arial" w:hAnsi="Arial" w:cs="Arial"/>
          <w:sz w:val="24"/>
          <w:szCs w:val="24"/>
        </w:rPr>
        <w:t>Kristiana</w:t>
      </w:r>
      <w:proofErr w:type="spellEnd"/>
      <w:r w:rsidRPr="000042D0">
        <w:rPr>
          <w:rFonts w:ascii="Arial" w:hAnsi="Arial" w:cs="Arial"/>
          <w:sz w:val="24"/>
          <w:szCs w:val="24"/>
        </w:rPr>
        <w:t xml:space="preserve">, D. and </w:t>
      </w:r>
      <w:proofErr w:type="spellStart"/>
      <w:r w:rsidRPr="000042D0">
        <w:rPr>
          <w:rFonts w:ascii="Arial" w:hAnsi="Arial" w:cs="Arial"/>
          <w:sz w:val="24"/>
          <w:szCs w:val="24"/>
        </w:rPr>
        <w:t>Karnasi</w:t>
      </w:r>
      <w:proofErr w:type="spellEnd"/>
      <w:r w:rsidRPr="000042D0">
        <w:rPr>
          <w:rFonts w:ascii="Arial" w:hAnsi="Arial" w:cs="Arial"/>
          <w:sz w:val="24"/>
          <w:szCs w:val="24"/>
        </w:rPr>
        <w:t>, R., 2023. The Effect of Working Capital on Return on Assets and Return on Equity. </w:t>
      </w:r>
      <w:r w:rsidRPr="000042D0">
        <w:rPr>
          <w:rFonts w:ascii="Arial" w:hAnsi="Arial" w:cs="Arial"/>
          <w:i/>
          <w:iCs/>
          <w:sz w:val="24"/>
          <w:szCs w:val="24"/>
        </w:rPr>
        <w:t>Syntax Idea</w:t>
      </w:r>
      <w:r w:rsidRPr="000042D0">
        <w:rPr>
          <w:rFonts w:ascii="Arial" w:hAnsi="Arial" w:cs="Arial"/>
          <w:sz w:val="24"/>
          <w:szCs w:val="24"/>
        </w:rPr>
        <w:t>, </w:t>
      </w:r>
      <w:r w:rsidRPr="000042D0">
        <w:rPr>
          <w:rFonts w:ascii="Arial" w:hAnsi="Arial" w:cs="Arial"/>
          <w:i/>
          <w:iCs/>
          <w:sz w:val="24"/>
          <w:szCs w:val="24"/>
        </w:rPr>
        <w:t>5</w:t>
      </w:r>
      <w:r w:rsidRPr="000042D0">
        <w:rPr>
          <w:rFonts w:ascii="Arial" w:hAnsi="Arial" w:cs="Arial"/>
          <w:sz w:val="24"/>
          <w:szCs w:val="24"/>
        </w:rPr>
        <w:t>(10), pp.1843-1847.</w:t>
      </w:r>
    </w:p>
    <w:p w14:paraId="290D1B54" w14:textId="77777777" w:rsidR="00E614DC" w:rsidRPr="000042D0" w:rsidRDefault="00E614DC" w:rsidP="009C725D">
      <w:pPr>
        <w:spacing w:before="240" w:line="360" w:lineRule="auto"/>
        <w:jc w:val="both"/>
        <w:rPr>
          <w:rFonts w:ascii="Arial" w:hAnsi="Arial" w:cs="Arial"/>
          <w:sz w:val="24"/>
          <w:szCs w:val="24"/>
        </w:rPr>
      </w:pPr>
      <w:r w:rsidRPr="000042D0">
        <w:rPr>
          <w:rFonts w:ascii="Arial" w:hAnsi="Arial" w:cs="Arial"/>
          <w:sz w:val="24"/>
          <w:szCs w:val="24"/>
        </w:rPr>
        <w:t xml:space="preserve">Lefebvre, V., 2022. Performance, working capital management, and the liability of smallness: a question of opportunity </w:t>
      </w:r>
      <w:proofErr w:type="gramStart"/>
      <w:r w:rsidRPr="000042D0">
        <w:rPr>
          <w:rFonts w:ascii="Arial" w:hAnsi="Arial" w:cs="Arial"/>
          <w:sz w:val="24"/>
          <w:szCs w:val="24"/>
        </w:rPr>
        <w:t>costs?.</w:t>
      </w:r>
      <w:proofErr w:type="gramEnd"/>
      <w:r w:rsidRPr="000042D0">
        <w:rPr>
          <w:rFonts w:ascii="Arial" w:hAnsi="Arial" w:cs="Arial"/>
          <w:sz w:val="24"/>
          <w:szCs w:val="24"/>
        </w:rPr>
        <w:t> </w:t>
      </w:r>
      <w:r w:rsidRPr="000042D0">
        <w:rPr>
          <w:rFonts w:ascii="Arial" w:hAnsi="Arial" w:cs="Arial"/>
          <w:i/>
          <w:iCs/>
          <w:sz w:val="24"/>
          <w:szCs w:val="24"/>
        </w:rPr>
        <w:t>Journal of Small Business Management</w:t>
      </w:r>
      <w:r w:rsidRPr="000042D0">
        <w:rPr>
          <w:rFonts w:ascii="Arial" w:hAnsi="Arial" w:cs="Arial"/>
          <w:sz w:val="24"/>
          <w:szCs w:val="24"/>
        </w:rPr>
        <w:t>, </w:t>
      </w:r>
      <w:r w:rsidRPr="000042D0">
        <w:rPr>
          <w:rFonts w:ascii="Arial" w:hAnsi="Arial" w:cs="Arial"/>
          <w:i/>
          <w:iCs/>
          <w:sz w:val="24"/>
          <w:szCs w:val="24"/>
        </w:rPr>
        <w:t>60</w:t>
      </w:r>
      <w:r w:rsidRPr="000042D0">
        <w:rPr>
          <w:rFonts w:ascii="Arial" w:hAnsi="Arial" w:cs="Arial"/>
          <w:sz w:val="24"/>
          <w:szCs w:val="24"/>
        </w:rPr>
        <w:t>(3), pp.704-733.</w:t>
      </w:r>
    </w:p>
    <w:p w14:paraId="76DE3AC8" w14:textId="77777777" w:rsidR="00E614DC" w:rsidRPr="000042D0" w:rsidRDefault="00E614DC" w:rsidP="009C725D">
      <w:pPr>
        <w:spacing w:before="240" w:line="360" w:lineRule="auto"/>
        <w:jc w:val="both"/>
        <w:rPr>
          <w:rFonts w:ascii="Arial" w:hAnsi="Arial" w:cs="Arial"/>
          <w:sz w:val="24"/>
          <w:szCs w:val="24"/>
        </w:rPr>
      </w:pPr>
      <w:r w:rsidRPr="000042D0">
        <w:rPr>
          <w:rFonts w:ascii="Arial" w:hAnsi="Arial" w:cs="Arial"/>
          <w:sz w:val="24"/>
          <w:szCs w:val="24"/>
        </w:rPr>
        <w:lastRenderedPageBreak/>
        <w:t>Nguyen, L.T.M., Le, D., Vu, K.T. and Tran, T.K., 2023. The role of capital structure management in maintaining the financial stability of hotel firms during the pandemic—A global investigation. </w:t>
      </w:r>
      <w:r w:rsidRPr="000042D0">
        <w:rPr>
          <w:rFonts w:ascii="Arial" w:hAnsi="Arial" w:cs="Arial"/>
          <w:i/>
          <w:iCs/>
          <w:sz w:val="24"/>
          <w:szCs w:val="24"/>
        </w:rPr>
        <w:t>International Journal of Hospitality Management</w:t>
      </w:r>
      <w:r w:rsidRPr="000042D0">
        <w:rPr>
          <w:rFonts w:ascii="Arial" w:hAnsi="Arial" w:cs="Arial"/>
          <w:sz w:val="24"/>
          <w:szCs w:val="24"/>
        </w:rPr>
        <w:t>, </w:t>
      </w:r>
      <w:r w:rsidRPr="000042D0">
        <w:rPr>
          <w:rFonts w:ascii="Arial" w:hAnsi="Arial" w:cs="Arial"/>
          <w:i/>
          <w:iCs/>
          <w:sz w:val="24"/>
          <w:szCs w:val="24"/>
        </w:rPr>
        <w:t>109</w:t>
      </w:r>
      <w:r w:rsidRPr="000042D0">
        <w:rPr>
          <w:rFonts w:ascii="Arial" w:hAnsi="Arial" w:cs="Arial"/>
          <w:sz w:val="24"/>
          <w:szCs w:val="24"/>
        </w:rPr>
        <w:t>, p.103366.</w:t>
      </w:r>
    </w:p>
    <w:p w14:paraId="4681FF9F" w14:textId="77777777" w:rsidR="00E614DC" w:rsidRPr="000042D0" w:rsidRDefault="00E614DC" w:rsidP="009C725D">
      <w:pPr>
        <w:spacing w:before="240" w:line="360" w:lineRule="auto"/>
        <w:jc w:val="both"/>
        <w:rPr>
          <w:rFonts w:ascii="Arial" w:hAnsi="Arial" w:cs="Arial"/>
          <w:sz w:val="24"/>
          <w:szCs w:val="24"/>
        </w:rPr>
      </w:pPr>
      <w:proofErr w:type="spellStart"/>
      <w:r w:rsidRPr="000042D0">
        <w:rPr>
          <w:rFonts w:ascii="Arial" w:hAnsi="Arial" w:cs="Arial"/>
          <w:sz w:val="24"/>
          <w:szCs w:val="24"/>
        </w:rPr>
        <w:t>Nunden</w:t>
      </w:r>
      <w:proofErr w:type="spellEnd"/>
      <w:r w:rsidRPr="000042D0">
        <w:rPr>
          <w:rFonts w:ascii="Arial" w:hAnsi="Arial" w:cs="Arial"/>
          <w:sz w:val="24"/>
          <w:szCs w:val="24"/>
        </w:rPr>
        <w:t xml:space="preserve">, N., </w:t>
      </w:r>
      <w:proofErr w:type="spellStart"/>
      <w:r w:rsidRPr="000042D0">
        <w:rPr>
          <w:rFonts w:ascii="Arial" w:hAnsi="Arial" w:cs="Arial"/>
          <w:sz w:val="24"/>
          <w:szCs w:val="24"/>
        </w:rPr>
        <w:t>Abbana</w:t>
      </w:r>
      <w:proofErr w:type="spellEnd"/>
      <w:r w:rsidRPr="000042D0">
        <w:rPr>
          <w:rFonts w:ascii="Arial" w:hAnsi="Arial" w:cs="Arial"/>
          <w:sz w:val="24"/>
          <w:szCs w:val="24"/>
        </w:rPr>
        <w:t xml:space="preserve">, S., </w:t>
      </w:r>
      <w:proofErr w:type="spellStart"/>
      <w:r w:rsidRPr="000042D0">
        <w:rPr>
          <w:rFonts w:ascii="Arial" w:hAnsi="Arial" w:cs="Arial"/>
          <w:sz w:val="24"/>
          <w:szCs w:val="24"/>
        </w:rPr>
        <w:t>Marimuthu</w:t>
      </w:r>
      <w:proofErr w:type="spellEnd"/>
      <w:r w:rsidRPr="000042D0">
        <w:rPr>
          <w:rFonts w:ascii="Arial" w:hAnsi="Arial" w:cs="Arial"/>
          <w:sz w:val="24"/>
          <w:szCs w:val="24"/>
        </w:rPr>
        <w:t xml:space="preserve">, F. and </w:t>
      </w:r>
      <w:proofErr w:type="spellStart"/>
      <w:r w:rsidRPr="000042D0">
        <w:rPr>
          <w:rFonts w:ascii="Arial" w:hAnsi="Arial" w:cs="Arial"/>
          <w:sz w:val="24"/>
          <w:szCs w:val="24"/>
        </w:rPr>
        <w:t>Sentoo</w:t>
      </w:r>
      <w:proofErr w:type="spellEnd"/>
      <w:r w:rsidRPr="000042D0">
        <w:rPr>
          <w:rFonts w:ascii="Arial" w:hAnsi="Arial" w:cs="Arial"/>
          <w:sz w:val="24"/>
          <w:szCs w:val="24"/>
        </w:rPr>
        <w:t>, N., 2022. An assessment of management skills on capital budgeting planning and practices: evidence from the small and medium enterprise sector. </w:t>
      </w:r>
      <w:r w:rsidRPr="000042D0">
        <w:rPr>
          <w:rFonts w:ascii="Arial" w:hAnsi="Arial" w:cs="Arial"/>
          <w:i/>
          <w:iCs/>
          <w:sz w:val="24"/>
          <w:szCs w:val="24"/>
        </w:rPr>
        <w:t>Cogent Business &amp; Management</w:t>
      </w:r>
      <w:r w:rsidRPr="000042D0">
        <w:rPr>
          <w:rFonts w:ascii="Arial" w:hAnsi="Arial" w:cs="Arial"/>
          <w:sz w:val="24"/>
          <w:szCs w:val="24"/>
        </w:rPr>
        <w:t>, </w:t>
      </w:r>
      <w:r w:rsidRPr="000042D0">
        <w:rPr>
          <w:rFonts w:ascii="Arial" w:hAnsi="Arial" w:cs="Arial"/>
          <w:i/>
          <w:iCs/>
          <w:sz w:val="24"/>
          <w:szCs w:val="24"/>
        </w:rPr>
        <w:t>9</w:t>
      </w:r>
      <w:r w:rsidRPr="000042D0">
        <w:rPr>
          <w:rFonts w:ascii="Arial" w:hAnsi="Arial" w:cs="Arial"/>
          <w:sz w:val="24"/>
          <w:szCs w:val="24"/>
        </w:rPr>
        <w:t>(1), p.2136481.</w:t>
      </w:r>
    </w:p>
    <w:p w14:paraId="04383F12" w14:textId="77777777" w:rsidR="00E614DC" w:rsidRPr="000042D0" w:rsidRDefault="00E614DC" w:rsidP="009C725D">
      <w:pPr>
        <w:spacing w:before="240" w:line="360" w:lineRule="auto"/>
        <w:jc w:val="both"/>
        <w:rPr>
          <w:rFonts w:ascii="Arial" w:hAnsi="Arial" w:cs="Arial"/>
          <w:sz w:val="24"/>
          <w:szCs w:val="24"/>
        </w:rPr>
      </w:pPr>
      <w:proofErr w:type="spellStart"/>
      <w:r w:rsidRPr="000042D0">
        <w:rPr>
          <w:rFonts w:ascii="Arial" w:hAnsi="Arial" w:cs="Arial"/>
          <w:sz w:val="24"/>
          <w:szCs w:val="24"/>
        </w:rPr>
        <w:t>Okeke</w:t>
      </w:r>
      <w:proofErr w:type="spellEnd"/>
      <w:r w:rsidRPr="000042D0">
        <w:rPr>
          <w:rFonts w:ascii="Arial" w:hAnsi="Arial" w:cs="Arial"/>
          <w:sz w:val="24"/>
          <w:szCs w:val="24"/>
        </w:rPr>
        <w:t xml:space="preserve">, N.I., </w:t>
      </w:r>
      <w:proofErr w:type="spellStart"/>
      <w:r w:rsidRPr="000042D0">
        <w:rPr>
          <w:rFonts w:ascii="Arial" w:hAnsi="Arial" w:cs="Arial"/>
          <w:sz w:val="24"/>
          <w:szCs w:val="24"/>
        </w:rPr>
        <w:t>Bakare</w:t>
      </w:r>
      <w:proofErr w:type="spellEnd"/>
      <w:r w:rsidRPr="000042D0">
        <w:rPr>
          <w:rFonts w:ascii="Arial" w:hAnsi="Arial" w:cs="Arial"/>
          <w:sz w:val="24"/>
          <w:szCs w:val="24"/>
        </w:rPr>
        <w:t xml:space="preserve">, O.A. and </w:t>
      </w:r>
      <w:proofErr w:type="spellStart"/>
      <w:r w:rsidRPr="000042D0">
        <w:rPr>
          <w:rFonts w:ascii="Arial" w:hAnsi="Arial" w:cs="Arial"/>
          <w:sz w:val="24"/>
          <w:szCs w:val="24"/>
        </w:rPr>
        <w:t>Achumie</w:t>
      </w:r>
      <w:proofErr w:type="spellEnd"/>
      <w:r w:rsidRPr="000042D0">
        <w:rPr>
          <w:rFonts w:ascii="Arial" w:hAnsi="Arial" w:cs="Arial"/>
          <w:sz w:val="24"/>
          <w:szCs w:val="24"/>
        </w:rPr>
        <w:t>, G.O., 2024. Forecasting financial stability in SMEs: A comprehensive analysis of strategic budgeting and revenue management. </w:t>
      </w:r>
      <w:r w:rsidRPr="000042D0">
        <w:rPr>
          <w:rFonts w:ascii="Arial" w:hAnsi="Arial" w:cs="Arial"/>
          <w:i/>
          <w:iCs/>
          <w:sz w:val="24"/>
          <w:szCs w:val="24"/>
        </w:rPr>
        <w:t>Open Access Research Journal of Multidisciplinary Studies</w:t>
      </w:r>
      <w:r w:rsidRPr="000042D0">
        <w:rPr>
          <w:rFonts w:ascii="Arial" w:hAnsi="Arial" w:cs="Arial"/>
          <w:sz w:val="24"/>
          <w:szCs w:val="24"/>
        </w:rPr>
        <w:t>, </w:t>
      </w:r>
      <w:r w:rsidRPr="000042D0">
        <w:rPr>
          <w:rFonts w:ascii="Arial" w:hAnsi="Arial" w:cs="Arial"/>
          <w:i/>
          <w:iCs/>
          <w:sz w:val="24"/>
          <w:szCs w:val="24"/>
        </w:rPr>
        <w:t>8</w:t>
      </w:r>
      <w:r w:rsidRPr="000042D0">
        <w:rPr>
          <w:rFonts w:ascii="Arial" w:hAnsi="Arial" w:cs="Arial"/>
          <w:sz w:val="24"/>
          <w:szCs w:val="24"/>
        </w:rPr>
        <w:t>(1), pp.139-149.</w:t>
      </w:r>
    </w:p>
    <w:p w14:paraId="7CD853E0" w14:textId="77777777" w:rsidR="00E614DC" w:rsidRPr="000042D0" w:rsidRDefault="00E614DC" w:rsidP="009C725D">
      <w:pPr>
        <w:spacing w:before="240" w:line="360" w:lineRule="auto"/>
        <w:jc w:val="both"/>
        <w:rPr>
          <w:rFonts w:ascii="Arial" w:hAnsi="Arial" w:cs="Arial"/>
          <w:sz w:val="24"/>
          <w:szCs w:val="24"/>
        </w:rPr>
      </w:pPr>
      <w:proofErr w:type="spellStart"/>
      <w:r w:rsidRPr="000042D0">
        <w:rPr>
          <w:rFonts w:ascii="Arial" w:hAnsi="Arial" w:cs="Arial"/>
          <w:sz w:val="24"/>
          <w:szCs w:val="24"/>
        </w:rPr>
        <w:t>Purnamasari</w:t>
      </w:r>
      <w:proofErr w:type="spellEnd"/>
      <w:r w:rsidRPr="000042D0">
        <w:rPr>
          <w:rFonts w:ascii="Arial" w:hAnsi="Arial" w:cs="Arial"/>
          <w:sz w:val="24"/>
          <w:szCs w:val="24"/>
        </w:rPr>
        <w:t xml:space="preserve">, P. and </w:t>
      </w:r>
      <w:proofErr w:type="spellStart"/>
      <w:r w:rsidRPr="000042D0">
        <w:rPr>
          <w:rFonts w:ascii="Arial" w:hAnsi="Arial" w:cs="Arial"/>
          <w:sz w:val="24"/>
          <w:szCs w:val="24"/>
        </w:rPr>
        <w:t>Adriza</w:t>
      </w:r>
      <w:proofErr w:type="spellEnd"/>
      <w:r w:rsidRPr="000042D0">
        <w:rPr>
          <w:rFonts w:ascii="Arial" w:hAnsi="Arial" w:cs="Arial"/>
          <w:sz w:val="24"/>
          <w:szCs w:val="24"/>
        </w:rPr>
        <w:t>, 2024. Capital budgeting techniques and financial performance: a comparison between SMEs and large listed firms. </w:t>
      </w:r>
      <w:r w:rsidRPr="000042D0">
        <w:rPr>
          <w:rFonts w:ascii="Arial" w:hAnsi="Arial" w:cs="Arial"/>
          <w:i/>
          <w:iCs/>
          <w:sz w:val="24"/>
          <w:szCs w:val="24"/>
        </w:rPr>
        <w:t>Cogent Economics &amp; Finance</w:t>
      </w:r>
      <w:r w:rsidRPr="000042D0">
        <w:rPr>
          <w:rFonts w:ascii="Arial" w:hAnsi="Arial" w:cs="Arial"/>
          <w:sz w:val="24"/>
          <w:szCs w:val="24"/>
        </w:rPr>
        <w:t>, </w:t>
      </w:r>
      <w:r w:rsidRPr="000042D0">
        <w:rPr>
          <w:rFonts w:ascii="Arial" w:hAnsi="Arial" w:cs="Arial"/>
          <w:i/>
          <w:iCs/>
          <w:sz w:val="24"/>
          <w:szCs w:val="24"/>
        </w:rPr>
        <w:t>12</w:t>
      </w:r>
      <w:r w:rsidRPr="000042D0">
        <w:rPr>
          <w:rFonts w:ascii="Arial" w:hAnsi="Arial" w:cs="Arial"/>
          <w:sz w:val="24"/>
          <w:szCs w:val="24"/>
        </w:rPr>
        <w:t>(1), p.2404707.</w:t>
      </w:r>
    </w:p>
    <w:p w14:paraId="1216BD60" w14:textId="77777777" w:rsidR="00E614DC" w:rsidRPr="000042D0" w:rsidRDefault="00E614DC" w:rsidP="009C725D">
      <w:pPr>
        <w:spacing w:before="240" w:line="360" w:lineRule="auto"/>
        <w:jc w:val="both"/>
        <w:rPr>
          <w:rFonts w:ascii="Arial" w:hAnsi="Arial" w:cs="Arial"/>
          <w:sz w:val="24"/>
          <w:szCs w:val="24"/>
        </w:rPr>
      </w:pPr>
      <w:proofErr w:type="spellStart"/>
      <w:r w:rsidRPr="000042D0">
        <w:rPr>
          <w:rFonts w:ascii="Arial" w:hAnsi="Arial" w:cs="Arial"/>
          <w:sz w:val="24"/>
          <w:szCs w:val="24"/>
        </w:rPr>
        <w:t>Puwanenthiren</w:t>
      </w:r>
      <w:proofErr w:type="spellEnd"/>
      <w:r w:rsidRPr="000042D0">
        <w:rPr>
          <w:rFonts w:ascii="Arial" w:hAnsi="Arial" w:cs="Arial"/>
          <w:sz w:val="24"/>
          <w:szCs w:val="24"/>
        </w:rPr>
        <w:t>, P., 2024. National development level effects on capital budgeting practices: a comparative study of nature vs nurture. </w:t>
      </w:r>
      <w:r w:rsidRPr="000042D0">
        <w:rPr>
          <w:rFonts w:ascii="Arial" w:hAnsi="Arial" w:cs="Arial"/>
          <w:i/>
          <w:iCs/>
          <w:sz w:val="24"/>
          <w:szCs w:val="24"/>
        </w:rPr>
        <w:t>PSU Research Review</w:t>
      </w:r>
      <w:r w:rsidRPr="000042D0">
        <w:rPr>
          <w:rFonts w:ascii="Arial" w:hAnsi="Arial" w:cs="Arial"/>
          <w:sz w:val="24"/>
          <w:szCs w:val="24"/>
        </w:rPr>
        <w:t>, </w:t>
      </w:r>
      <w:r w:rsidRPr="000042D0">
        <w:rPr>
          <w:rFonts w:ascii="Arial" w:hAnsi="Arial" w:cs="Arial"/>
          <w:i/>
          <w:iCs/>
          <w:sz w:val="24"/>
          <w:szCs w:val="24"/>
        </w:rPr>
        <w:t>8</w:t>
      </w:r>
      <w:r w:rsidRPr="000042D0">
        <w:rPr>
          <w:rFonts w:ascii="Arial" w:hAnsi="Arial" w:cs="Arial"/>
          <w:sz w:val="24"/>
          <w:szCs w:val="24"/>
        </w:rPr>
        <w:t>(1), pp.227-247.</w:t>
      </w:r>
    </w:p>
    <w:p w14:paraId="0D6BCF3D" w14:textId="77777777" w:rsidR="00E614DC" w:rsidRPr="000042D0" w:rsidRDefault="00E614DC" w:rsidP="009C725D">
      <w:pPr>
        <w:spacing w:before="240" w:line="360" w:lineRule="auto"/>
        <w:jc w:val="both"/>
        <w:rPr>
          <w:rFonts w:ascii="Arial" w:hAnsi="Arial" w:cs="Arial"/>
          <w:sz w:val="24"/>
          <w:szCs w:val="24"/>
        </w:rPr>
      </w:pPr>
      <w:proofErr w:type="spellStart"/>
      <w:r w:rsidRPr="000042D0">
        <w:rPr>
          <w:rFonts w:ascii="Arial" w:hAnsi="Arial" w:cs="Arial"/>
          <w:sz w:val="24"/>
          <w:szCs w:val="24"/>
        </w:rPr>
        <w:t>Rodeiro</w:t>
      </w:r>
      <w:r w:rsidRPr="000042D0">
        <w:rPr>
          <w:rFonts w:ascii="Cambria Math" w:hAnsi="Cambria Math" w:cs="Cambria Math"/>
          <w:sz w:val="24"/>
          <w:szCs w:val="24"/>
        </w:rPr>
        <w:t>‐</w:t>
      </w:r>
      <w:r w:rsidRPr="000042D0">
        <w:rPr>
          <w:rFonts w:ascii="Arial" w:hAnsi="Arial" w:cs="Arial"/>
          <w:sz w:val="24"/>
          <w:szCs w:val="24"/>
        </w:rPr>
        <w:t>Pazos</w:t>
      </w:r>
      <w:proofErr w:type="spellEnd"/>
      <w:r w:rsidRPr="000042D0">
        <w:rPr>
          <w:rFonts w:ascii="Arial" w:hAnsi="Arial" w:cs="Arial"/>
          <w:sz w:val="24"/>
          <w:szCs w:val="24"/>
        </w:rPr>
        <w:t xml:space="preserve">, D., </w:t>
      </w:r>
      <w:proofErr w:type="spellStart"/>
      <w:r w:rsidRPr="000042D0">
        <w:rPr>
          <w:rFonts w:ascii="Arial" w:hAnsi="Arial" w:cs="Arial"/>
          <w:sz w:val="24"/>
          <w:szCs w:val="24"/>
        </w:rPr>
        <w:t>Fernández</w:t>
      </w:r>
      <w:r w:rsidRPr="000042D0">
        <w:rPr>
          <w:rFonts w:ascii="Cambria Math" w:hAnsi="Cambria Math" w:cs="Cambria Math"/>
          <w:sz w:val="24"/>
          <w:szCs w:val="24"/>
        </w:rPr>
        <w:t>‐</w:t>
      </w:r>
      <w:r w:rsidRPr="000042D0">
        <w:rPr>
          <w:rFonts w:ascii="Arial" w:hAnsi="Arial" w:cs="Arial"/>
          <w:sz w:val="24"/>
          <w:szCs w:val="24"/>
        </w:rPr>
        <w:t>López</w:t>
      </w:r>
      <w:proofErr w:type="spellEnd"/>
      <w:r w:rsidRPr="000042D0">
        <w:rPr>
          <w:rFonts w:ascii="Arial" w:hAnsi="Arial" w:cs="Arial"/>
          <w:sz w:val="24"/>
          <w:szCs w:val="24"/>
        </w:rPr>
        <w:t>, S., Rios</w:t>
      </w:r>
      <w:r w:rsidRPr="000042D0">
        <w:rPr>
          <w:rFonts w:ascii="Cambria Math" w:hAnsi="Cambria Math" w:cs="Cambria Math"/>
          <w:sz w:val="24"/>
          <w:szCs w:val="24"/>
        </w:rPr>
        <w:t>‐</w:t>
      </w:r>
      <w:r w:rsidRPr="000042D0">
        <w:rPr>
          <w:rFonts w:ascii="Arial" w:hAnsi="Arial" w:cs="Arial"/>
          <w:sz w:val="24"/>
          <w:szCs w:val="24"/>
        </w:rPr>
        <w:t>Rodríguez, R. and Dios</w:t>
      </w:r>
      <w:r w:rsidRPr="000042D0">
        <w:rPr>
          <w:rFonts w:ascii="Cambria Math" w:hAnsi="Cambria Math" w:cs="Cambria Math"/>
          <w:sz w:val="24"/>
          <w:szCs w:val="24"/>
        </w:rPr>
        <w:t>‐</w:t>
      </w:r>
      <w:r w:rsidRPr="000042D0">
        <w:rPr>
          <w:rFonts w:ascii="Arial" w:hAnsi="Arial" w:cs="Arial"/>
          <w:sz w:val="24"/>
          <w:szCs w:val="24"/>
        </w:rPr>
        <w:t>Vicente, A., 2023. Working capital management and firm sales growth: Evidence from fish processing industry. </w:t>
      </w:r>
      <w:r w:rsidRPr="000042D0">
        <w:rPr>
          <w:rFonts w:ascii="Arial" w:hAnsi="Arial" w:cs="Arial"/>
          <w:i/>
          <w:iCs/>
          <w:sz w:val="24"/>
          <w:szCs w:val="24"/>
        </w:rPr>
        <w:t>Agribusiness</w:t>
      </w:r>
      <w:r w:rsidRPr="000042D0">
        <w:rPr>
          <w:rFonts w:ascii="Arial" w:hAnsi="Arial" w:cs="Arial"/>
          <w:sz w:val="24"/>
          <w:szCs w:val="24"/>
        </w:rPr>
        <w:t>, </w:t>
      </w:r>
      <w:r w:rsidRPr="000042D0">
        <w:rPr>
          <w:rFonts w:ascii="Arial" w:hAnsi="Arial" w:cs="Arial"/>
          <w:i/>
          <w:iCs/>
          <w:sz w:val="24"/>
          <w:szCs w:val="24"/>
        </w:rPr>
        <w:t>39</w:t>
      </w:r>
      <w:r w:rsidRPr="000042D0">
        <w:rPr>
          <w:rFonts w:ascii="Arial" w:hAnsi="Arial" w:cs="Arial"/>
          <w:sz w:val="24"/>
          <w:szCs w:val="24"/>
        </w:rPr>
        <w:t>(4), pp.1254-1278.</w:t>
      </w:r>
    </w:p>
    <w:p w14:paraId="7BFA15F2" w14:textId="77777777" w:rsidR="00E614DC" w:rsidRPr="000042D0" w:rsidRDefault="00E614DC" w:rsidP="009C725D">
      <w:pPr>
        <w:spacing w:before="240" w:line="360" w:lineRule="auto"/>
        <w:jc w:val="both"/>
        <w:rPr>
          <w:rFonts w:ascii="Arial" w:hAnsi="Arial" w:cs="Arial"/>
          <w:sz w:val="24"/>
          <w:szCs w:val="24"/>
        </w:rPr>
      </w:pPr>
      <w:r w:rsidRPr="000042D0">
        <w:rPr>
          <w:rFonts w:ascii="Arial" w:hAnsi="Arial" w:cs="Arial"/>
          <w:sz w:val="24"/>
          <w:szCs w:val="24"/>
        </w:rPr>
        <w:t xml:space="preserve">Schroeder, R.G., Clark, M.W. and </w:t>
      </w:r>
      <w:proofErr w:type="spellStart"/>
      <w:r w:rsidRPr="000042D0">
        <w:rPr>
          <w:rFonts w:ascii="Arial" w:hAnsi="Arial" w:cs="Arial"/>
          <w:sz w:val="24"/>
          <w:szCs w:val="24"/>
        </w:rPr>
        <w:t>Cathey</w:t>
      </w:r>
      <w:proofErr w:type="spellEnd"/>
      <w:r w:rsidRPr="000042D0">
        <w:rPr>
          <w:rFonts w:ascii="Arial" w:hAnsi="Arial" w:cs="Arial"/>
          <w:sz w:val="24"/>
          <w:szCs w:val="24"/>
        </w:rPr>
        <w:t>, J.M., 2022. </w:t>
      </w:r>
      <w:r w:rsidRPr="000042D0">
        <w:rPr>
          <w:rFonts w:ascii="Arial" w:hAnsi="Arial" w:cs="Arial"/>
          <w:i/>
          <w:iCs/>
          <w:sz w:val="24"/>
          <w:szCs w:val="24"/>
        </w:rPr>
        <w:t>Financial accounting theory and analysis: text and cases</w:t>
      </w:r>
      <w:r w:rsidRPr="000042D0">
        <w:rPr>
          <w:rFonts w:ascii="Arial" w:hAnsi="Arial" w:cs="Arial"/>
          <w:sz w:val="24"/>
          <w:szCs w:val="24"/>
        </w:rPr>
        <w:t>. John Wiley &amp; Sons.</w:t>
      </w:r>
    </w:p>
    <w:p w14:paraId="4428ED5C" w14:textId="77777777" w:rsidR="00E614DC" w:rsidRPr="000042D0" w:rsidRDefault="00E614DC" w:rsidP="009C725D">
      <w:pPr>
        <w:spacing w:before="240" w:line="360" w:lineRule="auto"/>
        <w:jc w:val="both"/>
        <w:rPr>
          <w:rFonts w:ascii="Arial" w:hAnsi="Arial" w:cs="Arial"/>
          <w:sz w:val="24"/>
          <w:szCs w:val="24"/>
        </w:rPr>
      </w:pPr>
      <w:r w:rsidRPr="000042D0">
        <w:rPr>
          <w:rFonts w:ascii="Arial" w:hAnsi="Arial" w:cs="Arial"/>
          <w:sz w:val="24"/>
          <w:szCs w:val="24"/>
        </w:rPr>
        <w:t xml:space="preserve">Zhang, D. and </w:t>
      </w:r>
      <w:proofErr w:type="spellStart"/>
      <w:r w:rsidRPr="000042D0">
        <w:rPr>
          <w:rFonts w:ascii="Arial" w:hAnsi="Arial" w:cs="Arial"/>
          <w:sz w:val="24"/>
          <w:szCs w:val="24"/>
        </w:rPr>
        <w:t>Xie</w:t>
      </w:r>
      <w:proofErr w:type="spellEnd"/>
      <w:r w:rsidRPr="000042D0">
        <w:rPr>
          <w:rFonts w:ascii="Arial" w:hAnsi="Arial" w:cs="Arial"/>
          <w:sz w:val="24"/>
          <w:szCs w:val="24"/>
        </w:rPr>
        <w:t>, J., 2023. Influence of tourism seasonality and financial ratios on hotels’ exit risk. </w:t>
      </w:r>
      <w:r w:rsidRPr="000042D0">
        <w:rPr>
          <w:rFonts w:ascii="Arial" w:hAnsi="Arial" w:cs="Arial"/>
          <w:i/>
          <w:iCs/>
          <w:sz w:val="24"/>
          <w:szCs w:val="24"/>
        </w:rPr>
        <w:t>Journal of Hospitality &amp; Tourism Research</w:t>
      </w:r>
      <w:r w:rsidRPr="000042D0">
        <w:rPr>
          <w:rFonts w:ascii="Arial" w:hAnsi="Arial" w:cs="Arial"/>
          <w:sz w:val="24"/>
          <w:szCs w:val="24"/>
        </w:rPr>
        <w:t>, </w:t>
      </w:r>
      <w:r w:rsidRPr="000042D0">
        <w:rPr>
          <w:rFonts w:ascii="Arial" w:hAnsi="Arial" w:cs="Arial"/>
          <w:i/>
          <w:iCs/>
          <w:sz w:val="24"/>
          <w:szCs w:val="24"/>
        </w:rPr>
        <w:t>47</w:t>
      </w:r>
      <w:r w:rsidRPr="000042D0">
        <w:rPr>
          <w:rFonts w:ascii="Arial" w:hAnsi="Arial" w:cs="Arial"/>
          <w:sz w:val="24"/>
          <w:szCs w:val="24"/>
        </w:rPr>
        <w:t>(4), pp.714-733.</w:t>
      </w:r>
    </w:p>
    <w:p w14:paraId="01A5B662" w14:textId="77777777" w:rsidR="00BA55DF" w:rsidRPr="00BA55DF" w:rsidRDefault="00BA55DF" w:rsidP="009C725D">
      <w:pPr>
        <w:spacing w:before="240" w:line="360" w:lineRule="auto"/>
        <w:jc w:val="both"/>
        <w:rPr>
          <w:rFonts w:ascii="Arial" w:hAnsi="Arial" w:cs="Arial"/>
          <w:sz w:val="24"/>
          <w:szCs w:val="24"/>
        </w:rPr>
      </w:pPr>
    </w:p>
    <w:p w14:paraId="67C22D38" w14:textId="77777777" w:rsidR="00802451" w:rsidRPr="000042D0" w:rsidRDefault="00802451" w:rsidP="009C725D">
      <w:pPr>
        <w:spacing w:before="240" w:line="360" w:lineRule="auto"/>
        <w:jc w:val="both"/>
        <w:rPr>
          <w:rFonts w:ascii="Arial" w:hAnsi="Arial" w:cs="Arial"/>
          <w:sz w:val="24"/>
          <w:szCs w:val="24"/>
        </w:rPr>
      </w:pPr>
    </w:p>
    <w:sectPr w:rsidR="00802451" w:rsidRPr="000042D0" w:rsidSect="00436D4F">
      <w:headerReference w:type="default" r:id="rId20"/>
      <w:footerReference w:type="default" r:id="rId21"/>
      <w:headerReference w:type="firs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3D9F18" w14:textId="77777777" w:rsidR="00353728" w:rsidRDefault="00353728" w:rsidP="00EC7B5F">
      <w:pPr>
        <w:spacing w:after="0" w:line="240" w:lineRule="auto"/>
      </w:pPr>
      <w:r>
        <w:separator/>
      </w:r>
    </w:p>
  </w:endnote>
  <w:endnote w:type="continuationSeparator" w:id="0">
    <w:p w14:paraId="4BCCD7A4" w14:textId="77777777" w:rsidR="00353728" w:rsidRDefault="00353728" w:rsidP="00EC7B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43524514"/>
      <w:docPartObj>
        <w:docPartGallery w:val="Page Numbers (Bottom of Page)"/>
        <w:docPartUnique/>
      </w:docPartObj>
    </w:sdtPr>
    <w:sdtEndPr>
      <w:rPr>
        <w:rFonts w:ascii="Arial" w:hAnsi="Arial" w:cs="Arial"/>
        <w:noProof/>
        <w:sz w:val="20"/>
        <w:szCs w:val="20"/>
      </w:rPr>
    </w:sdtEndPr>
    <w:sdtContent>
      <w:p w14:paraId="1CEA2783" w14:textId="7558EC1B" w:rsidR="00436D4F" w:rsidRPr="00436D4F" w:rsidRDefault="00436D4F">
        <w:pPr>
          <w:pStyle w:val="Footer"/>
          <w:jc w:val="right"/>
          <w:rPr>
            <w:rFonts w:ascii="Arial" w:hAnsi="Arial" w:cs="Arial"/>
            <w:sz w:val="20"/>
            <w:szCs w:val="20"/>
          </w:rPr>
        </w:pPr>
        <w:r w:rsidRPr="00436D4F">
          <w:rPr>
            <w:rFonts w:ascii="Arial" w:hAnsi="Arial" w:cs="Arial"/>
            <w:sz w:val="20"/>
            <w:szCs w:val="20"/>
          </w:rPr>
          <w:fldChar w:fldCharType="begin"/>
        </w:r>
        <w:r w:rsidRPr="00436D4F">
          <w:rPr>
            <w:rFonts w:ascii="Arial" w:hAnsi="Arial" w:cs="Arial"/>
            <w:sz w:val="20"/>
            <w:szCs w:val="20"/>
          </w:rPr>
          <w:instrText xml:space="preserve"> PAGE   \* MERGEFORMAT </w:instrText>
        </w:r>
        <w:r w:rsidRPr="00436D4F">
          <w:rPr>
            <w:rFonts w:ascii="Arial" w:hAnsi="Arial" w:cs="Arial"/>
            <w:sz w:val="20"/>
            <w:szCs w:val="20"/>
          </w:rPr>
          <w:fldChar w:fldCharType="separate"/>
        </w:r>
        <w:r w:rsidR="00CB4C82">
          <w:rPr>
            <w:rFonts w:ascii="Arial" w:hAnsi="Arial" w:cs="Arial"/>
            <w:noProof/>
            <w:sz w:val="20"/>
            <w:szCs w:val="20"/>
          </w:rPr>
          <w:t>2</w:t>
        </w:r>
        <w:r w:rsidRPr="00436D4F">
          <w:rPr>
            <w:rFonts w:ascii="Arial" w:hAnsi="Arial" w:cs="Arial"/>
            <w:noProof/>
            <w:sz w:val="20"/>
            <w:szCs w:val="20"/>
          </w:rPr>
          <w:fldChar w:fldCharType="end"/>
        </w:r>
      </w:p>
    </w:sdtContent>
  </w:sdt>
  <w:p w14:paraId="7F8375A6" w14:textId="77777777" w:rsidR="00436D4F" w:rsidRDefault="00436D4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4A6249" w14:textId="77777777" w:rsidR="00353728" w:rsidRDefault="00353728" w:rsidP="00EC7B5F">
      <w:pPr>
        <w:spacing w:after="0" w:line="240" w:lineRule="auto"/>
      </w:pPr>
      <w:r>
        <w:separator/>
      </w:r>
    </w:p>
  </w:footnote>
  <w:footnote w:type="continuationSeparator" w:id="0">
    <w:p w14:paraId="0DCFF963" w14:textId="77777777" w:rsidR="00353728" w:rsidRDefault="00353728" w:rsidP="00EC7B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470DD8" w14:textId="7535AAC0" w:rsidR="00EC7B5F" w:rsidRDefault="00EC7B5F">
    <w:pPr>
      <w:pStyle w:val="Header"/>
    </w:pPr>
    <w:r w:rsidRPr="00A406E5">
      <w:rPr>
        <w:rFonts w:ascii="Arial" w:hAnsi="Arial" w:cs="Arial"/>
        <w:noProof/>
        <w:lang w:val="en-IN" w:eastAsia="en-IN"/>
      </w:rPr>
      <w:drawing>
        <wp:anchor distT="0" distB="0" distL="114300" distR="114300" simplePos="0" relativeHeight="251659264" behindDoc="0" locked="0" layoutInCell="1" allowOverlap="1" wp14:anchorId="26E48675" wp14:editId="27F9BE05">
          <wp:simplePos x="0" y="0"/>
          <wp:positionH relativeFrom="margin">
            <wp:posOffset>-205740</wp:posOffset>
          </wp:positionH>
          <wp:positionV relativeFrom="paragraph">
            <wp:posOffset>-60960</wp:posOffset>
          </wp:positionV>
          <wp:extent cx="1402080" cy="510540"/>
          <wp:effectExtent l="0" t="0" r="7620" b="381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402080" cy="51054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E0DC3A" w14:textId="49822227" w:rsidR="004F02A7" w:rsidRDefault="004F02A7">
    <w:pPr>
      <w:pStyle w:val="Header"/>
    </w:pPr>
    <w:r w:rsidRPr="00A406E5">
      <w:rPr>
        <w:rFonts w:ascii="Arial" w:hAnsi="Arial" w:cs="Arial"/>
        <w:noProof/>
        <w:lang w:val="en-IN" w:eastAsia="en-IN"/>
      </w:rPr>
      <w:drawing>
        <wp:anchor distT="0" distB="0" distL="114300" distR="114300" simplePos="0" relativeHeight="251661312" behindDoc="0" locked="0" layoutInCell="1" allowOverlap="1" wp14:anchorId="20651ED1" wp14:editId="6B55E7C9">
          <wp:simplePos x="0" y="0"/>
          <wp:positionH relativeFrom="margin">
            <wp:posOffset>-190500</wp:posOffset>
          </wp:positionH>
          <wp:positionV relativeFrom="paragraph">
            <wp:posOffset>-53340</wp:posOffset>
          </wp:positionV>
          <wp:extent cx="1402080" cy="510540"/>
          <wp:effectExtent l="0" t="0" r="7620" b="3810"/>
          <wp:wrapSquare wrapText="bothSides"/>
          <wp:docPr id="14" name="Picture 1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402080" cy="51054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1EF5"/>
    <w:rsid w:val="000042D0"/>
    <w:rsid w:val="00017A92"/>
    <w:rsid w:val="00093588"/>
    <w:rsid w:val="000D7C91"/>
    <w:rsid w:val="00134402"/>
    <w:rsid w:val="00143437"/>
    <w:rsid w:val="00165170"/>
    <w:rsid w:val="001F13BF"/>
    <w:rsid w:val="001F70E3"/>
    <w:rsid w:val="00223DDA"/>
    <w:rsid w:val="00224E72"/>
    <w:rsid w:val="00233482"/>
    <w:rsid w:val="00234E15"/>
    <w:rsid w:val="00276972"/>
    <w:rsid w:val="002935DF"/>
    <w:rsid w:val="00295B3A"/>
    <w:rsid w:val="002B0F7C"/>
    <w:rsid w:val="00311A79"/>
    <w:rsid w:val="0032074A"/>
    <w:rsid w:val="00353728"/>
    <w:rsid w:val="00372537"/>
    <w:rsid w:val="003D0DF0"/>
    <w:rsid w:val="003D214B"/>
    <w:rsid w:val="00436D4F"/>
    <w:rsid w:val="00452C04"/>
    <w:rsid w:val="004C0102"/>
    <w:rsid w:val="004F02A7"/>
    <w:rsid w:val="005129CD"/>
    <w:rsid w:val="005402DD"/>
    <w:rsid w:val="00550FCF"/>
    <w:rsid w:val="00564275"/>
    <w:rsid w:val="005B34E9"/>
    <w:rsid w:val="00634CB5"/>
    <w:rsid w:val="00654304"/>
    <w:rsid w:val="00656AE1"/>
    <w:rsid w:val="006624E8"/>
    <w:rsid w:val="00691CFF"/>
    <w:rsid w:val="006C6885"/>
    <w:rsid w:val="006C6A34"/>
    <w:rsid w:val="00701EF5"/>
    <w:rsid w:val="00747DD6"/>
    <w:rsid w:val="00766BBB"/>
    <w:rsid w:val="007C2D24"/>
    <w:rsid w:val="00802451"/>
    <w:rsid w:val="00803D6A"/>
    <w:rsid w:val="00887B98"/>
    <w:rsid w:val="008C484F"/>
    <w:rsid w:val="008D54E2"/>
    <w:rsid w:val="008E54FF"/>
    <w:rsid w:val="00953F25"/>
    <w:rsid w:val="00994A8E"/>
    <w:rsid w:val="00995FE9"/>
    <w:rsid w:val="009C725D"/>
    <w:rsid w:val="00A04689"/>
    <w:rsid w:val="00A15CB6"/>
    <w:rsid w:val="00A30393"/>
    <w:rsid w:val="00AD10A8"/>
    <w:rsid w:val="00B769B4"/>
    <w:rsid w:val="00BA55DF"/>
    <w:rsid w:val="00BD4CD3"/>
    <w:rsid w:val="00BD62F5"/>
    <w:rsid w:val="00C111F4"/>
    <w:rsid w:val="00C1336E"/>
    <w:rsid w:val="00CB4C82"/>
    <w:rsid w:val="00CE7EF9"/>
    <w:rsid w:val="00D15F09"/>
    <w:rsid w:val="00D44DF2"/>
    <w:rsid w:val="00D56E53"/>
    <w:rsid w:val="00E614DC"/>
    <w:rsid w:val="00EC7B5F"/>
    <w:rsid w:val="00F023E4"/>
    <w:rsid w:val="00F32A75"/>
    <w:rsid w:val="00F86359"/>
    <w:rsid w:val="00FD16F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0C762"/>
  <w15:chartTrackingRefBased/>
  <w15:docId w15:val="{8FE873AB-B440-4F3F-8C11-4C928C9A8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D56E53"/>
    <w:pPr>
      <w:keepNext/>
      <w:keepLines/>
      <w:spacing w:before="240" w:after="0" w:line="360" w:lineRule="auto"/>
      <w:jc w:val="both"/>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autoRedefine/>
    <w:uiPriority w:val="9"/>
    <w:unhideWhenUsed/>
    <w:qFormat/>
    <w:rsid w:val="00D56E53"/>
    <w:pPr>
      <w:keepNext/>
      <w:keepLines/>
      <w:spacing w:before="40" w:after="0" w:line="360" w:lineRule="auto"/>
      <w:jc w:val="both"/>
      <w:outlineLvl w:val="1"/>
    </w:pPr>
    <w:rPr>
      <w:rFonts w:ascii="Arial" w:eastAsiaTheme="majorEastAsia" w:hAnsi="Arial"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7B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7B5F"/>
  </w:style>
  <w:style w:type="paragraph" w:styleId="Footer">
    <w:name w:val="footer"/>
    <w:basedOn w:val="Normal"/>
    <w:link w:val="FooterChar"/>
    <w:uiPriority w:val="99"/>
    <w:unhideWhenUsed/>
    <w:rsid w:val="00EC7B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7B5F"/>
  </w:style>
  <w:style w:type="paragraph" w:styleId="ListParagraph">
    <w:name w:val="List Paragraph"/>
    <w:basedOn w:val="Normal"/>
    <w:uiPriority w:val="34"/>
    <w:qFormat/>
    <w:rsid w:val="00D15F09"/>
    <w:pPr>
      <w:ind w:left="720"/>
      <w:contextualSpacing/>
    </w:pPr>
  </w:style>
  <w:style w:type="character" w:customStyle="1" w:styleId="Heading1Char">
    <w:name w:val="Heading 1 Char"/>
    <w:basedOn w:val="DefaultParagraphFont"/>
    <w:link w:val="Heading1"/>
    <w:uiPriority w:val="9"/>
    <w:rsid w:val="00D56E53"/>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D56E53"/>
    <w:rPr>
      <w:rFonts w:ascii="Arial" w:eastAsiaTheme="majorEastAsia" w:hAnsi="Arial" w:cstheme="majorBidi"/>
      <w:b/>
      <w:color w:val="000000" w:themeColor="text1"/>
      <w:sz w:val="24"/>
      <w:szCs w:val="26"/>
    </w:rPr>
  </w:style>
  <w:style w:type="paragraph" w:styleId="TOCHeading">
    <w:name w:val="TOC Heading"/>
    <w:basedOn w:val="Heading1"/>
    <w:next w:val="Normal"/>
    <w:uiPriority w:val="39"/>
    <w:unhideWhenUsed/>
    <w:qFormat/>
    <w:rsid w:val="00D56E53"/>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56E53"/>
    <w:pPr>
      <w:spacing w:after="100"/>
    </w:pPr>
  </w:style>
  <w:style w:type="paragraph" w:styleId="TOC2">
    <w:name w:val="toc 2"/>
    <w:basedOn w:val="Normal"/>
    <w:next w:val="Normal"/>
    <w:autoRedefine/>
    <w:uiPriority w:val="39"/>
    <w:unhideWhenUsed/>
    <w:rsid w:val="00D56E53"/>
    <w:pPr>
      <w:spacing w:after="100"/>
      <w:ind w:left="220"/>
    </w:pPr>
  </w:style>
  <w:style w:type="character" w:styleId="Hyperlink">
    <w:name w:val="Hyperlink"/>
    <w:basedOn w:val="DefaultParagraphFont"/>
    <w:uiPriority w:val="99"/>
    <w:unhideWhenUsed/>
    <w:rsid w:val="00D56E53"/>
    <w:rPr>
      <w:color w:val="0563C1" w:themeColor="hyperlink"/>
      <w:u w:val="single"/>
    </w:rPr>
  </w:style>
  <w:style w:type="character" w:customStyle="1" w:styleId="UnresolvedMention">
    <w:name w:val="Unresolved Mention"/>
    <w:basedOn w:val="DefaultParagraphFont"/>
    <w:uiPriority w:val="99"/>
    <w:semiHidden/>
    <w:unhideWhenUsed/>
    <w:rsid w:val="004C01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564030">
      <w:bodyDiv w:val="1"/>
      <w:marLeft w:val="0"/>
      <w:marRight w:val="0"/>
      <w:marTop w:val="0"/>
      <w:marBottom w:val="0"/>
      <w:divBdr>
        <w:top w:val="none" w:sz="0" w:space="0" w:color="auto"/>
        <w:left w:val="none" w:sz="0" w:space="0" w:color="auto"/>
        <w:bottom w:val="none" w:sz="0" w:space="0" w:color="auto"/>
        <w:right w:val="none" w:sz="0" w:space="0" w:color="auto"/>
      </w:divBdr>
    </w:div>
    <w:div w:id="70663898">
      <w:bodyDiv w:val="1"/>
      <w:marLeft w:val="0"/>
      <w:marRight w:val="0"/>
      <w:marTop w:val="0"/>
      <w:marBottom w:val="0"/>
      <w:divBdr>
        <w:top w:val="none" w:sz="0" w:space="0" w:color="auto"/>
        <w:left w:val="none" w:sz="0" w:space="0" w:color="auto"/>
        <w:bottom w:val="none" w:sz="0" w:space="0" w:color="auto"/>
        <w:right w:val="none" w:sz="0" w:space="0" w:color="auto"/>
      </w:divBdr>
    </w:div>
    <w:div w:id="112134665">
      <w:bodyDiv w:val="1"/>
      <w:marLeft w:val="0"/>
      <w:marRight w:val="0"/>
      <w:marTop w:val="0"/>
      <w:marBottom w:val="0"/>
      <w:divBdr>
        <w:top w:val="none" w:sz="0" w:space="0" w:color="auto"/>
        <w:left w:val="none" w:sz="0" w:space="0" w:color="auto"/>
        <w:bottom w:val="none" w:sz="0" w:space="0" w:color="auto"/>
        <w:right w:val="none" w:sz="0" w:space="0" w:color="auto"/>
      </w:divBdr>
    </w:div>
    <w:div w:id="216400165">
      <w:bodyDiv w:val="1"/>
      <w:marLeft w:val="0"/>
      <w:marRight w:val="0"/>
      <w:marTop w:val="0"/>
      <w:marBottom w:val="0"/>
      <w:divBdr>
        <w:top w:val="none" w:sz="0" w:space="0" w:color="auto"/>
        <w:left w:val="none" w:sz="0" w:space="0" w:color="auto"/>
        <w:bottom w:val="none" w:sz="0" w:space="0" w:color="auto"/>
        <w:right w:val="none" w:sz="0" w:space="0" w:color="auto"/>
      </w:divBdr>
    </w:div>
    <w:div w:id="328561839">
      <w:bodyDiv w:val="1"/>
      <w:marLeft w:val="0"/>
      <w:marRight w:val="0"/>
      <w:marTop w:val="0"/>
      <w:marBottom w:val="0"/>
      <w:divBdr>
        <w:top w:val="none" w:sz="0" w:space="0" w:color="auto"/>
        <w:left w:val="none" w:sz="0" w:space="0" w:color="auto"/>
        <w:bottom w:val="none" w:sz="0" w:space="0" w:color="auto"/>
        <w:right w:val="none" w:sz="0" w:space="0" w:color="auto"/>
      </w:divBdr>
    </w:div>
    <w:div w:id="386028293">
      <w:bodyDiv w:val="1"/>
      <w:marLeft w:val="0"/>
      <w:marRight w:val="0"/>
      <w:marTop w:val="0"/>
      <w:marBottom w:val="0"/>
      <w:divBdr>
        <w:top w:val="none" w:sz="0" w:space="0" w:color="auto"/>
        <w:left w:val="none" w:sz="0" w:space="0" w:color="auto"/>
        <w:bottom w:val="none" w:sz="0" w:space="0" w:color="auto"/>
        <w:right w:val="none" w:sz="0" w:space="0" w:color="auto"/>
      </w:divBdr>
    </w:div>
    <w:div w:id="440733075">
      <w:bodyDiv w:val="1"/>
      <w:marLeft w:val="0"/>
      <w:marRight w:val="0"/>
      <w:marTop w:val="0"/>
      <w:marBottom w:val="0"/>
      <w:divBdr>
        <w:top w:val="none" w:sz="0" w:space="0" w:color="auto"/>
        <w:left w:val="none" w:sz="0" w:space="0" w:color="auto"/>
        <w:bottom w:val="none" w:sz="0" w:space="0" w:color="auto"/>
        <w:right w:val="none" w:sz="0" w:space="0" w:color="auto"/>
      </w:divBdr>
    </w:div>
    <w:div w:id="525212001">
      <w:bodyDiv w:val="1"/>
      <w:marLeft w:val="0"/>
      <w:marRight w:val="0"/>
      <w:marTop w:val="0"/>
      <w:marBottom w:val="0"/>
      <w:divBdr>
        <w:top w:val="none" w:sz="0" w:space="0" w:color="auto"/>
        <w:left w:val="none" w:sz="0" w:space="0" w:color="auto"/>
        <w:bottom w:val="none" w:sz="0" w:space="0" w:color="auto"/>
        <w:right w:val="none" w:sz="0" w:space="0" w:color="auto"/>
      </w:divBdr>
    </w:div>
    <w:div w:id="773094262">
      <w:bodyDiv w:val="1"/>
      <w:marLeft w:val="0"/>
      <w:marRight w:val="0"/>
      <w:marTop w:val="0"/>
      <w:marBottom w:val="0"/>
      <w:divBdr>
        <w:top w:val="none" w:sz="0" w:space="0" w:color="auto"/>
        <w:left w:val="none" w:sz="0" w:space="0" w:color="auto"/>
        <w:bottom w:val="none" w:sz="0" w:space="0" w:color="auto"/>
        <w:right w:val="none" w:sz="0" w:space="0" w:color="auto"/>
      </w:divBdr>
    </w:div>
    <w:div w:id="784619668">
      <w:bodyDiv w:val="1"/>
      <w:marLeft w:val="0"/>
      <w:marRight w:val="0"/>
      <w:marTop w:val="0"/>
      <w:marBottom w:val="0"/>
      <w:divBdr>
        <w:top w:val="none" w:sz="0" w:space="0" w:color="auto"/>
        <w:left w:val="none" w:sz="0" w:space="0" w:color="auto"/>
        <w:bottom w:val="none" w:sz="0" w:space="0" w:color="auto"/>
        <w:right w:val="none" w:sz="0" w:space="0" w:color="auto"/>
      </w:divBdr>
    </w:div>
    <w:div w:id="795370398">
      <w:bodyDiv w:val="1"/>
      <w:marLeft w:val="0"/>
      <w:marRight w:val="0"/>
      <w:marTop w:val="0"/>
      <w:marBottom w:val="0"/>
      <w:divBdr>
        <w:top w:val="none" w:sz="0" w:space="0" w:color="auto"/>
        <w:left w:val="none" w:sz="0" w:space="0" w:color="auto"/>
        <w:bottom w:val="none" w:sz="0" w:space="0" w:color="auto"/>
        <w:right w:val="none" w:sz="0" w:space="0" w:color="auto"/>
      </w:divBdr>
    </w:div>
    <w:div w:id="881988280">
      <w:bodyDiv w:val="1"/>
      <w:marLeft w:val="0"/>
      <w:marRight w:val="0"/>
      <w:marTop w:val="0"/>
      <w:marBottom w:val="0"/>
      <w:divBdr>
        <w:top w:val="none" w:sz="0" w:space="0" w:color="auto"/>
        <w:left w:val="none" w:sz="0" w:space="0" w:color="auto"/>
        <w:bottom w:val="none" w:sz="0" w:space="0" w:color="auto"/>
        <w:right w:val="none" w:sz="0" w:space="0" w:color="auto"/>
      </w:divBdr>
    </w:div>
    <w:div w:id="899367875">
      <w:bodyDiv w:val="1"/>
      <w:marLeft w:val="0"/>
      <w:marRight w:val="0"/>
      <w:marTop w:val="0"/>
      <w:marBottom w:val="0"/>
      <w:divBdr>
        <w:top w:val="none" w:sz="0" w:space="0" w:color="auto"/>
        <w:left w:val="none" w:sz="0" w:space="0" w:color="auto"/>
        <w:bottom w:val="none" w:sz="0" w:space="0" w:color="auto"/>
        <w:right w:val="none" w:sz="0" w:space="0" w:color="auto"/>
      </w:divBdr>
    </w:div>
    <w:div w:id="911356455">
      <w:bodyDiv w:val="1"/>
      <w:marLeft w:val="0"/>
      <w:marRight w:val="0"/>
      <w:marTop w:val="0"/>
      <w:marBottom w:val="0"/>
      <w:divBdr>
        <w:top w:val="none" w:sz="0" w:space="0" w:color="auto"/>
        <w:left w:val="none" w:sz="0" w:space="0" w:color="auto"/>
        <w:bottom w:val="none" w:sz="0" w:space="0" w:color="auto"/>
        <w:right w:val="none" w:sz="0" w:space="0" w:color="auto"/>
      </w:divBdr>
    </w:div>
    <w:div w:id="915094254">
      <w:bodyDiv w:val="1"/>
      <w:marLeft w:val="0"/>
      <w:marRight w:val="0"/>
      <w:marTop w:val="0"/>
      <w:marBottom w:val="0"/>
      <w:divBdr>
        <w:top w:val="none" w:sz="0" w:space="0" w:color="auto"/>
        <w:left w:val="none" w:sz="0" w:space="0" w:color="auto"/>
        <w:bottom w:val="none" w:sz="0" w:space="0" w:color="auto"/>
        <w:right w:val="none" w:sz="0" w:space="0" w:color="auto"/>
      </w:divBdr>
    </w:div>
    <w:div w:id="961687852">
      <w:bodyDiv w:val="1"/>
      <w:marLeft w:val="0"/>
      <w:marRight w:val="0"/>
      <w:marTop w:val="0"/>
      <w:marBottom w:val="0"/>
      <w:divBdr>
        <w:top w:val="none" w:sz="0" w:space="0" w:color="auto"/>
        <w:left w:val="none" w:sz="0" w:space="0" w:color="auto"/>
        <w:bottom w:val="none" w:sz="0" w:space="0" w:color="auto"/>
        <w:right w:val="none" w:sz="0" w:space="0" w:color="auto"/>
      </w:divBdr>
    </w:div>
    <w:div w:id="965543846">
      <w:bodyDiv w:val="1"/>
      <w:marLeft w:val="0"/>
      <w:marRight w:val="0"/>
      <w:marTop w:val="0"/>
      <w:marBottom w:val="0"/>
      <w:divBdr>
        <w:top w:val="none" w:sz="0" w:space="0" w:color="auto"/>
        <w:left w:val="none" w:sz="0" w:space="0" w:color="auto"/>
        <w:bottom w:val="none" w:sz="0" w:space="0" w:color="auto"/>
        <w:right w:val="none" w:sz="0" w:space="0" w:color="auto"/>
      </w:divBdr>
    </w:div>
    <w:div w:id="969288699">
      <w:bodyDiv w:val="1"/>
      <w:marLeft w:val="0"/>
      <w:marRight w:val="0"/>
      <w:marTop w:val="0"/>
      <w:marBottom w:val="0"/>
      <w:divBdr>
        <w:top w:val="none" w:sz="0" w:space="0" w:color="auto"/>
        <w:left w:val="none" w:sz="0" w:space="0" w:color="auto"/>
        <w:bottom w:val="none" w:sz="0" w:space="0" w:color="auto"/>
        <w:right w:val="none" w:sz="0" w:space="0" w:color="auto"/>
      </w:divBdr>
    </w:div>
    <w:div w:id="1029451690">
      <w:bodyDiv w:val="1"/>
      <w:marLeft w:val="0"/>
      <w:marRight w:val="0"/>
      <w:marTop w:val="0"/>
      <w:marBottom w:val="0"/>
      <w:divBdr>
        <w:top w:val="none" w:sz="0" w:space="0" w:color="auto"/>
        <w:left w:val="none" w:sz="0" w:space="0" w:color="auto"/>
        <w:bottom w:val="none" w:sz="0" w:space="0" w:color="auto"/>
        <w:right w:val="none" w:sz="0" w:space="0" w:color="auto"/>
      </w:divBdr>
    </w:div>
    <w:div w:id="1054692313">
      <w:bodyDiv w:val="1"/>
      <w:marLeft w:val="0"/>
      <w:marRight w:val="0"/>
      <w:marTop w:val="0"/>
      <w:marBottom w:val="0"/>
      <w:divBdr>
        <w:top w:val="none" w:sz="0" w:space="0" w:color="auto"/>
        <w:left w:val="none" w:sz="0" w:space="0" w:color="auto"/>
        <w:bottom w:val="none" w:sz="0" w:space="0" w:color="auto"/>
        <w:right w:val="none" w:sz="0" w:space="0" w:color="auto"/>
      </w:divBdr>
    </w:div>
    <w:div w:id="1098720323">
      <w:bodyDiv w:val="1"/>
      <w:marLeft w:val="0"/>
      <w:marRight w:val="0"/>
      <w:marTop w:val="0"/>
      <w:marBottom w:val="0"/>
      <w:divBdr>
        <w:top w:val="none" w:sz="0" w:space="0" w:color="auto"/>
        <w:left w:val="none" w:sz="0" w:space="0" w:color="auto"/>
        <w:bottom w:val="none" w:sz="0" w:space="0" w:color="auto"/>
        <w:right w:val="none" w:sz="0" w:space="0" w:color="auto"/>
      </w:divBdr>
    </w:div>
    <w:div w:id="1168135744">
      <w:bodyDiv w:val="1"/>
      <w:marLeft w:val="0"/>
      <w:marRight w:val="0"/>
      <w:marTop w:val="0"/>
      <w:marBottom w:val="0"/>
      <w:divBdr>
        <w:top w:val="none" w:sz="0" w:space="0" w:color="auto"/>
        <w:left w:val="none" w:sz="0" w:space="0" w:color="auto"/>
        <w:bottom w:val="none" w:sz="0" w:space="0" w:color="auto"/>
        <w:right w:val="none" w:sz="0" w:space="0" w:color="auto"/>
      </w:divBdr>
    </w:div>
    <w:div w:id="1332760151">
      <w:bodyDiv w:val="1"/>
      <w:marLeft w:val="0"/>
      <w:marRight w:val="0"/>
      <w:marTop w:val="0"/>
      <w:marBottom w:val="0"/>
      <w:divBdr>
        <w:top w:val="none" w:sz="0" w:space="0" w:color="auto"/>
        <w:left w:val="none" w:sz="0" w:space="0" w:color="auto"/>
        <w:bottom w:val="none" w:sz="0" w:space="0" w:color="auto"/>
        <w:right w:val="none" w:sz="0" w:space="0" w:color="auto"/>
      </w:divBdr>
    </w:div>
    <w:div w:id="1497302251">
      <w:bodyDiv w:val="1"/>
      <w:marLeft w:val="0"/>
      <w:marRight w:val="0"/>
      <w:marTop w:val="0"/>
      <w:marBottom w:val="0"/>
      <w:divBdr>
        <w:top w:val="none" w:sz="0" w:space="0" w:color="auto"/>
        <w:left w:val="none" w:sz="0" w:space="0" w:color="auto"/>
        <w:bottom w:val="none" w:sz="0" w:space="0" w:color="auto"/>
        <w:right w:val="none" w:sz="0" w:space="0" w:color="auto"/>
      </w:divBdr>
    </w:div>
    <w:div w:id="1606884269">
      <w:bodyDiv w:val="1"/>
      <w:marLeft w:val="0"/>
      <w:marRight w:val="0"/>
      <w:marTop w:val="0"/>
      <w:marBottom w:val="0"/>
      <w:divBdr>
        <w:top w:val="none" w:sz="0" w:space="0" w:color="auto"/>
        <w:left w:val="none" w:sz="0" w:space="0" w:color="auto"/>
        <w:bottom w:val="none" w:sz="0" w:space="0" w:color="auto"/>
        <w:right w:val="none" w:sz="0" w:space="0" w:color="auto"/>
      </w:divBdr>
    </w:div>
    <w:div w:id="1680617378">
      <w:bodyDiv w:val="1"/>
      <w:marLeft w:val="0"/>
      <w:marRight w:val="0"/>
      <w:marTop w:val="0"/>
      <w:marBottom w:val="0"/>
      <w:divBdr>
        <w:top w:val="none" w:sz="0" w:space="0" w:color="auto"/>
        <w:left w:val="none" w:sz="0" w:space="0" w:color="auto"/>
        <w:bottom w:val="none" w:sz="0" w:space="0" w:color="auto"/>
        <w:right w:val="none" w:sz="0" w:space="0" w:color="auto"/>
      </w:divBdr>
    </w:div>
    <w:div w:id="1695110490">
      <w:bodyDiv w:val="1"/>
      <w:marLeft w:val="0"/>
      <w:marRight w:val="0"/>
      <w:marTop w:val="0"/>
      <w:marBottom w:val="0"/>
      <w:divBdr>
        <w:top w:val="none" w:sz="0" w:space="0" w:color="auto"/>
        <w:left w:val="none" w:sz="0" w:space="0" w:color="auto"/>
        <w:bottom w:val="none" w:sz="0" w:space="0" w:color="auto"/>
        <w:right w:val="none" w:sz="0" w:space="0" w:color="auto"/>
      </w:divBdr>
    </w:div>
    <w:div w:id="1755006916">
      <w:bodyDiv w:val="1"/>
      <w:marLeft w:val="0"/>
      <w:marRight w:val="0"/>
      <w:marTop w:val="0"/>
      <w:marBottom w:val="0"/>
      <w:divBdr>
        <w:top w:val="none" w:sz="0" w:space="0" w:color="auto"/>
        <w:left w:val="none" w:sz="0" w:space="0" w:color="auto"/>
        <w:bottom w:val="none" w:sz="0" w:space="0" w:color="auto"/>
        <w:right w:val="none" w:sz="0" w:space="0" w:color="auto"/>
      </w:divBdr>
    </w:div>
    <w:div w:id="1783723733">
      <w:bodyDiv w:val="1"/>
      <w:marLeft w:val="0"/>
      <w:marRight w:val="0"/>
      <w:marTop w:val="0"/>
      <w:marBottom w:val="0"/>
      <w:divBdr>
        <w:top w:val="none" w:sz="0" w:space="0" w:color="auto"/>
        <w:left w:val="none" w:sz="0" w:space="0" w:color="auto"/>
        <w:bottom w:val="none" w:sz="0" w:space="0" w:color="auto"/>
        <w:right w:val="none" w:sz="0" w:space="0" w:color="auto"/>
      </w:divBdr>
    </w:div>
    <w:div w:id="1832671809">
      <w:bodyDiv w:val="1"/>
      <w:marLeft w:val="0"/>
      <w:marRight w:val="0"/>
      <w:marTop w:val="0"/>
      <w:marBottom w:val="0"/>
      <w:divBdr>
        <w:top w:val="none" w:sz="0" w:space="0" w:color="auto"/>
        <w:left w:val="none" w:sz="0" w:space="0" w:color="auto"/>
        <w:bottom w:val="none" w:sz="0" w:space="0" w:color="auto"/>
        <w:right w:val="none" w:sz="0" w:space="0" w:color="auto"/>
      </w:divBdr>
    </w:div>
    <w:div w:id="1876455053">
      <w:bodyDiv w:val="1"/>
      <w:marLeft w:val="0"/>
      <w:marRight w:val="0"/>
      <w:marTop w:val="0"/>
      <w:marBottom w:val="0"/>
      <w:divBdr>
        <w:top w:val="none" w:sz="0" w:space="0" w:color="auto"/>
        <w:left w:val="none" w:sz="0" w:space="0" w:color="auto"/>
        <w:bottom w:val="none" w:sz="0" w:space="0" w:color="auto"/>
        <w:right w:val="none" w:sz="0" w:space="0" w:color="auto"/>
      </w:divBdr>
    </w:div>
    <w:div w:id="1916698606">
      <w:bodyDiv w:val="1"/>
      <w:marLeft w:val="0"/>
      <w:marRight w:val="0"/>
      <w:marTop w:val="0"/>
      <w:marBottom w:val="0"/>
      <w:divBdr>
        <w:top w:val="none" w:sz="0" w:space="0" w:color="auto"/>
        <w:left w:val="none" w:sz="0" w:space="0" w:color="auto"/>
        <w:bottom w:val="none" w:sz="0" w:space="0" w:color="auto"/>
        <w:right w:val="none" w:sz="0" w:space="0" w:color="auto"/>
      </w:divBdr>
    </w:div>
    <w:div w:id="1971015322">
      <w:bodyDiv w:val="1"/>
      <w:marLeft w:val="0"/>
      <w:marRight w:val="0"/>
      <w:marTop w:val="0"/>
      <w:marBottom w:val="0"/>
      <w:divBdr>
        <w:top w:val="none" w:sz="0" w:space="0" w:color="auto"/>
        <w:left w:val="none" w:sz="0" w:space="0" w:color="auto"/>
        <w:bottom w:val="none" w:sz="0" w:space="0" w:color="auto"/>
        <w:right w:val="none" w:sz="0" w:space="0" w:color="auto"/>
      </w:divBdr>
    </w:div>
    <w:div w:id="2002350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emf"/><Relationship Id="rId18" Type="http://schemas.openxmlformats.org/officeDocument/2006/relationships/hyperlink" Target="https://stories-editor.hilton.com/wp-content/uploads/2025/04/Hilton2024AnnualReport.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emf"/><Relationship Id="rId12" Type="http://schemas.openxmlformats.org/officeDocument/2006/relationships/image" Target="media/image6.emf"/><Relationship Id="rId17" Type="http://schemas.openxmlformats.org/officeDocument/2006/relationships/hyperlink" Target="https://stories-editor.hilton.com/wp-content/uploads/2024/04/Hilton2023AnnualReport.pdf" TargetMode="External"/><Relationship Id="rId2" Type="http://schemas.openxmlformats.org/officeDocument/2006/relationships/styles" Target="styles.xml"/><Relationship Id="rId16" Type="http://schemas.openxmlformats.org/officeDocument/2006/relationships/hyperlink" Target="https://stories-editor.hilton.com/wp-content/uploads/2023/04/2022-Hilton-Year-in-Review.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emf"/><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stories-editor.hilton.com/wp-content/uploads/2026/04/Hilton-2025-Year-in-Review.pdf" TargetMode="Externa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png"/><Relationship Id="rId22" Type="http://schemas.openxmlformats.org/officeDocument/2006/relationships/header" Target="header2.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0.png"/></Relationships>
</file>

<file path=word/_rels/header2.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9ED74C-854C-4B04-A561-1247BD3258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25</Pages>
  <Words>6370</Words>
  <Characters>36309</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SUBHANKAR</cp:lastModifiedBy>
  <cp:revision>94</cp:revision>
  <dcterms:created xsi:type="dcterms:W3CDTF">2026-07-22T06:39:00Z</dcterms:created>
  <dcterms:modified xsi:type="dcterms:W3CDTF">2026-07-23T12:44:00Z</dcterms:modified>
</cp:coreProperties>
</file>