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1578829678"/>
        <w:docPartObj>
          <w:docPartGallery w:val="Cover Pages"/>
          <w:docPartUnique/>
        </w:docPartObj>
      </w:sdtPr>
      <w:sdtEndPr>
        <w:rPr>
          <w:sz w:val="22"/>
        </w:rPr>
      </w:sdtEndPr>
      <w:sdtContent>
        <w:p w14:paraId="1E1EEE0D" w14:textId="4DBFC4EB" w:rsidR="00145EFF" w:rsidRDefault="00145EFF">
          <w:pPr>
            <w:pStyle w:val="NoSpacing"/>
            <w:rPr>
              <w:sz w:val="2"/>
            </w:rPr>
          </w:pPr>
        </w:p>
        <w:p w14:paraId="239F250B" w14:textId="77777777" w:rsidR="00145EFF" w:rsidRDefault="00145EFF">
          <w:r>
            <w:rPr>
              <w:noProof/>
            </w:rPr>
            <mc:AlternateContent>
              <mc:Choice Requires="wps">
                <w:drawing>
                  <wp:anchor distT="0" distB="0" distL="114300" distR="114300" simplePos="0" relativeHeight="251661312" behindDoc="0" locked="0" layoutInCell="1" allowOverlap="1" wp14:anchorId="2B5CD2F1" wp14:editId="2315270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03C2E1" w14:textId="211C164C" w:rsidR="00145EFF" w:rsidRDefault="002D56E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Policing, Powers, models &amp; Society.</w:t>
                                    </w:r>
                                  </w:p>
                                </w:sdtContent>
                              </w:sdt>
                              <w:p w14:paraId="53581F95" w14:textId="31259362" w:rsidR="00145EFF" w:rsidRPr="00145EFF" w:rsidRDefault="00CF1A01">
                                <w:pPr>
                                  <w:pStyle w:val="NoSpacing"/>
                                  <w:spacing w:before="120"/>
                                  <w:rPr>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56EB">
                                      <w:rPr>
                                        <w:sz w:val="36"/>
                                        <w:szCs w:val="36"/>
                                      </w:rPr>
                                      <w:t>Assignment 1: Explain the main historical theories of crime and apply one/some of the theories to a modern-day context with a case study of your choice.</w:t>
                                    </w:r>
                                  </w:sdtContent>
                                </w:sdt>
                                <w:r w:rsidR="00145EFF" w:rsidRPr="00145EFF">
                                  <w:rPr>
                                    <w:noProof/>
                                  </w:rPr>
                                  <w:t xml:space="preserve"> </w:t>
                                </w:r>
                              </w:p>
                              <w:p w14:paraId="76C07BE8" w14:textId="77777777" w:rsidR="00145EFF" w:rsidRDefault="00145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B5CD2F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03C2E1" w14:textId="211C164C" w:rsidR="00145EFF" w:rsidRDefault="002D56E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Policing, Powers, models &amp; Society.</w:t>
                              </w:r>
                            </w:p>
                          </w:sdtContent>
                        </w:sdt>
                        <w:p w14:paraId="53581F95" w14:textId="31259362" w:rsidR="00145EFF" w:rsidRPr="00145EFF" w:rsidRDefault="001A7BE8">
                          <w:pPr>
                            <w:pStyle w:val="NoSpacing"/>
                            <w:spacing w:before="120"/>
                            <w:rPr>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56EB">
                                <w:rPr>
                                  <w:sz w:val="36"/>
                                  <w:szCs w:val="36"/>
                                </w:rPr>
                                <w:t>Assignment 1: Explain the main historical theories of crime and apply one/some of the theories to a modern-day context with a case study of your choice.</w:t>
                              </w:r>
                            </w:sdtContent>
                          </w:sdt>
                          <w:r w:rsidR="00145EFF" w:rsidRPr="00145EFF">
                            <w:rPr>
                              <w:noProof/>
                            </w:rPr>
                            <w:t xml:space="preserve"> </w:t>
                          </w:r>
                        </w:p>
                        <w:p w14:paraId="76C07BE8" w14:textId="77777777" w:rsidR="00145EFF" w:rsidRDefault="00145EF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D869885" wp14:editId="2F961EE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2C5EA6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D2B5B42" wp14:editId="7358AB5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E58E2" w14:textId="319C8E85" w:rsidR="00145EFF" w:rsidRPr="00145EFF" w:rsidRDefault="00CF1A01" w:rsidP="00145EFF">
                                <w:pPr>
                                  <w:pStyle w:val="NoSpacing"/>
                                  <w:jc w:val="center"/>
                                  <w:rPr>
                                    <w:color w:val="4472C4" w:themeColor="accent1"/>
                                    <w:sz w:val="44"/>
                                    <w:szCs w:val="44"/>
                                  </w:rPr>
                                </w:pPr>
                                <w:sdt>
                                  <w:sdtPr>
                                    <w:rPr>
                                      <w:color w:val="4472C4"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56EB">
                                      <w:rPr>
                                        <w:color w:val="4472C4" w:themeColor="accent1"/>
                                        <w:sz w:val="44"/>
                                        <w:szCs w:val="44"/>
                                      </w:rPr>
                                      <w:t>Kyle Evans. Student ID: 1706558.</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B84BBA2" w14:textId="2BC4FBD2" w:rsidR="00145EFF" w:rsidRDefault="002D56EB">
                                    <w:pPr>
                                      <w:pStyle w:val="NoSpacing"/>
                                      <w:jc w:val="right"/>
                                      <w:rPr>
                                        <w:color w:val="4472C4" w:themeColor="accent1"/>
                                        <w:sz w:val="36"/>
                                        <w:szCs w:val="36"/>
                                      </w:rPr>
                                    </w:pPr>
                                    <w:r>
                                      <w:rPr>
                                        <w:color w:val="4472C4" w:themeColor="accent1"/>
                                        <w:sz w:val="36"/>
                                        <w:szCs w:val="36"/>
                                      </w:rPr>
                                      <w:t>Lecturer: Peter Doyle.                 Submission Date: 12/03/2021.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D2B5B4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15E58E2" w14:textId="319C8E85" w:rsidR="00145EFF" w:rsidRPr="00145EFF" w:rsidRDefault="001A7BE8" w:rsidP="00145EFF">
                          <w:pPr>
                            <w:pStyle w:val="NoSpacing"/>
                            <w:jc w:val="center"/>
                            <w:rPr>
                              <w:color w:val="4472C4" w:themeColor="accent1"/>
                              <w:sz w:val="44"/>
                              <w:szCs w:val="44"/>
                            </w:rPr>
                          </w:pPr>
                          <w:sdt>
                            <w:sdtPr>
                              <w:rPr>
                                <w:color w:val="4472C4" w:themeColor="accent1"/>
                                <w:sz w:val="44"/>
                                <w:szCs w:val="44"/>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56EB">
                                <w:rPr>
                                  <w:color w:val="4472C4" w:themeColor="accent1"/>
                                  <w:sz w:val="44"/>
                                  <w:szCs w:val="44"/>
                                </w:rPr>
                                <w:t>Kyle Evans. Student ID: 1706558.</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B84BBA2" w14:textId="2BC4FBD2" w:rsidR="00145EFF" w:rsidRDefault="002D56EB">
                              <w:pPr>
                                <w:pStyle w:val="NoSpacing"/>
                                <w:jc w:val="right"/>
                                <w:rPr>
                                  <w:color w:val="4472C4" w:themeColor="accent1"/>
                                  <w:sz w:val="36"/>
                                  <w:szCs w:val="36"/>
                                </w:rPr>
                              </w:pPr>
                              <w:r>
                                <w:rPr>
                                  <w:color w:val="4472C4" w:themeColor="accent1"/>
                                  <w:sz w:val="36"/>
                                  <w:szCs w:val="36"/>
                                </w:rPr>
                                <w:t>Lecturer: Peter Doyle.                 Submission Date: 12/03/2021.</w:t>
                              </w:r>
                            </w:p>
                          </w:sdtContent>
                        </w:sdt>
                      </w:txbxContent>
                    </v:textbox>
                    <w10:wrap anchorx="page" anchory="margin"/>
                  </v:shape>
                </w:pict>
              </mc:Fallback>
            </mc:AlternateContent>
          </w:r>
        </w:p>
        <w:p w14:paraId="1B9860CA" w14:textId="1AB7C49E" w:rsidR="009D2A21" w:rsidRPr="001C0402" w:rsidRDefault="00145EFF" w:rsidP="001C0402">
          <w:r>
            <w:br w:type="page"/>
          </w:r>
        </w:p>
      </w:sdtContent>
    </w:sdt>
    <w:p w14:paraId="2636C969" w14:textId="1ED9972A" w:rsidR="009D2A21" w:rsidRDefault="009D2A21" w:rsidP="00145EFF">
      <w:pPr>
        <w:spacing w:line="480" w:lineRule="auto"/>
        <w:rPr>
          <w:rFonts w:ascii="Arial" w:hAnsi="Arial" w:cs="Arial"/>
          <w:color w:val="00B050"/>
          <w:sz w:val="24"/>
          <w:szCs w:val="24"/>
        </w:rPr>
      </w:pPr>
    </w:p>
    <w:p w14:paraId="1C88EDD1" w14:textId="35259850" w:rsidR="009D2A21" w:rsidRDefault="00D52CC1" w:rsidP="00145EFF">
      <w:pPr>
        <w:spacing w:line="480" w:lineRule="auto"/>
        <w:rPr>
          <w:rFonts w:ascii="Arial" w:hAnsi="Arial" w:cs="Arial"/>
          <w:sz w:val="24"/>
          <w:szCs w:val="24"/>
        </w:rPr>
      </w:pPr>
      <w:r>
        <w:rPr>
          <w:rFonts w:ascii="Arial" w:hAnsi="Arial" w:cs="Arial"/>
          <w:sz w:val="24"/>
          <w:szCs w:val="24"/>
        </w:rPr>
        <w:t xml:space="preserve">The now vast and </w:t>
      </w:r>
      <w:r w:rsidR="00BD2CFE">
        <w:rPr>
          <w:rFonts w:ascii="Arial" w:hAnsi="Arial" w:cs="Arial"/>
          <w:sz w:val="24"/>
          <w:szCs w:val="24"/>
        </w:rPr>
        <w:t>well-established</w:t>
      </w:r>
      <w:r>
        <w:rPr>
          <w:rFonts w:ascii="Arial" w:hAnsi="Arial" w:cs="Arial"/>
          <w:sz w:val="24"/>
          <w:szCs w:val="24"/>
        </w:rPr>
        <w:t xml:space="preserve"> field of study, the subject of criminology is one of complex with it being an interdisciplinary field in both the behavioural and social sciences</w:t>
      </w:r>
      <w:r w:rsidR="00BD2CFE">
        <w:rPr>
          <w:rFonts w:ascii="Arial" w:hAnsi="Arial" w:cs="Arial"/>
          <w:sz w:val="24"/>
          <w:szCs w:val="24"/>
        </w:rPr>
        <w:t xml:space="preserve">. As </w:t>
      </w:r>
      <w:proofErr w:type="spellStart"/>
      <w:r w:rsidR="00BD2CFE">
        <w:rPr>
          <w:rFonts w:ascii="Arial" w:hAnsi="Arial" w:cs="Arial"/>
          <w:sz w:val="24"/>
          <w:szCs w:val="24"/>
        </w:rPr>
        <w:t>Walklate</w:t>
      </w:r>
      <w:proofErr w:type="spellEnd"/>
      <w:r w:rsidR="00BD2CFE">
        <w:rPr>
          <w:rFonts w:ascii="Arial" w:hAnsi="Arial" w:cs="Arial"/>
          <w:sz w:val="24"/>
          <w:szCs w:val="24"/>
        </w:rPr>
        <w:t xml:space="preserve"> (2013) </w:t>
      </w:r>
      <w:r w:rsidR="006C4BA8">
        <w:rPr>
          <w:rFonts w:ascii="Arial" w:hAnsi="Arial" w:cs="Arial"/>
          <w:sz w:val="24"/>
          <w:szCs w:val="24"/>
        </w:rPr>
        <w:t xml:space="preserve">educates, criminology can be understood as the academic study of </w:t>
      </w:r>
      <w:r w:rsidR="00FD53AE">
        <w:rPr>
          <w:rFonts w:ascii="Arial" w:hAnsi="Arial" w:cs="Arial"/>
          <w:sz w:val="24"/>
          <w:szCs w:val="24"/>
        </w:rPr>
        <w:t xml:space="preserve">all aspects relating to crime and law enforcement, with research and information being drawn from various sources such as sociologists, psychologists, philosophers, biologists and scholars of law. </w:t>
      </w:r>
      <w:r w:rsidR="00F25AA9">
        <w:rPr>
          <w:rFonts w:ascii="Arial" w:hAnsi="Arial" w:cs="Arial"/>
          <w:sz w:val="24"/>
          <w:szCs w:val="24"/>
        </w:rPr>
        <w:t>Additionally, with the matter of crime continuing to be a highly profiled and publicised issue, the current outlook for the subject of criminology seems to only be of an upwards trajectory (ibid).</w:t>
      </w:r>
      <w:r w:rsidR="006E5BC5">
        <w:rPr>
          <w:rFonts w:ascii="Arial" w:hAnsi="Arial" w:cs="Arial"/>
          <w:sz w:val="24"/>
          <w:szCs w:val="24"/>
        </w:rPr>
        <w:t xml:space="preserve"> Despite this being the case, there can be no denying the importance held by the fundamental historical theories of crime and how influential these have been on shaping the modern criminological context. This is highlighted by Fitzgerald (201</w:t>
      </w:r>
      <w:r w:rsidR="00D638E5">
        <w:rPr>
          <w:rFonts w:ascii="Arial" w:hAnsi="Arial" w:cs="Arial"/>
          <w:sz w:val="24"/>
          <w:szCs w:val="24"/>
        </w:rPr>
        <w:t>1), who outlines how significant the age of enlightenment during the 17</w:t>
      </w:r>
      <w:r w:rsidR="00D638E5" w:rsidRPr="00D638E5">
        <w:rPr>
          <w:rFonts w:ascii="Arial" w:hAnsi="Arial" w:cs="Arial"/>
          <w:sz w:val="24"/>
          <w:szCs w:val="24"/>
          <w:vertAlign w:val="superscript"/>
        </w:rPr>
        <w:t>th</w:t>
      </w:r>
      <w:r w:rsidR="00D638E5">
        <w:rPr>
          <w:rFonts w:ascii="Arial" w:hAnsi="Arial" w:cs="Arial"/>
          <w:sz w:val="24"/>
          <w:szCs w:val="24"/>
        </w:rPr>
        <w:t xml:space="preserve"> and 18</w:t>
      </w:r>
      <w:r w:rsidR="00D638E5" w:rsidRPr="00D638E5">
        <w:rPr>
          <w:rFonts w:ascii="Arial" w:hAnsi="Arial" w:cs="Arial"/>
          <w:sz w:val="24"/>
          <w:szCs w:val="24"/>
          <w:vertAlign w:val="superscript"/>
        </w:rPr>
        <w:t>th</w:t>
      </w:r>
      <w:r w:rsidR="00D638E5">
        <w:rPr>
          <w:rFonts w:ascii="Arial" w:hAnsi="Arial" w:cs="Arial"/>
          <w:sz w:val="24"/>
          <w:szCs w:val="24"/>
        </w:rPr>
        <w:t xml:space="preserve"> centuries was in enabling the first theories of crime to be produced and </w:t>
      </w:r>
      <w:r w:rsidR="00762C75">
        <w:rPr>
          <w:rFonts w:ascii="Arial" w:hAnsi="Arial" w:cs="Arial"/>
          <w:sz w:val="24"/>
          <w:szCs w:val="24"/>
        </w:rPr>
        <w:t xml:space="preserve">in turn the emergence of criminology. In regards to the mentioned age of enlightenment, this great intellectual and philosophical movement </w:t>
      </w:r>
      <w:r w:rsidR="0067166A">
        <w:rPr>
          <w:rFonts w:ascii="Arial" w:hAnsi="Arial" w:cs="Arial"/>
          <w:sz w:val="24"/>
          <w:szCs w:val="24"/>
        </w:rPr>
        <w:t>allowed for the development of the schools of criminology across the 18</w:t>
      </w:r>
      <w:r w:rsidR="0067166A" w:rsidRPr="0067166A">
        <w:rPr>
          <w:rFonts w:ascii="Arial" w:hAnsi="Arial" w:cs="Arial"/>
          <w:sz w:val="24"/>
          <w:szCs w:val="24"/>
          <w:vertAlign w:val="superscript"/>
        </w:rPr>
        <w:t>th</w:t>
      </w:r>
      <w:r w:rsidR="0067166A">
        <w:rPr>
          <w:rFonts w:ascii="Arial" w:hAnsi="Arial" w:cs="Arial"/>
          <w:sz w:val="24"/>
          <w:szCs w:val="24"/>
        </w:rPr>
        <w:t xml:space="preserve"> and 19</w:t>
      </w:r>
      <w:r w:rsidR="0067166A" w:rsidRPr="0067166A">
        <w:rPr>
          <w:rFonts w:ascii="Arial" w:hAnsi="Arial" w:cs="Arial"/>
          <w:sz w:val="24"/>
          <w:szCs w:val="24"/>
          <w:vertAlign w:val="superscript"/>
        </w:rPr>
        <w:t>th</w:t>
      </w:r>
      <w:r w:rsidR="0067166A">
        <w:rPr>
          <w:rFonts w:ascii="Arial" w:hAnsi="Arial" w:cs="Arial"/>
          <w:sz w:val="24"/>
          <w:szCs w:val="24"/>
        </w:rPr>
        <w:t xml:space="preserve"> century with the four most notable schools being that of pre-classical, classical, positivist and neo-classical (ibid). </w:t>
      </w:r>
    </w:p>
    <w:p w14:paraId="295E44B6" w14:textId="7E5111E5" w:rsidR="0067166A" w:rsidRDefault="0067166A" w:rsidP="00145EFF">
      <w:pPr>
        <w:spacing w:line="480" w:lineRule="auto"/>
        <w:rPr>
          <w:rFonts w:ascii="Arial" w:hAnsi="Arial" w:cs="Arial"/>
          <w:sz w:val="24"/>
          <w:szCs w:val="24"/>
        </w:rPr>
      </w:pPr>
    </w:p>
    <w:p w14:paraId="4FF3EFBF" w14:textId="4B2C3DEE" w:rsidR="002E6F0B" w:rsidRDefault="00981A7D" w:rsidP="00145EFF">
      <w:pPr>
        <w:spacing w:line="480" w:lineRule="auto"/>
        <w:rPr>
          <w:rFonts w:ascii="Arial" w:hAnsi="Arial" w:cs="Arial"/>
          <w:sz w:val="24"/>
          <w:szCs w:val="24"/>
        </w:rPr>
      </w:pPr>
      <w:r>
        <w:rPr>
          <w:rFonts w:ascii="Arial" w:hAnsi="Arial" w:cs="Arial"/>
          <w:sz w:val="24"/>
          <w:szCs w:val="24"/>
        </w:rPr>
        <w:t xml:space="preserve">In terms of the pre-classical school, this is essentially the </w:t>
      </w:r>
      <w:r w:rsidR="002C6902">
        <w:rPr>
          <w:rFonts w:ascii="Arial" w:hAnsi="Arial" w:cs="Arial"/>
          <w:sz w:val="24"/>
          <w:szCs w:val="24"/>
        </w:rPr>
        <w:t>ac</w:t>
      </w:r>
      <w:r>
        <w:rPr>
          <w:rFonts w:ascii="Arial" w:hAnsi="Arial" w:cs="Arial"/>
          <w:sz w:val="24"/>
          <w:szCs w:val="24"/>
        </w:rPr>
        <w:t>cu</w:t>
      </w:r>
      <w:r w:rsidR="002C6902">
        <w:rPr>
          <w:rFonts w:ascii="Arial" w:hAnsi="Arial" w:cs="Arial"/>
          <w:sz w:val="24"/>
          <w:szCs w:val="24"/>
        </w:rPr>
        <w:t>mul</w:t>
      </w:r>
      <w:r>
        <w:rPr>
          <w:rFonts w:ascii="Arial" w:hAnsi="Arial" w:cs="Arial"/>
          <w:sz w:val="24"/>
          <w:szCs w:val="24"/>
        </w:rPr>
        <w:t>ation of all the crime understanding and concepts before the proper emergence of legitimate scientific thinking, of which the majority was very religiously inclined</w:t>
      </w:r>
      <w:r w:rsidR="00DC6F60">
        <w:rPr>
          <w:rFonts w:ascii="Arial" w:hAnsi="Arial" w:cs="Arial"/>
          <w:sz w:val="24"/>
          <w:szCs w:val="24"/>
        </w:rPr>
        <w:t xml:space="preserve"> (</w:t>
      </w:r>
      <w:proofErr w:type="spellStart"/>
      <w:r w:rsidR="002C6902">
        <w:rPr>
          <w:rFonts w:ascii="Arial" w:hAnsi="Arial" w:cs="Arial"/>
          <w:sz w:val="24"/>
          <w:szCs w:val="24"/>
        </w:rPr>
        <w:t>Zedner</w:t>
      </w:r>
      <w:proofErr w:type="spellEnd"/>
      <w:r w:rsidR="002C6902">
        <w:rPr>
          <w:rFonts w:ascii="Arial" w:hAnsi="Arial" w:cs="Arial"/>
          <w:sz w:val="24"/>
          <w:szCs w:val="24"/>
        </w:rPr>
        <w:t xml:space="preserve">, 2007). This is due to how </w:t>
      </w:r>
      <w:r w:rsidR="00D32E61">
        <w:rPr>
          <w:rFonts w:ascii="Arial" w:hAnsi="Arial" w:cs="Arial"/>
          <w:sz w:val="24"/>
          <w:szCs w:val="24"/>
        </w:rPr>
        <w:t>embedded religion and</w:t>
      </w:r>
      <w:r w:rsidR="00AB2414">
        <w:rPr>
          <w:rFonts w:ascii="Arial" w:hAnsi="Arial" w:cs="Arial"/>
          <w:sz w:val="24"/>
          <w:szCs w:val="24"/>
        </w:rPr>
        <w:t xml:space="preserve"> spiritual</w:t>
      </w:r>
      <w:r w:rsidR="00D32E61">
        <w:rPr>
          <w:rFonts w:ascii="Arial" w:hAnsi="Arial" w:cs="Arial"/>
          <w:sz w:val="24"/>
          <w:szCs w:val="24"/>
        </w:rPr>
        <w:t xml:space="preserve"> traditions were across Europe up until the </w:t>
      </w:r>
      <w:r w:rsidR="00F6296C">
        <w:rPr>
          <w:rFonts w:ascii="Arial" w:hAnsi="Arial" w:cs="Arial"/>
          <w:sz w:val="24"/>
          <w:szCs w:val="24"/>
        </w:rPr>
        <w:t xml:space="preserve">age of enlightenment meaning, most theories were based on a good versus </w:t>
      </w:r>
      <w:r w:rsidR="00F6296C">
        <w:rPr>
          <w:rFonts w:ascii="Arial" w:hAnsi="Arial" w:cs="Arial"/>
          <w:sz w:val="24"/>
          <w:szCs w:val="24"/>
        </w:rPr>
        <w:lastRenderedPageBreak/>
        <w:t>evil principle with criminality being viewed as the result of satanic forces possessing an individual</w:t>
      </w:r>
      <w:r w:rsidR="00AB2414">
        <w:rPr>
          <w:rFonts w:ascii="Arial" w:hAnsi="Arial" w:cs="Arial"/>
          <w:sz w:val="24"/>
          <w:szCs w:val="24"/>
        </w:rPr>
        <w:t xml:space="preserve"> or, evil spirits causing unjust events due to the sins committed</w:t>
      </w:r>
      <w:r w:rsidR="00F6296C">
        <w:rPr>
          <w:rFonts w:ascii="Arial" w:hAnsi="Arial" w:cs="Arial"/>
          <w:sz w:val="24"/>
          <w:szCs w:val="24"/>
        </w:rPr>
        <w:t xml:space="preserve"> (ibid).</w:t>
      </w:r>
    </w:p>
    <w:p w14:paraId="62C88003" w14:textId="77777777" w:rsidR="00F40B70" w:rsidRDefault="00FF4B4A" w:rsidP="00145EFF">
      <w:pPr>
        <w:spacing w:line="480" w:lineRule="auto"/>
        <w:rPr>
          <w:rFonts w:ascii="Arial" w:hAnsi="Arial" w:cs="Arial"/>
          <w:sz w:val="24"/>
          <w:szCs w:val="24"/>
        </w:rPr>
      </w:pPr>
      <w:r>
        <w:rPr>
          <w:rFonts w:ascii="Arial" w:hAnsi="Arial" w:cs="Arial"/>
          <w:sz w:val="24"/>
          <w:szCs w:val="24"/>
        </w:rPr>
        <w:t xml:space="preserve">The emergence of classicism </w:t>
      </w:r>
      <w:r w:rsidR="002E6F0B">
        <w:rPr>
          <w:rFonts w:ascii="Arial" w:hAnsi="Arial" w:cs="Arial"/>
          <w:sz w:val="24"/>
          <w:szCs w:val="24"/>
        </w:rPr>
        <w:t>in the late 18</w:t>
      </w:r>
      <w:r w:rsidR="002E6F0B" w:rsidRPr="002E6F0B">
        <w:rPr>
          <w:rFonts w:ascii="Arial" w:hAnsi="Arial" w:cs="Arial"/>
          <w:sz w:val="24"/>
          <w:szCs w:val="24"/>
          <w:vertAlign w:val="superscript"/>
        </w:rPr>
        <w:t>th</w:t>
      </w:r>
      <w:r w:rsidR="002E6F0B">
        <w:rPr>
          <w:rFonts w:ascii="Arial" w:hAnsi="Arial" w:cs="Arial"/>
          <w:sz w:val="24"/>
          <w:szCs w:val="24"/>
        </w:rPr>
        <w:t>/early 19</w:t>
      </w:r>
      <w:r w:rsidR="002E6F0B" w:rsidRPr="002E6F0B">
        <w:rPr>
          <w:rFonts w:ascii="Arial" w:hAnsi="Arial" w:cs="Arial"/>
          <w:sz w:val="24"/>
          <w:szCs w:val="24"/>
          <w:vertAlign w:val="superscript"/>
        </w:rPr>
        <w:t>th</w:t>
      </w:r>
      <w:r w:rsidR="002E6F0B">
        <w:rPr>
          <w:rFonts w:ascii="Arial" w:hAnsi="Arial" w:cs="Arial"/>
          <w:sz w:val="24"/>
          <w:szCs w:val="24"/>
        </w:rPr>
        <w:t xml:space="preserve"> century </w:t>
      </w:r>
      <w:r>
        <w:rPr>
          <w:rFonts w:ascii="Arial" w:hAnsi="Arial" w:cs="Arial"/>
          <w:sz w:val="24"/>
          <w:szCs w:val="24"/>
        </w:rPr>
        <w:t xml:space="preserve">is widely considered </w:t>
      </w:r>
      <w:r w:rsidR="002E6F0B">
        <w:rPr>
          <w:rFonts w:ascii="Arial" w:hAnsi="Arial" w:cs="Arial"/>
          <w:sz w:val="24"/>
          <w:szCs w:val="24"/>
        </w:rPr>
        <w:t xml:space="preserve">as the first adequate understanding of crime and deviant behaviour, with Tierney (2009) informing that the impact the classical school </w:t>
      </w:r>
      <w:r w:rsidR="002201ED">
        <w:rPr>
          <w:rFonts w:ascii="Arial" w:hAnsi="Arial" w:cs="Arial"/>
          <w:sz w:val="24"/>
          <w:szCs w:val="24"/>
        </w:rPr>
        <w:t xml:space="preserve">had </w:t>
      </w:r>
      <w:r w:rsidR="002E6F0B">
        <w:rPr>
          <w:rFonts w:ascii="Arial" w:hAnsi="Arial" w:cs="Arial"/>
          <w:sz w:val="24"/>
          <w:szCs w:val="24"/>
        </w:rPr>
        <w:t xml:space="preserve">is often </w:t>
      </w:r>
      <w:r w:rsidR="002201ED">
        <w:rPr>
          <w:rFonts w:ascii="Arial" w:hAnsi="Arial" w:cs="Arial"/>
          <w:sz w:val="24"/>
          <w:szCs w:val="24"/>
        </w:rPr>
        <w:t xml:space="preserve">severely </w:t>
      </w:r>
      <w:r w:rsidR="002E6F0B">
        <w:rPr>
          <w:rFonts w:ascii="Arial" w:hAnsi="Arial" w:cs="Arial"/>
          <w:sz w:val="24"/>
          <w:szCs w:val="24"/>
        </w:rPr>
        <w:t>overlooked. This is because,</w:t>
      </w:r>
      <w:r w:rsidR="002201ED">
        <w:rPr>
          <w:rFonts w:ascii="Arial" w:hAnsi="Arial" w:cs="Arial"/>
          <w:sz w:val="24"/>
          <w:szCs w:val="24"/>
        </w:rPr>
        <w:t xml:space="preserve"> before this concept of free will and a </w:t>
      </w:r>
      <w:r w:rsidR="00820C52">
        <w:rPr>
          <w:rFonts w:ascii="Arial" w:hAnsi="Arial" w:cs="Arial"/>
          <w:sz w:val="24"/>
          <w:szCs w:val="24"/>
        </w:rPr>
        <w:t>person’s</w:t>
      </w:r>
      <w:r w:rsidR="002201ED">
        <w:rPr>
          <w:rFonts w:ascii="Arial" w:hAnsi="Arial" w:cs="Arial"/>
          <w:sz w:val="24"/>
          <w:szCs w:val="24"/>
        </w:rPr>
        <w:t xml:space="preserve"> own rational choice was introduced, there was no understanding for rationality or logic but rather everything being put down to spiritual influences</w:t>
      </w:r>
      <w:r w:rsidR="002D0EFB">
        <w:rPr>
          <w:rFonts w:ascii="Arial" w:hAnsi="Arial" w:cs="Arial"/>
          <w:sz w:val="24"/>
          <w:szCs w:val="24"/>
        </w:rPr>
        <w:t xml:space="preserve"> or mythical beliefs like fate</w:t>
      </w:r>
      <w:r w:rsidR="002201ED">
        <w:rPr>
          <w:rFonts w:ascii="Arial" w:hAnsi="Arial" w:cs="Arial"/>
          <w:sz w:val="24"/>
          <w:szCs w:val="24"/>
        </w:rPr>
        <w:t xml:space="preserve"> (ibid). </w:t>
      </w:r>
      <w:r w:rsidR="00820C52">
        <w:rPr>
          <w:rFonts w:ascii="Arial" w:hAnsi="Arial" w:cs="Arial"/>
          <w:sz w:val="24"/>
          <w:szCs w:val="24"/>
        </w:rPr>
        <w:t xml:space="preserve">However, as Morrison </w:t>
      </w:r>
      <w:r w:rsidR="000B07DA">
        <w:rPr>
          <w:rFonts w:ascii="Arial" w:hAnsi="Arial" w:cs="Arial"/>
          <w:sz w:val="24"/>
          <w:szCs w:val="24"/>
        </w:rPr>
        <w:t xml:space="preserve">(2004) argues this effectively crowning of classicism as the complete awakening to criminology should be met with scepticism as the positivist school emerged during the </w:t>
      </w:r>
      <w:r w:rsidR="00936809">
        <w:rPr>
          <w:rFonts w:ascii="Arial" w:hAnsi="Arial" w:cs="Arial"/>
          <w:sz w:val="24"/>
          <w:szCs w:val="24"/>
        </w:rPr>
        <w:t>similar</w:t>
      </w:r>
      <w:r w:rsidR="000B07DA">
        <w:rPr>
          <w:rFonts w:ascii="Arial" w:hAnsi="Arial" w:cs="Arial"/>
          <w:sz w:val="24"/>
          <w:szCs w:val="24"/>
        </w:rPr>
        <w:t xml:space="preserve"> period of the </w:t>
      </w:r>
      <w:r w:rsidR="00936809">
        <w:rPr>
          <w:rFonts w:ascii="Arial" w:hAnsi="Arial" w:cs="Arial"/>
          <w:sz w:val="24"/>
          <w:szCs w:val="24"/>
        </w:rPr>
        <w:t xml:space="preserve">early </w:t>
      </w:r>
      <w:r w:rsidR="000B07DA">
        <w:rPr>
          <w:rFonts w:ascii="Arial" w:hAnsi="Arial" w:cs="Arial"/>
          <w:sz w:val="24"/>
          <w:szCs w:val="24"/>
        </w:rPr>
        <w:t>19</w:t>
      </w:r>
      <w:r w:rsidR="000B07DA" w:rsidRPr="000B07DA">
        <w:rPr>
          <w:rFonts w:ascii="Arial" w:hAnsi="Arial" w:cs="Arial"/>
          <w:sz w:val="24"/>
          <w:szCs w:val="24"/>
          <w:vertAlign w:val="superscript"/>
        </w:rPr>
        <w:t>th</w:t>
      </w:r>
      <w:r w:rsidR="000B07DA">
        <w:rPr>
          <w:rFonts w:ascii="Arial" w:hAnsi="Arial" w:cs="Arial"/>
          <w:sz w:val="24"/>
          <w:szCs w:val="24"/>
        </w:rPr>
        <w:t xml:space="preserve"> centur</w:t>
      </w:r>
      <w:r w:rsidR="00936809">
        <w:rPr>
          <w:rFonts w:ascii="Arial" w:hAnsi="Arial" w:cs="Arial"/>
          <w:sz w:val="24"/>
          <w:szCs w:val="24"/>
        </w:rPr>
        <w:t>y</w:t>
      </w:r>
      <w:r w:rsidR="000B07DA">
        <w:rPr>
          <w:rFonts w:ascii="Arial" w:hAnsi="Arial" w:cs="Arial"/>
          <w:sz w:val="24"/>
          <w:szCs w:val="24"/>
        </w:rPr>
        <w:t xml:space="preserve">, showing that </w:t>
      </w:r>
      <w:r w:rsidR="002E2CC0">
        <w:rPr>
          <w:rFonts w:ascii="Arial" w:hAnsi="Arial" w:cs="Arial"/>
          <w:sz w:val="24"/>
          <w:szCs w:val="24"/>
        </w:rPr>
        <w:t xml:space="preserve">there was more than one perspective on crime within this influential time period. </w:t>
      </w:r>
    </w:p>
    <w:p w14:paraId="00AF1BD1" w14:textId="77777777" w:rsidR="00F40B70" w:rsidRDefault="00F40B70" w:rsidP="00145EFF">
      <w:pPr>
        <w:spacing w:line="480" w:lineRule="auto"/>
        <w:rPr>
          <w:rFonts w:ascii="Arial" w:hAnsi="Arial" w:cs="Arial"/>
          <w:sz w:val="24"/>
          <w:szCs w:val="24"/>
        </w:rPr>
      </w:pPr>
    </w:p>
    <w:p w14:paraId="2E2FEE64" w14:textId="40E3DD57" w:rsidR="00227E60" w:rsidRDefault="002E2CC0" w:rsidP="00145EFF">
      <w:pPr>
        <w:spacing w:line="480" w:lineRule="auto"/>
        <w:rPr>
          <w:rFonts w:ascii="Arial" w:hAnsi="Arial" w:cs="Arial"/>
          <w:sz w:val="24"/>
          <w:szCs w:val="24"/>
        </w:rPr>
      </w:pPr>
      <w:r>
        <w:rPr>
          <w:rFonts w:ascii="Arial" w:hAnsi="Arial" w:cs="Arial"/>
          <w:sz w:val="24"/>
          <w:szCs w:val="24"/>
        </w:rPr>
        <w:t xml:space="preserve">This is expanded upon by Gibson (2013) who enlightens that positivism and the declared creator of this Cesare Lombroso, who is also referred to as the father of criminology, can be seen to provide an alternative viewpoint with the belief that criminality is a born trait and there are specific deformities or physical features that can be used to determine if an </w:t>
      </w:r>
      <w:r w:rsidR="00BD435A">
        <w:rPr>
          <w:rFonts w:ascii="Arial" w:hAnsi="Arial" w:cs="Arial"/>
          <w:sz w:val="24"/>
          <w:szCs w:val="24"/>
        </w:rPr>
        <w:t>individual</w:t>
      </w:r>
      <w:r>
        <w:rPr>
          <w:rFonts w:ascii="Arial" w:hAnsi="Arial" w:cs="Arial"/>
          <w:sz w:val="24"/>
          <w:szCs w:val="24"/>
        </w:rPr>
        <w:t xml:space="preserve"> is criminal or not</w:t>
      </w:r>
      <w:r w:rsidR="00BD435A">
        <w:rPr>
          <w:rFonts w:ascii="Arial" w:hAnsi="Arial" w:cs="Arial"/>
          <w:sz w:val="24"/>
          <w:szCs w:val="24"/>
        </w:rPr>
        <w:t xml:space="preserve">. </w:t>
      </w:r>
      <w:r w:rsidR="00936809">
        <w:rPr>
          <w:rFonts w:ascii="Arial" w:hAnsi="Arial" w:cs="Arial"/>
          <w:sz w:val="24"/>
          <w:szCs w:val="24"/>
        </w:rPr>
        <w:t xml:space="preserve">As </w:t>
      </w:r>
      <w:r w:rsidR="00D93D46">
        <w:rPr>
          <w:rFonts w:ascii="Arial" w:hAnsi="Arial" w:cs="Arial"/>
          <w:sz w:val="24"/>
          <w:szCs w:val="24"/>
        </w:rPr>
        <w:t xml:space="preserve">Schmalleger (2011) alludes, these two differing philosophies on crime actually acted as a springboard for the neoclassicism </w:t>
      </w:r>
      <w:r w:rsidR="00227E60">
        <w:rPr>
          <w:rFonts w:ascii="Arial" w:hAnsi="Arial" w:cs="Arial"/>
          <w:sz w:val="24"/>
          <w:szCs w:val="24"/>
        </w:rPr>
        <w:t>emergence. This is due to the both philosophies although having distinct impacts on the understanding of crime and how criminality was viewed also, creating extended questioning on the back of the philosophies or related research presented for the both schools respectively (ibid).</w:t>
      </w:r>
    </w:p>
    <w:p w14:paraId="4D184D21" w14:textId="77777777" w:rsidR="00227E60" w:rsidRDefault="00227E60" w:rsidP="00145EFF">
      <w:pPr>
        <w:spacing w:line="480" w:lineRule="auto"/>
        <w:rPr>
          <w:rFonts w:ascii="Arial" w:hAnsi="Arial" w:cs="Arial"/>
          <w:sz w:val="24"/>
          <w:szCs w:val="24"/>
        </w:rPr>
      </w:pPr>
    </w:p>
    <w:p w14:paraId="0728806C" w14:textId="3264FCA3" w:rsidR="00981A7D" w:rsidRDefault="00227E60" w:rsidP="00145EFF">
      <w:pPr>
        <w:spacing w:line="480" w:lineRule="auto"/>
        <w:rPr>
          <w:rFonts w:ascii="Arial" w:hAnsi="Arial" w:cs="Arial"/>
          <w:sz w:val="24"/>
          <w:szCs w:val="24"/>
        </w:rPr>
      </w:pPr>
      <w:r>
        <w:rPr>
          <w:rFonts w:ascii="Arial" w:hAnsi="Arial" w:cs="Arial"/>
          <w:sz w:val="24"/>
          <w:szCs w:val="24"/>
        </w:rPr>
        <w:lastRenderedPageBreak/>
        <w:t xml:space="preserve"> In relation to </w:t>
      </w:r>
      <w:r w:rsidR="00420259">
        <w:rPr>
          <w:rFonts w:ascii="Arial" w:hAnsi="Arial" w:cs="Arial"/>
          <w:sz w:val="24"/>
          <w:szCs w:val="24"/>
        </w:rPr>
        <w:t xml:space="preserve">neoclassicism, this perspective can be understood as essentially a compromise to the two other schools of criminology and also the sort of </w:t>
      </w:r>
      <w:r w:rsidR="002D0EFB">
        <w:rPr>
          <w:rFonts w:ascii="Arial" w:hAnsi="Arial" w:cs="Arial"/>
          <w:sz w:val="24"/>
          <w:szCs w:val="24"/>
        </w:rPr>
        <w:t>implanted</w:t>
      </w:r>
      <w:r w:rsidR="00420259">
        <w:rPr>
          <w:rFonts w:ascii="Arial" w:hAnsi="Arial" w:cs="Arial"/>
          <w:sz w:val="24"/>
          <w:szCs w:val="24"/>
        </w:rPr>
        <w:t xml:space="preserve"> opposition connection the both have to each other. This is described well by Vito &amp; </w:t>
      </w:r>
      <w:proofErr w:type="spellStart"/>
      <w:r w:rsidR="00420259">
        <w:rPr>
          <w:rFonts w:ascii="Arial" w:hAnsi="Arial" w:cs="Arial"/>
          <w:sz w:val="24"/>
          <w:szCs w:val="24"/>
        </w:rPr>
        <w:t>Maahs</w:t>
      </w:r>
      <w:proofErr w:type="spellEnd"/>
      <w:r w:rsidR="00420259">
        <w:rPr>
          <w:rFonts w:ascii="Arial" w:hAnsi="Arial" w:cs="Arial"/>
          <w:sz w:val="24"/>
          <w:szCs w:val="24"/>
        </w:rPr>
        <w:t xml:space="preserve"> (2015), with the highlighting that the neo-classical approach is perhaps a</w:t>
      </w:r>
      <w:r w:rsidR="004727ED">
        <w:rPr>
          <w:rFonts w:ascii="Arial" w:hAnsi="Arial" w:cs="Arial"/>
          <w:sz w:val="24"/>
          <w:szCs w:val="24"/>
        </w:rPr>
        <w:t xml:space="preserve"> reform of the classicism philosophy in some ways, as the evolvement of the classical theorist Beccaria’s principles is evident just in a more extended and developed manner. This is because, the concern of this approach and the identified founder of it</w:t>
      </w:r>
      <w:r w:rsidR="00352FA8">
        <w:rPr>
          <w:rFonts w:ascii="Arial" w:hAnsi="Arial" w:cs="Arial"/>
          <w:sz w:val="24"/>
          <w:szCs w:val="24"/>
        </w:rPr>
        <w:t xml:space="preserve"> </w:t>
      </w:r>
      <w:r w:rsidR="004727ED">
        <w:rPr>
          <w:rFonts w:ascii="Arial" w:hAnsi="Arial" w:cs="Arial"/>
          <w:sz w:val="24"/>
          <w:szCs w:val="24"/>
        </w:rPr>
        <w:t>Gabriel Tarde</w:t>
      </w:r>
      <w:r w:rsidR="00352FA8">
        <w:rPr>
          <w:rFonts w:ascii="Arial" w:hAnsi="Arial" w:cs="Arial"/>
          <w:sz w:val="24"/>
          <w:szCs w:val="24"/>
        </w:rPr>
        <w:t>,</w:t>
      </w:r>
      <w:r w:rsidR="004727ED">
        <w:rPr>
          <w:rFonts w:ascii="Arial" w:hAnsi="Arial" w:cs="Arial"/>
          <w:sz w:val="24"/>
          <w:szCs w:val="24"/>
        </w:rPr>
        <w:t xml:space="preserve"> is to provide a more critical understanding for the concept of free will and rational choice being the cause of crime and so, </w:t>
      </w:r>
      <w:r w:rsidR="00352FA8">
        <w:rPr>
          <w:rFonts w:ascii="Arial" w:hAnsi="Arial" w:cs="Arial"/>
          <w:sz w:val="24"/>
          <w:szCs w:val="24"/>
        </w:rPr>
        <w:t xml:space="preserve">make clear that despite every individual being responsible for their actions there can be key factors that influence ones free will (ibid). Furthermore, this school of criminology may be seen as an expansion more than a unique singular entity, as it uses the basis of classicism but restructures it to show that </w:t>
      </w:r>
      <w:r w:rsidR="001141AB">
        <w:rPr>
          <w:rFonts w:ascii="Arial" w:hAnsi="Arial" w:cs="Arial"/>
          <w:sz w:val="24"/>
          <w:szCs w:val="24"/>
        </w:rPr>
        <w:t xml:space="preserve">rightful justice and fairness takes consideration into key factors such as age or of a reasonable mind and how these might impact a person’s rational choice (Rathbun, 2008). </w:t>
      </w:r>
      <w:r w:rsidR="00BF2738">
        <w:rPr>
          <w:rFonts w:ascii="Arial" w:hAnsi="Arial" w:cs="Arial"/>
          <w:sz w:val="24"/>
          <w:szCs w:val="24"/>
        </w:rPr>
        <w:t xml:space="preserve">However, </w:t>
      </w:r>
      <w:proofErr w:type="spellStart"/>
      <w:r w:rsidR="00BF2738">
        <w:rPr>
          <w:rFonts w:ascii="Arial" w:hAnsi="Arial" w:cs="Arial"/>
          <w:sz w:val="24"/>
          <w:szCs w:val="24"/>
        </w:rPr>
        <w:t>Bonger</w:t>
      </w:r>
      <w:proofErr w:type="spellEnd"/>
      <w:r w:rsidR="00BF2738">
        <w:rPr>
          <w:rFonts w:ascii="Arial" w:hAnsi="Arial" w:cs="Arial"/>
          <w:sz w:val="24"/>
          <w:szCs w:val="24"/>
        </w:rPr>
        <w:t xml:space="preserve"> (2015) insists that each of these mentioned schools of criminology should all be viewed in a unique manner, as each offer some significance in the foundations of the criminology subject. Despite this being the case, there can also be a clear acknowledgement made that it is the contrasting approaches of classicism and positivism along with the related theories, philosophers and </w:t>
      </w:r>
      <w:r w:rsidR="00AE5317">
        <w:rPr>
          <w:rFonts w:ascii="Arial" w:hAnsi="Arial" w:cs="Arial"/>
          <w:sz w:val="24"/>
          <w:szCs w:val="24"/>
        </w:rPr>
        <w:t xml:space="preserve">studies for both, that is most prominent when reflecting on historical views and explanations of crime (Coleman &amp; Norris, 2013). </w:t>
      </w:r>
    </w:p>
    <w:p w14:paraId="6FC4BF6E" w14:textId="77777777" w:rsidR="009D3A47" w:rsidRDefault="009D3A47" w:rsidP="00145EFF">
      <w:pPr>
        <w:spacing w:line="480" w:lineRule="auto"/>
        <w:rPr>
          <w:rFonts w:ascii="Arial" w:hAnsi="Arial" w:cs="Arial"/>
          <w:sz w:val="24"/>
          <w:szCs w:val="24"/>
        </w:rPr>
      </w:pPr>
    </w:p>
    <w:p w14:paraId="4CCCB88D" w14:textId="2FD617D8" w:rsidR="008F7FE8" w:rsidRDefault="00D81771" w:rsidP="00145EFF">
      <w:pPr>
        <w:spacing w:line="480" w:lineRule="auto"/>
        <w:rPr>
          <w:rFonts w:ascii="Arial" w:hAnsi="Arial" w:cs="Arial"/>
          <w:sz w:val="24"/>
          <w:szCs w:val="24"/>
        </w:rPr>
      </w:pPr>
      <w:r>
        <w:rPr>
          <w:rFonts w:ascii="Arial" w:hAnsi="Arial" w:cs="Arial"/>
          <w:sz w:val="24"/>
          <w:szCs w:val="24"/>
        </w:rPr>
        <w:t xml:space="preserve">Undoubtedly, when considering this topic of classicism or positivism </w:t>
      </w:r>
      <w:r w:rsidR="003D7DB9">
        <w:rPr>
          <w:rFonts w:ascii="Arial" w:hAnsi="Arial" w:cs="Arial"/>
          <w:sz w:val="24"/>
          <w:szCs w:val="24"/>
        </w:rPr>
        <w:t>one of the notable philosophers that must be mentioned is</w:t>
      </w:r>
      <w:r>
        <w:rPr>
          <w:rFonts w:ascii="Arial" w:hAnsi="Arial" w:cs="Arial"/>
          <w:sz w:val="24"/>
          <w:szCs w:val="24"/>
        </w:rPr>
        <w:t xml:space="preserve"> </w:t>
      </w:r>
      <w:r w:rsidR="003D7DB9">
        <w:rPr>
          <w:rFonts w:ascii="Arial" w:hAnsi="Arial" w:cs="Arial"/>
          <w:sz w:val="24"/>
          <w:szCs w:val="24"/>
        </w:rPr>
        <w:t xml:space="preserve">of course Cesare Beccaria. As Williams (2010) conveys, Beccaria can be seen to hold great importance in the field </w:t>
      </w:r>
      <w:r w:rsidR="003D7DB9">
        <w:rPr>
          <w:rFonts w:ascii="Arial" w:hAnsi="Arial" w:cs="Arial"/>
          <w:sz w:val="24"/>
          <w:szCs w:val="24"/>
        </w:rPr>
        <w:lastRenderedPageBreak/>
        <w:t>of criminology due to how ground breaking his</w:t>
      </w:r>
      <w:r w:rsidR="00925FD7">
        <w:rPr>
          <w:rFonts w:ascii="Arial" w:hAnsi="Arial" w:cs="Arial"/>
          <w:sz w:val="24"/>
          <w:szCs w:val="24"/>
        </w:rPr>
        <w:t xml:space="preserve"> classical</w:t>
      </w:r>
      <w:r w:rsidR="003D7DB9">
        <w:rPr>
          <w:rFonts w:ascii="Arial" w:hAnsi="Arial" w:cs="Arial"/>
          <w:sz w:val="24"/>
          <w:szCs w:val="24"/>
        </w:rPr>
        <w:t xml:space="preserve"> views were during the 18</w:t>
      </w:r>
      <w:r w:rsidR="003D7DB9" w:rsidRPr="003D7DB9">
        <w:rPr>
          <w:rFonts w:ascii="Arial" w:hAnsi="Arial" w:cs="Arial"/>
          <w:sz w:val="24"/>
          <w:szCs w:val="24"/>
          <w:vertAlign w:val="superscript"/>
        </w:rPr>
        <w:t>th</w:t>
      </w:r>
      <w:r w:rsidR="003D7DB9">
        <w:rPr>
          <w:rFonts w:ascii="Arial" w:hAnsi="Arial" w:cs="Arial"/>
          <w:sz w:val="24"/>
          <w:szCs w:val="24"/>
        </w:rPr>
        <w:t xml:space="preserve"> century</w:t>
      </w:r>
      <w:r w:rsidR="009D3A47">
        <w:rPr>
          <w:rFonts w:ascii="Arial" w:hAnsi="Arial" w:cs="Arial"/>
          <w:sz w:val="24"/>
          <w:szCs w:val="24"/>
        </w:rPr>
        <w:t>, with them being of great influence in helping the societal shift from very religiously controlled and constructed thinking to a more legitimate scientific manner. There is no greater example of this, than that of the crime and punishment theory held by Beccaria</w:t>
      </w:r>
      <w:r w:rsidR="00F821C1">
        <w:rPr>
          <w:rFonts w:ascii="Arial" w:hAnsi="Arial" w:cs="Arial"/>
          <w:sz w:val="24"/>
          <w:szCs w:val="24"/>
        </w:rPr>
        <w:t xml:space="preserve"> which ultimately played a part in allowing human behaviour to be seen as singular and individually unique to one another (ibid).</w:t>
      </w:r>
      <w:r w:rsidR="00B46305">
        <w:rPr>
          <w:rFonts w:ascii="Arial" w:hAnsi="Arial" w:cs="Arial"/>
          <w:sz w:val="24"/>
          <w:szCs w:val="24"/>
        </w:rPr>
        <w:t xml:space="preserve"> In regards to Beccaria’s theory, this can be seen to be based upon the three tenets of free will, manipulability and rational choice and how these three components all allow for the understanding for criminality and the answering for the purpose of punishment (Triplett, 2018). </w:t>
      </w:r>
    </w:p>
    <w:p w14:paraId="3C6E6544" w14:textId="77777777" w:rsidR="008F7FE8" w:rsidRDefault="008F7FE8" w:rsidP="00145EFF">
      <w:pPr>
        <w:spacing w:line="480" w:lineRule="auto"/>
        <w:rPr>
          <w:rFonts w:ascii="Arial" w:hAnsi="Arial" w:cs="Arial"/>
          <w:sz w:val="24"/>
          <w:szCs w:val="24"/>
        </w:rPr>
      </w:pPr>
    </w:p>
    <w:p w14:paraId="5D7C1D30" w14:textId="77777777" w:rsidR="00087A53" w:rsidRDefault="00B46305" w:rsidP="00145EFF">
      <w:pPr>
        <w:spacing w:line="480" w:lineRule="auto"/>
        <w:rPr>
          <w:rFonts w:ascii="Arial" w:hAnsi="Arial" w:cs="Arial"/>
          <w:sz w:val="24"/>
          <w:szCs w:val="24"/>
        </w:rPr>
      </w:pPr>
      <w:r>
        <w:rPr>
          <w:rFonts w:ascii="Arial" w:hAnsi="Arial" w:cs="Arial"/>
          <w:sz w:val="24"/>
          <w:szCs w:val="24"/>
        </w:rPr>
        <w:t xml:space="preserve">As a whole, Beccaria believed these were all that was needed to explain any criminal activity with free will enabling a person to make </w:t>
      </w:r>
      <w:r w:rsidR="00B80689">
        <w:rPr>
          <w:rFonts w:ascii="Arial" w:hAnsi="Arial" w:cs="Arial"/>
          <w:sz w:val="24"/>
          <w:szCs w:val="24"/>
        </w:rPr>
        <w:t xml:space="preserve">individual choices and also, the rational choice held by an individual being applied when weighing up whether a choice would help them achieve all or an amount of the personal gratification desired (Newman, 2016). In terms of the manipulability component, this can be seen as explaining the purpose of punishment as it refers to the predictable ways people act out of self-interest </w:t>
      </w:r>
      <w:r w:rsidR="00742FC3">
        <w:rPr>
          <w:rFonts w:ascii="Arial" w:hAnsi="Arial" w:cs="Arial"/>
          <w:sz w:val="24"/>
          <w:szCs w:val="24"/>
        </w:rPr>
        <w:t xml:space="preserve">which may not always fit societal laws or norms (ibid). Therefore, if punishment or deterrence is used in an effective manner these should outweigh or block any of the benefits (personal gratification element already mentioned), meaning that the unlawful or unaccepted act will be determined an illogical choice by the individual (Triplett, 2018). </w:t>
      </w:r>
      <w:r w:rsidR="004204BA">
        <w:rPr>
          <w:rFonts w:ascii="Arial" w:hAnsi="Arial" w:cs="Arial"/>
          <w:sz w:val="24"/>
          <w:szCs w:val="24"/>
        </w:rPr>
        <w:t xml:space="preserve">Conversely, as previously mentioned whilst introducing the classicism perspective this theory also suffers to a certain extent from the same limitations. </w:t>
      </w:r>
    </w:p>
    <w:p w14:paraId="31B61EC0" w14:textId="001B2A3F" w:rsidR="002D0EFB" w:rsidRDefault="000E10BD" w:rsidP="00145EFF">
      <w:pPr>
        <w:spacing w:line="480" w:lineRule="auto"/>
        <w:rPr>
          <w:rFonts w:ascii="Arial" w:hAnsi="Arial" w:cs="Arial"/>
          <w:sz w:val="24"/>
          <w:szCs w:val="24"/>
        </w:rPr>
      </w:pPr>
      <w:r>
        <w:rPr>
          <w:rFonts w:ascii="Arial" w:hAnsi="Arial" w:cs="Arial"/>
          <w:sz w:val="24"/>
          <w:szCs w:val="24"/>
        </w:rPr>
        <w:lastRenderedPageBreak/>
        <w:t>This is shown by Keohane (2002)</w:t>
      </w:r>
      <w:r w:rsidR="00087A53">
        <w:rPr>
          <w:rFonts w:ascii="Arial" w:hAnsi="Arial" w:cs="Arial"/>
          <w:sz w:val="24"/>
          <w:szCs w:val="24"/>
        </w:rPr>
        <w:t>,</w:t>
      </w:r>
      <w:r>
        <w:rPr>
          <w:rFonts w:ascii="Arial" w:hAnsi="Arial" w:cs="Arial"/>
          <w:sz w:val="24"/>
          <w:szCs w:val="24"/>
        </w:rPr>
        <w:t xml:space="preserve"> with the illustration</w:t>
      </w:r>
      <w:r w:rsidR="00087A53">
        <w:rPr>
          <w:rFonts w:ascii="Arial" w:hAnsi="Arial" w:cs="Arial"/>
          <w:sz w:val="24"/>
          <w:szCs w:val="24"/>
        </w:rPr>
        <w:t xml:space="preserve"> of </w:t>
      </w:r>
      <w:r>
        <w:rPr>
          <w:rFonts w:ascii="Arial" w:hAnsi="Arial" w:cs="Arial"/>
          <w:sz w:val="24"/>
          <w:szCs w:val="24"/>
        </w:rPr>
        <w:t>although being applicable to average and simple instances of crime, the rational choice theory by Beccaria fails to offer explanation to instances where one or some of the three tenets</w:t>
      </w:r>
      <w:r w:rsidR="00087A53">
        <w:rPr>
          <w:rFonts w:ascii="Arial" w:hAnsi="Arial" w:cs="Arial"/>
          <w:sz w:val="24"/>
          <w:szCs w:val="24"/>
        </w:rPr>
        <w:t xml:space="preserve"> </w:t>
      </w:r>
      <w:r>
        <w:rPr>
          <w:rFonts w:ascii="Arial" w:hAnsi="Arial" w:cs="Arial"/>
          <w:sz w:val="24"/>
          <w:szCs w:val="24"/>
        </w:rPr>
        <w:t>mentioned are flawed or unidentified. For instance, a crime involving the act of arson or criminal damage as well as the individual identified as the offe</w:t>
      </w:r>
      <w:r w:rsidR="00087A53">
        <w:rPr>
          <w:rFonts w:ascii="Arial" w:hAnsi="Arial" w:cs="Arial"/>
          <w:sz w:val="24"/>
          <w:szCs w:val="24"/>
        </w:rPr>
        <w:t>nder</w:t>
      </w:r>
      <w:r>
        <w:rPr>
          <w:rFonts w:ascii="Arial" w:hAnsi="Arial" w:cs="Arial"/>
          <w:sz w:val="24"/>
          <w:szCs w:val="24"/>
        </w:rPr>
        <w:t xml:space="preserve"> not being of a reasonable mind, could be </w:t>
      </w:r>
      <w:r w:rsidR="00087A53">
        <w:rPr>
          <w:rFonts w:ascii="Arial" w:hAnsi="Arial" w:cs="Arial"/>
          <w:sz w:val="24"/>
          <w:szCs w:val="24"/>
        </w:rPr>
        <w:t xml:space="preserve">seen as not adequately fitting what is viewed as the free will and rational choice descriptions set by Beccaria (ibid). </w:t>
      </w:r>
      <w:r w:rsidR="00535ABD">
        <w:rPr>
          <w:rFonts w:ascii="Arial" w:hAnsi="Arial" w:cs="Arial"/>
          <w:sz w:val="24"/>
          <w:szCs w:val="24"/>
        </w:rPr>
        <w:t xml:space="preserve">For this reason, </w:t>
      </w:r>
      <w:proofErr w:type="spellStart"/>
      <w:r w:rsidR="00535ABD">
        <w:rPr>
          <w:rFonts w:ascii="Arial" w:hAnsi="Arial" w:cs="Arial"/>
          <w:sz w:val="24"/>
          <w:szCs w:val="24"/>
        </w:rPr>
        <w:t>Herfeld</w:t>
      </w:r>
      <w:proofErr w:type="spellEnd"/>
      <w:r w:rsidR="00535ABD">
        <w:rPr>
          <w:rFonts w:ascii="Arial" w:hAnsi="Arial" w:cs="Arial"/>
          <w:sz w:val="24"/>
          <w:szCs w:val="24"/>
        </w:rPr>
        <w:t xml:space="preserve"> (2012) speculates this could be why the positivism perspective for crime and related theories gained so much notability. To clarify, </w:t>
      </w:r>
      <w:r w:rsidR="00A00F49">
        <w:rPr>
          <w:rFonts w:ascii="Arial" w:hAnsi="Arial" w:cs="Arial"/>
          <w:sz w:val="24"/>
          <w:szCs w:val="24"/>
        </w:rPr>
        <w:t xml:space="preserve">despite the modern biological understanding and research into mental illnesses not being applicable for the time period of the theories in question, it is plausible that the approach of positivism was heavily shaped by the limitations and omissions of the classicism perspective (ibid). </w:t>
      </w:r>
    </w:p>
    <w:p w14:paraId="2D305D86" w14:textId="33809EB8" w:rsidR="00626528" w:rsidRDefault="00626528" w:rsidP="00145EFF">
      <w:pPr>
        <w:spacing w:line="480" w:lineRule="auto"/>
        <w:rPr>
          <w:rFonts w:ascii="Arial" w:hAnsi="Arial" w:cs="Arial"/>
          <w:sz w:val="24"/>
          <w:szCs w:val="24"/>
        </w:rPr>
      </w:pPr>
    </w:p>
    <w:p w14:paraId="21EF0A35" w14:textId="6D788328" w:rsidR="00694224" w:rsidRDefault="00194577" w:rsidP="00145EFF">
      <w:pPr>
        <w:spacing w:line="480" w:lineRule="auto"/>
        <w:rPr>
          <w:rFonts w:ascii="Arial" w:hAnsi="Arial" w:cs="Arial"/>
          <w:sz w:val="24"/>
          <w:szCs w:val="24"/>
        </w:rPr>
      </w:pPr>
      <w:r>
        <w:rPr>
          <w:rFonts w:ascii="Arial" w:hAnsi="Arial" w:cs="Arial"/>
          <w:sz w:val="24"/>
          <w:szCs w:val="24"/>
        </w:rPr>
        <w:t xml:space="preserve">Although </w:t>
      </w:r>
      <w:r w:rsidR="00E81E8F">
        <w:rPr>
          <w:rFonts w:ascii="Arial" w:hAnsi="Arial" w:cs="Arial"/>
          <w:sz w:val="24"/>
          <w:szCs w:val="24"/>
        </w:rPr>
        <w:t>somewha</w:t>
      </w:r>
      <w:r>
        <w:rPr>
          <w:rFonts w:ascii="Arial" w:hAnsi="Arial" w:cs="Arial"/>
          <w:sz w:val="24"/>
          <w:szCs w:val="24"/>
        </w:rPr>
        <w:t xml:space="preserve">t agreeing, </w:t>
      </w:r>
      <w:proofErr w:type="spellStart"/>
      <w:r w:rsidR="0013072F">
        <w:rPr>
          <w:rFonts w:ascii="Arial" w:hAnsi="Arial" w:cs="Arial"/>
          <w:sz w:val="24"/>
          <w:szCs w:val="24"/>
        </w:rPr>
        <w:t>Marmor</w:t>
      </w:r>
      <w:proofErr w:type="spellEnd"/>
      <w:r w:rsidR="0013072F">
        <w:rPr>
          <w:rFonts w:ascii="Arial" w:hAnsi="Arial" w:cs="Arial"/>
          <w:sz w:val="24"/>
          <w:szCs w:val="24"/>
        </w:rPr>
        <w:t xml:space="preserve"> (2002) urges that the positivist perspective should not be viewed as just </w:t>
      </w:r>
      <w:r w:rsidR="007E44EB">
        <w:rPr>
          <w:rFonts w:ascii="Arial" w:hAnsi="Arial" w:cs="Arial"/>
          <w:sz w:val="24"/>
          <w:szCs w:val="24"/>
        </w:rPr>
        <w:t>an</w:t>
      </w:r>
      <w:r w:rsidR="0013072F">
        <w:rPr>
          <w:rFonts w:ascii="Arial" w:hAnsi="Arial" w:cs="Arial"/>
          <w:sz w:val="24"/>
          <w:szCs w:val="24"/>
        </w:rPr>
        <w:t xml:space="preserve"> alternative </w:t>
      </w:r>
      <w:r w:rsidR="007E44EB">
        <w:rPr>
          <w:rFonts w:ascii="Arial" w:hAnsi="Arial" w:cs="Arial"/>
          <w:sz w:val="24"/>
          <w:szCs w:val="24"/>
        </w:rPr>
        <w:t xml:space="preserve">option because of the classicist limitations/omissions but instead, a fully formed unrelated perspective to criminality. </w:t>
      </w:r>
      <w:r w:rsidR="001C228F">
        <w:rPr>
          <w:rFonts w:ascii="Arial" w:hAnsi="Arial" w:cs="Arial"/>
          <w:sz w:val="24"/>
          <w:szCs w:val="24"/>
        </w:rPr>
        <w:t>This is supported by Halfpenny (2014)</w:t>
      </w:r>
      <w:r w:rsidR="00C43A64">
        <w:rPr>
          <w:rFonts w:ascii="Arial" w:hAnsi="Arial" w:cs="Arial"/>
          <w:sz w:val="24"/>
          <w:szCs w:val="24"/>
        </w:rPr>
        <w:t xml:space="preserve">, </w:t>
      </w:r>
      <w:r w:rsidR="001C228F">
        <w:rPr>
          <w:rFonts w:ascii="Arial" w:hAnsi="Arial" w:cs="Arial"/>
          <w:sz w:val="24"/>
          <w:szCs w:val="24"/>
        </w:rPr>
        <w:t>with the educating that</w:t>
      </w:r>
      <w:r w:rsidR="00C43A64">
        <w:rPr>
          <w:rFonts w:ascii="Arial" w:hAnsi="Arial" w:cs="Arial"/>
          <w:sz w:val="24"/>
          <w:szCs w:val="24"/>
        </w:rPr>
        <w:t xml:space="preserve"> </w:t>
      </w:r>
      <w:r w:rsidR="001C228F">
        <w:rPr>
          <w:rFonts w:ascii="Arial" w:hAnsi="Arial" w:cs="Arial"/>
          <w:sz w:val="24"/>
          <w:szCs w:val="24"/>
        </w:rPr>
        <w:t xml:space="preserve">despite being </w:t>
      </w:r>
      <w:r w:rsidR="00C43A64">
        <w:rPr>
          <w:rFonts w:ascii="Arial" w:hAnsi="Arial" w:cs="Arial"/>
          <w:sz w:val="24"/>
          <w:szCs w:val="24"/>
        </w:rPr>
        <w:t xml:space="preserve">somewhat scrutinised as a legitimate criminological viewpoint in the modernised academic environment, the theory of being a born criminal or not presented by Lombroso did once hold as much influence as that of the classicist based rational choice theory. </w:t>
      </w:r>
      <w:r w:rsidR="0045420A">
        <w:rPr>
          <w:rFonts w:ascii="Arial" w:hAnsi="Arial" w:cs="Arial"/>
          <w:sz w:val="24"/>
          <w:szCs w:val="24"/>
        </w:rPr>
        <w:t xml:space="preserve">Contrastingly, </w:t>
      </w:r>
      <w:r w:rsidR="0076589D">
        <w:rPr>
          <w:rFonts w:ascii="Arial" w:hAnsi="Arial" w:cs="Arial"/>
          <w:sz w:val="24"/>
          <w:szCs w:val="24"/>
        </w:rPr>
        <w:t xml:space="preserve">Green &amp; Adams (2003) believe that it is this sort of illustrating of the positivist perspective </w:t>
      </w:r>
      <w:r w:rsidR="00D845D1">
        <w:rPr>
          <w:rFonts w:ascii="Arial" w:hAnsi="Arial" w:cs="Arial"/>
          <w:sz w:val="24"/>
          <w:szCs w:val="24"/>
        </w:rPr>
        <w:t xml:space="preserve">that has resulted in the discrediting </w:t>
      </w:r>
      <w:r w:rsidR="0076589D">
        <w:rPr>
          <w:rFonts w:ascii="Arial" w:hAnsi="Arial" w:cs="Arial"/>
          <w:sz w:val="24"/>
          <w:szCs w:val="24"/>
        </w:rPr>
        <w:t xml:space="preserve">because, if looked at more critically it is obvious that this approach </w:t>
      </w:r>
      <w:r w:rsidR="00694224">
        <w:rPr>
          <w:rFonts w:ascii="Arial" w:hAnsi="Arial" w:cs="Arial"/>
          <w:sz w:val="24"/>
          <w:szCs w:val="24"/>
        </w:rPr>
        <w:t xml:space="preserve">is much more than simply the well-known Lombroso theory. </w:t>
      </w:r>
    </w:p>
    <w:p w14:paraId="6855D42E" w14:textId="4808237B" w:rsidR="00626528" w:rsidRDefault="00694224" w:rsidP="00145EFF">
      <w:pPr>
        <w:spacing w:line="480" w:lineRule="auto"/>
        <w:rPr>
          <w:rFonts w:ascii="Arial" w:hAnsi="Arial" w:cs="Arial"/>
          <w:sz w:val="24"/>
          <w:szCs w:val="24"/>
        </w:rPr>
      </w:pPr>
      <w:r>
        <w:rPr>
          <w:rFonts w:ascii="Arial" w:hAnsi="Arial" w:cs="Arial"/>
          <w:sz w:val="24"/>
          <w:szCs w:val="24"/>
        </w:rPr>
        <w:lastRenderedPageBreak/>
        <w:t xml:space="preserve">Perhaps the most significant example of this is regarding Enrico Ferri, with his related positivist theory actually rejecting the highlighted biological positivism of Lombroso and instead, focussing on social and </w:t>
      </w:r>
      <w:r w:rsidR="00CC3DFD">
        <w:rPr>
          <w:rFonts w:ascii="Arial" w:hAnsi="Arial" w:cs="Arial"/>
          <w:sz w:val="24"/>
          <w:szCs w:val="24"/>
        </w:rPr>
        <w:t>psychological studies to understand criminals and why an individual initially turns to deviancy (</w:t>
      </w:r>
      <w:proofErr w:type="spellStart"/>
      <w:r w:rsidR="00CC3DFD">
        <w:rPr>
          <w:rFonts w:ascii="Arial" w:hAnsi="Arial" w:cs="Arial"/>
          <w:sz w:val="24"/>
          <w:szCs w:val="24"/>
        </w:rPr>
        <w:t>Tonry</w:t>
      </w:r>
      <w:proofErr w:type="spellEnd"/>
      <w:r w:rsidR="00CC3DFD">
        <w:rPr>
          <w:rFonts w:ascii="Arial" w:hAnsi="Arial" w:cs="Arial"/>
          <w:sz w:val="24"/>
          <w:szCs w:val="24"/>
        </w:rPr>
        <w:t xml:space="preserve">, 2010). Essentially, the perspective of Ferri can be understood as criminality not being the result of actual biological inheritance but rather, the result of factors such as natural conditions born into, </w:t>
      </w:r>
      <w:r w:rsidR="00C635F0">
        <w:rPr>
          <w:rFonts w:ascii="Arial" w:hAnsi="Arial" w:cs="Arial"/>
          <w:sz w:val="24"/>
          <w:szCs w:val="24"/>
        </w:rPr>
        <w:t xml:space="preserve">influenced </w:t>
      </w:r>
      <w:r w:rsidR="00CC3DFD">
        <w:rPr>
          <w:rFonts w:ascii="Arial" w:hAnsi="Arial" w:cs="Arial"/>
          <w:sz w:val="24"/>
          <w:szCs w:val="24"/>
        </w:rPr>
        <w:t xml:space="preserve">physiological responses </w:t>
      </w:r>
      <w:r w:rsidR="00C635F0">
        <w:rPr>
          <w:rFonts w:ascii="Arial" w:hAnsi="Arial" w:cs="Arial"/>
          <w:sz w:val="24"/>
          <w:szCs w:val="24"/>
        </w:rPr>
        <w:t xml:space="preserve">and the social environment’s experienced (ibid). </w:t>
      </w:r>
      <w:r w:rsidR="00781220">
        <w:rPr>
          <w:rFonts w:ascii="Arial" w:hAnsi="Arial" w:cs="Arial"/>
          <w:sz w:val="24"/>
          <w:szCs w:val="24"/>
        </w:rPr>
        <w:t xml:space="preserve">Therefore, McLaughlin et al (2003) offer the belief that if it is this born into deviant possibility approach of Ferri that is understood as positivism and not the born a criminal theory of Lombroso, it could be argued that the Ferri positivist perspective may still hold as much relevance as that of Beccaria’s classicism based rational choice theory. </w:t>
      </w:r>
    </w:p>
    <w:p w14:paraId="7B460CA2" w14:textId="495F92B8" w:rsidR="004A62BA" w:rsidRDefault="004A62BA" w:rsidP="00145EFF">
      <w:pPr>
        <w:spacing w:line="480" w:lineRule="auto"/>
        <w:rPr>
          <w:rFonts w:ascii="Arial" w:hAnsi="Arial" w:cs="Arial"/>
          <w:sz w:val="24"/>
          <w:szCs w:val="24"/>
        </w:rPr>
      </w:pPr>
    </w:p>
    <w:p w14:paraId="03C2F9D3" w14:textId="77777777" w:rsidR="004E3EEE" w:rsidRDefault="00B361A5" w:rsidP="00145EFF">
      <w:pPr>
        <w:spacing w:line="480" w:lineRule="auto"/>
        <w:rPr>
          <w:rFonts w:ascii="Arial" w:hAnsi="Arial" w:cs="Arial"/>
          <w:sz w:val="24"/>
          <w:szCs w:val="24"/>
        </w:rPr>
      </w:pPr>
      <w:r>
        <w:rPr>
          <w:rFonts w:ascii="Arial" w:hAnsi="Arial" w:cs="Arial"/>
          <w:sz w:val="24"/>
          <w:szCs w:val="24"/>
        </w:rPr>
        <w:t>To the contrary, Laufer (2017) insists that despite both</w:t>
      </w:r>
      <w:r w:rsidR="00C3555F">
        <w:rPr>
          <w:rFonts w:ascii="Arial" w:hAnsi="Arial" w:cs="Arial"/>
          <w:sz w:val="24"/>
          <w:szCs w:val="24"/>
        </w:rPr>
        <w:t xml:space="preserve"> mentioned</w:t>
      </w:r>
      <w:r>
        <w:rPr>
          <w:rFonts w:ascii="Arial" w:hAnsi="Arial" w:cs="Arial"/>
          <w:sz w:val="24"/>
          <w:szCs w:val="24"/>
        </w:rPr>
        <w:t xml:space="preserve"> historical theories and </w:t>
      </w:r>
      <w:r w:rsidR="00C3555F">
        <w:rPr>
          <w:rFonts w:ascii="Arial" w:hAnsi="Arial" w:cs="Arial"/>
          <w:sz w:val="24"/>
          <w:szCs w:val="24"/>
        </w:rPr>
        <w:t xml:space="preserve">their </w:t>
      </w:r>
      <w:r>
        <w:rPr>
          <w:rFonts w:ascii="Arial" w:hAnsi="Arial" w:cs="Arial"/>
          <w:sz w:val="24"/>
          <w:szCs w:val="24"/>
        </w:rPr>
        <w:t>attached perspectives being deemed archaic in modern criminology</w:t>
      </w:r>
      <w:r w:rsidR="00C3555F">
        <w:rPr>
          <w:rFonts w:ascii="Arial" w:hAnsi="Arial" w:cs="Arial"/>
          <w:sz w:val="24"/>
          <w:szCs w:val="24"/>
        </w:rPr>
        <w:t xml:space="preserve">, there is strong evidence to suggest that the rational choice theory and the classicism approach is far more relevant in the present day. Possibly the most evident influence of classicism in today’s society can be seen in the context of criminal law, with </w:t>
      </w:r>
      <w:r w:rsidR="00565B7E">
        <w:rPr>
          <w:rFonts w:ascii="Arial" w:hAnsi="Arial" w:cs="Arial"/>
          <w:sz w:val="24"/>
          <w:szCs w:val="24"/>
        </w:rPr>
        <w:t>multiple elements such as definitions, offences and requirements incorporating some terminology or approach that connects to rational choice and classicism (</w:t>
      </w:r>
      <w:proofErr w:type="spellStart"/>
      <w:r w:rsidR="00B66768">
        <w:rPr>
          <w:rFonts w:ascii="Arial" w:hAnsi="Arial" w:cs="Arial"/>
          <w:sz w:val="24"/>
          <w:szCs w:val="24"/>
        </w:rPr>
        <w:t>Buruma</w:t>
      </w:r>
      <w:proofErr w:type="spellEnd"/>
      <w:r w:rsidR="00B66768">
        <w:rPr>
          <w:rFonts w:ascii="Arial" w:hAnsi="Arial" w:cs="Arial"/>
          <w:sz w:val="24"/>
          <w:szCs w:val="24"/>
        </w:rPr>
        <w:t>, 2004</w:t>
      </w:r>
      <w:r w:rsidR="00565B7E">
        <w:rPr>
          <w:rFonts w:ascii="Arial" w:hAnsi="Arial" w:cs="Arial"/>
          <w:sz w:val="24"/>
          <w:szCs w:val="24"/>
        </w:rPr>
        <w:t xml:space="preserve">). </w:t>
      </w:r>
      <w:r w:rsidR="00A3275F">
        <w:rPr>
          <w:rFonts w:ascii="Arial" w:hAnsi="Arial" w:cs="Arial"/>
          <w:sz w:val="24"/>
          <w:szCs w:val="24"/>
        </w:rPr>
        <w:t xml:space="preserve">On the other hand, </w:t>
      </w:r>
      <w:proofErr w:type="spellStart"/>
      <w:r w:rsidR="00A3275F">
        <w:rPr>
          <w:rFonts w:ascii="Arial" w:hAnsi="Arial" w:cs="Arial"/>
          <w:sz w:val="24"/>
          <w:szCs w:val="24"/>
        </w:rPr>
        <w:t>Horder</w:t>
      </w:r>
      <w:proofErr w:type="spellEnd"/>
      <w:r w:rsidR="00A3275F">
        <w:rPr>
          <w:rFonts w:ascii="Arial" w:hAnsi="Arial" w:cs="Arial"/>
          <w:sz w:val="24"/>
          <w:szCs w:val="24"/>
        </w:rPr>
        <w:t xml:space="preserve"> (2002) opposes this belief with the viewpoint that surely just having some similarities in </w:t>
      </w:r>
      <w:r w:rsidR="002E644B">
        <w:rPr>
          <w:rFonts w:ascii="Arial" w:hAnsi="Arial" w:cs="Arial"/>
          <w:sz w:val="24"/>
          <w:szCs w:val="24"/>
        </w:rPr>
        <w:t>wording can not amount to the classicism theory being viewed with more relevance and importance overall since, there are also connections that can be made to the positivist perspective.</w:t>
      </w:r>
    </w:p>
    <w:p w14:paraId="202B94B8" w14:textId="1D2193DB" w:rsidR="00037488" w:rsidRDefault="002E644B" w:rsidP="00145EFF">
      <w:pPr>
        <w:spacing w:line="480" w:lineRule="auto"/>
        <w:rPr>
          <w:rFonts w:ascii="Arial" w:hAnsi="Arial" w:cs="Arial"/>
          <w:sz w:val="24"/>
          <w:szCs w:val="24"/>
        </w:rPr>
      </w:pPr>
      <w:r>
        <w:rPr>
          <w:rFonts w:ascii="Arial" w:hAnsi="Arial" w:cs="Arial"/>
          <w:sz w:val="24"/>
          <w:szCs w:val="24"/>
        </w:rPr>
        <w:lastRenderedPageBreak/>
        <w:t xml:space="preserve"> </w:t>
      </w:r>
      <w:r w:rsidR="004E3EEE">
        <w:rPr>
          <w:rFonts w:ascii="Arial" w:hAnsi="Arial" w:cs="Arial"/>
          <w:sz w:val="24"/>
          <w:szCs w:val="24"/>
        </w:rPr>
        <w:t xml:space="preserve">For instance, in relation to the purpose of punishment the positivist approach can be seen to have some relevance, with certain societies in recent years opting for the treatment of criminality to be very proactive and actually engage with individuals who may be turning towards deviancy before they have committed and been prosecuted (Garfinkel, 2016). As well as this, Alexander (2002) also proposes that despite not being very evident in literature terms, the current philosophy of criminal law particularly in the western world, clearly shows some positivism relevance with </w:t>
      </w:r>
      <w:r w:rsidR="002B1687">
        <w:rPr>
          <w:rFonts w:ascii="Arial" w:hAnsi="Arial" w:cs="Arial"/>
          <w:sz w:val="24"/>
          <w:szCs w:val="24"/>
        </w:rPr>
        <w:t xml:space="preserve">the mentioned theory from </w:t>
      </w:r>
      <w:proofErr w:type="spellStart"/>
      <w:r w:rsidR="002B1687">
        <w:rPr>
          <w:rFonts w:ascii="Arial" w:hAnsi="Arial" w:cs="Arial"/>
          <w:sz w:val="24"/>
          <w:szCs w:val="24"/>
        </w:rPr>
        <w:t>Ferri</w:t>
      </w:r>
      <w:proofErr w:type="spellEnd"/>
      <w:r w:rsidR="002B1687">
        <w:rPr>
          <w:rFonts w:ascii="Arial" w:hAnsi="Arial" w:cs="Arial"/>
          <w:sz w:val="24"/>
          <w:szCs w:val="24"/>
        </w:rPr>
        <w:t xml:space="preserve"> being seen to have similarities to modern studies such as Adverse Childhood Experiences (ACEs) and pre</w:t>
      </w:r>
      <w:r w:rsidR="000448F4">
        <w:rPr>
          <w:rFonts w:ascii="Arial" w:hAnsi="Arial" w:cs="Arial"/>
          <w:sz w:val="24"/>
          <w:szCs w:val="24"/>
        </w:rPr>
        <w:t>-</w:t>
      </w:r>
      <w:r w:rsidR="002B1687">
        <w:rPr>
          <w:rFonts w:ascii="Arial" w:hAnsi="Arial" w:cs="Arial"/>
          <w:sz w:val="24"/>
          <w:szCs w:val="24"/>
        </w:rPr>
        <w:t>birth trauma exposure impacting a child’s neurodevelopment.</w:t>
      </w:r>
      <w:r w:rsidR="00D448F9">
        <w:rPr>
          <w:rFonts w:ascii="Arial" w:hAnsi="Arial" w:cs="Arial"/>
          <w:sz w:val="24"/>
          <w:szCs w:val="24"/>
        </w:rPr>
        <w:t xml:space="preserve"> </w:t>
      </w:r>
    </w:p>
    <w:p w14:paraId="4E9F51B1" w14:textId="77777777" w:rsidR="00037488" w:rsidRDefault="00037488" w:rsidP="00145EFF">
      <w:pPr>
        <w:spacing w:line="480" w:lineRule="auto"/>
        <w:rPr>
          <w:rFonts w:ascii="Arial" w:hAnsi="Arial" w:cs="Arial"/>
          <w:sz w:val="24"/>
          <w:szCs w:val="24"/>
        </w:rPr>
      </w:pPr>
    </w:p>
    <w:p w14:paraId="728C7E06" w14:textId="04D6D14D" w:rsidR="004A62BA" w:rsidRDefault="00D448F9" w:rsidP="00145EFF">
      <w:pPr>
        <w:spacing w:line="480" w:lineRule="auto"/>
        <w:rPr>
          <w:rFonts w:ascii="Arial" w:hAnsi="Arial" w:cs="Arial"/>
          <w:sz w:val="24"/>
          <w:szCs w:val="24"/>
        </w:rPr>
      </w:pPr>
      <w:r>
        <w:rPr>
          <w:rFonts w:ascii="Arial" w:hAnsi="Arial" w:cs="Arial"/>
          <w:sz w:val="24"/>
          <w:szCs w:val="24"/>
        </w:rPr>
        <w:t xml:space="preserve">Despite perhaps being true to a certain extent, </w:t>
      </w:r>
      <w:r w:rsidR="00450AFF">
        <w:rPr>
          <w:rFonts w:ascii="Arial" w:hAnsi="Arial" w:cs="Arial"/>
          <w:sz w:val="24"/>
          <w:szCs w:val="24"/>
        </w:rPr>
        <w:t xml:space="preserve">Duff (2019) argues that </w:t>
      </w:r>
      <w:r>
        <w:rPr>
          <w:rFonts w:ascii="Arial" w:hAnsi="Arial" w:cs="Arial"/>
          <w:sz w:val="24"/>
          <w:szCs w:val="24"/>
        </w:rPr>
        <w:t>in regards to actual unchanged historical criminological perspective relevanc</w:t>
      </w:r>
      <w:r w:rsidR="000448F4">
        <w:rPr>
          <w:rFonts w:ascii="Arial" w:hAnsi="Arial" w:cs="Arial"/>
          <w:sz w:val="24"/>
          <w:szCs w:val="24"/>
        </w:rPr>
        <w:t>e</w:t>
      </w:r>
      <w:r w:rsidR="00450AFF">
        <w:rPr>
          <w:rFonts w:ascii="Arial" w:hAnsi="Arial" w:cs="Arial"/>
          <w:sz w:val="24"/>
          <w:szCs w:val="24"/>
        </w:rPr>
        <w:t xml:space="preserve">, there is no disputing the theory of rational choice and free will is by far the more </w:t>
      </w:r>
      <w:r w:rsidR="000448F4">
        <w:rPr>
          <w:rFonts w:ascii="Arial" w:hAnsi="Arial" w:cs="Arial"/>
          <w:sz w:val="24"/>
          <w:szCs w:val="24"/>
        </w:rPr>
        <w:t>credibility</w:t>
      </w:r>
      <w:r w:rsidR="00450AFF">
        <w:rPr>
          <w:rFonts w:ascii="Arial" w:hAnsi="Arial" w:cs="Arial"/>
          <w:sz w:val="24"/>
          <w:szCs w:val="24"/>
        </w:rPr>
        <w:t>. Whilst not being completely unchanged and supported in modern criminology, the influence</w:t>
      </w:r>
      <w:r w:rsidR="00037488">
        <w:rPr>
          <w:rFonts w:ascii="Arial" w:hAnsi="Arial" w:cs="Arial"/>
          <w:sz w:val="24"/>
          <w:szCs w:val="24"/>
        </w:rPr>
        <w:t xml:space="preserve"> </w:t>
      </w:r>
      <w:r w:rsidR="00450AFF">
        <w:rPr>
          <w:rFonts w:ascii="Arial" w:hAnsi="Arial" w:cs="Arial"/>
          <w:sz w:val="24"/>
          <w:szCs w:val="24"/>
        </w:rPr>
        <w:t>within a criminal law setting for key terms such as beyond reasonable doubt, of a reasonable mind and a reasonable person, highlight just how relevant the classicism perspective still is (ibid). Further solidifying this, Mantle et al (2005) explain that from a UK point of view it is obvious the classicist belief is still influential</w:t>
      </w:r>
      <w:r w:rsidR="00955F2C">
        <w:rPr>
          <w:rFonts w:ascii="Arial" w:hAnsi="Arial" w:cs="Arial"/>
          <w:sz w:val="24"/>
          <w:szCs w:val="24"/>
        </w:rPr>
        <w:t xml:space="preserve">, with Criminal Justice System (CJS) procedures like restorative justice only being possible with the offender being considered to have the rationality to understand and explain their own choices. </w:t>
      </w:r>
    </w:p>
    <w:p w14:paraId="55AA1329" w14:textId="78ADEFEC" w:rsidR="00B25F4A" w:rsidRDefault="00B25F4A" w:rsidP="00145EFF">
      <w:pPr>
        <w:spacing w:line="480" w:lineRule="auto"/>
        <w:rPr>
          <w:rFonts w:ascii="Arial" w:hAnsi="Arial" w:cs="Arial"/>
          <w:sz w:val="24"/>
          <w:szCs w:val="24"/>
        </w:rPr>
      </w:pPr>
    </w:p>
    <w:p w14:paraId="43DA1D61" w14:textId="21A5FAC4" w:rsidR="00B25F4A" w:rsidRDefault="00B25F4A" w:rsidP="00145EFF">
      <w:pPr>
        <w:spacing w:line="480" w:lineRule="auto"/>
        <w:rPr>
          <w:rFonts w:ascii="Arial" w:hAnsi="Arial" w:cs="Arial"/>
          <w:sz w:val="24"/>
          <w:szCs w:val="24"/>
        </w:rPr>
      </w:pPr>
    </w:p>
    <w:p w14:paraId="7791F396" w14:textId="0AEA8156" w:rsidR="00B25F4A" w:rsidRDefault="00D16235" w:rsidP="00145EFF">
      <w:pPr>
        <w:spacing w:line="480" w:lineRule="auto"/>
        <w:rPr>
          <w:rFonts w:ascii="Arial" w:hAnsi="Arial" w:cs="Arial"/>
          <w:sz w:val="24"/>
          <w:szCs w:val="24"/>
        </w:rPr>
      </w:pPr>
      <w:r>
        <w:rPr>
          <w:rFonts w:ascii="Arial" w:hAnsi="Arial" w:cs="Arial"/>
          <w:sz w:val="24"/>
          <w:szCs w:val="24"/>
        </w:rPr>
        <w:lastRenderedPageBreak/>
        <w:t>Conversely</w:t>
      </w:r>
      <w:r w:rsidR="00C15100">
        <w:rPr>
          <w:rFonts w:ascii="Arial" w:hAnsi="Arial" w:cs="Arial"/>
          <w:sz w:val="24"/>
          <w:szCs w:val="24"/>
        </w:rPr>
        <w:t xml:space="preserve">, </w:t>
      </w:r>
      <w:r w:rsidR="00917392">
        <w:rPr>
          <w:rFonts w:ascii="Arial" w:hAnsi="Arial" w:cs="Arial"/>
          <w:sz w:val="24"/>
          <w:szCs w:val="24"/>
        </w:rPr>
        <w:t xml:space="preserve">Reid (2015) confidently states that no matter what reasons for criminality are linked to more contemporary studies or perspectives, </w:t>
      </w:r>
      <w:r w:rsidR="00A2623C">
        <w:rPr>
          <w:rFonts w:ascii="Arial" w:hAnsi="Arial" w:cs="Arial"/>
          <w:sz w:val="24"/>
          <w:szCs w:val="24"/>
        </w:rPr>
        <w:t>there will always be a certain</w:t>
      </w:r>
      <w:r w:rsidR="001B7C70">
        <w:rPr>
          <w:rFonts w:ascii="Arial" w:hAnsi="Arial" w:cs="Arial"/>
          <w:sz w:val="24"/>
          <w:szCs w:val="24"/>
        </w:rPr>
        <w:t xml:space="preserve"> type of</w:t>
      </w:r>
      <w:r w:rsidR="00A2623C">
        <w:rPr>
          <w:rFonts w:ascii="Arial" w:hAnsi="Arial" w:cs="Arial"/>
          <w:sz w:val="24"/>
          <w:szCs w:val="24"/>
        </w:rPr>
        <w:t xml:space="preserve"> crime or</w:t>
      </w:r>
      <w:r w:rsidR="001B7C70">
        <w:rPr>
          <w:rFonts w:ascii="Arial" w:hAnsi="Arial" w:cs="Arial"/>
          <w:sz w:val="24"/>
          <w:szCs w:val="24"/>
        </w:rPr>
        <w:t xml:space="preserve"> deviant</w:t>
      </w:r>
      <w:r w:rsidR="00A2623C">
        <w:rPr>
          <w:rFonts w:ascii="Arial" w:hAnsi="Arial" w:cs="Arial"/>
          <w:sz w:val="24"/>
          <w:szCs w:val="24"/>
        </w:rPr>
        <w:t xml:space="preserve"> event that results in a considerable </w:t>
      </w:r>
      <w:r w:rsidR="001B7C70">
        <w:rPr>
          <w:rFonts w:ascii="Arial" w:hAnsi="Arial" w:cs="Arial"/>
          <w:sz w:val="24"/>
          <w:szCs w:val="24"/>
        </w:rPr>
        <w:t>number</w:t>
      </w:r>
      <w:r w:rsidR="00A2623C">
        <w:rPr>
          <w:rFonts w:ascii="Arial" w:hAnsi="Arial" w:cs="Arial"/>
          <w:sz w:val="24"/>
          <w:szCs w:val="24"/>
        </w:rPr>
        <w:t xml:space="preserve"> of reactions circling back to this positivist type of thinking and reasoning</w:t>
      </w:r>
      <w:r w:rsidR="001B7C70">
        <w:rPr>
          <w:rFonts w:ascii="Arial" w:hAnsi="Arial" w:cs="Arial"/>
          <w:sz w:val="24"/>
          <w:szCs w:val="24"/>
        </w:rPr>
        <w:t xml:space="preserve"> regardless of it being antiquated</w:t>
      </w:r>
      <w:r w:rsidR="00A2623C">
        <w:rPr>
          <w:rFonts w:ascii="Arial" w:hAnsi="Arial" w:cs="Arial"/>
          <w:sz w:val="24"/>
          <w:szCs w:val="24"/>
        </w:rPr>
        <w:t xml:space="preserve">. </w:t>
      </w:r>
      <w:r w:rsidR="00C22568">
        <w:rPr>
          <w:rFonts w:ascii="Arial" w:hAnsi="Arial" w:cs="Arial"/>
          <w:sz w:val="24"/>
          <w:szCs w:val="24"/>
        </w:rPr>
        <w:t xml:space="preserve">The main reason for this from an academic viewpoint, is seen to be due to how individual </w:t>
      </w:r>
      <w:r w:rsidR="001B7C70">
        <w:rPr>
          <w:rFonts w:ascii="Arial" w:hAnsi="Arial" w:cs="Arial"/>
          <w:sz w:val="24"/>
          <w:szCs w:val="24"/>
        </w:rPr>
        <w:t>or</w:t>
      </w:r>
      <w:r w:rsidR="00C22568">
        <w:rPr>
          <w:rFonts w:ascii="Arial" w:hAnsi="Arial" w:cs="Arial"/>
          <w:sz w:val="24"/>
          <w:szCs w:val="24"/>
        </w:rPr>
        <w:t xml:space="preserve"> community knowledge and understanding regarding crime is almost always socially constructed (</w:t>
      </w:r>
      <w:proofErr w:type="spellStart"/>
      <w:r w:rsidR="00C22568">
        <w:rPr>
          <w:rFonts w:ascii="Arial" w:hAnsi="Arial" w:cs="Arial"/>
          <w:sz w:val="24"/>
          <w:szCs w:val="24"/>
        </w:rPr>
        <w:t>Leverentz</w:t>
      </w:r>
      <w:proofErr w:type="spellEnd"/>
      <w:r w:rsidR="00C22568">
        <w:rPr>
          <w:rFonts w:ascii="Arial" w:hAnsi="Arial" w:cs="Arial"/>
          <w:sz w:val="24"/>
          <w:szCs w:val="24"/>
        </w:rPr>
        <w:t>, 2012).</w:t>
      </w:r>
      <w:r w:rsidR="00012183">
        <w:rPr>
          <w:rFonts w:ascii="Arial" w:hAnsi="Arial" w:cs="Arial"/>
          <w:sz w:val="24"/>
          <w:szCs w:val="24"/>
        </w:rPr>
        <w:t xml:space="preserve"> This means that depending on the construct of the society in question, the approach and perspective to criminality will be </w:t>
      </w:r>
      <w:r w:rsidR="00F1701B">
        <w:rPr>
          <w:rFonts w:ascii="Arial" w:hAnsi="Arial" w:cs="Arial"/>
          <w:sz w:val="24"/>
          <w:szCs w:val="24"/>
        </w:rPr>
        <w:t>severely influenced by internal society factors such as religious in</w:t>
      </w:r>
      <w:r w:rsidR="0092547E">
        <w:rPr>
          <w:rFonts w:ascii="Arial" w:hAnsi="Arial" w:cs="Arial"/>
          <w:sz w:val="24"/>
          <w:szCs w:val="24"/>
        </w:rPr>
        <w:t>volvement</w:t>
      </w:r>
      <w:r w:rsidR="00F1701B">
        <w:rPr>
          <w:rFonts w:ascii="Arial" w:hAnsi="Arial" w:cs="Arial"/>
          <w:sz w:val="24"/>
          <w:szCs w:val="24"/>
        </w:rPr>
        <w:t>, crime trends, experience of crime, community interaction and media or policing input regarding crimes (ibid). T</w:t>
      </w:r>
      <w:r w:rsidR="003129F7">
        <w:rPr>
          <w:rFonts w:ascii="Arial" w:hAnsi="Arial" w:cs="Arial"/>
          <w:sz w:val="24"/>
          <w:szCs w:val="24"/>
        </w:rPr>
        <w:t xml:space="preserve">herefore, this can be seen to be why when particularly inconceivable instances of crime </w:t>
      </w:r>
      <w:r w:rsidR="00995210">
        <w:rPr>
          <w:rFonts w:ascii="Arial" w:hAnsi="Arial" w:cs="Arial"/>
          <w:sz w:val="24"/>
          <w:szCs w:val="24"/>
        </w:rPr>
        <w:t>occur in a certain area or to a distinct type of demographic, there is sometimes an element of this</w:t>
      </w:r>
      <w:r w:rsidR="0090135D">
        <w:rPr>
          <w:rFonts w:ascii="Arial" w:hAnsi="Arial" w:cs="Arial"/>
          <w:sz w:val="24"/>
          <w:szCs w:val="24"/>
        </w:rPr>
        <w:t xml:space="preserve"> disputable</w:t>
      </w:r>
      <w:r w:rsidR="00995210">
        <w:rPr>
          <w:rFonts w:ascii="Arial" w:hAnsi="Arial" w:cs="Arial"/>
          <w:sz w:val="24"/>
          <w:szCs w:val="24"/>
        </w:rPr>
        <w:t xml:space="preserve"> classicism versus positivism train of thought still to be found (</w:t>
      </w:r>
      <w:proofErr w:type="spellStart"/>
      <w:r w:rsidR="00995210">
        <w:rPr>
          <w:rFonts w:ascii="Arial" w:hAnsi="Arial" w:cs="Arial"/>
          <w:sz w:val="24"/>
          <w:szCs w:val="24"/>
        </w:rPr>
        <w:t>Polizzi</w:t>
      </w:r>
      <w:proofErr w:type="spellEnd"/>
      <w:r w:rsidR="00995210">
        <w:rPr>
          <w:rFonts w:ascii="Arial" w:hAnsi="Arial" w:cs="Arial"/>
          <w:sz w:val="24"/>
          <w:szCs w:val="24"/>
        </w:rPr>
        <w:t xml:space="preserve">, 2015). </w:t>
      </w:r>
    </w:p>
    <w:p w14:paraId="14304BAD" w14:textId="39188DBD" w:rsidR="002133EF" w:rsidRDefault="002133EF" w:rsidP="00145EFF">
      <w:pPr>
        <w:spacing w:line="480" w:lineRule="auto"/>
        <w:rPr>
          <w:rFonts w:ascii="Arial" w:hAnsi="Arial" w:cs="Arial"/>
          <w:sz w:val="24"/>
          <w:szCs w:val="24"/>
        </w:rPr>
      </w:pPr>
    </w:p>
    <w:p w14:paraId="596D7F0A" w14:textId="77777777" w:rsidR="00B712BD" w:rsidRDefault="002133EF" w:rsidP="00145EFF">
      <w:pPr>
        <w:spacing w:line="480" w:lineRule="auto"/>
        <w:rPr>
          <w:rFonts w:ascii="Arial" w:hAnsi="Arial" w:cs="Arial"/>
          <w:sz w:val="24"/>
          <w:szCs w:val="24"/>
        </w:rPr>
      </w:pPr>
      <w:r>
        <w:rPr>
          <w:rFonts w:ascii="Arial" w:hAnsi="Arial" w:cs="Arial"/>
          <w:sz w:val="24"/>
          <w:szCs w:val="24"/>
        </w:rPr>
        <w:t xml:space="preserve">There is perhaps no better </w:t>
      </w:r>
      <w:r w:rsidR="0049326C">
        <w:rPr>
          <w:rFonts w:ascii="Arial" w:hAnsi="Arial" w:cs="Arial"/>
          <w:sz w:val="24"/>
          <w:szCs w:val="24"/>
        </w:rPr>
        <w:t>modern-day</w:t>
      </w:r>
      <w:r>
        <w:rPr>
          <w:rFonts w:ascii="Arial" w:hAnsi="Arial" w:cs="Arial"/>
          <w:sz w:val="24"/>
          <w:szCs w:val="24"/>
        </w:rPr>
        <w:t xml:space="preserve"> example of this than that of the ‘Nightstalker’ case, which is the case of convicted serial killer, paedophile, kidnapper and serial rapist Richard Ramirez, who’s crime spree </w:t>
      </w:r>
      <w:r w:rsidR="003C7D82">
        <w:rPr>
          <w:rFonts w:ascii="Arial" w:hAnsi="Arial" w:cs="Arial"/>
          <w:sz w:val="24"/>
          <w:szCs w:val="24"/>
        </w:rPr>
        <w:t>severely impacted the lives of many across the Greater Los Angeles and San Francisco bay</w:t>
      </w:r>
      <w:r w:rsidR="00B74EFA">
        <w:rPr>
          <w:rFonts w:ascii="Arial" w:hAnsi="Arial" w:cs="Arial"/>
          <w:sz w:val="24"/>
          <w:szCs w:val="24"/>
        </w:rPr>
        <w:t xml:space="preserve"> areas</w:t>
      </w:r>
      <w:r w:rsidR="003C7D82">
        <w:rPr>
          <w:rFonts w:ascii="Arial" w:hAnsi="Arial" w:cs="Arial"/>
          <w:sz w:val="24"/>
          <w:szCs w:val="24"/>
        </w:rPr>
        <w:t xml:space="preserve"> in 1984/1985 (Carlo, 2013). </w:t>
      </w:r>
      <w:r w:rsidR="00060CC0">
        <w:rPr>
          <w:rFonts w:ascii="Arial" w:hAnsi="Arial" w:cs="Arial"/>
          <w:sz w:val="24"/>
          <w:szCs w:val="24"/>
        </w:rPr>
        <w:t>The reasoning for this</w:t>
      </w:r>
      <w:r w:rsidR="0012422A">
        <w:rPr>
          <w:rFonts w:ascii="Arial" w:hAnsi="Arial" w:cs="Arial"/>
          <w:sz w:val="24"/>
          <w:szCs w:val="24"/>
        </w:rPr>
        <w:t xml:space="preserve"> </w:t>
      </w:r>
      <w:r w:rsidR="00060CC0">
        <w:rPr>
          <w:rFonts w:ascii="Arial" w:hAnsi="Arial" w:cs="Arial"/>
          <w:sz w:val="24"/>
          <w:szCs w:val="24"/>
        </w:rPr>
        <w:t xml:space="preserve">is due to how monstrous and </w:t>
      </w:r>
      <w:r w:rsidR="0012422A">
        <w:rPr>
          <w:rFonts w:ascii="Arial" w:hAnsi="Arial" w:cs="Arial"/>
          <w:sz w:val="24"/>
          <w:szCs w:val="24"/>
        </w:rPr>
        <w:t>nonsensical</w:t>
      </w:r>
      <w:r w:rsidR="00060CC0">
        <w:rPr>
          <w:rFonts w:ascii="Arial" w:hAnsi="Arial" w:cs="Arial"/>
          <w:sz w:val="24"/>
          <w:szCs w:val="24"/>
        </w:rPr>
        <w:t xml:space="preserve"> his crim</w:t>
      </w:r>
      <w:r w:rsidR="0012422A">
        <w:rPr>
          <w:rFonts w:ascii="Arial" w:hAnsi="Arial" w:cs="Arial"/>
          <w:sz w:val="24"/>
          <w:szCs w:val="24"/>
        </w:rPr>
        <w:t xml:space="preserve">inality was, with the victims and locations of the criminal acts </w:t>
      </w:r>
      <w:r w:rsidR="00F90559">
        <w:rPr>
          <w:rFonts w:ascii="Arial" w:hAnsi="Arial" w:cs="Arial"/>
          <w:sz w:val="24"/>
          <w:szCs w:val="24"/>
        </w:rPr>
        <w:t>showcasing a very indiscriminate nature, allowing for this born deviant/criminal proposition to be</w:t>
      </w:r>
      <w:r w:rsidR="00C8533C">
        <w:rPr>
          <w:rFonts w:ascii="Arial" w:hAnsi="Arial" w:cs="Arial"/>
          <w:sz w:val="24"/>
          <w:szCs w:val="24"/>
        </w:rPr>
        <w:t xml:space="preserve"> </w:t>
      </w:r>
      <w:r w:rsidR="00F90559">
        <w:rPr>
          <w:rFonts w:ascii="Arial" w:hAnsi="Arial" w:cs="Arial"/>
          <w:sz w:val="24"/>
          <w:szCs w:val="24"/>
        </w:rPr>
        <w:t>speculated once again (</w:t>
      </w:r>
      <w:r w:rsidR="000D65A8">
        <w:rPr>
          <w:rFonts w:ascii="Arial" w:hAnsi="Arial" w:cs="Arial"/>
          <w:sz w:val="24"/>
          <w:szCs w:val="24"/>
        </w:rPr>
        <w:t>Hare, 1999</w:t>
      </w:r>
      <w:r w:rsidR="00F90559">
        <w:rPr>
          <w:rFonts w:ascii="Arial" w:hAnsi="Arial" w:cs="Arial"/>
          <w:sz w:val="24"/>
          <w:szCs w:val="24"/>
        </w:rPr>
        <w:t>).</w:t>
      </w:r>
      <w:r w:rsidR="000D65A8">
        <w:rPr>
          <w:rFonts w:ascii="Arial" w:hAnsi="Arial" w:cs="Arial"/>
          <w:sz w:val="24"/>
          <w:szCs w:val="24"/>
        </w:rPr>
        <w:t xml:space="preserve"> </w:t>
      </w:r>
      <w:r w:rsidR="00C8533C">
        <w:rPr>
          <w:rFonts w:ascii="Arial" w:hAnsi="Arial" w:cs="Arial"/>
          <w:sz w:val="24"/>
          <w:szCs w:val="24"/>
        </w:rPr>
        <w:t xml:space="preserve">However, as </w:t>
      </w:r>
      <w:proofErr w:type="spellStart"/>
      <w:r w:rsidR="00C8533C">
        <w:rPr>
          <w:rFonts w:ascii="Arial" w:hAnsi="Arial" w:cs="Arial"/>
          <w:sz w:val="24"/>
          <w:szCs w:val="24"/>
        </w:rPr>
        <w:t>Dobbert</w:t>
      </w:r>
      <w:proofErr w:type="spellEnd"/>
      <w:r w:rsidR="00C8533C">
        <w:rPr>
          <w:rFonts w:ascii="Arial" w:hAnsi="Arial" w:cs="Arial"/>
          <w:sz w:val="24"/>
          <w:szCs w:val="24"/>
        </w:rPr>
        <w:t xml:space="preserve"> (2009) alludes this is likely a result of ill-informed or shallow knowledge </w:t>
      </w:r>
      <w:r w:rsidR="00B05A88">
        <w:rPr>
          <w:rFonts w:ascii="Arial" w:hAnsi="Arial" w:cs="Arial"/>
          <w:sz w:val="24"/>
          <w:szCs w:val="24"/>
        </w:rPr>
        <w:t xml:space="preserve">by the majority because similar to </w:t>
      </w:r>
      <w:r w:rsidR="00B05A88">
        <w:rPr>
          <w:rFonts w:ascii="Arial" w:hAnsi="Arial" w:cs="Arial"/>
          <w:sz w:val="24"/>
          <w:szCs w:val="24"/>
        </w:rPr>
        <w:lastRenderedPageBreak/>
        <w:t xml:space="preserve">most serial killer cases, this one involving Ramirez shows a very complex conglomeration of aspects perhaps not fully understood by all such as psychopathy. </w:t>
      </w:r>
    </w:p>
    <w:p w14:paraId="62719B28" w14:textId="77777777" w:rsidR="00B712BD" w:rsidRDefault="00B712BD" w:rsidP="00145EFF">
      <w:pPr>
        <w:spacing w:line="480" w:lineRule="auto"/>
        <w:rPr>
          <w:rFonts w:ascii="Arial" w:hAnsi="Arial" w:cs="Arial"/>
          <w:sz w:val="24"/>
          <w:szCs w:val="24"/>
        </w:rPr>
      </w:pPr>
    </w:p>
    <w:p w14:paraId="70EFC0C5" w14:textId="63A65344" w:rsidR="008C60E4" w:rsidRDefault="00B65F87" w:rsidP="00145EFF">
      <w:pPr>
        <w:spacing w:line="480" w:lineRule="auto"/>
        <w:rPr>
          <w:rFonts w:ascii="Arial" w:hAnsi="Arial" w:cs="Arial"/>
          <w:sz w:val="24"/>
          <w:szCs w:val="24"/>
        </w:rPr>
      </w:pPr>
      <w:r>
        <w:rPr>
          <w:rFonts w:ascii="Arial" w:hAnsi="Arial" w:cs="Arial"/>
          <w:sz w:val="24"/>
          <w:szCs w:val="24"/>
        </w:rPr>
        <w:t xml:space="preserve">In </w:t>
      </w:r>
      <w:r w:rsidR="004A078E">
        <w:rPr>
          <w:rFonts w:ascii="Arial" w:hAnsi="Arial" w:cs="Arial"/>
          <w:sz w:val="24"/>
          <w:szCs w:val="24"/>
        </w:rPr>
        <w:t xml:space="preserve">spite of that there is still some relevance held by positivism regarding this case, as the already documented Enrico </w:t>
      </w:r>
      <w:proofErr w:type="spellStart"/>
      <w:r w:rsidR="004A078E">
        <w:rPr>
          <w:rFonts w:ascii="Arial" w:hAnsi="Arial" w:cs="Arial"/>
          <w:sz w:val="24"/>
          <w:szCs w:val="24"/>
        </w:rPr>
        <w:t>Ferri</w:t>
      </w:r>
      <w:proofErr w:type="spellEnd"/>
      <w:r w:rsidR="004A078E">
        <w:rPr>
          <w:rFonts w:ascii="Arial" w:hAnsi="Arial" w:cs="Arial"/>
          <w:sz w:val="24"/>
          <w:szCs w:val="24"/>
        </w:rPr>
        <w:t xml:space="preserve"> positivist crime theory arguably </w:t>
      </w:r>
      <w:r w:rsidR="00755A1A">
        <w:rPr>
          <w:rFonts w:ascii="Arial" w:hAnsi="Arial" w:cs="Arial"/>
          <w:sz w:val="24"/>
          <w:szCs w:val="24"/>
        </w:rPr>
        <w:t xml:space="preserve">relates better than that of the rational choice theory (ibid). This is due to how the early life experiences and influences of Ramirez such as regular physical abuse from his father, detailed information and photograph sharing about gruesome Vietnam War events from his older cousin and the usage of various drugs from as early as ten years old, connect fairly well to the belief by </w:t>
      </w:r>
      <w:proofErr w:type="spellStart"/>
      <w:r w:rsidR="00755A1A">
        <w:rPr>
          <w:rFonts w:ascii="Arial" w:hAnsi="Arial" w:cs="Arial"/>
          <w:sz w:val="24"/>
          <w:szCs w:val="24"/>
        </w:rPr>
        <w:t>Ferri</w:t>
      </w:r>
      <w:proofErr w:type="spellEnd"/>
      <w:r w:rsidR="00755A1A">
        <w:rPr>
          <w:rFonts w:ascii="Arial" w:hAnsi="Arial" w:cs="Arial"/>
          <w:sz w:val="24"/>
          <w:szCs w:val="24"/>
        </w:rPr>
        <w:t xml:space="preserve"> of </w:t>
      </w:r>
      <w:r w:rsidR="005712D7">
        <w:rPr>
          <w:rFonts w:ascii="Arial" w:hAnsi="Arial" w:cs="Arial"/>
          <w:sz w:val="24"/>
          <w:szCs w:val="24"/>
        </w:rPr>
        <w:t>deviancy being mostly a result of the surrounding circumstances an individual is born into (</w:t>
      </w:r>
      <w:proofErr w:type="spellStart"/>
      <w:r w:rsidR="005712D7">
        <w:rPr>
          <w:rFonts w:ascii="Arial" w:hAnsi="Arial" w:cs="Arial"/>
          <w:sz w:val="24"/>
          <w:szCs w:val="24"/>
        </w:rPr>
        <w:t>Fis</w:t>
      </w:r>
      <w:r w:rsidR="00E373E2">
        <w:rPr>
          <w:rFonts w:ascii="Arial" w:hAnsi="Arial" w:cs="Arial"/>
          <w:sz w:val="24"/>
          <w:szCs w:val="24"/>
        </w:rPr>
        <w:t>c</w:t>
      </w:r>
      <w:r w:rsidR="005712D7">
        <w:rPr>
          <w:rFonts w:ascii="Arial" w:hAnsi="Arial" w:cs="Arial"/>
          <w:sz w:val="24"/>
          <w:szCs w:val="24"/>
        </w:rPr>
        <w:t>hette</w:t>
      </w:r>
      <w:proofErr w:type="spellEnd"/>
      <w:r w:rsidR="005712D7">
        <w:rPr>
          <w:rFonts w:ascii="Arial" w:hAnsi="Arial" w:cs="Arial"/>
          <w:sz w:val="24"/>
          <w:szCs w:val="24"/>
        </w:rPr>
        <w:t xml:space="preserve">, 2004). </w:t>
      </w:r>
      <w:r w:rsidR="00FC21A5">
        <w:rPr>
          <w:rFonts w:ascii="Arial" w:hAnsi="Arial" w:cs="Arial"/>
          <w:sz w:val="24"/>
          <w:szCs w:val="24"/>
        </w:rPr>
        <w:t>Therefore,</w:t>
      </w:r>
      <w:r w:rsidR="00BC0690">
        <w:rPr>
          <w:rFonts w:ascii="Arial" w:hAnsi="Arial" w:cs="Arial"/>
          <w:sz w:val="24"/>
          <w:szCs w:val="24"/>
        </w:rPr>
        <w:t xml:space="preserve"> it could be suggested that the traumatic conditions experienced as a child almost allowed for him to be a</w:t>
      </w:r>
      <w:r w:rsidR="00263B0C">
        <w:rPr>
          <w:rFonts w:ascii="Arial" w:hAnsi="Arial" w:cs="Arial"/>
          <w:sz w:val="24"/>
          <w:szCs w:val="24"/>
        </w:rPr>
        <w:t xml:space="preserve"> created</w:t>
      </w:r>
      <w:r w:rsidR="00BC0690">
        <w:rPr>
          <w:rFonts w:ascii="Arial" w:hAnsi="Arial" w:cs="Arial"/>
          <w:sz w:val="24"/>
          <w:szCs w:val="24"/>
        </w:rPr>
        <w:t xml:space="preserve"> psychopath</w:t>
      </w:r>
      <w:r w:rsidR="00263B0C">
        <w:rPr>
          <w:rFonts w:ascii="Arial" w:hAnsi="Arial" w:cs="Arial"/>
          <w:sz w:val="24"/>
          <w:szCs w:val="24"/>
        </w:rPr>
        <w:t xml:space="preserve">, with the numerous cognitive issues suffered by Ramirez (medically declared after his imprisonment) such as hypersexuality, schizoid personality disorder and aggressivity, undoubtedly being a key factor in why he ended up committing the unthinkable acts </w:t>
      </w:r>
      <w:r w:rsidR="00C20D49">
        <w:rPr>
          <w:rFonts w:ascii="Arial" w:hAnsi="Arial" w:cs="Arial"/>
          <w:sz w:val="24"/>
          <w:szCs w:val="24"/>
        </w:rPr>
        <w:t xml:space="preserve">that he did (Wilson et al, 2015). </w:t>
      </w:r>
    </w:p>
    <w:p w14:paraId="1572DFF6" w14:textId="409FE3E6" w:rsidR="00316A7C" w:rsidRDefault="00316A7C" w:rsidP="00145EFF">
      <w:pPr>
        <w:spacing w:line="480" w:lineRule="auto"/>
        <w:rPr>
          <w:rFonts w:ascii="Arial" w:hAnsi="Arial" w:cs="Arial"/>
          <w:sz w:val="24"/>
          <w:szCs w:val="24"/>
        </w:rPr>
      </w:pPr>
    </w:p>
    <w:p w14:paraId="50F6C0E6" w14:textId="29D87E07" w:rsidR="007F665B" w:rsidRDefault="007F665B" w:rsidP="00145EFF">
      <w:pPr>
        <w:spacing w:line="480" w:lineRule="auto"/>
        <w:rPr>
          <w:rFonts w:ascii="Arial" w:hAnsi="Arial" w:cs="Arial"/>
          <w:sz w:val="24"/>
          <w:szCs w:val="24"/>
        </w:rPr>
      </w:pPr>
      <w:r>
        <w:rPr>
          <w:rFonts w:ascii="Arial" w:hAnsi="Arial" w:cs="Arial"/>
          <w:sz w:val="24"/>
          <w:szCs w:val="24"/>
        </w:rPr>
        <w:t xml:space="preserve">Alternatively, there are those such as Haggerty (2009) who believe that cases involving a prolific serial killer such as this Nightstalker case clearly behave with a rationalist framework, </w:t>
      </w:r>
      <w:r w:rsidR="001D3AB4">
        <w:rPr>
          <w:rFonts w:ascii="Arial" w:hAnsi="Arial" w:cs="Arial"/>
          <w:sz w:val="24"/>
          <w:szCs w:val="24"/>
        </w:rPr>
        <w:t xml:space="preserve">albeit being very abnormal to the majority of society. </w:t>
      </w:r>
      <w:r w:rsidR="00C74C65">
        <w:rPr>
          <w:rFonts w:ascii="Arial" w:hAnsi="Arial" w:cs="Arial"/>
          <w:sz w:val="24"/>
          <w:szCs w:val="24"/>
        </w:rPr>
        <w:t>This is because, in cases where the crimes committed vary in terms of crime type, location and when they occurred, there is an obvious aspect of rational choice to choose between the possibilities of being caught</w:t>
      </w:r>
      <w:r w:rsidR="00822128">
        <w:rPr>
          <w:rFonts w:ascii="Arial" w:hAnsi="Arial" w:cs="Arial"/>
          <w:sz w:val="24"/>
          <w:szCs w:val="24"/>
        </w:rPr>
        <w:t xml:space="preserve">, likelihood of fulfilling their desired outcome </w:t>
      </w:r>
      <w:r w:rsidR="00822128">
        <w:rPr>
          <w:rFonts w:ascii="Arial" w:hAnsi="Arial" w:cs="Arial"/>
          <w:sz w:val="24"/>
          <w:szCs w:val="24"/>
        </w:rPr>
        <w:lastRenderedPageBreak/>
        <w:t xml:space="preserve">and also tending to the disturbing needs or impulses they have, needed by serial killers (Cornish &amp; Clarke, 2008). </w:t>
      </w:r>
      <w:r w:rsidR="00A10AF2">
        <w:rPr>
          <w:rFonts w:ascii="Arial" w:hAnsi="Arial" w:cs="Arial"/>
          <w:sz w:val="24"/>
          <w:szCs w:val="24"/>
        </w:rPr>
        <w:t xml:space="preserve">However, Gunn &amp; </w:t>
      </w:r>
      <w:proofErr w:type="spellStart"/>
      <w:r w:rsidR="00A10AF2">
        <w:rPr>
          <w:rFonts w:ascii="Arial" w:hAnsi="Arial" w:cs="Arial"/>
          <w:sz w:val="24"/>
          <w:szCs w:val="24"/>
        </w:rPr>
        <w:t>Caissie</w:t>
      </w:r>
      <w:proofErr w:type="spellEnd"/>
      <w:r w:rsidR="00A10AF2">
        <w:rPr>
          <w:rFonts w:ascii="Arial" w:hAnsi="Arial" w:cs="Arial"/>
          <w:sz w:val="24"/>
          <w:szCs w:val="24"/>
        </w:rPr>
        <w:t xml:space="preserve"> (2006) insist that despite being true for instances </w:t>
      </w:r>
      <w:r w:rsidR="007E533D">
        <w:rPr>
          <w:rFonts w:ascii="Arial" w:hAnsi="Arial" w:cs="Arial"/>
          <w:sz w:val="24"/>
          <w:szCs w:val="24"/>
        </w:rPr>
        <w:t xml:space="preserve">where a serial killer is almost using it as an act of deviant leisure whilst pretending to live a normal life simultaneously, the same cannot be said for cases such as the one in question. This is made evident with information such as Ramirez having an obsession with satanism, forcing male victims to watch the abuse of female victims before murdering, </w:t>
      </w:r>
      <w:r w:rsidR="00203039">
        <w:rPr>
          <w:rFonts w:ascii="Arial" w:hAnsi="Arial" w:cs="Arial"/>
          <w:sz w:val="24"/>
          <w:szCs w:val="24"/>
        </w:rPr>
        <w:t>staying at the locations after committing violent acts to replenish or rest as well as, actually hinting or detailing to random members of the public about some details of his crimes (ibid). All these highlighted features</w:t>
      </w:r>
      <w:r w:rsidR="00EA2EEC">
        <w:rPr>
          <w:rFonts w:ascii="Arial" w:hAnsi="Arial" w:cs="Arial"/>
          <w:sz w:val="24"/>
          <w:szCs w:val="24"/>
        </w:rPr>
        <w:t xml:space="preserve"> </w:t>
      </w:r>
      <w:r w:rsidR="00203039">
        <w:rPr>
          <w:rFonts w:ascii="Arial" w:hAnsi="Arial" w:cs="Arial"/>
          <w:sz w:val="24"/>
          <w:szCs w:val="24"/>
        </w:rPr>
        <w:t xml:space="preserve">showcase why </w:t>
      </w:r>
      <w:proofErr w:type="spellStart"/>
      <w:r w:rsidR="00203039">
        <w:rPr>
          <w:rFonts w:ascii="Arial" w:hAnsi="Arial" w:cs="Arial"/>
          <w:sz w:val="24"/>
          <w:szCs w:val="24"/>
        </w:rPr>
        <w:t>Ferri’s</w:t>
      </w:r>
      <w:proofErr w:type="spellEnd"/>
      <w:r w:rsidR="00203039">
        <w:rPr>
          <w:rFonts w:ascii="Arial" w:hAnsi="Arial" w:cs="Arial"/>
          <w:sz w:val="24"/>
          <w:szCs w:val="24"/>
        </w:rPr>
        <w:t xml:space="preserve"> positivist theory applies to this case</w:t>
      </w:r>
      <w:r w:rsidR="00EA2EEC">
        <w:rPr>
          <w:rFonts w:ascii="Arial" w:hAnsi="Arial" w:cs="Arial"/>
          <w:sz w:val="24"/>
          <w:szCs w:val="24"/>
        </w:rPr>
        <w:t>, as t</w:t>
      </w:r>
      <w:r w:rsidR="00203039">
        <w:rPr>
          <w:rFonts w:ascii="Arial" w:hAnsi="Arial" w:cs="Arial"/>
          <w:sz w:val="24"/>
          <w:szCs w:val="24"/>
        </w:rPr>
        <w:t xml:space="preserve">here </w:t>
      </w:r>
      <w:r w:rsidR="00EA2EEC">
        <w:rPr>
          <w:rFonts w:ascii="Arial" w:hAnsi="Arial" w:cs="Arial"/>
          <w:sz w:val="24"/>
          <w:szCs w:val="24"/>
        </w:rPr>
        <w:t>can be</w:t>
      </w:r>
      <w:r w:rsidR="00203039">
        <w:rPr>
          <w:rFonts w:ascii="Arial" w:hAnsi="Arial" w:cs="Arial"/>
          <w:sz w:val="24"/>
          <w:szCs w:val="24"/>
        </w:rPr>
        <w:t xml:space="preserve"> no understanding or explaining the actions and behaviour of Richard Ramirez unless</w:t>
      </w:r>
      <w:r w:rsidR="00EA2EEC">
        <w:rPr>
          <w:rFonts w:ascii="Arial" w:hAnsi="Arial" w:cs="Arial"/>
          <w:sz w:val="24"/>
          <w:szCs w:val="24"/>
        </w:rPr>
        <w:t xml:space="preserve">, </w:t>
      </w:r>
      <w:r w:rsidR="00203039">
        <w:rPr>
          <w:rFonts w:ascii="Arial" w:hAnsi="Arial" w:cs="Arial"/>
          <w:sz w:val="24"/>
          <w:szCs w:val="24"/>
        </w:rPr>
        <w:t xml:space="preserve">the </w:t>
      </w:r>
      <w:r w:rsidR="00800632">
        <w:rPr>
          <w:rFonts w:ascii="Arial" w:hAnsi="Arial" w:cs="Arial"/>
          <w:sz w:val="24"/>
          <w:szCs w:val="24"/>
        </w:rPr>
        <w:t xml:space="preserve">previously mentioned </w:t>
      </w:r>
      <w:r w:rsidR="00203039">
        <w:rPr>
          <w:rFonts w:ascii="Arial" w:hAnsi="Arial" w:cs="Arial"/>
          <w:sz w:val="24"/>
          <w:szCs w:val="24"/>
        </w:rPr>
        <w:t xml:space="preserve">environment and experiences </w:t>
      </w:r>
      <w:r w:rsidR="00800632">
        <w:rPr>
          <w:rFonts w:ascii="Arial" w:hAnsi="Arial" w:cs="Arial"/>
          <w:sz w:val="24"/>
          <w:szCs w:val="24"/>
        </w:rPr>
        <w:t xml:space="preserve">he was born into are viewed as possibly the key factor (Godwin &amp; Canter, 1997). </w:t>
      </w:r>
      <w:r w:rsidR="001A0E3B">
        <w:rPr>
          <w:rFonts w:ascii="Arial" w:hAnsi="Arial" w:cs="Arial"/>
          <w:sz w:val="24"/>
          <w:szCs w:val="24"/>
        </w:rPr>
        <w:t>And so, with this explanation of the case understood it c</w:t>
      </w:r>
      <w:r w:rsidR="00B96924">
        <w:rPr>
          <w:rFonts w:ascii="Arial" w:hAnsi="Arial" w:cs="Arial"/>
          <w:sz w:val="24"/>
          <w:szCs w:val="24"/>
        </w:rPr>
        <w:t>ould</w:t>
      </w:r>
      <w:r w:rsidR="001A0E3B">
        <w:rPr>
          <w:rFonts w:ascii="Arial" w:hAnsi="Arial" w:cs="Arial"/>
          <w:sz w:val="24"/>
          <w:szCs w:val="24"/>
        </w:rPr>
        <w:t xml:space="preserve"> be </w:t>
      </w:r>
      <w:r w:rsidR="00B96924">
        <w:rPr>
          <w:rFonts w:ascii="Arial" w:hAnsi="Arial" w:cs="Arial"/>
          <w:sz w:val="24"/>
          <w:szCs w:val="24"/>
        </w:rPr>
        <w:t xml:space="preserve">wondered why even after mass academical discrediting towards positivist criminology, there is still visible relevance held and </w:t>
      </w:r>
      <w:r w:rsidR="00055EDA">
        <w:rPr>
          <w:rFonts w:ascii="Arial" w:hAnsi="Arial" w:cs="Arial"/>
          <w:sz w:val="24"/>
          <w:szCs w:val="24"/>
        </w:rPr>
        <w:t>is even</w:t>
      </w:r>
      <w:r w:rsidR="00B96924">
        <w:rPr>
          <w:rFonts w:ascii="Arial" w:hAnsi="Arial" w:cs="Arial"/>
          <w:sz w:val="24"/>
          <w:szCs w:val="24"/>
        </w:rPr>
        <w:t xml:space="preserve"> </w:t>
      </w:r>
      <w:r w:rsidR="00055EDA">
        <w:rPr>
          <w:rFonts w:ascii="Arial" w:hAnsi="Arial" w:cs="Arial"/>
          <w:sz w:val="24"/>
          <w:szCs w:val="24"/>
        </w:rPr>
        <w:t>relating to</w:t>
      </w:r>
      <w:r w:rsidR="00B96924">
        <w:rPr>
          <w:rFonts w:ascii="Arial" w:hAnsi="Arial" w:cs="Arial"/>
          <w:sz w:val="24"/>
          <w:szCs w:val="24"/>
        </w:rPr>
        <w:t xml:space="preserve"> the most serious instances of criminality (ibid).  </w:t>
      </w:r>
    </w:p>
    <w:p w14:paraId="71679813" w14:textId="2E420052" w:rsidR="00061346" w:rsidRDefault="00061346" w:rsidP="00145EFF">
      <w:pPr>
        <w:spacing w:line="480" w:lineRule="auto"/>
        <w:rPr>
          <w:rFonts w:ascii="Arial" w:hAnsi="Arial" w:cs="Arial"/>
          <w:sz w:val="24"/>
          <w:szCs w:val="24"/>
        </w:rPr>
      </w:pPr>
    </w:p>
    <w:p w14:paraId="107AA261" w14:textId="77777777" w:rsidR="00D627A1" w:rsidRDefault="00061346" w:rsidP="00145EFF">
      <w:pPr>
        <w:spacing w:line="480" w:lineRule="auto"/>
        <w:rPr>
          <w:rFonts w:ascii="Arial" w:hAnsi="Arial" w:cs="Arial"/>
          <w:sz w:val="24"/>
          <w:szCs w:val="24"/>
        </w:rPr>
      </w:pPr>
      <w:r>
        <w:rPr>
          <w:rFonts w:ascii="Arial" w:hAnsi="Arial" w:cs="Arial"/>
          <w:sz w:val="24"/>
          <w:szCs w:val="24"/>
        </w:rPr>
        <w:t xml:space="preserve">All things considered, it is perhaps this protracted uncertainty </w:t>
      </w:r>
      <w:r w:rsidR="00925A8F">
        <w:rPr>
          <w:rFonts w:ascii="Arial" w:hAnsi="Arial" w:cs="Arial"/>
          <w:sz w:val="24"/>
          <w:szCs w:val="24"/>
        </w:rPr>
        <w:t xml:space="preserve">regarding the historical perspectives of crime and their relevance to modern criminology that is actually somewhat the concluding answer. As illustrated early on by </w:t>
      </w:r>
      <w:proofErr w:type="spellStart"/>
      <w:r w:rsidR="00925A8F">
        <w:rPr>
          <w:rFonts w:ascii="Arial" w:hAnsi="Arial" w:cs="Arial"/>
          <w:sz w:val="24"/>
          <w:szCs w:val="24"/>
        </w:rPr>
        <w:t>Bonger</w:t>
      </w:r>
      <w:proofErr w:type="spellEnd"/>
      <w:r w:rsidR="00925A8F">
        <w:rPr>
          <w:rFonts w:ascii="Arial" w:hAnsi="Arial" w:cs="Arial"/>
          <w:sz w:val="24"/>
          <w:szCs w:val="24"/>
        </w:rPr>
        <w:t xml:space="preserve"> (2015), the historical schools of criminology were viewed and still can be viewed as four individually unique theoretical beliefs, which allows for clear categorising in terms of affiliation or relatability. Moreover, the </w:t>
      </w:r>
      <w:r w:rsidR="00C47208">
        <w:rPr>
          <w:rFonts w:ascii="Arial" w:hAnsi="Arial" w:cs="Arial"/>
          <w:sz w:val="24"/>
          <w:szCs w:val="24"/>
        </w:rPr>
        <w:t xml:space="preserve">well established and documented contrasting of both the classicism and positivism schools show how the origins of criminology were very much built upon this singular selection outlook, with very little </w:t>
      </w:r>
      <w:r w:rsidR="00C47208">
        <w:rPr>
          <w:rFonts w:ascii="Arial" w:hAnsi="Arial" w:cs="Arial"/>
          <w:sz w:val="24"/>
          <w:szCs w:val="24"/>
        </w:rPr>
        <w:lastRenderedPageBreak/>
        <w:t xml:space="preserve">consideration being taken for more of a partnered or amalgamated approach </w:t>
      </w:r>
      <w:r w:rsidR="00C47208" w:rsidRPr="00C47208">
        <w:rPr>
          <w:rFonts w:ascii="Arial" w:hAnsi="Arial" w:cs="Arial"/>
          <w:sz w:val="24"/>
          <w:szCs w:val="24"/>
        </w:rPr>
        <w:t>(Coleman &amp; Norris, 2013).</w:t>
      </w:r>
      <w:r w:rsidR="00C47208">
        <w:rPr>
          <w:rFonts w:ascii="Arial" w:hAnsi="Arial" w:cs="Arial"/>
          <w:sz w:val="24"/>
          <w:szCs w:val="24"/>
        </w:rPr>
        <w:t xml:space="preserve"> However, as made evident throughout the more modern outlook of criminology is very much aligned to </w:t>
      </w:r>
      <w:r w:rsidR="00BA06D3">
        <w:rPr>
          <w:rFonts w:ascii="Arial" w:hAnsi="Arial" w:cs="Arial"/>
          <w:sz w:val="24"/>
          <w:szCs w:val="24"/>
        </w:rPr>
        <w:t xml:space="preserve">a more interconnected and multiple theory or perspective approach and so, a complete contrast to that of the classicism versus positivism type of format </w:t>
      </w:r>
      <w:r w:rsidR="00C47208">
        <w:rPr>
          <w:rFonts w:ascii="Arial" w:hAnsi="Arial" w:cs="Arial"/>
          <w:sz w:val="24"/>
          <w:szCs w:val="24"/>
        </w:rPr>
        <w:t>(</w:t>
      </w:r>
      <w:proofErr w:type="spellStart"/>
      <w:r w:rsidR="00C47208">
        <w:rPr>
          <w:rFonts w:ascii="Arial" w:hAnsi="Arial" w:cs="Arial"/>
          <w:sz w:val="24"/>
          <w:szCs w:val="24"/>
        </w:rPr>
        <w:t>Horder</w:t>
      </w:r>
      <w:proofErr w:type="spellEnd"/>
      <w:r w:rsidR="00C47208">
        <w:rPr>
          <w:rFonts w:ascii="Arial" w:hAnsi="Arial" w:cs="Arial"/>
          <w:sz w:val="24"/>
          <w:szCs w:val="24"/>
        </w:rPr>
        <w:t xml:space="preserve">, 2002 &amp; Reid, 2015). </w:t>
      </w:r>
    </w:p>
    <w:p w14:paraId="56C41D0E" w14:textId="77777777" w:rsidR="00D627A1" w:rsidRDefault="00D627A1" w:rsidP="00145EFF">
      <w:pPr>
        <w:spacing w:line="480" w:lineRule="auto"/>
        <w:rPr>
          <w:rFonts w:ascii="Arial" w:hAnsi="Arial" w:cs="Arial"/>
          <w:sz w:val="24"/>
          <w:szCs w:val="24"/>
        </w:rPr>
      </w:pPr>
    </w:p>
    <w:p w14:paraId="35132786" w14:textId="08B6C559" w:rsidR="00061346" w:rsidRDefault="00BA06D3" w:rsidP="00145EFF">
      <w:pPr>
        <w:spacing w:line="480" w:lineRule="auto"/>
        <w:rPr>
          <w:rFonts w:ascii="Arial" w:hAnsi="Arial" w:cs="Arial"/>
          <w:sz w:val="24"/>
          <w:szCs w:val="24"/>
        </w:rPr>
      </w:pPr>
      <w:r>
        <w:rPr>
          <w:rFonts w:ascii="Arial" w:hAnsi="Arial" w:cs="Arial"/>
          <w:sz w:val="24"/>
          <w:szCs w:val="24"/>
        </w:rPr>
        <w:t>On the other hand, as highlighted by</w:t>
      </w:r>
      <w:r w:rsidR="004E3728">
        <w:rPr>
          <w:rFonts w:ascii="Arial" w:hAnsi="Arial" w:cs="Arial"/>
          <w:sz w:val="24"/>
          <w:szCs w:val="24"/>
        </w:rPr>
        <w:t xml:space="preserve"> Duff (2019)</w:t>
      </w:r>
      <w:r>
        <w:rPr>
          <w:rFonts w:ascii="Arial" w:hAnsi="Arial" w:cs="Arial"/>
          <w:sz w:val="24"/>
          <w:szCs w:val="24"/>
        </w:rPr>
        <w:t xml:space="preserve">, there are certain examples within the Criminal Justice system such as the defining of rationality and reasonable in various context, that </w:t>
      </w:r>
      <w:r w:rsidR="004E3728">
        <w:rPr>
          <w:rFonts w:ascii="Arial" w:hAnsi="Arial" w:cs="Arial"/>
          <w:sz w:val="24"/>
          <w:szCs w:val="24"/>
        </w:rPr>
        <w:t>show one sided influence from particular perspectives like that of the rational choice theory and allow once again this questioning of relevance to occur. Despite being true, what has been made evident with the help of the highlighted Nightstalker case is that</w:t>
      </w:r>
      <w:r w:rsidR="00217764">
        <w:rPr>
          <w:rFonts w:ascii="Arial" w:hAnsi="Arial" w:cs="Arial"/>
          <w:sz w:val="24"/>
          <w:szCs w:val="24"/>
        </w:rPr>
        <w:t xml:space="preserve"> </w:t>
      </w:r>
      <w:r w:rsidR="004E3728">
        <w:rPr>
          <w:rFonts w:ascii="Arial" w:hAnsi="Arial" w:cs="Arial"/>
          <w:sz w:val="24"/>
          <w:szCs w:val="24"/>
        </w:rPr>
        <w:t xml:space="preserve">much of the relevance issue lays with external academic </w:t>
      </w:r>
      <w:r w:rsidR="00217764">
        <w:rPr>
          <w:rFonts w:ascii="Arial" w:hAnsi="Arial" w:cs="Arial"/>
          <w:sz w:val="24"/>
          <w:szCs w:val="24"/>
        </w:rPr>
        <w:t>input, with the attempts to</w:t>
      </w:r>
      <w:r w:rsidR="004E3728">
        <w:rPr>
          <w:rFonts w:ascii="Arial" w:hAnsi="Arial" w:cs="Arial"/>
          <w:sz w:val="24"/>
          <w:szCs w:val="24"/>
        </w:rPr>
        <w:t xml:space="preserve"> prove compatibility between</w:t>
      </w:r>
      <w:r w:rsidR="00217764">
        <w:rPr>
          <w:rFonts w:ascii="Arial" w:hAnsi="Arial" w:cs="Arial"/>
          <w:sz w:val="24"/>
          <w:szCs w:val="24"/>
        </w:rPr>
        <w:t xml:space="preserve"> certain</w:t>
      </w:r>
      <w:r w:rsidR="004E3728">
        <w:rPr>
          <w:rFonts w:ascii="Arial" w:hAnsi="Arial" w:cs="Arial"/>
          <w:sz w:val="24"/>
          <w:szCs w:val="24"/>
        </w:rPr>
        <w:t xml:space="preserve"> historical theories of crime </w:t>
      </w:r>
      <w:r w:rsidR="00217764">
        <w:rPr>
          <w:rFonts w:ascii="Arial" w:hAnsi="Arial" w:cs="Arial"/>
          <w:sz w:val="24"/>
          <w:szCs w:val="24"/>
        </w:rPr>
        <w:t xml:space="preserve">and the already noted much differently constructed modern criminological landscape </w:t>
      </w:r>
      <w:r w:rsidR="00217764" w:rsidRPr="00217764">
        <w:rPr>
          <w:rFonts w:ascii="Arial" w:hAnsi="Arial" w:cs="Arial"/>
          <w:sz w:val="24"/>
          <w:szCs w:val="24"/>
        </w:rPr>
        <w:t>(Godwin &amp; Canter, 1997).</w:t>
      </w:r>
      <w:r w:rsidR="00217764">
        <w:rPr>
          <w:rFonts w:ascii="Arial" w:hAnsi="Arial" w:cs="Arial"/>
          <w:sz w:val="24"/>
          <w:szCs w:val="24"/>
        </w:rPr>
        <w:t xml:space="preserve"> With this in mind, the questioning of which historical school of criminology holds relevance and which deemed irrelevant should not be the case. Ultimately,</w:t>
      </w:r>
      <w:r w:rsidR="00CF6C69">
        <w:rPr>
          <w:rFonts w:ascii="Arial" w:hAnsi="Arial" w:cs="Arial"/>
          <w:sz w:val="24"/>
          <w:szCs w:val="24"/>
        </w:rPr>
        <w:t xml:space="preserve"> there should instead be</w:t>
      </w:r>
      <w:r w:rsidR="00217764">
        <w:rPr>
          <w:rFonts w:ascii="Arial" w:hAnsi="Arial" w:cs="Arial"/>
          <w:sz w:val="24"/>
          <w:szCs w:val="24"/>
        </w:rPr>
        <w:t xml:space="preserve"> an acceptance that modern criminology is not built upon providing </w:t>
      </w:r>
      <w:r w:rsidR="00CF6C69">
        <w:rPr>
          <w:rFonts w:ascii="Arial" w:hAnsi="Arial" w:cs="Arial"/>
          <w:sz w:val="24"/>
          <w:szCs w:val="24"/>
        </w:rPr>
        <w:t xml:space="preserve">more or less relevance to any perspective and so, all historical theories of crime can just be viewed as having certain influences on </w:t>
      </w:r>
      <w:r w:rsidR="00D627A1">
        <w:rPr>
          <w:rFonts w:ascii="Arial" w:hAnsi="Arial" w:cs="Arial"/>
          <w:sz w:val="24"/>
          <w:szCs w:val="24"/>
        </w:rPr>
        <w:t>various aspects within the</w:t>
      </w:r>
      <w:r w:rsidR="00CF6C69">
        <w:rPr>
          <w:rFonts w:ascii="Arial" w:hAnsi="Arial" w:cs="Arial"/>
          <w:sz w:val="24"/>
          <w:szCs w:val="24"/>
        </w:rPr>
        <w:t xml:space="preserve"> modern outlook</w:t>
      </w:r>
      <w:r w:rsidR="00D627A1">
        <w:rPr>
          <w:rFonts w:ascii="Arial" w:hAnsi="Arial" w:cs="Arial"/>
          <w:sz w:val="24"/>
          <w:szCs w:val="24"/>
        </w:rPr>
        <w:t xml:space="preserve"> of criminology</w:t>
      </w:r>
      <w:r w:rsidR="00CF6C69">
        <w:rPr>
          <w:rFonts w:ascii="Arial" w:hAnsi="Arial" w:cs="Arial"/>
          <w:sz w:val="24"/>
          <w:szCs w:val="24"/>
        </w:rPr>
        <w:t xml:space="preserve">. </w:t>
      </w:r>
    </w:p>
    <w:p w14:paraId="6306FACD" w14:textId="77777777" w:rsidR="001C3467" w:rsidRDefault="001C3467" w:rsidP="00145EFF">
      <w:pPr>
        <w:spacing w:line="480" w:lineRule="auto"/>
        <w:rPr>
          <w:rFonts w:ascii="Arial" w:hAnsi="Arial" w:cs="Arial"/>
          <w:sz w:val="24"/>
          <w:szCs w:val="24"/>
        </w:rPr>
      </w:pPr>
    </w:p>
    <w:p w14:paraId="37776AA6" w14:textId="2FD1D979" w:rsidR="0067166A" w:rsidRDefault="0067166A" w:rsidP="00145EFF">
      <w:pPr>
        <w:spacing w:line="480" w:lineRule="auto"/>
        <w:rPr>
          <w:rFonts w:ascii="Arial" w:hAnsi="Arial" w:cs="Arial"/>
          <w:color w:val="FF0000"/>
          <w:sz w:val="24"/>
          <w:szCs w:val="24"/>
        </w:rPr>
      </w:pPr>
    </w:p>
    <w:p w14:paraId="1F10BB2A" w14:textId="1284F219" w:rsidR="00724AE8" w:rsidRDefault="00724AE8" w:rsidP="00145EFF">
      <w:pPr>
        <w:spacing w:line="480" w:lineRule="auto"/>
        <w:rPr>
          <w:rFonts w:ascii="Arial" w:hAnsi="Arial" w:cs="Arial"/>
          <w:color w:val="FF0000"/>
          <w:sz w:val="24"/>
          <w:szCs w:val="24"/>
        </w:rPr>
      </w:pPr>
    </w:p>
    <w:p w14:paraId="11486A46" w14:textId="77777777" w:rsidR="00CF6C69" w:rsidRDefault="00CF6C69" w:rsidP="00145EFF">
      <w:pPr>
        <w:spacing w:line="480" w:lineRule="auto"/>
        <w:rPr>
          <w:rFonts w:ascii="Arial" w:hAnsi="Arial" w:cs="Arial"/>
          <w:sz w:val="24"/>
          <w:szCs w:val="24"/>
        </w:rPr>
      </w:pPr>
    </w:p>
    <w:p w14:paraId="21297FEC" w14:textId="501D539B" w:rsidR="00842C70" w:rsidRDefault="00842C70" w:rsidP="00145EFF">
      <w:pPr>
        <w:spacing w:line="480" w:lineRule="auto"/>
        <w:rPr>
          <w:rFonts w:ascii="Arial" w:hAnsi="Arial" w:cs="Arial"/>
          <w:sz w:val="24"/>
          <w:szCs w:val="24"/>
        </w:rPr>
      </w:pPr>
    </w:p>
    <w:p w14:paraId="74D79D5E" w14:textId="1C127C60" w:rsidR="00842C70" w:rsidRDefault="00842C70" w:rsidP="00145EFF">
      <w:pPr>
        <w:spacing w:line="480" w:lineRule="auto"/>
        <w:rPr>
          <w:rFonts w:ascii="Arial" w:hAnsi="Arial" w:cs="Arial"/>
          <w:b/>
          <w:bCs/>
          <w:sz w:val="24"/>
          <w:szCs w:val="24"/>
          <w:u w:val="single"/>
        </w:rPr>
      </w:pPr>
      <w:r>
        <w:rPr>
          <w:rFonts w:ascii="Arial" w:hAnsi="Arial" w:cs="Arial"/>
          <w:b/>
          <w:bCs/>
          <w:sz w:val="24"/>
          <w:szCs w:val="24"/>
          <w:u w:val="single"/>
        </w:rPr>
        <w:t>References/Bibliography</w:t>
      </w:r>
    </w:p>
    <w:p w14:paraId="4607CC0E" w14:textId="5DCA1624" w:rsidR="00234EA2" w:rsidRPr="00234EA2" w:rsidRDefault="00234EA2" w:rsidP="00145EFF">
      <w:pPr>
        <w:spacing w:line="480" w:lineRule="auto"/>
        <w:rPr>
          <w:rFonts w:ascii="Arial" w:hAnsi="Arial" w:cs="Arial"/>
          <w:sz w:val="24"/>
          <w:szCs w:val="24"/>
        </w:rPr>
      </w:pPr>
      <w:r>
        <w:rPr>
          <w:rFonts w:ascii="Arial" w:hAnsi="Arial" w:cs="Arial"/>
          <w:sz w:val="24"/>
          <w:szCs w:val="24"/>
        </w:rPr>
        <w:t xml:space="preserve">Alexander, L. (2002) </w:t>
      </w:r>
      <w:r>
        <w:rPr>
          <w:rFonts w:ascii="Arial" w:hAnsi="Arial" w:cs="Arial"/>
          <w:i/>
          <w:iCs/>
          <w:sz w:val="24"/>
          <w:szCs w:val="24"/>
        </w:rPr>
        <w:t>The Philosophy of Criminal Law.</w:t>
      </w:r>
      <w:r>
        <w:rPr>
          <w:rFonts w:ascii="Arial" w:hAnsi="Arial" w:cs="Arial"/>
          <w:sz w:val="24"/>
          <w:szCs w:val="24"/>
        </w:rPr>
        <w:t xml:space="preserve"> Published </w:t>
      </w:r>
      <w:r w:rsidR="00B07075">
        <w:rPr>
          <w:rFonts w:ascii="Arial" w:hAnsi="Arial" w:cs="Arial"/>
          <w:sz w:val="24"/>
          <w:szCs w:val="24"/>
        </w:rPr>
        <w:t>–</w:t>
      </w:r>
      <w:r>
        <w:rPr>
          <w:rFonts w:ascii="Arial" w:hAnsi="Arial" w:cs="Arial"/>
          <w:sz w:val="24"/>
          <w:szCs w:val="24"/>
        </w:rPr>
        <w:t xml:space="preserve"> </w:t>
      </w:r>
      <w:r w:rsidR="00B07075">
        <w:rPr>
          <w:rFonts w:ascii="Arial" w:hAnsi="Arial" w:cs="Arial"/>
          <w:sz w:val="24"/>
          <w:szCs w:val="24"/>
        </w:rPr>
        <w:t xml:space="preserve">January 2002. Published by The Oxford Handbook of Jurisprudence and Philosophy of Law, Oxford University Press, Oxford UK. (Accessed on – 25/02/2021). </w:t>
      </w:r>
    </w:p>
    <w:p w14:paraId="03A99B04" w14:textId="678A7718" w:rsidR="00C20DE5" w:rsidRDefault="00C20DE5" w:rsidP="00145EFF">
      <w:pPr>
        <w:spacing w:line="480" w:lineRule="auto"/>
        <w:rPr>
          <w:rFonts w:ascii="Arial" w:hAnsi="Arial" w:cs="Arial"/>
          <w:sz w:val="24"/>
          <w:szCs w:val="24"/>
        </w:rPr>
      </w:pPr>
      <w:proofErr w:type="spellStart"/>
      <w:r>
        <w:rPr>
          <w:rFonts w:ascii="Arial" w:hAnsi="Arial" w:cs="Arial"/>
          <w:sz w:val="24"/>
          <w:szCs w:val="24"/>
        </w:rPr>
        <w:t>Bonger</w:t>
      </w:r>
      <w:proofErr w:type="spellEnd"/>
      <w:r>
        <w:rPr>
          <w:rFonts w:ascii="Arial" w:hAnsi="Arial" w:cs="Arial"/>
          <w:sz w:val="24"/>
          <w:szCs w:val="24"/>
        </w:rPr>
        <w:t xml:space="preserve">, W. (2015) </w:t>
      </w:r>
      <w:r>
        <w:rPr>
          <w:rFonts w:ascii="Arial" w:hAnsi="Arial" w:cs="Arial"/>
          <w:i/>
          <w:iCs/>
          <w:sz w:val="24"/>
          <w:szCs w:val="24"/>
        </w:rPr>
        <w:t>An Introduction to Criminology.</w:t>
      </w:r>
      <w:r>
        <w:rPr>
          <w:rFonts w:ascii="Arial" w:hAnsi="Arial" w:cs="Arial"/>
          <w:sz w:val="24"/>
          <w:szCs w:val="24"/>
        </w:rPr>
        <w:t xml:space="preserve"> Published – July 2015. Published by Routledge Publications, Abingdon, Oxfordshire UK. (Accessed on – 19/02/2021). </w:t>
      </w:r>
    </w:p>
    <w:p w14:paraId="04B41922" w14:textId="2880C2DE" w:rsidR="00B9477F" w:rsidRDefault="00B9477F" w:rsidP="00145EFF">
      <w:pPr>
        <w:spacing w:line="480" w:lineRule="auto"/>
        <w:rPr>
          <w:rFonts w:ascii="Arial" w:hAnsi="Arial" w:cs="Arial"/>
          <w:sz w:val="24"/>
          <w:szCs w:val="24"/>
        </w:rPr>
      </w:pPr>
      <w:proofErr w:type="spellStart"/>
      <w:r>
        <w:rPr>
          <w:rFonts w:ascii="Arial" w:hAnsi="Arial" w:cs="Arial"/>
          <w:sz w:val="24"/>
          <w:szCs w:val="24"/>
        </w:rPr>
        <w:t>Buruma</w:t>
      </w:r>
      <w:proofErr w:type="spellEnd"/>
      <w:r>
        <w:rPr>
          <w:rFonts w:ascii="Arial" w:hAnsi="Arial" w:cs="Arial"/>
          <w:sz w:val="24"/>
          <w:szCs w:val="24"/>
        </w:rPr>
        <w:t xml:space="preserve">, Y. (2004) </w:t>
      </w:r>
      <w:r>
        <w:rPr>
          <w:rFonts w:ascii="Arial" w:hAnsi="Arial" w:cs="Arial"/>
          <w:i/>
          <w:iCs/>
          <w:sz w:val="24"/>
          <w:szCs w:val="24"/>
        </w:rPr>
        <w:t>Risk Assessment and Criminal Law: Closing the gap between Criminal Law &amp; Criminology.</w:t>
      </w:r>
      <w:r>
        <w:rPr>
          <w:rFonts w:ascii="Arial" w:hAnsi="Arial" w:cs="Arial"/>
          <w:sz w:val="24"/>
          <w:szCs w:val="24"/>
        </w:rPr>
        <w:t xml:space="preserve"> Published – December 2004. Published by Routledge Publications, Abingdon, Oxfordshire UK. (Accessed on – 25/02/2021). </w:t>
      </w:r>
    </w:p>
    <w:p w14:paraId="6EC0786A" w14:textId="0EDC5A5B" w:rsidR="00CD32FC" w:rsidRPr="00CD32FC" w:rsidRDefault="00CD32FC" w:rsidP="00145EFF">
      <w:pPr>
        <w:spacing w:line="480" w:lineRule="auto"/>
      </w:pPr>
      <w:r>
        <w:rPr>
          <w:rFonts w:ascii="Arial" w:hAnsi="Arial" w:cs="Arial"/>
          <w:sz w:val="24"/>
          <w:szCs w:val="24"/>
        </w:rPr>
        <w:t xml:space="preserve">Carlo, P. (2013) </w:t>
      </w:r>
      <w:r>
        <w:rPr>
          <w:rFonts w:ascii="Arial" w:hAnsi="Arial" w:cs="Arial"/>
          <w:i/>
          <w:iCs/>
          <w:sz w:val="24"/>
          <w:szCs w:val="24"/>
        </w:rPr>
        <w:t>The Night Stalker: Life and Crimes of Richard Ramirez.</w:t>
      </w:r>
      <w:r>
        <w:rPr>
          <w:rFonts w:ascii="Arial" w:hAnsi="Arial" w:cs="Arial"/>
          <w:sz w:val="24"/>
          <w:szCs w:val="24"/>
        </w:rPr>
        <w:t xml:space="preserve"> Published – April 2013. Published by Pinnacle Books, Penguin Random House Publisher Services, New York City USA. (Accessed on – 01/03/2021). </w:t>
      </w:r>
    </w:p>
    <w:p w14:paraId="1B376914" w14:textId="635E0116" w:rsidR="00A840C9" w:rsidRDefault="00A840C9" w:rsidP="00145EFF">
      <w:pPr>
        <w:spacing w:line="480" w:lineRule="auto"/>
        <w:rPr>
          <w:rFonts w:ascii="Arial" w:hAnsi="Arial" w:cs="Arial"/>
          <w:sz w:val="24"/>
          <w:szCs w:val="24"/>
        </w:rPr>
      </w:pPr>
      <w:r>
        <w:rPr>
          <w:rFonts w:ascii="Arial" w:hAnsi="Arial" w:cs="Arial"/>
          <w:sz w:val="24"/>
          <w:szCs w:val="24"/>
        </w:rPr>
        <w:t xml:space="preserve">Coleman, C. &amp; Norris, C. (2013) </w:t>
      </w:r>
      <w:r>
        <w:rPr>
          <w:rFonts w:ascii="Arial" w:hAnsi="Arial" w:cs="Arial"/>
          <w:i/>
          <w:iCs/>
          <w:sz w:val="24"/>
          <w:szCs w:val="24"/>
        </w:rPr>
        <w:t>Introducing Criminology.</w:t>
      </w:r>
      <w:r>
        <w:rPr>
          <w:rFonts w:ascii="Arial" w:hAnsi="Arial" w:cs="Arial"/>
          <w:sz w:val="24"/>
          <w:szCs w:val="24"/>
        </w:rPr>
        <w:t xml:space="preserve"> Published – June 2013. Published by Routledge Publications, Abingdon, Oxfordshire UK. (Accessed on – 19/02/2021). </w:t>
      </w:r>
    </w:p>
    <w:p w14:paraId="285CA693" w14:textId="4D0EE787" w:rsidR="005A2DEC" w:rsidRPr="005A2DEC" w:rsidRDefault="005A2DEC" w:rsidP="00145EFF">
      <w:pPr>
        <w:spacing w:line="480" w:lineRule="auto"/>
        <w:rPr>
          <w:rFonts w:ascii="Arial" w:hAnsi="Arial" w:cs="Arial"/>
          <w:sz w:val="24"/>
          <w:szCs w:val="24"/>
        </w:rPr>
      </w:pPr>
      <w:r>
        <w:rPr>
          <w:rFonts w:ascii="Arial" w:hAnsi="Arial" w:cs="Arial"/>
          <w:sz w:val="24"/>
          <w:szCs w:val="24"/>
        </w:rPr>
        <w:t xml:space="preserve">Cornish, D.B. &amp; Clarke, R.V. (2008) </w:t>
      </w:r>
      <w:r>
        <w:rPr>
          <w:rFonts w:ascii="Arial" w:hAnsi="Arial" w:cs="Arial"/>
          <w:i/>
          <w:iCs/>
          <w:sz w:val="24"/>
          <w:szCs w:val="24"/>
        </w:rPr>
        <w:t>The Rational Choice Perspective.</w:t>
      </w:r>
      <w:r>
        <w:rPr>
          <w:rFonts w:ascii="Arial" w:hAnsi="Arial" w:cs="Arial"/>
          <w:sz w:val="24"/>
          <w:szCs w:val="24"/>
        </w:rPr>
        <w:t xml:space="preserve"> Published – November, 2016. Published by Taylor &amp; Francis Publishing Ltd, Howick Place, London UK. (Accessed on – 05/03/2021). </w:t>
      </w:r>
    </w:p>
    <w:p w14:paraId="267693E5" w14:textId="3AEC0F80" w:rsidR="00715756" w:rsidRPr="00715756" w:rsidRDefault="00715756" w:rsidP="00145EFF">
      <w:pPr>
        <w:spacing w:line="480" w:lineRule="auto"/>
      </w:pPr>
      <w:proofErr w:type="spellStart"/>
      <w:r>
        <w:rPr>
          <w:rFonts w:ascii="Arial" w:hAnsi="Arial" w:cs="Arial"/>
          <w:sz w:val="24"/>
          <w:szCs w:val="24"/>
        </w:rPr>
        <w:t>Dobbert</w:t>
      </w:r>
      <w:proofErr w:type="spellEnd"/>
      <w:r>
        <w:rPr>
          <w:rFonts w:ascii="Arial" w:hAnsi="Arial" w:cs="Arial"/>
          <w:sz w:val="24"/>
          <w:szCs w:val="24"/>
        </w:rPr>
        <w:t xml:space="preserve">, D.L. (2009) </w:t>
      </w:r>
      <w:r>
        <w:rPr>
          <w:rFonts w:ascii="Arial" w:hAnsi="Arial" w:cs="Arial"/>
          <w:i/>
          <w:iCs/>
          <w:sz w:val="24"/>
          <w:szCs w:val="24"/>
        </w:rPr>
        <w:t xml:space="preserve">Psychopathy, Perversion and Lust Homicide: Recognising the Mental Disorders that Power Serial Killers. </w:t>
      </w:r>
      <w:r>
        <w:rPr>
          <w:rFonts w:ascii="Arial" w:hAnsi="Arial" w:cs="Arial"/>
          <w:sz w:val="24"/>
          <w:szCs w:val="24"/>
        </w:rPr>
        <w:t xml:space="preserve">Published – Autumn 2009. Published by Praeger Publishers Ltd, Santa Barbra, California USA. (Accessed on – 03/03/2021). </w:t>
      </w:r>
    </w:p>
    <w:p w14:paraId="4B16D0A8" w14:textId="057E3A25" w:rsidR="00413873" w:rsidRDefault="00413873" w:rsidP="00145EFF">
      <w:pPr>
        <w:spacing w:line="480" w:lineRule="auto"/>
        <w:rPr>
          <w:rFonts w:ascii="Arial" w:hAnsi="Arial" w:cs="Arial"/>
          <w:sz w:val="24"/>
          <w:szCs w:val="24"/>
        </w:rPr>
      </w:pPr>
      <w:r>
        <w:rPr>
          <w:rFonts w:ascii="Arial" w:hAnsi="Arial" w:cs="Arial"/>
          <w:sz w:val="24"/>
          <w:szCs w:val="24"/>
        </w:rPr>
        <w:lastRenderedPageBreak/>
        <w:t xml:space="preserve">Duff, R.A. (2019) </w:t>
      </w:r>
      <w:r>
        <w:rPr>
          <w:rFonts w:ascii="Arial" w:hAnsi="Arial" w:cs="Arial"/>
          <w:i/>
          <w:iCs/>
          <w:sz w:val="24"/>
          <w:szCs w:val="24"/>
        </w:rPr>
        <w:t>Criminal Attempts.</w:t>
      </w:r>
      <w:r>
        <w:rPr>
          <w:rFonts w:ascii="Arial" w:hAnsi="Arial" w:cs="Arial"/>
          <w:sz w:val="24"/>
          <w:szCs w:val="24"/>
        </w:rPr>
        <w:t xml:space="preserve"> Published – June 2019. Published by International Encyclopaedia of Ethics, John Wiley &amp; Sons Publications, Hoboken, New Jersey USA. (Accessed on – 25/02/2021). </w:t>
      </w:r>
    </w:p>
    <w:p w14:paraId="56895410" w14:textId="0AC9277E" w:rsidR="00E373E2" w:rsidRPr="00E373E2" w:rsidRDefault="00E373E2" w:rsidP="00145EFF">
      <w:pPr>
        <w:spacing w:line="480" w:lineRule="auto"/>
        <w:rPr>
          <w:rFonts w:ascii="Arial" w:hAnsi="Arial" w:cs="Arial"/>
          <w:sz w:val="24"/>
          <w:szCs w:val="24"/>
        </w:rPr>
      </w:pPr>
      <w:proofErr w:type="spellStart"/>
      <w:r>
        <w:rPr>
          <w:rFonts w:ascii="Arial" w:hAnsi="Arial" w:cs="Arial"/>
          <w:sz w:val="24"/>
          <w:szCs w:val="24"/>
        </w:rPr>
        <w:t>Fischette</w:t>
      </w:r>
      <w:proofErr w:type="spellEnd"/>
      <w:r>
        <w:rPr>
          <w:rFonts w:ascii="Arial" w:hAnsi="Arial" w:cs="Arial"/>
          <w:sz w:val="24"/>
          <w:szCs w:val="24"/>
        </w:rPr>
        <w:t xml:space="preserve">, C. (2004) </w:t>
      </w:r>
      <w:r>
        <w:rPr>
          <w:rFonts w:ascii="Arial" w:hAnsi="Arial" w:cs="Arial"/>
          <w:i/>
          <w:iCs/>
          <w:sz w:val="24"/>
          <w:szCs w:val="24"/>
        </w:rPr>
        <w:t>Psychopathy and Responsibility.</w:t>
      </w:r>
      <w:r>
        <w:rPr>
          <w:rFonts w:ascii="Arial" w:hAnsi="Arial" w:cs="Arial"/>
          <w:sz w:val="24"/>
          <w:szCs w:val="24"/>
        </w:rPr>
        <w:t xml:space="preserve"> Published – September 2004. Published by Virginia Law Review, University of Virginia Press, USA. (Accessed on – 03/03/2021). </w:t>
      </w:r>
    </w:p>
    <w:p w14:paraId="1AF8C273" w14:textId="40F1B75F" w:rsidR="005B6F7D" w:rsidRDefault="005B6F7D" w:rsidP="00145EFF">
      <w:pPr>
        <w:spacing w:line="480" w:lineRule="auto"/>
        <w:rPr>
          <w:rFonts w:ascii="Arial" w:hAnsi="Arial" w:cs="Arial"/>
          <w:sz w:val="24"/>
          <w:szCs w:val="24"/>
        </w:rPr>
      </w:pPr>
      <w:r>
        <w:rPr>
          <w:rFonts w:ascii="Arial" w:hAnsi="Arial" w:cs="Arial"/>
          <w:sz w:val="24"/>
          <w:szCs w:val="24"/>
        </w:rPr>
        <w:t xml:space="preserve">Fitzgerald, C.S. (2011) </w:t>
      </w:r>
      <w:r>
        <w:rPr>
          <w:rFonts w:ascii="Arial" w:hAnsi="Arial" w:cs="Arial"/>
          <w:i/>
          <w:iCs/>
          <w:sz w:val="24"/>
          <w:szCs w:val="24"/>
        </w:rPr>
        <w:t>Historical Theories of Crime and Delinquency.</w:t>
      </w:r>
      <w:r>
        <w:rPr>
          <w:rFonts w:ascii="Arial" w:hAnsi="Arial" w:cs="Arial"/>
          <w:sz w:val="24"/>
          <w:szCs w:val="24"/>
        </w:rPr>
        <w:t xml:space="preserve"> Published – May 2011. Published by Taylor &amp; Francis Publishing Ltd, Howick Place, London UK. (Accessed on – 17/02/2021). </w:t>
      </w:r>
    </w:p>
    <w:p w14:paraId="14149879" w14:textId="5EFC5EAF" w:rsidR="0013293A" w:rsidRPr="0013293A" w:rsidRDefault="0013293A" w:rsidP="00145EFF">
      <w:pPr>
        <w:spacing w:line="480" w:lineRule="auto"/>
        <w:rPr>
          <w:rFonts w:ascii="Arial" w:hAnsi="Arial" w:cs="Arial"/>
          <w:sz w:val="24"/>
          <w:szCs w:val="24"/>
        </w:rPr>
      </w:pPr>
      <w:r>
        <w:rPr>
          <w:rFonts w:ascii="Arial" w:hAnsi="Arial" w:cs="Arial"/>
          <w:sz w:val="24"/>
          <w:szCs w:val="24"/>
        </w:rPr>
        <w:t xml:space="preserve">Garfinkel, P. (2016) </w:t>
      </w:r>
      <w:r>
        <w:rPr>
          <w:rFonts w:ascii="Arial" w:hAnsi="Arial" w:cs="Arial"/>
          <w:i/>
          <w:iCs/>
          <w:sz w:val="24"/>
          <w:szCs w:val="24"/>
        </w:rPr>
        <w:t>Criminal Law in Liberal and Fascist Italy.</w:t>
      </w:r>
      <w:r>
        <w:rPr>
          <w:rFonts w:ascii="Arial" w:hAnsi="Arial" w:cs="Arial"/>
          <w:sz w:val="24"/>
          <w:szCs w:val="24"/>
        </w:rPr>
        <w:t xml:space="preserve"> Published – Spring 2016. Published by Cambridge University Press, Cambridgeshire UK. (Accessed on – 25/02/2021). </w:t>
      </w:r>
    </w:p>
    <w:p w14:paraId="66F91C50" w14:textId="168D0F46" w:rsidR="00842C70" w:rsidRDefault="00842C70" w:rsidP="00145EFF">
      <w:pPr>
        <w:spacing w:line="480" w:lineRule="auto"/>
        <w:rPr>
          <w:rFonts w:ascii="Arial" w:hAnsi="Arial" w:cs="Arial"/>
          <w:sz w:val="24"/>
          <w:szCs w:val="24"/>
        </w:rPr>
      </w:pPr>
      <w:r>
        <w:rPr>
          <w:rFonts w:ascii="Arial" w:hAnsi="Arial" w:cs="Arial"/>
          <w:sz w:val="24"/>
          <w:szCs w:val="24"/>
        </w:rPr>
        <w:t xml:space="preserve">Gibson, M. (2013) </w:t>
      </w:r>
      <w:r>
        <w:rPr>
          <w:rFonts w:ascii="Arial" w:hAnsi="Arial" w:cs="Arial"/>
          <w:i/>
          <w:iCs/>
          <w:sz w:val="24"/>
          <w:szCs w:val="24"/>
        </w:rPr>
        <w:t>Cesare Lombroso, Prison Science and Penal Policy.</w:t>
      </w:r>
      <w:r>
        <w:rPr>
          <w:rFonts w:ascii="Arial" w:hAnsi="Arial" w:cs="Arial"/>
          <w:sz w:val="24"/>
          <w:szCs w:val="24"/>
        </w:rPr>
        <w:t xml:space="preserve"> Published – Autumn 2013. Published by Routledge Publications, Abingdon, Oxfordshire UK. (Accessed on – 17/02/2021). </w:t>
      </w:r>
    </w:p>
    <w:p w14:paraId="3C8FAD46" w14:textId="2F4DE290" w:rsidR="008F23D7" w:rsidRPr="005B6B31" w:rsidRDefault="008F23D7" w:rsidP="00145EFF">
      <w:pPr>
        <w:spacing w:line="480" w:lineRule="auto"/>
        <w:rPr>
          <w:rFonts w:ascii="Arial" w:hAnsi="Arial" w:cs="Arial"/>
          <w:sz w:val="24"/>
          <w:szCs w:val="24"/>
        </w:rPr>
      </w:pPr>
      <w:r>
        <w:rPr>
          <w:rFonts w:ascii="Arial" w:hAnsi="Arial" w:cs="Arial"/>
          <w:sz w:val="24"/>
          <w:szCs w:val="24"/>
        </w:rPr>
        <w:t xml:space="preserve">Godwin, </w:t>
      </w:r>
      <w:r w:rsidR="005B6B31">
        <w:rPr>
          <w:rFonts w:ascii="Arial" w:hAnsi="Arial" w:cs="Arial"/>
          <w:sz w:val="24"/>
          <w:szCs w:val="24"/>
        </w:rPr>
        <w:t xml:space="preserve">M. &amp; Canter, D. (1997) </w:t>
      </w:r>
      <w:r w:rsidR="005B6B31">
        <w:rPr>
          <w:rFonts w:ascii="Arial" w:hAnsi="Arial" w:cs="Arial"/>
          <w:i/>
          <w:iCs/>
          <w:sz w:val="24"/>
          <w:szCs w:val="24"/>
        </w:rPr>
        <w:t>Encounter &amp; Death: The Spatial Behaviour of US Serial Killers.</w:t>
      </w:r>
      <w:r w:rsidR="005B6B31">
        <w:rPr>
          <w:rFonts w:ascii="Arial" w:hAnsi="Arial" w:cs="Arial"/>
          <w:sz w:val="24"/>
          <w:szCs w:val="24"/>
        </w:rPr>
        <w:t xml:space="preserve"> Published – March, 1997. Published by Emerald Publishing Ltd, Bingley UK. (Accessed on – 05/03/2021). </w:t>
      </w:r>
    </w:p>
    <w:p w14:paraId="02427DBD" w14:textId="744D1658" w:rsidR="00376CA8" w:rsidRDefault="00376CA8" w:rsidP="00145EFF">
      <w:pPr>
        <w:spacing w:line="480" w:lineRule="auto"/>
        <w:rPr>
          <w:rFonts w:ascii="Arial" w:hAnsi="Arial" w:cs="Arial"/>
          <w:sz w:val="24"/>
          <w:szCs w:val="24"/>
        </w:rPr>
      </w:pPr>
      <w:r>
        <w:rPr>
          <w:rFonts w:ascii="Arial" w:hAnsi="Arial" w:cs="Arial"/>
          <w:sz w:val="24"/>
          <w:szCs w:val="24"/>
        </w:rPr>
        <w:t>Green</w:t>
      </w:r>
      <w:r w:rsidR="00D826D7">
        <w:rPr>
          <w:rFonts w:ascii="Arial" w:hAnsi="Arial" w:cs="Arial"/>
          <w:sz w:val="24"/>
          <w:szCs w:val="24"/>
        </w:rPr>
        <w:t xml:space="preserve">, L. &amp; Adams, T. (2003) </w:t>
      </w:r>
      <w:r w:rsidR="00D826D7">
        <w:rPr>
          <w:rFonts w:ascii="Arial" w:hAnsi="Arial" w:cs="Arial"/>
          <w:i/>
          <w:iCs/>
          <w:sz w:val="24"/>
          <w:szCs w:val="24"/>
        </w:rPr>
        <w:t>Legal Positivism.</w:t>
      </w:r>
      <w:r w:rsidR="00D826D7">
        <w:rPr>
          <w:rFonts w:ascii="Arial" w:hAnsi="Arial" w:cs="Arial"/>
          <w:sz w:val="24"/>
          <w:szCs w:val="24"/>
        </w:rPr>
        <w:t xml:space="preserve"> Published – January 2003. Published by Stanford Press Philosophy Archive, Stanford University USA. (Accessed on – 24/02/2021). </w:t>
      </w:r>
    </w:p>
    <w:p w14:paraId="4C5F33F1" w14:textId="71951B36" w:rsidR="00363F70" w:rsidRDefault="00363F70" w:rsidP="00145EFF">
      <w:pPr>
        <w:spacing w:line="480" w:lineRule="auto"/>
        <w:rPr>
          <w:rFonts w:ascii="Arial" w:hAnsi="Arial" w:cs="Arial"/>
          <w:sz w:val="24"/>
          <w:szCs w:val="24"/>
        </w:rPr>
      </w:pPr>
      <w:r>
        <w:rPr>
          <w:rFonts w:ascii="Arial" w:hAnsi="Arial" w:cs="Arial"/>
          <w:sz w:val="24"/>
          <w:szCs w:val="24"/>
        </w:rPr>
        <w:lastRenderedPageBreak/>
        <w:t xml:space="preserve">Gunn, L. &amp; </w:t>
      </w:r>
      <w:proofErr w:type="spellStart"/>
      <w:r>
        <w:rPr>
          <w:rFonts w:ascii="Arial" w:hAnsi="Arial" w:cs="Arial"/>
          <w:sz w:val="24"/>
          <w:szCs w:val="24"/>
        </w:rPr>
        <w:t>Caissie</w:t>
      </w:r>
      <w:proofErr w:type="spellEnd"/>
      <w:r>
        <w:rPr>
          <w:rFonts w:ascii="Arial" w:hAnsi="Arial" w:cs="Arial"/>
          <w:sz w:val="24"/>
          <w:szCs w:val="24"/>
        </w:rPr>
        <w:t xml:space="preserve">, L.T. (2006) </w:t>
      </w:r>
      <w:r>
        <w:rPr>
          <w:rFonts w:ascii="Arial" w:hAnsi="Arial" w:cs="Arial"/>
          <w:i/>
          <w:iCs/>
          <w:sz w:val="24"/>
          <w:szCs w:val="24"/>
        </w:rPr>
        <w:t>Serial Murder as an Act of Deviant Leisure.</w:t>
      </w:r>
      <w:r>
        <w:rPr>
          <w:rFonts w:ascii="Arial" w:hAnsi="Arial" w:cs="Arial"/>
          <w:sz w:val="24"/>
          <w:szCs w:val="24"/>
        </w:rPr>
        <w:t xml:space="preserve"> Published – November, 2006. Published by Taylor &amp; Francis Publishing Ltd, Howick Place, London UK. (Accessed on – 05/03/2021). </w:t>
      </w:r>
    </w:p>
    <w:p w14:paraId="7076442A" w14:textId="72636A94" w:rsidR="0002647E" w:rsidRPr="0002647E" w:rsidRDefault="0002647E" w:rsidP="00145EFF">
      <w:pPr>
        <w:spacing w:line="480" w:lineRule="auto"/>
        <w:rPr>
          <w:rFonts w:ascii="Arial" w:hAnsi="Arial" w:cs="Arial"/>
          <w:sz w:val="24"/>
          <w:szCs w:val="24"/>
        </w:rPr>
      </w:pPr>
      <w:r>
        <w:rPr>
          <w:rFonts w:ascii="Arial" w:hAnsi="Arial" w:cs="Arial"/>
          <w:sz w:val="24"/>
          <w:szCs w:val="24"/>
        </w:rPr>
        <w:t xml:space="preserve">Haggerty, K. (2009) </w:t>
      </w:r>
      <w:r>
        <w:rPr>
          <w:rFonts w:ascii="Arial" w:hAnsi="Arial" w:cs="Arial"/>
          <w:i/>
          <w:iCs/>
          <w:sz w:val="24"/>
          <w:szCs w:val="24"/>
        </w:rPr>
        <w:t>Modern Serial Killers.</w:t>
      </w:r>
      <w:r>
        <w:rPr>
          <w:rFonts w:ascii="Arial" w:hAnsi="Arial" w:cs="Arial"/>
          <w:sz w:val="24"/>
          <w:szCs w:val="24"/>
        </w:rPr>
        <w:t xml:space="preserve"> Published – August, 2009. Published by SAGE Publications, Thousand Oaks, California USA. (Accessed on – 05/03/2021). </w:t>
      </w:r>
    </w:p>
    <w:p w14:paraId="5C91522C" w14:textId="10A48B26" w:rsidR="00E9327C" w:rsidRDefault="00E9327C" w:rsidP="00145EFF">
      <w:pPr>
        <w:spacing w:line="480" w:lineRule="auto"/>
        <w:rPr>
          <w:rFonts w:ascii="Arial" w:hAnsi="Arial" w:cs="Arial"/>
          <w:sz w:val="24"/>
          <w:szCs w:val="24"/>
        </w:rPr>
      </w:pPr>
      <w:r>
        <w:rPr>
          <w:rFonts w:ascii="Arial" w:hAnsi="Arial" w:cs="Arial"/>
          <w:sz w:val="24"/>
          <w:szCs w:val="24"/>
        </w:rPr>
        <w:t xml:space="preserve">Halfpenny, P. (2014) </w:t>
      </w:r>
      <w:r>
        <w:rPr>
          <w:rFonts w:ascii="Arial" w:hAnsi="Arial" w:cs="Arial"/>
          <w:i/>
          <w:iCs/>
          <w:sz w:val="24"/>
          <w:szCs w:val="24"/>
        </w:rPr>
        <w:t>Positivism &amp; Sociology (RLE Social Theory): Explaining Social Life.</w:t>
      </w:r>
      <w:r>
        <w:rPr>
          <w:rFonts w:ascii="Arial" w:hAnsi="Arial" w:cs="Arial"/>
          <w:sz w:val="24"/>
          <w:szCs w:val="24"/>
        </w:rPr>
        <w:t xml:space="preserve"> Published – August 2014. Published by Routledge Publications, Abingdon, Oxfordshire UK. (Accessed on – 24/02/2021). </w:t>
      </w:r>
    </w:p>
    <w:p w14:paraId="137ADA8B" w14:textId="5BF4FF8B" w:rsidR="00B712BD" w:rsidRPr="00B712BD" w:rsidRDefault="00B712BD" w:rsidP="00145EFF">
      <w:pPr>
        <w:spacing w:line="480" w:lineRule="auto"/>
        <w:rPr>
          <w:rFonts w:ascii="Arial" w:hAnsi="Arial" w:cs="Arial"/>
          <w:i/>
          <w:iCs/>
          <w:sz w:val="24"/>
          <w:szCs w:val="24"/>
        </w:rPr>
      </w:pPr>
      <w:r>
        <w:rPr>
          <w:rFonts w:ascii="Arial" w:hAnsi="Arial" w:cs="Arial"/>
          <w:sz w:val="24"/>
          <w:szCs w:val="24"/>
        </w:rPr>
        <w:t xml:space="preserve">Hare, R. (1999) </w:t>
      </w:r>
      <w:r>
        <w:rPr>
          <w:rFonts w:ascii="Arial" w:hAnsi="Arial" w:cs="Arial"/>
          <w:i/>
          <w:iCs/>
          <w:sz w:val="24"/>
          <w:szCs w:val="24"/>
        </w:rPr>
        <w:t xml:space="preserve">Without </w:t>
      </w:r>
      <w:r w:rsidR="00695E81">
        <w:rPr>
          <w:rFonts w:ascii="Arial" w:hAnsi="Arial" w:cs="Arial"/>
          <w:i/>
          <w:iCs/>
          <w:sz w:val="24"/>
          <w:szCs w:val="24"/>
        </w:rPr>
        <w:t>Conscience: The Disturbing World of Psychopaths Among Us.</w:t>
      </w:r>
      <w:r w:rsidR="00695E81">
        <w:rPr>
          <w:rFonts w:ascii="Arial" w:hAnsi="Arial" w:cs="Arial"/>
          <w:sz w:val="24"/>
          <w:szCs w:val="24"/>
        </w:rPr>
        <w:t xml:space="preserve"> Published – January 1999. Published by Guilford Press Inc, New York City, USA. (Accessed on – 03/03/2021). </w:t>
      </w:r>
    </w:p>
    <w:p w14:paraId="187E03ED" w14:textId="010EC55C" w:rsidR="00194577" w:rsidRDefault="00194577" w:rsidP="00145EFF">
      <w:pPr>
        <w:spacing w:line="480" w:lineRule="auto"/>
        <w:rPr>
          <w:rFonts w:ascii="Arial" w:hAnsi="Arial" w:cs="Arial"/>
          <w:sz w:val="24"/>
          <w:szCs w:val="24"/>
        </w:rPr>
      </w:pPr>
      <w:proofErr w:type="spellStart"/>
      <w:r>
        <w:rPr>
          <w:rFonts w:ascii="Arial" w:hAnsi="Arial" w:cs="Arial"/>
          <w:sz w:val="24"/>
          <w:szCs w:val="24"/>
        </w:rPr>
        <w:t>Herfeld</w:t>
      </w:r>
      <w:proofErr w:type="spellEnd"/>
      <w:r>
        <w:rPr>
          <w:rFonts w:ascii="Arial" w:hAnsi="Arial" w:cs="Arial"/>
          <w:sz w:val="24"/>
          <w:szCs w:val="24"/>
        </w:rPr>
        <w:t xml:space="preserve">, C. (2012) </w:t>
      </w:r>
      <w:r>
        <w:rPr>
          <w:rFonts w:ascii="Arial" w:hAnsi="Arial" w:cs="Arial"/>
          <w:i/>
          <w:iCs/>
          <w:sz w:val="24"/>
          <w:szCs w:val="24"/>
        </w:rPr>
        <w:t>The Potentials and Limitations of Rational Choice Theory.</w:t>
      </w:r>
      <w:r>
        <w:rPr>
          <w:rFonts w:ascii="Arial" w:hAnsi="Arial" w:cs="Arial"/>
          <w:sz w:val="24"/>
          <w:szCs w:val="24"/>
        </w:rPr>
        <w:t xml:space="preserve"> Published – Spring 2012. Published by Witten/</w:t>
      </w:r>
      <w:proofErr w:type="spellStart"/>
      <w:r>
        <w:rPr>
          <w:rFonts w:ascii="Arial" w:hAnsi="Arial" w:cs="Arial"/>
          <w:sz w:val="24"/>
          <w:szCs w:val="24"/>
        </w:rPr>
        <w:t>Herdecke</w:t>
      </w:r>
      <w:proofErr w:type="spellEnd"/>
      <w:r>
        <w:rPr>
          <w:rFonts w:ascii="Arial" w:hAnsi="Arial" w:cs="Arial"/>
          <w:sz w:val="24"/>
          <w:szCs w:val="24"/>
        </w:rPr>
        <w:t xml:space="preserve"> University Press, Witten Germany. (Accessed on – 22/02/2021). </w:t>
      </w:r>
    </w:p>
    <w:p w14:paraId="2EB60A74" w14:textId="635DAAFF" w:rsidR="00763A7D" w:rsidRPr="00763A7D" w:rsidRDefault="00763A7D" w:rsidP="00145EFF">
      <w:pPr>
        <w:spacing w:line="480" w:lineRule="auto"/>
        <w:rPr>
          <w:rFonts w:ascii="Arial" w:hAnsi="Arial" w:cs="Arial"/>
          <w:sz w:val="24"/>
          <w:szCs w:val="24"/>
        </w:rPr>
      </w:pPr>
      <w:proofErr w:type="spellStart"/>
      <w:r>
        <w:rPr>
          <w:rFonts w:ascii="Arial" w:hAnsi="Arial" w:cs="Arial"/>
          <w:sz w:val="24"/>
          <w:szCs w:val="24"/>
        </w:rPr>
        <w:t>Horder</w:t>
      </w:r>
      <w:proofErr w:type="spellEnd"/>
      <w:r>
        <w:rPr>
          <w:rFonts w:ascii="Arial" w:hAnsi="Arial" w:cs="Arial"/>
          <w:sz w:val="24"/>
          <w:szCs w:val="24"/>
        </w:rPr>
        <w:t xml:space="preserve">, J. (2002) </w:t>
      </w:r>
      <w:r>
        <w:rPr>
          <w:rFonts w:ascii="Arial" w:hAnsi="Arial" w:cs="Arial"/>
          <w:i/>
          <w:iCs/>
          <w:sz w:val="24"/>
          <w:szCs w:val="24"/>
        </w:rPr>
        <w:t>Criminal Law and Legal Positivism.</w:t>
      </w:r>
      <w:r>
        <w:rPr>
          <w:rFonts w:ascii="Arial" w:hAnsi="Arial" w:cs="Arial"/>
          <w:sz w:val="24"/>
          <w:szCs w:val="24"/>
        </w:rPr>
        <w:t xml:space="preserve"> Published – Summer 2002. Published by Cambridge University Press, Cambridgeshire UK. (Accessed on – 25/02/2021). </w:t>
      </w:r>
    </w:p>
    <w:p w14:paraId="5823BD34" w14:textId="63A28143" w:rsidR="003B03D8" w:rsidRPr="003B03D8" w:rsidRDefault="003B03D8" w:rsidP="00145EFF">
      <w:pPr>
        <w:spacing w:line="480" w:lineRule="auto"/>
        <w:rPr>
          <w:rFonts w:ascii="Arial" w:hAnsi="Arial" w:cs="Arial"/>
          <w:sz w:val="24"/>
          <w:szCs w:val="24"/>
        </w:rPr>
      </w:pPr>
      <w:r>
        <w:rPr>
          <w:rFonts w:ascii="Arial" w:hAnsi="Arial" w:cs="Arial"/>
          <w:sz w:val="24"/>
          <w:szCs w:val="24"/>
        </w:rPr>
        <w:t xml:space="preserve">Keohane, RO. (2002) </w:t>
      </w:r>
      <w:r>
        <w:rPr>
          <w:rFonts w:ascii="Arial" w:hAnsi="Arial" w:cs="Arial"/>
          <w:i/>
          <w:iCs/>
          <w:sz w:val="24"/>
          <w:szCs w:val="24"/>
        </w:rPr>
        <w:t>Rational Choice Theory and International Law: Insights &amp; Limitations.</w:t>
      </w:r>
      <w:r>
        <w:rPr>
          <w:rFonts w:ascii="Arial" w:hAnsi="Arial" w:cs="Arial"/>
          <w:sz w:val="24"/>
          <w:szCs w:val="24"/>
        </w:rPr>
        <w:t xml:space="preserve"> Published – January 2002. Published by The University of Chicago Press Journals, Chicago USA. (Accessed on – 22/02/2021). </w:t>
      </w:r>
    </w:p>
    <w:p w14:paraId="61CAF6F5" w14:textId="331E846C" w:rsidR="00376CA8" w:rsidRDefault="00386513" w:rsidP="00145EFF">
      <w:pPr>
        <w:spacing w:line="480" w:lineRule="auto"/>
        <w:rPr>
          <w:rFonts w:ascii="Arial" w:hAnsi="Arial" w:cs="Arial"/>
          <w:sz w:val="24"/>
          <w:szCs w:val="24"/>
        </w:rPr>
      </w:pPr>
      <w:r>
        <w:rPr>
          <w:rFonts w:ascii="Arial" w:hAnsi="Arial" w:cs="Arial"/>
          <w:sz w:val="24"/>
          <w:szCs w:val="24"/>
        </w:rPr>
        <w:t xml:space="preserve">Knepper, P. &amp; </w:t>
      </w:r>
      <w:proofErr w:type="spellStart"/>
      <w:r>
        <w:rPr>
          <w:rFonts w:ascii="Arial" w:hAnsi="Arial" w:cs="Arial"/>
          <w:sz w:val="24"/>
          <w:szCs w:val="24"/>
        </w:rPr>
        <w:t>Ystehede</w:t>
      </w:r>
      <w:proofErr w:type="spellEnd"/>
      <w:r>
        <w:rPr>
          <w:rFonts w:ascii="Arial" w:hAnsi="Arial" w:cs="Arial"/>
          <w:sz w:val="24"/>
          <w:szCs w:val="24"/>
        </w:rPr>
        <w:t xml:space="preserve">, P. (2013) </w:t>
      </w:r>
      <w:r>
        <w:rPr>
          <w:rFonts w:ascii="Arial" w:hAnsi="Arial" w:cs="Arial"/>
          <w:i/>
          <w:iCs/>
          <w:sz w:val="24"/>
          <w:szCs w:val="24"/>
        </w:rPr>
        <w:t>The Cesare Lombroso Handbook.</w:t>
      </w:r>
      <w:r>
        <w:rPr>
          <w:rFonts w:ascii="Arial" w:hAnsi="Arial" w:cs="Arial"/>
          <w:sz w:val="24"/>
          <w:szCs w:val="24"/>
        </w:rPr>
        <w:t xml:space="preserve"> Published – Spring 2013. Published by Routledge Publications, Abingdon, Oxfordshire UK. (Accessed on – 17/02/2021). </w:t>
      </w:r>
    </w:p>
    <w:p w14:paraId="34CAF369" w14:textId="139641BD" w:rsidR="00B1576D" w:rsidRDefault="00B1576D" w:rsidP="00145EFF">
      <w:pPr>
        <w:spacing w:line="480" w:lineRule="auto"/>
        <w:rPr>
          <w:rFonts w:ascii="Arial" w:hAnsi="Arial" w:cs="Arial"/>
          <w:sz w:val="24"/>
          <w:szCs w:val="24"/>
        </w:rPr>
      </w:pPr>
      <w:r>
        <w:rPr>
          <w:rFonts w:ascii="Arial" w:hAnsi="Arial" w:cs="Arial"/>
          <w:sz w:val="24"/>
          <w:szCs w:val="24"/>
        </w:rPr>
        <w:lastRenderedPageBreak/>
        <w:t xml:space="preserve">Laufer, W. (2017) </w:t>
      </w:r>
      <w:r>
        <w:rPr>
          <w:rFonts w:ascii="Arial" w:hAnsi="Arial" w:cs="Arial"/>
          <w:i/>
          <w:iCs/>
          <w:sz w:val="24"/>
          <w:szCs w:val="24"/>
        </w:rPr>
        <w:t>The Criminology of Criminal Law.</w:t>
      </w:r>
      <w:r>
        <w:rPr>
          <w:rFonts w:ascii="Arial" w:hAnsi="Arial" w:cs="Arial"/>
          <w:sz w:val="24"/>
          <w:szCs w:val="24"/>
        </w:rPr>
        <w:t xml:space="preserve"> Published – July 2017. Published by Routledge Publications, Abingdon, Oxfordshire UK. (Accessed on – 25/02/2021). </w:t>
      </w:r>
    </w:p>
    <w:p w14:paraId="0664B340" w14:textId="6A3E9FAB" w:rsidR="004B6582" w:rsidRPr="004B6582" w:rsidRDefault="004B6582" w:rsidP="00145EFF">
      <w:pPr>
        <w:spacing w:line="480" w:lineRule="auto"/>
        <w:rPr>
          <w:rFonts w:ascii="Arial" w:hAnsi="Arial" w:cs="Arial"/>
          <w:sz w:val="24"/>
          <w:szCs w:val="24"/>
        </w:rPr>
      </w:pPr>
      <w:proofErr w:type="spellStart"/>
      <w:r>
        <w:rPr>
          <w:rFonts w:ascii="Arial" w:hAnsi="Arial" w:cs="Arial"/>
          <w:sz w:val="24"/>
          <w:szCs w:val="24"/>
        </w:rPr>
        <w:t>Leverentz</w:t>
      </w:r>
      <w:proofErr w:type="spellEnd"/>
      <w:r>
        <w:rPr>
          <w:rFonts w:ascii="Arial" w:hAnsi="Arial" w:cs="Arial"/>
          <w:sz w:val="24"/>
          <w:szCs w:val="24"/>
        </w:rPr>
        <w:t xml:space="preserve">, A. (2012) </w:t>
      </w:r>
      <w:r>
        <w:rPr>
          <w:rFonts w:ascii="Arial" w:hAnsi="Arial" w:cs="Arial"/>
          <w:i/>
          <w:iCs/>
          <w:sz w:val="24"/>
          <w:szCs w:val="24"/>
        </w:rPr>
        <w:t>Narratives of Crime and Criminals: How Places Socially Construct the Crime Problem.</w:t>
      </w:r>
      <w:r>
        <w:rPr>
          <w:rFonts w:ascii="Arial" w:hAnsi="Arial" w:cs="Arial"/>
          <w:sz w:val="24"/>
          <w:szCs w:val="24"/>
        </w:rPr>
        <w:t xml:space="preserve"> Published – May 2012. Published by John Wiley &amp; Sons Publications, Hoboken, New Jersey USA. (Accessed on – 01/03/2021). </w:t>
      </w:r>
    </w:p>
    <w:p w14:paraId="73F20F5F" w14:textId="3F659DBA" w:rsidR="00A75482" w:rsidRPr="00A75482" w:rsidRDefault="00A75482" w:rsidP="00145EFF">
      <w:pPr>
        <w:spacing w:line="480" w:lineRule="auto"/>
        <w:rPr>
          <w:rFonts w:ascii="Arial" w:hAnsi="Arial" w:cs="Arial"/>
          <w:sz w:val="24"/>
          <w:szCs w:val="24"/>
        </w:rPr>
      </w:pPr>
      <w:r>
        <w:rPr>
          <w:rFonts w:ascii="Arial" w:hAnsi="Arial" w:cs="Arial"/>
          <w:sz w:val="24"/>
          <w:szCs w:val="24"/>
        </w:rPr>
        <w:t xml:space="preserve">Mantle, G., Fox, D. &amp; </w:t>
      </w:r>
      <w:proofErr w:type="spellStart"/>
      <w:r>
        <w:rPr>
          <w:rFonts w:ascii="Arial" w:hAnsi="Arial" w:cs="Arial"/>
          <w:sz w:val="24"/>
          <w:szCs w:val="24"/>
        </w:rPr>
        <w:t>Dhami</w:t>
      </w:r>
      <w:proofErr w:type="spellEnd"/>
      <w:r>
        <w:rPr>
          <w:rFonts w:ascii="Arial" w:hAnsi="Arial" w:cs="Arial"/>
          <w:sz w:val="24"/>
          <w:szCs w:val="24"/>
        </w:rPr>
        <w:t xml:space="preserve">, M. (2005) </w:t>
      </w:r>
      <w:r>
        <w:rPr>
          <w:rFonts w:ascii="Arial" w:hAnsi="Arial" w:cs="Arial"/>
          <w:i/>
          <w:iCs/>
          <w:sz w:val="24"/>
          <w:szCs w:val="24"/>
        </w:rPr>
        <w:t>Restorative Justice &amp; Three Individual Theories of Crime.</w:t>
      </w:r>
      <w:r>
        <w:rPr>
          <w:rFonts w:ascii="Arial" w:hAnsi="Arial" w:cs="Arial"/>
          <w:sz w:val="24"/>
          <w:szCs w:val="24"/>
        </w:rPr>
        <w:t xml:space="preserve"> Published – Autumn 2005. Published by </w:t>
      </w:r>
      <w:r w:rsidR="00337CC8">
        <w:rPr>
          <w:rFonts w:ascii="Arial" w:hAnsi="Arial" w:cs="Arial"/>
          <w:sz w:val="24"/>
          <w:szCs w:val="24"/>
        </w:rPr>
        <w:t xml:space="preserve">Internet Journal of Criminology, London UK. (Accessed on – 25/02/2021). </w:t>
      </w:r>
    </w:p>
    <w:p w14:paraId="2EC6897A" w14:textId="0AF48625" w:rsidR="001C3467" w:rsidRDefault="001C3467" w:rsidP="00145EFF">
      <w:pPr>
        <w:spacing w:line="480" w:lineRule="auto"/>
        <w:rPr>
          <w:rFonts w:ascii="Arial" w:hAnsi="Arial" w:cs="Arial"/>
          <w:sz w:val="24"/>
          <w:szCs w:val="24"/>
        </w:rPr>
      </w:pPr>
      <w:proofErr w:type="spellStart"/>
      <w:r>
        <w:rPr>
          <w:rFonts w:ascii="Arial" w:hAnsi="Arial" w:cs="Arial"/>
          <w:sz w:val="24"/>
          <w:szCs w:val="24"/>
        </w:rPr>
        <w:t>Marmor</w:t>
      </w:r>
      <w:proofErr w:type="spellEnd"/>
      <w:r>
        <w:rPr>
          <w:rFonts w:ascii="Arial" w:hAnsi="Arial" w:cs="Arial"/>
          <w:sz w:val="24"/>
          <w:szCs w:val="24"/>
        </w:rPr>
        <w:t xml:space="preserve">, A. (2002) </w:t>
      </w:r>
      <w:r>
        <w:rPr>
          <w:rFonts w:ascii="Arial" w:hAnsi="Arial" w:cs="Arial"/>
          <w:i/>
          <w:iCs/>
          <w:sz w:val="24"/>
          <w:szCs w:val="24"/>
        </w:rPr>
        <w:t>Exclusive Legal Positivism.</w:t>
      </w:r>
      <w:r>
        <w:rPr>
          <w:rFonts w:ascii="Arial" w:hAnsi="Arial" w:cs="Arial"/>
          <w:sz w:val="24"/>
          <w:szCs w:val="24"/>
        </w:rPr>
        <w:t xml:space="preserve"> Published – February 2002. Published by The Oxford Handbook of Jurisprudence &amp; Philosophy of Law, Oxford University Press, Oxfordshire UK. (Accessed on – 22/02/2021). </w:t>
      </w:r>
    </w:p>
    <w:p w14:paraId="5AB0D04B" w14:textId="47D23384" w:rsidR="00BF3C4C" w:rsidRPr="00BF3C4C" w:rsidRDefault="00BF3C4C" w:rsidP="00145EFF">
      <w:pPr>
        <w:spacing w:line="480" w:lineRule="auto"/>
        <w:rPr>
          <w:rFonts w:ascii="Arial" w:hAnsi="Arial" w:cs="Arial"/>
          <w:sz w:val="24"/>
          <w:szCs w:val="24"/>
        </w:rPr>
      </w:pPr>
      <w:r>
        <w:rPr>
          <w:rFonts w:ascii="Arial" w:hAnsi="Arial" w:cs="Arial"/>
          <w:sz w:val="24"/>
          <w:szCs w:val="24"/>
        </w:rPr>
        <w:t xml:space="preserve">McLaughlin, E., Muncie, J. &amp; Hughes, G. (2003) </w:t>
      </w:r>
      <w:r>
        <w:rPr>
          <w:rFonts w:ascii="Arial" w:hAnsi="Arial" w:cs="Arial"/>
          <w:i/>
          <w:iCs/>
          <w:sz w:val="24"/>
          <w:szCs w:val="24"/>
        </w:rPr>
        <w:t>Criminological Perspectives: Essential Readings.</w:t>
      </w:r>
      <w:r>
        <w:rPr>
          <w:rFonts w:ascii="Arial" w:hAnsi="Arial" w:cs="Arial"/>
          <w:sz w:val="24"/>
          <w:szCs w:val="24"/>
        </w:rPr>
        <w:t xml:space="preserve"> Published – February 2003. Published by SAGE Publications, Thousand Oaks, California USA. (Accessed on – 24/02/2021). </w:t>
      </w:r>
    </w:p>
    <w:p w14:paraId="4B3FCCC8" w14:textId="698F2C38" w:rsidR="003A4F77" w:rsidRDefault="003A4F77" w:rsidP="00145EFF">
      <w:pPr>
        <w:spacing w:line="480" w:lineRule="auto"/>
        <w:rPr>
          <w:rFonts w:ascii="Arial" w:hAnsi="Arial" w:cs="Arial"/>
          <w:sz w:val="24"/>
          <w:szCs w:val="24"/>
        </w:rPr>
      </w:pPr>
      <w:r>
        <w:rPr>
          <w:rFonts w:ascii="Arial" w:hAnsi="Arial" w:cs="Arial"/>
          <w:sz w:val="24"/>
          <w:szCs w:val="24"/>
        </w:rPr>
        <w:t xml:space="preserve">Newman, G. (2016) </w:t>
      </w:r>
      <w:r>
        <w:rPr>
          <w:rFonts w:ascii="Arial" w:hAnsi="Arial" w:cs="Arial"/>
          <w:i/>
          <w:iCs/>
          <w:sz w:val="24"/>
          <w:szCs w:val="24"/>
        </w:rPr>
        <w:t>On Crime and Punishments: Cesare Beccaria.</w:t>
      </w:r>
      <w:r>
        <w:rPr>
          <w:rFonts w:ascii="Arial" w:hAnsi="Arial" w:cs="Arial"/>
          <w:sz w:val="24"/>
          <w:szCs w:val="24"/>
        </w:rPr>
        <w:t xml:space="preserve"> Published – October 2016. Published by Transaction Publishers, Piscataway, New Jersey USA. (Accessed on – 22/02/2021). </w:t>
      </w:r>
    </w:p>
    <w:p w14:paraId="34A04366" w14:textId="5DBD7349" w:rsidR="00255C19" w:rsidRDefault="00255C19" w:rsidP="00145EFF">
      <w:pPr>
        <w:spacing w:line="480" w:lineRule="auto"/>
        <w:rPr>
          <w:rFonts w:ascii="Arial" w:hAnsi="Arial" w:cs="Arial"/>
          <w:sz w:val="24"/>
          <w:szCs w:val="24"/>
        </w:rPr>
      </w:pPr>
      <w:proofErr w:type="spellStart"/>
      <w:r>
        <w:rPr>
          <w:rFonts w:ascii="Arial" w:hAnsi="Arial" w:cs="Arial"/>
          <w:sz w:val="24"/>
          <w:szCs w:val="24"/>
        </w:rPr>
        <w:t>Polizzi</w:t>
      </w:r>
      <w:proofErr w:type="spellEnd"/>
      <w:r>
        <w:rPr>
          <w:rFonts w:ascii="Arial" w:hAnsi="Arial" w:cs="Arial"/>
          <w:sz w:val="24"/>
          <w:szCs w:val="24"/>
        </w:rPr>
        <w:t xml:space="preserve">, D. (2015) </w:t>
      </w:r>
      <w:r w:rsidR="00AD72CC">
        <w:rPr>
          <w:rFonts w:ascii="Arial" w:hAnsi="Arial" w:cs="Arial"/>
          <w:i/>
          <w:iCs/>
          <w:sz w:val="24"/>
          <w:szCs w:val="24"/>
        </w:rPr>
        <w:t>A Philosophy of the Social Construction of Crime.</w:t>
      </w:r>
      <w:r w:rsidR="00AD72CC">
        <w:rPr>
          <w:rFonts w:ascii="Arial" w:hAnsi="Arial" w:cs="Arial"/>
          <w:sz w:val="24"/>
          <w:szCs w:val="24"/>
        </w:rPr>
        <w:t xml:space="preserve"> Published – November 2015. Published by Policy Press Publishers Ltd, University of Bristol Press, England UK. (Accessed on – 01/03/2021). </w:t>
      </w:r>
    </w:p>
    <w:p w14:paraId="47FCAB49" w14:textId="77777777" w:rsidR="006D770C" w:rsidRPr="00AD72CC" w:rsidRDefault="006D770C" w:rsidP="00145EFF">
      <w:pPr>
        <w:spacing w:line="480" w:lineRule="auto"/>
        <w:rPr>
          <w:rFonts w:ascii="Arial" w:hAnsi="Arial" w:cs="Arial"/>
          <w:sz w:val="24"/>
          <w:szCs w:val="24"/>
        </w:rPr>
      </w:pPr>
    </w:p>
    <w:p w14:paraId="4F9F59F6" w14:textId="140FA1A0" w:rsidR="00FB00C3" w:rsidRDefault="00FB00C3" w:rsidP="00145EFF">
      <w:pPr>
        <w:spacing w:line="480" w:lineRule="auto"/>
        <w:rPr>
          <w:rFonts w:ascii="Arial" w:hAnsi="Arial" w:cs="Arial"/>
          <w:sz w:val="24"/>
          <w:szCs w:val="24"/>
        </w:rPr>
      </w:pPr>
      <w:r>
        <w:rPr>
          <w:rFonts w:ascii="Arial" w:hAnsi="Arial" w:cs="Arial"/>
          <w:sz w:val="24"/>
          <w:szCs w:val="24"/>
        </w:rPr>
        <w:lastRenderedPageBreak/>
        <w:t xml:space="preserve">Rathbun, B. (2008) </w:t>
      </w:r>
      <w:r>
        <w:rPr>
          <w:rFonts w:ascii="Arial" w:hAnsi="Arial" w:cs="Arial"/>
          <w:i/>
          <w:iCs/>
          <w:sz w:val="24"/>
          <w:szCs w:val="24"/>
        </w:rPr>
        <w:t>Rose by Any Other Name: Neoclassical Realism as the Logical and Necessary Extension of Structural Realism.</w:t>
      </w:r>
      <w:r>
        <w:rPr>
          <w:rFonts w:ascii="Arial" w:hAnsi="Arial" w:cs="Arial"/>
          <w:sz w:val="24"/>
          <w:szCs w:val="24"/>
        </w:rPr>
        <w:t xml:space="preserve"> Published – June 2008. Published by Taylor &amp; Francis Publishing Ltd, Howick Place, London UK. (Accessed on – 19/02/2021). </w:t>
      </w:r>
    </w:p>
    <w:p w14:paraId="36B83EAF" w14:textId="386B87AD" w:rsidR="00F16DAB" w:rsidRPr="00F16DAB" w:rsidRDefault="00F16DAB" w:rsidP="00145EFF">
      <w:pPr>
        <w:spacing w:line="480" w:lineRule="auto"/>
        <w:rPr>
          <w:rFonts w:ascii="Arial" w:hAnsi="Arial" w:cs="Arial"/>
          <w:sz w:val="24"/>
          <w:szCs w:val="24"/>
        </w:rPr>
      </w:pPr>
      <w:r>
        <w:rPr>
          <w:rFonts w:ascii="Arial" w:hAnsi="Arial" w:cs="Arial"/>
          <w:sz w:val="24"/>
          <w:szCs w:val="24"/>
        </w:rPr>
        <w:t xml:space="preserve">Reid, S.T. (2015) </w:t>
      </w:r>
      <w:r>
        <w:rPr>
          <w:rFonts w:ascii="Arial" w:hAnsi="Arial" w:cs="Arial"/>
          <w:i/>
          <w:iCs/>
          <w:sz w:val="24"/>
          <w:szCs w:val="24"/>
        </w:rPr>
        <w:t>Crime and Criminology.</w:t>
      </w:r>
      <w:r>
        <w:rPr>
          <w:rFonts w:ascii="Arial" w:hAnsi="Arial" w:cs="Arial"/>
          <w:sz w:val="24"/>
          <w:szCs w:val="24"/>
        </w:rPr>
        <w:t xml:space="preserve"> Published – January 2015. Published by Wolters Kluwer Law &amp; Business, Alphen </w:t>
      </w:r>
      <w:proofErr w:type="spellStart"/>
      <w:r>
        <w:rPr>
          <w:rFonts w:ascii="Arial" w:hAnsi="Arial" w:cs="Arial"/>
          <w:sz w:val="24"/>
          <w:szCs w:val="24"/>
        </w:rPr>
        <w:t>aan</w:t>
      </w:r>
      <w:proofErr w:type="spellEnd"/>
      <w:r>
        <w:rPr>
          <w:rFonts w:ascii="Arial" w:hAnsi="Arial" w:cs="Arial"/>
          <w:sz w:val="24"/>
          <w:szCs w:val="24"/>
        </w:rPr>
        <w:t xml:space="preserve"> den Rijn, Netherlands. (Accessed on – 01/03/2021). </w:t>
      </w:r>
    </w:p>
    <w:p w14:paraId="2A0E78FC" w14:textId="2E92E00C" w:rsidR="00DA1E1B" w:rsidRPr="00DA1E1B" w:rsidRDefault="00DA1E1B" w:rsidP="00145EFF">
      <w:pPr>
        <w:spacing w:line="480" w:lineRule="auto"/>
      </w:pPr>
      <w:r>
        <w:rPr>
          <w:rFonts w:ascii="Arial" w:hAnsi="Arial" w:cs="Arial"/>
          <w:sz w:val="24"/>
          <w:szCs w:val="24"/>
        </w:rPr>
        <w:t xml:space="preserve">Schmalleger, F. (2011) </w:t>
      </w:r>
      <w:r>
        <w:rPr>
          <w:rFonts w:ascii="Arial" w:hAnsi="Arial" w:cs="Arial"/>
          <w:i/>
          <w:iCs/>
          <w:sz w:val="24"/>
          <w:szCs w:val="24"/>
        </w:rPr>
        <w:t>Criminology: A Brief Introduction.</w:t>
      </w:r>
      <w:r>
        <w:rPr>
          <w:rFonts w:ascii="Arial" w:hAnsi="Arial" w:cs="Arial"/>
          <w:sz w:val="24"/>
          <w:szCs w:val="24"/>
        </w:rPr>
        <w:t xml:space="preserve"> Published – Spring 2011. Published by Florida International University Press, Florida USA. (Accessed on – 19/02/2021). </w:t>
      </w:r>
    </w:p>
    <w:p w14:paraId="29F7B7C2" w14:textId="3DB6C248" w:rsidR="00842C70" w:rsidRDefault="00386513" w:rsidP="00145EFF">
      <w:pPr>
        <w:spacing w:line="480" w:lineRule="auto"/>
        <w:rPr>
          <w:rFonts w:ascii="Arial" w:hAnsi="Arial" w:cs="Arial"/>
          <w:sz w:val="24"/>
          <w:szCs w:val="24"/>
        </w:rPr>
      </w:pPr>
      <w:r>
        <w:rPr>
          <w:rFonts w:ascii="Arial" w:hAnsi="Arial" w:cs="Arial"/>
          <w:sz w:val="24"/>
          <w:szCs w:val="24"/>
        </w:rPr>
        <w:t xml:space="preserve">Tierney, J. (2009) </w:t>
      </w:r>
      <w:r>
        <w:rPr>
          <w:rFonts w:ascii="Arial" w:hAnsi="Arial" w:cs="Arial"/>
          <w:i/>
          <w:iCs/>
          <w:sz w:val="24"/>
          <w:szCs w:val="24"/>
        </w:rPr>
        <w:t>Criminology: Theory and Context.</w:t>
      </w:r>
      <w:r>
        <w:rPr>
          <w:rFonts w:ascii="Arial" w:hAnsi="Arial" w:cs="Arial"/>
          <w:sz w:val="24"/>
          <w:szCs w:val="24"/>
        </w:rPr>
        <w:t xml:space="preserve"> Published – Summer 2009. Published by Pearson Education, New York City, USA. (Accessed on – 17/02/2021). </w:t>
      </w:r>
    </w:p>
    <w:p w14:paraId="4B32339E" w14:textId="77777777" w:rsidR="00376CA8" w:rsidRDefault="00FD4171" w:rsidP="00145EFF">
      <w:pPr>
        <w:spacing w:line="480" w:lineRule="auto"/>
        <w:rPr>
          <w:rFonts w:ascii="Arial" w:hAnsi="Arial" w:cs="Arial"/>
          <w:sz w:val="24"/>
          <w:szCs w:val="24"/>
        </w:rPr>
      </w:pPr>
      <w:proofErr w:type="spellStart"/>
      <w:r>
        <w:rPr>
          <w:rFonts w:ascii="Arial" w:hAnsi="Arial" w:cs="Arial"/>
          <w:sz w:val="24"/>
          <w:szCs w:val="24"/>
        </w:rPr>
        <w:t>Tonry</w:t>
      </w:r>
      <w:proofErr w:type="spellEnd"/>
      <w:r>
        <w:rPr>
          <w:rFonts w:ascii="Arial" w:hAnsi="Arial" w:cs="Arial"/>
          <w:sz w:val="24"/>
          <w:szCs w:val="24"/>
        </w:rPr>
        <w:t xml:space="preserve">, M. (2010) </w:t>
      </w:r>
      <w:r>
        <w:rPr>
          <w:rFonts w:ascii="Arial" w:hAnsi="Arial" w:cs="Arial"/>
          <w:i/>
          <w:iCs/>
          <w:sz w:val="24"/>
          <w:szCs w:val="24"/>
        </w:rPr>
        <w:t>Public Criminology &amp; Evidence Based Policy.</w:t>
      </w:r>
      <w:r>
        <w:rPr>
          <w:rFonts w:ascii="Arial" w:hAnsi="Arial" w:cs="Arial"/>
          <w:sz w:val="24"/>
          <w:szCs w:val="24"/>
        </w:rPr>
        <w:t xml:space="preserve"> Published – Winter 2010. Published by University of Minnesota Press, Minneapolis, Minnesota USA. (Accessed on – 24/02/2021). </w:t>
      </w:r>
    </w:p>
    <w:p w14:paraId="607C1B8E" w14:textId="7CE3D368" w:rsidR="00FB423A" w:rsidRPr="00FB423A" w:rsidRDefault="00FB423A" w:rsidP="00145EFF">
      <w:pPr>
        <w:spacing w:line="480" w:lineRule="auto"/>
        <w:rPr>
          <w:rFonts w:ascii="Arial" w:hAnsi="Arial" w:cs="Arial"/>
          <w:sz w:val="24"/>
          <w:szCs w:val="24"/>
        </w:rPr>
      </w:pPr>
      <w:r>
        <w:rPr>
          <w:rFonts w:ascii="Arial" w:hAnsi="Arial" w:cs="Arial"/>
          <w:sz w:val="24"/>
          <w:szCs w:val="24"/>
        </w:rPr>
        <w:t xml:space="preserve">Triplett, RA. (2018) </w:t>
      </w:r>
      <w:r>
        <w:rPr>
          <w:rFonts w:ascii="Arial" w:hAnsi="Arial" w:cs="Arial"/>
          <w:i/>
          <w:iCs/>
          <w:sz w:val="24"/>
          <w:szCs w:val="24"/>
        </w:rPr>
        <w:t>The Handbook of the History and Philosophy of Criminology.</w:t>
      </w:r>
      <w:r>
        <w:rPr>
          <w:rFonts w:ascii="Arial" w:hAnsi="Arial" w:cs="Arial"/>
          <w:sz w:val="24"/>
          <w:szCs w:val="24"/>
        </w:rPr>
        <w:t xml:space="preserve"> Published – January 2018. Published by </w:t>
      </w:r>
      <w:r w:rsidR="00654D01">
        <w:rPr>
          <w:rFonts w:ascii="Arial" w:hAnsi="Arial" w:cs="Arial"/>
          <w:sz w:val="24"/>
          <w:szCs w:val="24"/>
        </w:rPr>
        <w:t xml:space="preserve">John Wiley &amp; Sons Publications, Hoboken, New Jersey USA. (Accessed on – 22/02/2021). </w:t>
      </w:r>
    </w:p>
    <w:p w14:paraId="092FDB3D" w14:textId="3803ECD6" w:rsidR="00453F44" w:rsidRPr="00453F44" w:rsidRDefault="00453F44" w:rsidP="00145EFF">
      <w:pPr>
        <w:spacing w:line="480" w:lineRule="auto"/>
        <w:rPr>
          <w:rFonts w:ascii="Arial" w:hAnsi="Arial" w:cs="Arial"/>
          <w:sz w:val="24"/>
          <w:szCs w:val="24"/>
        </w:rPr>
      </w:pPr>
      <w:r>
        <w:rPr>
          <w:rFonts w:ascii="Arial" w:hAnsi="Arial" w:cs="Arial"/>
          <w:sz w:val="24"/>
          <w:szCs w:val="24"/>
        </w:rPr>
        <w:t xml:space="preserve">Vito, G. &amp; </w:t>
      </w:r>
      <w:proofErr w:type="spellStart"/>
      <w:r>
        <w:rPr>
          <w:rFonts w:ascii="Arial" w:hAnsi="Arial" w:cs="Arial"/>
          <w:sz w:val="24"/>
          <w:szCs w:val="24"/>
        </w:rPr>
        <w:t>Maahs</w:t>
      </w:r>
      <w:proofErr w:type="spellEnd"/>
      <w:r>
        <w:rPr>
          <w:rFonts w:ascii="Arial" w:hAnsi="Arial" w:cs="Arial"/>
          <w:sz w:val="24"/>
          <w:szCs w:val="24"/>
        </w:rPr>
        <w:t xml:space="preserve">, J. (2015) </w:t>
      </w:r>
      <w:r>
        <w:rPr>
          <w:rFonts w:ascii="Arial" w:hAnsi="Arial" w:cs="Arial"/>
          <w:i/>
          <w:iCs/>
          <w:sz w:val="24"/>
          <w:szCs w:val="24"/>
        </w:rPr>
        <w:t>Criminology.</w:t>
      </w:r>
      <w:r w:rsidR="00B41B66">
        <w:rPr>
          <w:rFonts w:ascii="Arial" w:hAnsi="Arial" w:cs="Arial"/>
          <w:i/>
          <w:iCs/>
          <w:sz w:val="24"/>
          <w:szCs w:val="24"/>
        </w:rPr>
        <w:t xml:space="preserve"> Fourth Edition.</w:t>
      </w:r>
      <w:r>
        <w:rPr>
          <w:rFonts w:ascii="Arial" w:hAnsi="Arial" w:cs="Arial"/>
          <w:sz w:val="24"/>
          <w:szCs w:val="24"/>
        </w:rPr>
        <w:t xml:space="preserve"> Published </w:t>
      </w:r>
      <w:r w:rsidR="00B41B66">
        <w:rPr>
          <w:rFonts w:ascii="Arial" w:hAnsi="Arial" w:cs="Arial"/>
          <w:sz w:val="24"/>
          <w:szCs w:val="24"/>
        </w:rPr>
        <w:t>–</w:t>
      </w:r>
      <w:r>
        <w:rPr>
          <w:rFonts w:ascii="Arial" w:hAnsi="Arial" w:cs="Arial"/>
          <w:sz w:val="24"/>
          <w:szCs w:val="24"/>
        </w:rPr>
        <w:t xml:space="preserve"> </w:t>
      </w:r>
      <w:r w:rsidR="00B41B66">
        <w:rPr>
          <w:rFonts w:ascii="Arial" w:hAnsi="Arial" w:cs="Arial"/>
          <w:sz w:val="24"/>
          <w:szCs w:val="24"/>
        </w:rPr>
        <w:t xml:space="preserve">September 2015. Published by Jones &amp; Bartlett Publishers, Burlington, Massachusetts USA. (Accessed on – 19/02/2021). </w:t>
      </w:r>
    </w:p>
    <w:p w14:paraId="37F72948" w14:textId="435D90AF" w:rsidR="00897346" w:rsidRDefault="00897346" w:rsidP="00145EFF">
      <w:pPr>
        <w:spacing w:line="480" w:lineRule="auto"/>
        <w:rPr>
          <w:rFonts w:ascii="Arial" w:hAnsi="Arial" w:cs="Arial"/>
          <w:sz w:val="24"/>
          <w:szCs w:val="24"/>
        </w:rPr>
      </w:pPr>
      <w:proofErr w:type="spellStart"/>
      <w:r>
        <w:rPr>
          <w:rFonts w:ascii="Arial" w:hAnsi="Arial" w:cs="Arial"/>
          <w:sz w:val="24"/>
          <w:szCs w:val="24"/>
        </w:rPr>
        <w:t>Walklate</w:t>
      </w:r>
      <w:proofErr w:type="spellEnd"/>
      <w:r>
        <w:rPr>
          <w:rFonts w:ascii="Arial" w:hAnsi="Arial" w:cs="Arial"/>
          <w:sz w:val="24"/>
          <w:szCs w:val="24"/>
        </w:rPr>
        <w:t xml:space="preserve">, S. (2013) </w:t>
      </w:r>
      <w:r>
        <w:rPr>
          <w:rFonts w:ascii="Arial" w:hAnsi="Arial" w:cs="Arial"/>
          <w:i/>
          <w:iCs/>
          <w:sz w:val="24"/>
          <w:szCs w:val="24"/>
        </w:rPr>
        <w:t>Criminology: The Basics.</w:t>
      </w:r>
      <w:r>
        <w:rPr>
          <w:rFonts w:ascii="Arial" w:hAnsi="Arial" w:cs="Arial"/>
          <w:sz w:val="24"/>
          <w:szCs w:val="24"/>
        </w:rPr>
        <w:t xml:space="preserve"> Published </w:t>
      </w:r>
      <w:r w:rsidR="00874C97">
        <w:rPr>
          <w:rFonts w:ascii="Arial" w:hAnsi="Arial" w:cs="Arial"/>
          <w:sz w:val="24"/>
          <w:szCs w:val="24"/>
        </w:rPr>
        <w:t>–</w:t>
      </w:r>
      <w:r>
        <w:rPr>
          <w:rFonts w:ascii="Arial" w:hAnsi="Arial" w:cs="Arial"/>
          <w:sz w:val="24"/>
          <w:szCs w:val="24"/>
        </w:rPr>
        <w:t xml:space="preserve"> </w:t>
      </w:r>
      <w:r w:rsidR="00874C97">
        <w:rPr>
          <w:rFonts w:ascii="Arial" w:hAnsi="Arial" w:cs="Arial"/>
          <w:sz w:val="24"/>
          <w:szCs w:val="24"/>
        </w:rPr>
        <w:t xml:space="preserve">Winter 2014. Published by Routledge Publications, Abingdon, Oxfordshire UK. (Accessed on – 17/02/2021). </w:t>
      </w:r>
    </w:p>
    <w:p w14:paraId="778473E5" w14:textId="5FE902B6" w:rsidR="00925FD7" w:rsidRDefault="00925FD7" w:rsidP="00145EFF">
      <w:pPr>
        <w:spacing w:line="480" w:lineRule="auto"/>
        <w:rPr>
          <w:rFonts w:ascii="Arial" w:hAnsi="Arial" w:cs="Arial"/>
          <w:sz w:val="24"/>
          <w:szCs w:val="24"/>
        </w:rPr>
      </w:pPr>
      <w:r>
        <w:rPr>
          <w:rFonts w:ascii="Arial" w:hAnsi="Arial" w:cs="Arial"/>
          <w:sz w:val="24"/>
          <w:szCs w:val="24"/>
        </w:rPr>
        <w:lastRenderedPageBreak/>
        <w:t xml:space="preserve">Williams, FP. (2010) </w:t>
      </w:r>
      <w:r>
        <w:rPr>
          <w:rFonts w:ascii="Arial" w:hAnsi="Arial" w:cs="Arial"/>
          <w:i/>
          <w:iCs/>
          <w:sz w:val="24"/>
          <w:szCs w:val="24"/>
        </w:rPr>
        <w:t>Criminology Theory: Selected Classic Readings.</w:t>
      </w:r>
      <w:r>
        <w:rPr>
          <w:rFonts w:ascii="Arial" w:hAnsi="Arial" w:cs="Arial"/>
          <w:sz w:val="24"/>
          <w:szCs w:val="24"/>
        </w:rPr>
        <w:t xml:space="preserve"> Published – June 2010. Published by Routledge Publications, Abingdon, Oxfordshire UK. (Accessed on – 22/02/2021). </w:t>
      </w:r>
    </w:p>
    <w:p w14:paraId="0919F2C3" w14:textId="2DB7A706" w:rsidR="00724AE8" w:rsidRPr="00724AE8" w:rsidRDefault="00724AE8" w:rsidP="00145EFF">
      <w:pPr>
        <w:spacing w:line="480" w:lineRule="auto"/>
        <w:rPr>
          <w:rFonts w:ascii="Arial" w:hAnsi="Arial" w:cs="Arial"/>
          <w:sz w:val="24"/>
          <w:szCs w:val="24"/>
        </w:rPr>
      </w:pPr>
      <w:r>
        <w:rPr>
          <w:rFonts w:ascii="Arial" w:hAnsi="Arial" w:cs="Arial"/>
          <w:sz w:val="24"/>
          <w:szCs w:val="24"/>
        </w:rPr>
        <w:t xml:space="preserve">Wilson, D., Yardley, E. &amp; Lynes, A. (2015) </w:t>
      </w:r>
      <w:r>
        <w:rPr>
          <w:rFonts w:ascii="Arial" w:hAnsi="Arial" w:cs="Arial"/>
          <w:i/>
          <w:iCs/>
          <w:sz w:val="24"/>
          <w:szCs w:val="24"/>
        </w:rPr>
        <w:t>Serial Killers and the Phenomenon of Serial Murder.</w:t>
      </w:r>
      <w:r>
        <w:rPr>
          <w:rFonts w:ascii="Arial" w:hAnsi="Arial" w:cs="Arial"/>
          <w:sz w:val="24"/>
          <w:szCs w:val="24"/>
        </w:rPr>
        <w:t xml:space="preserve"> Published – July, 2015. Published by Waterside Press, Reading, England UK. (Accessed on – 03/03/2021). </w:t>
      </w:r>
    </w:p>
    <w:p w14:paraId="0DB6A57A" w14:textId="6F53A461" w:rsidR="00842C70" w:rsidRPr="00842C70" w:rsidRDefault="00842C70" w:rsidP="00145EFF">
      <w:pPr>
        <w:spacing w:line="480" w:lineRule="auto"/>
        <w:rPr>
          <w:rFonts w:ascii="Arial" w:hAnsi="Arial" w:cs="Arial"/>
          <w:sz w:val="24"/>
          <w:szCs w:val="24"/>
        </w:rPr>
      </w:pPr>
      <w:proofErr w:type="spellStart"/>
      <w:r>
        <w:rPr>
          <w:rFonts w:ascii="Arial" w:hAnsi="Arial" w:cs="Arial"/>
          <w:sz w:val="24"/>
          <w:szCs w:val="24"/>
        </w:rPr>
        <w:t>Zedner</w:t>
      </w:r>
      <w:proofErr w:type="spellEnd"/>
      <w:r>
        <w:rPr>
          <w:rFonts w:ascii="Arial" w:hAnsi="Arial" w:cs="Arial"/>
          <w:sz w:val="24"/>
          <w:szCs w:val="24"/>
        </w:rPr>
        <w:t xml:space="preserve">, L. (2007) </w:t>
      </w:r>
      <w:r>
        <w:rPr>
          <w:rFonts w:ascii="Arial" w:hAnsi="Arial" w:cs="Arial"/>
          <w:i/>
          <w:iCs/>
          <w:sz w:val="24"/>
          <w:szCs w:val="24"/>
        </w:rPr>
        <w:t>Pre-Crime and Post-Criminology.</w:t>
      </w:r>
      <w:r>
        <w:rPr>
          <w:rFonts w:ascii="Arial" w:hAnsi="Arial" w:cs="Arial"/>
          <w:sz w:val="24"/>
          <w:szCs w:val="24"/>
        </w:rPr>
        <w:t xml:space="preserve"> Published – May 2007. Published by SAGE Publications Inc, Thousand Oaks, California USA. (Accessed on – 17/02/2021). </w:t>
      </w:r>
    </w:p>
    <w:sectPr w:rsidR="00842C70" w:rsidRPr="00842C70" w:rsidSect="00145E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EFF"/>
    <w:rsid w:val="000061EB"/>
    <w:rsid w:val="00012183"/>
    <w:rsid w:val="00017066"/>
    <w:rsid w:val="0002304F"/>
    <w:rsid w:val="000251C7"/>
    <w:rsid w:val="0002647E"/>
    <w:rsid w:val="00037488"/>
    <w:rsid w:val="000448F4"/>
    <w:rsid w:val="00055EDA"/>
    <w:rsid w:val="00060CC0"/>
    <w:rsid w:val="00061346"/>
    <w:rsid w:val="0006694B"/>
    <w:rsid w:val="00087A53"/>
    <w:rsid w:val="00096397"/>
    <w:rsid w:val="000A0D5B"/>
    <w:rsid w:val="000B07DA"/>
    <w:rsid w:val="000C443F"/>
    <w:rsid w:val="000D65A8"/>
    <w:rsid w:val="000E10BD"/>
    <w:rsid w:val="00100117"/>
    <w:rsid w:val="001141AB"/>
    <w:rsid w:val="0012422A"/>
    <w:rsid w:val="0013072F"/>
    <w:rsid w:val="0013293A"/>
    <w:rsid w:val="00143F7E"/>
    <w:rsid w:val="00145EFF"/>
    <w:rsid w:val="001607DE"/>
    <w:rsid w:val="0017041D"/>
    <w:rsid w:val="00177A16"/>
    <w:rsid w:val="0019327A"/>
    <w:rsid w:val="00194577"/>
    <w:rsid w:val="001A0E3B"/>
    <w:rsid w:val="001A3720"/>
    <w:rsid w:val="001A7BE8"/>
    <w:rsid w:val="001B1BC9"/>
    <w:rsid w:val="001B7C70"/>
    <w:rsid w:val="001C0402"/>
    <w:rsid w:val="001C228F"/>
    <w:rsid w:val="001C3467"/>
    <w:rsid w:val="001D155C"/>
    <w:rsid w:val="001D3AB4"/>
    <w:rsid w:val="001E2844"/>
    <w:rsid w:val="001F6AFB"/>
    <w:rsid w:val="00203039"/>
    <w:rsid w:val="002133EF"/>
    <w:rsid w:val="00213CAA"/>
    <w:rsid w:val="00216678"/>
    <w:rsid w:val="00217764"/>
    <w:rsid w:val="002201ED"/>
    <w:rsid w:val="00227E60"/>
    <w:rsid w:val="00232EF9"/>
    <w:rsid w:val="00234EA2"/>
    <w:rsid w:val="00236D0C"/>
    <w:rsid w:val="00243C8E"/>
    <w:rsid w:val="00252A3D"/>
    <w:rsid w:val="00252FEE"/>
    <w:rsid w:val="00255C19"/>
    <w:rsid w:val="00263B0C"/>
    <w:rsid w:val="00277091"/>
    <w:rsid w:val="0029616F"/>
    <w:rsid w:val="002B1687"/>
    <w:rsid w:val="002C6902"/>
    <w:rsid w:val="002D0EFB"/>
    <w:rsid w:val="002D56EB"/>
    <w:rsid w:val="002E2CC0"/>
    <w:rsid w:val="002E644B"/>
    <w:rsid w:val="002E6F0B"/>
    <w:rsid w:val="003066E6"/>
    <w:rsid w:val="003075C9"/>
    <w:rsid w:val="003129F7"/>
    <w:rsid w:val="00316A7C"/>
    <w:rsid w:val="00326DD5"/>
    <w:rsid w:val="00335679"/>
    <w:rsid w:val="00337560"/>
    <w:rsid w:val="00337CC8"/>
    <w:rsid w:val="00351B01"/>
    <w:rsid w:val="00352FA8"/>
    <w:rsid w:val="00363F70"/>
    <w:rsid w:val="00376CA8"/>
    <w:rsid w:val="00381A94"/>
    <w:rsid w:val="00386513"/>
    <w:rsid w:val="0039407D"/>
    <w:rsid w:val="003A4F77"/>
    <w:rsid w:val="003A5D97"/>
    <w:rsid w:val="003B03D8"/>
    <w:rsid w:val="003B07FD"/>
    <w:rsid w:val="003B19F8"/>
    <w:rsid w:val="003B2322"/>
    <w:rsid w:val="003C4CE5"/>
    <w:rsid w:val="003C7D82"/>
    <w:rsid w:val="003D7DB9"/>
    <w:rsid w:val="003F5304"/>
    <w:rsid w:val="00401965"/>
    <w:rsid w:val="004067D6"/>
    <w:rsid w:val="00413873"/>
    <w:rsid w:val="00420259"/>
    <w:rsid w:val="004204BA"/>
    <w:rsid w:val="004221DB"/>
    <w:rsid w:val="00422838"/>
    <w:rsid w:val="00424612"/>
    <w:rsid w:val="00442438"/>
    <w:rsid w:val="0044792A"/>
    <w:rsid w:val="00450AFF"/>
    <w:rsid w:val="004511A4"/>
    <w:rsid w:val="0045121C"/>
    <w:rsid w:val="00453F44"/>
    <w:rsid w:val="0045420A"/>
    <w:rsid w:val="004727ED"/>
    <w:rsid w:val="004764C2"/>
    <w:rsid w:val="00486D09"/>
    <w:rsid w:val="00491CC9"/>
    <w:rsid w:val="0049326C"/>
    <w:rsid w:val="004A078E"/>
    <w:rsid w:val="004A6273"/>
    <w:rsid w:val="004A62BA"/>
    <w:rsid w:val="004B6582"/>
    <w:rsid w:val="004E3728"/>
    <w:rsid w:val="004E3999"/>
    <w:rsid w:val="004E3EEE"/>
    <w:rsid w:val="00530F3A"/>
    <w:rsid w:val="00532D1D"/>
    <w:rsid w:val="00535ABD"/>
    <w:rsid w:val="00536286"/>
    <w:rsid w:val="00551C68"/>
    <w:rsid w:val="00565B7E"/>
    <w:rsid w:val="00566BA3"/>
    <w:rsid w:val="005712D7"/>
    <w:rsid w:val="005A2DEC"/>
    <w:rsid w:val="005B6B31"/>
    <w:rsid w:val="005B6F7D"/>
    <w:rsid w:val="005C110F"/>
    <w:rsid w:val="005F19F3"/>
    <w:rsid w:val="005F3E92"/>
    <w:rsid w:val="00626528"/>
    <w:rsid w:val="00633BC0"/>
    <w:rsid w:val="00634B8A"/>
    <w:rsid w:val="00654D01"/>
    <w:rsid w:val="006613EC"/>
    <w:rsid w:val="00665364"/>
    <w:rsid w:val="0067166A"/>
    <w:rsid w:val="006738CA"/>
    <w:rsid w:val="006906D0"/>
    <w:rsid w:val="00691AC7"/>
    <w:rsid w:val="00694224"/>
    <w:rsid w:val="00695E81"/>
    <w:rsid w:val="006C4BA8"/>
    <w:rsid w:val="006C78B6"/>
    <w:rsid w:val="006D770C"/>
    <w:rsid w:val="006E31BC"/>
    <w:rsid w:val="006E5BC5"/>
    <w:rsid w:val="006E7C46"/>
    <w:rsid w:val="006F0AEC"/>
    <w:rsid w:val="00715756"/>
    <w:rsid w:val="00724AE8"/>
    <w:rsid w:val="007302D6"/>
    <w:rsid w:val="00737857"/>
    <w:rsid w:val="00742FC3"/>
    <w:rsid w:val="00755A1A"/>
    <w:rsid w:val="007623EC"/>
    <w:rsid w:val="00762C75"/>
    <w:rsid w:val="00763A7D"/>
    <w:rsid w:val="0076589D"/>
    <w:rsid w:val="0077607D"/>
    <w:rsid w:val="00781220"/>
    <w:rsid w:val="00795F4D"/>
    <w:rsid w:val="00797C84"/>
    <w:rsid w:val="007D1F5F"/>
    <w:rsid w:val="007E3269"/>
    <w:rsid w:val="007E44EB"/>
    <w:rsid w:val="007E533D"/>
    <w:rsid w:val="007F4B90"/>
    <w:rsid w:val="007F665B"/>
    <w:rsid w:val="00800632"/>
    <w:rsid w:val="00804C43"/>
    <w:rsid w:val="00804FA8"/>
    <w:rsid w:val="00820C52"/>
    <w:rsid w:val="008216E8"/>
    <w:rsid w:val="00822128"/>
    <w:rsid w:val="008241D7"/>
    <w:rsid w:val="0084015A"/>
    <w:rsid w:val="008404B4"/>
    <w:rsid w:val="00842C70"/>
    <w:rsid w:val="008441C9"/>
    <w:rsid w:val="00874C97"/>
    <w:rsid w:val="00875D27"/>
    <w:rsid w:val="008920B9"/>
    <w:rsid w:val="00894089"/>
    <w:rsid w:val="00897346"/>
    <w:rsid w:val="008A3ABC"/>
    <w:rsid w:val="008B586A"/>
    <w:rsid w:val="008C60E4"/>
    <w:rsid w:val="008D0E66"/>
    <w:rsid w:val="008F23D7"/>
    <w:rsid w:val="008F7FE8"/>
    <w:rsid w:val="0090135D"/>
    <w:rsid w:val="00913295"/>
    <w:rsid w:val="00913CED"/>
    <w:rsid w:val="00917392"/>
    <w:rsid w:val="0092547E"/>
    <w:rsid w:val="00925A8F"/>
    <w:rsid w:val="00925FD7"/>
    <w:rsid w:val="00936809"/>
    <w:rsid w:val="00940219"/>
    <w:rsid w:val="00955F2C"/>
    <w:rsid w:val="00971E82"/>
    <w:rsid w:val="00981A7D"/>
    <w:rsid w:val="00985560"/>
    <w:rsid w:val="00995210"/>
    <w:rsid w:val="009A4C79"/>
    <w:rsid w:val="009D2A21"/>
    <w:rsid w:val="009D3A47"/>
    <w:rsid w:val="009E616D"/>
    <w:rsid w:val="00A00F49"/>
    <w:rsid w:val="00A02949"/>
    <w:rsid w:val="00A07DB1"/>
    <w:rsid w:val="00A10AF2"/>
    <w:rsid w:val="00A23767"/>
    <w:rsid w:val="00A2623C"/>
    <w:rsid w:val="00A3275F"/>
    <w:rsid w:val="00A34C0B"/>
    <w:rsid w:val="00A45D62"/>
    <w:rsid w:val="00A51976"/>
    <w:rsid w:val="00A56327"/>
    <w:rsid w:val="00A70AD9"/>
    <w:rsid w:val="00A75482"/>
    <w:rsid w:val="00A840C9"/>
    <w:rsid w:val="00A91075"/>
    <w:rsid w:val="00A963E8"/>
    <w:rsid w:val="00AA2886"/>
    <w:rsid w:val="00AB2414"/>
    <w:rsid w:val="00AD72CC"/>
    <w:rsid w:val="00AE04EF"/>
    <w:rsid w:val="00AE5317"/>
    <w:rsid w:val="00AE5E5F"/>
    <w:rsid w:val="00B05A88"/>
    <w:rsid w:val="00B07075"/>
    <w:rsid w:val="00B1576D"/>
    <w:rsid w:val="00B25F4A"/>
    <w:rsid w:val="00B30AE1"/>
    <w:rsid w:val="00B361A5"/>
    <w:rsid w:val="00B41B66"/>
    <w:rsid w:val="00B46305"/>
    <w:rsid w:val="00B511A7"/>
    <w:rsid w:val="00B65F87"/>
    <w:rsid w:val="00B66768"/>
    <w:rsid w:val="00B712BD"/>
    <w:rsid w:val="00B74EFA"/>
    <w:rsid w:val="00B80689"/>
    <w:rsid w:val="00B9477F"/>
    <w:rsid w:val="00B96924"/>
    <w:rsid w:val="00BA06D3"/>
    <w:rsid w:val="00BB5640"/>
    <w:rsid w:val="00BB567B"/>
    <w:rsid w:val="00BB6E5B"/>
    <w:rsid w:val="00BC0690"/>
    <w:rsid w:val="00BD2CFE"/>
    <w:rsid w:val="00BD435A"/>
    <w:rsid w:val="00BD76B7"/>
    <w:rsid w:val="00BE29BD"/>
    <w:rsid w:val="00BF2738"/>
    <w:rsid w:val="00BF3C4C"/>
    <w:rsid w:val="00C00CE0"/>
    <w:rsid w:val="00C00EF8"/>
    <w:rsid w:val="00C03C86"/>
    <w:rsid w:val="00C15100"/>
    <w:rsid w:val="00C20D49"/>
    <w:rsid w:val="00C20DE5"/>
    <w:rsid w:val="00C22568"/>
    <w:rsid w:val="00C33B50"/>
    <w:rsid w:val="00C3555F"/>
    <w:rsid w:val="00C43A64"/>
    <w:rsid w:val="00C47208"/>
    <w:rsid w:val="00C635F0"/>
    <w:rsid w:val="00C65407"/>
    <w:rsid w:val="00C72326"/>
    <w:rsid w:val="00C74C65"/>
    <w:rsid w:val="00C80AF5"/>
    <w:rsid w:val="00C8533C"/>
    <w:rsid w:val="00C95E1E"/>
    <w:rsid w:val="00CC3DFD"/>
    <w:rsid w:val="00CD32FC"/>
    <w:rsid w:val="00CD3355"/>
    <w:rsid w:val="00CF1A01"/>
    <w:rsid w:val="00CF3C95"/>
    <w:rsid w:val="00CF5F6A"/>
    <w:rsid w:val="00CF6C69"/>
    <w:rsid w:val="00D1343C"/>
    <w:rsid w:val="00D16235"/>
    <w:rsid w:val="00D169AC"/>
    <w:rsid w:val="00D32E61"/>
    <w:rsid w:val="00D3644E"/>
    <w:rsid w:val="00D448F9"/>
    <w:rsid w:val="00D451F8"/>
    <w:rsid w:val="00D52CC1"/>
    <w:rsid w:val="00D558E3"/>
    <w:rsid w:val="00D627A1"/>
    <w:rsid w:val="00D638E5"/>
    <w:rsid w:val="00D75E38"/>
    <w:rsid w:val="00D81771"/>
    <w:rsid w:val="00D826D7"/>
    <w:rsid w:val="00D845D1"/>
    <w:rsid w:val="00D93D46"/>
    <w:rsid w:val="00DA1E1B"/>
    <w:rsid w:val="00DC4B66"/>
    <w:rsid w:val="00DC6B57"/>
    <w:rsid w:val="00DC6F60"/>
    <w:rsid w:val="00DD78C4"/>
    <w:rsid w:val="00DE6B62"/>
    <w:rsid w:val="00DF0021"/>
    <w:rsid w:val="00DF7B9F"/>
    <w:rsid w:val="00E373E2"/>
    <w:rsid w:val="00E57FAB"/>
    <w:rsid w:val="00E8036B"/>
    <w:rsid w:val="00E81E8F"/>
    <w:rsid w:val="00E8788E"/>
    <w:rsid w:val="00E9327C"/>
    <w:rsid w:val="00EA2EEC"/>
    <w:rsid w:val="00EA6027"/>
    <w:rsid w:val="00EB22A5"/>
    <w:rsid w:val="00F038F8"/>
    <w:rsid w:val="00F15C84"/>
    <w:rsid w:val="00F16DAB"/>
    <w:rsid w:val="00F1701B"/>
    <w:rsid w:val="00F25AA9"/>
    <w:rsid w:val="00F40B70"/>
    <w:rsid w:val="00F540CA"/>
    <w:rsid w:val="00F5459E"/>
    <w:rsid w:val="00F6296C"/>
    <w:rsid w:val="00F70854"/>
    <w:rsid w:val="00F821C1"/>
    <w:rsid w:val="00F90559"/>
    <w:rsid w:val="00FB00C3"/>
    <w:rsid w:val="00FB423A"/>
    <w:rsid w:val="00FC21A5"/>
    <w:rsid w:val="00FC787F"/>
    <w:rsid w:val="00FD05C2"/>
    <w:rsid w:val="00FD4171"/>
    <w:rsid w:val="00FD53AE"/>
    <w:rsid w:val="00FF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694E3"/>
  <w15:chartTrackingRefBased/>
  <w15:docId w15:val="{777C864C-233E-4ECD-9A6D-B7C85DC6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45E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5EF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4130</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Policing, Powers, models &amp; Society.</vt:lpstr>
    </vt:vector>
  </TitlesOfParts>
  <Company>Kyle Evans. Student ID: 1706558.</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Powers, models &amp; Society.</dc:title>
  <dc:subject>Assignment 1: Explain the main historical theories of crime and apply one/some of the theories to a modern-day context with a case study of your choice.</dc:subject>
  <dc:creator>Kyle Evans</dc:creator>
  <cp:keywords/>
  <dc:description/>
  <cp:lastModifiedBy>Kyle Evans</cp:lastModifiedBy>
  <cp:revision>9</cp:revision>
  <dcterms:created xsi:type="dcterms:W3CDTF">2021-03-08T12:35:00Z</dcterms:created>
  <dcterms:modified xsi:type="dcterms:W3CDTF">2021-03-12T17:41:00Z</dcterms:modified>
  <cp:category>Lecturer: Peter Doyle.                 Submission Date: 12/03/2021.</cp:category>
</cp:coreProperties>
</file>