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3B543" w14:textId="4D86B99C" w:rsidR="00FA791B" w:rsidRPr="00B462CD" w:rsidRDefault="00AD0108" w:rsidP="00E6526D">
      <w:pPr>
        <w:spacing w:after="158" w:line="360" w:lineRule="auto"/>
        <w:rPr>
          <w:rFonts w:ascii="Arial" w:hAnsi="Arial" w:cs="Arial"/>
        </w:rPr>
      </w:pPr>
      <w:r w:rsidRPr="00B462CD">
        <w:rPr>
          <w:rFonts w:ascii="Arial" w:hAnsi="Arial" w:cs="Arial"/>
          <w:noProof/>
        </w:rPr>
        <w:drawing>
          <wp:inline distT="0" distB="0" distL="0" distR="0" wp14:anchorId="448B64B9" wp14:editId="05A4CAC3">
            <wp:extent cx="3657600" cy="1616710"/>
            <wp:effectExtent l="0" t="0" r="0" b="2540"/>
            <wp:docPr id="2087735468" name="Picture 2087735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8004" cy="1634569"/>
                    </a:xfrm>
                    <a:prstGeom prst="rect">
                      <a:avLst/>
                    </a:prstGeom>
                    <a:noFill/>
                  </pic:spPr>
                </pic:pic>
              </a:graphicData>
            </a:graphic>
          </wp:inline>
        </w:drawing>
      </w:r>
    </w:p>
    <w:p w14:paraId="060D7E4C" w14:textId="32605671" w:rsidR="00FA791B" w:rsidRPr="00B462CD" w:rsidRDefault="00FA791B" w:rsidP="00E6526D">
      <w:pPr>
        <w:spacing w:line="360" w:lineRule="auto"/>
        <w:ind w:left="49"/>
        <w:rPr>
          <w:rFonts w:ascii="Arial" w:hAnsi="Arial" w:cs="Arial"/>
        </w:rPr>
      </w:pPr>
      <w:r w:rsidRPr="00B462CD">
        <w:rPr>
          <w:rFonts w:ascii="Arial" w:eastAsia="Calibri" w:hAnsi="Arial" w:cs="Arial"/>
        </w:rPr>
        <w:t xml:space="preserve"> </w:t>
      </w:r>
    </w:p>
    <w:p w14:paraId="2B990ABF" w14:textId="286EF68B" w:rsidR="00FA791B" w:rsidRPr="00B45F10" w:rsidRDefault="00FA791B" w:rsidP="008D787E">
      <w:pPr>
        <w:spacing w:after="158" w:line="360" w:lineRule="auto"/>
        <w:rPr>
          <w:rFonts w:ascii="Arial" w:hAnsi="Arial" w:cs="Arial"/>
          <w:sz w:val="32"/>
          <w:szCs w:val="32"/>
        </w:rPr>
      </w:pPr>
      <w:bookmarkStart w:id="0" w:name="_Toc220428636"/>
      <w:r w:rsidRPr="00B45F10">
        <w:rPr>
          <w:rFonts w:ascii="Arial" w:hAnsi="Arial" w:cs="Arial"/>
          <w:b/>
          <w:bCs/>
          <w:sz w:val="32"/>
          <w:szCs w:val="32"/>
        </w:rPr>
        <w:t>The Influence of Immigration Status on the General Health Outcomes of Adult BAME Migrants in East London:</w:t>
      </w:r>
      <w:bookmarkEnd w:id="0"/>
    </w:p>
    <w:p w14:paraId="293E0426" w14:textId="77777777" w:rsidR="00FA791B" w:rsidRPr="00B462CD" w:rsidRDefault="00FA791B" w:rsidP="00E6526D">
      <w:pPr>
        <w:shd w:val="clear" w:color="auto" w:fill="FFFFFF"/>
        <w:spacing w:before="420" w:after="120" w:line="360" w:lineRule="auto"/>
        <w:outlineLvl w:val="1"/>
        <w:rPr>
          <w:rFonts w:ascii="Arial" w:eastAsia="Times New Roman" w:hAnsi="Arial" w:cs="Arial"/>
          <w:b/>
          <w:bCs/>
          <w:color w:val="1B1C1D"/>
        </w:rPr>
      </w:pPr>
      <w:bookmarkStart w:id="1" w:name="_Toc220428637"/>
      <w:r w:rsidRPr="00B462CD">
        <w:rPr>
          <w:rFonts w:ascii="Arial" w:eastAsia="Times New Roman" w:hAnsi="Arial" w:cs="Arial"/>
          <w:b/>
          <w:bCs/>
          <w:color w:val="1B1C1D"/>
        </w:rPr>
        <w:t>A QUALITATIVE PUBLIC HEALTH STUDY.</w:t>
      </w:r>
      <w:bookmarkEnd w:id="1"/>
    </w:p>
    <w:p w14:paraId="4B31F993" w14:textId="77777777" w:rsidR="00FA791B" w:rsidRPr="00B462CD" w:rsidRDefault="00FA791B" w:rsidP="00E6526D">
      <w:pPr>
        <w:spacing w:after="157" w:line="360" w:lineRule="auto"/>
        <w:ind w:left="89"/>
        <w:rPr>
          <w:rFonts w:ascii="Arial" w:hAnsi="Arial" w:cs="Arial"/>
        </w:rPr>
      </w:pPr>
    </w:p>
    <w:p w14:paraId="57405916" w14:textId="77777777" w:rsidR="00FA791B" w:rsidRPr="00B462CD" w:rsidRDefault="00FA791B" w:rsidP="00E6526D">
      <w:pPr>
        <w:spacing w:after="42" w:line="360" w:lineRule="auto"/>
        <w:ind w:left="89"/>
        <w:rPr>
          <w:rFonts w:ascii="Arial" w:hAnsi="Arial" w:cs="Arial"/>
        </w:rPr>
      </w:pPr>
      <w:r w:rsidRPr="00B462CD">
        <w:rPr>
          <w:rFonts w:ascii="Arial" w:hAnsi="Arial" w:cs="Arial"/>
        </w:rPr>
        <w:t xml:space="preserve"> </w:t>
      </w:r>
    </w:p>
    <w:p w14:paraId="5AA69548" w14:textId="77777777" w:rsidR="00FA791B" w:rsidRPr="00B462CD" w:rsidRDefault="00FA791B" w:rsidP="00E6526D">
      <w:pPr>
        <w:spacing w:after="157" w:line="360" w:lineRule="auto"/>
        <w:ind w:right="2358"/>
        <w:rPr>
          <w:rFonts w:ascii="Arial" w:hAnsi="Arial" w:cs="Arial"/>
          <w:b/>
          <w:bCs/>
        </w:rPr>
      </w:pPr>
      <w:r w:rsidRPr="00B462CD">
        <w:rPr>
          <w:rFonts w:ascii="Arial" w:hAnsi="Arial" w:cs="Arial"/>
          <w:b/>
          <w:bCs/>
        </w:rPr>
        <w:t xml:space="preserve">by </w:t>
      </w:r>
    </w:p>
    <w:p w14:paraId="43B9C166" w14:textId="77777777" w:rsidR="00FA791B" w:rsidRPr="00B462CD" w:rsidRDefault="00FA791B" w:rsidP="00E6526D">
      <w:pPr>
        <w:spacing w:after="158" w:line="360" w:lineRule="auto"/>
        <w:ind w:left="59"/>
        <w:rPr>
          <w:rFonts w:ascii="Arial" w:hAnsi="Arial" w:cs="Arial"/>
          <w:b/>
          <w:bCs/>
        </w:rPr>
      </w:pPr>
      <w:r w:rsidRPr="00B462CD">
        <w:rPr>
          <w:rFonts w:ascii="Arial" w:hAnsi="Arial" w:cs="Arial"/>
        </w:rPr>
        <w:t xml:space="preserve"> </w:t>
      </w:r>
    </w:p>
    <w:p w14:paraId="483D4284" w14:textId="77777777" w:rsidR="00FA791B" w:rsidRPr="00B462CD" w:rsidRDefault="00FA791B" w:rsidP="00E6526D">
      <w:pPr>
        <w:spacing w:after="157" w:line="360" w:lineRule="auto"/>
        <w:ind w:right="2359"/>
        <w:rPr>
          <w:rFonts w:ascii="Arial" w:hAnsi="Arial" w:cs="Arial"/>
          <w:b/>
          <w:bCs/>
        </w:rPr>
      </w:pPr>
      <w:r w:rsidRPr="00B462CD">
        <w:rPr>
          <w:rFonts w:ascii="Arial" w:hAnsi="Arial" w:cs="Arial"/>
          <w:b/>
          <w:bCs/>
        </w:rPr>
        <w:t xml:space="preserve">AUGUSTINA AFI ACHEAMPONG </w:t>
      </w:r>
    </w:p>
    <w:p w14:paraId="712DA156" w14:textId="77777777" w:rsidR="00FA791B" w:rsidRPr="00B462CD" w:rsidRDefault="00FA791B" w:rsidP="00E6526D">
      <w:pPr>
        <w:spacing w:after="158" w:line="360" w:lineRule="auto"/>
        <w:ind w:left="59"/>
        <w:rPr>
          <w:rFonts w:ascii="Arial" w:hAnsi="Arial" w:cs="Arial"/>
        </w:rPr>
      </w:pPr>
      <w:r w:rsidRPr="00B462CD">
        <w:rPr>
          <w:rFonts w:ascii="Arial" w:hAnsi="Arial" w:cs="Arial"/>
        </w:rPr>
        <w:t xml:space="preserve"> </w:t>
      </w:r>
    </w:p>
    <w:p w14:paraId="6DD0E4C6" w14:textId="4501D1C3" w:rsidR="00FA791B" w:rsidRPr="00B462CD" w:rsidRDefault="00FA791B" w:rsidP="00E6526D">
      <w:pPr>
        <w:spacing w:after="156" w:line="360" w:lineRule="auto"/>
        <w:rPr>
          <w:rFonts w:ascii="Arial" w:hAnsi="Arial" w:cs="Arial"/>
        </w:rPr>
      </w:pPr>
      <w:r w:rsidRPr="00B462CD">
        <w:rPr>
          <w:rFonts w:ascii="Arial" w:hAnsi="Arial" w:cs="Arial"/>
        </w:rPr>
        <w:t>A Dissertation submitted in partial fulfilment of the requirements for the degree of Master of Science in Public Health and Social Care in Practice</w:t>
      </w:r>
    </w:p>
    <w:p w14:paraId="01E57499" w14:textId="77777777" w:rsidR="00FA791B" w:rsidRPr="00B462CD" w:rsidRDefault="00FA791B" w:rsidP="00E6526D">
      <w:pPr>
        <w:spacing w:after="156" w:line="360" w:lineRule="auto"/>
        <w:ind w:left="59"/>
        <w:rPr>
          <w:rFonts w:ascii="Arial" w:hAnsi="Arial" w:cs="Arial"/>
        </w:rPr>
      </w:pPr>
    </w:p>
    <w:p w14:paraId="52278DEE" w14:textId="77777777" w:rsidR="00FA791B" w:rsidRPr="00B462CD" w:rsidRDefault="00FA791B" w:rsidP="00E6526D">
      <w:pPr>
        <w:spacing w:after="169" w:line="360" w:lineRule="auto"/>
        <w:rPr>
          <w:rFonts w:ascii="Arial" w:hAnsi="Arial" w:cs="Arial"/>
          <w:b/>
          <w:bCs/>
        </w:rPr>
      </w:pPr>
      <w:r w:rsidRPr="00B462CD">
        <w:rPr>
          <w:rFonts w:ascii="Arial" w:hAnsi="Arial" w:cs="Arial"/>
          <w:b/>
          <w:bCs/>
        </w:rPr>
        <w:t>The Institute of Inner-City Learning</w:t>
      </w:r>
    </w:p>
    <w:p w14:paraId="527CD221" w14:textId="77777777" w:rsidR="00FA791B" w:rsidRPr="00B462CD" w:rsidRDefault="00FA791B" w:rsidP="00E6526D">
      <w:pPr>
        <w:spacing w:after="169" w:line="360" w:lineRule="auto"/>
        <w:rPr>
          <w:rFonts w:ascii="Arial" w:hAnsi="Arial" w:cs="Arial"/>
          <w:b/>
          <w:bCs/>
        </w:rPr>
      </w:pPr>
      <w:r w:rsidRPr="00B462CD">
        <w:rPr>
          <w:rFonts w:ascii="Arial" w:hAnsi="Arial" w:cs="Arial"/>
          <w:b/>
          <w:bCs/>
        </w:rPr>
        <w:t>University of Wales Trinity Saint David London Campus</w:t>
      </w:r>
    </w:p>
    <w:p w14:paraId="199620B2" w14:textId="77777777" w:rsidR="00FA791B" w:rsidRPr="00B462CD" w:rsidRDefault="00FA791B" w:rsidP="00E6526D">
      <w:pPr>
        <w:spacing w:after="157" w:line="360" w:lineRule="auto"/>
        <w:ind w:left="2367" w:right="2357"/>
        <w:rPr>
          <w:rFonts w:ascii="Arial" w:hAnsi="Arial" w:cs="Arial"/>
          <w:b/>
          <w:bCs/>
        </w:rPr>
      </w:pPr>
    </w:p>
    <w:p w14:paraId="2F7104F0" w14:textId="77777777" w:rsidR="00FA791B" w:rsidRPr="00B462CD" w:rsidRDefault="00FA791B" w:rsidP="00E6526D">
      <w:pPr>
        <w:spacing w:after="157" w:line="360" w:lineRule="auto"/>
        <w:ind w:left="2367" w:right="2357"/>
        <w:rPr>
          <w:rFonts w:ascii="Arial" w:hAnsi="Arial" w:cs="Arial"/>
          <w:b/>
          <w:bCs/>
        </w:rPr>
      </w:pPr>
    </w:p>
    <w:p w14:paraId="1DD72E7A" w14:textId="5873398E" w:rsidR="00FA791B" w:rsidRPr="00B462CD" w:rsidRDefault="003B69E8" w:rsidP="00E6526D">
      <w:pPr>
        <w:spacing w:after="157" w:line="360" w:lineRule="auto"/>
        <w:ind w:right="2357"/>
        <w:rPr>
          <w:rFonts w:ascii="Arial" w:hAnsi="Arial" w:cs="Arial"/>
          <w:b/>
          <w:bCs/>
        </w:rPr>
      </w:pPr>
      <w:r w:rsidRPr="00B462CD">
        <w:rPr>
          <w:rFonts w:ascii="Arial" w:hAnsi="Arial" w:cs="Arial"/>
          <w:b/>
          <w:bCs/>
        </w:rPr>
        <w:t>January</w:t>
      </w:r>
      <w:r w:rsidR="00FA791B" w:rsidRPr="00B462CD">
        <w:rPr>
          <w:rFonts w:ascii="Arial" w:hAnsi="Arial" w:cs="Arial"/>
          <w:b/>
          <w:bCs/>
        </w:rPr>
        <w:t xml:space="preserve"> 2026</w:t>
      </w:r>
    </w:p>
    <w:p w14:paraId="631EB624" w14:textId="7D00CE00" w:rsidR="00FA791B" w:rsidRPr="00B462CD" w:rsidRDefault="00FA791B" w:rsidP="00E6526D">
      <w:pPr>
        <w:spacing w:line="360" w:lineRule="auto"/>
        <w:rPr>
          <w:rFonts w:ascii="Arial" w:hAnsi="Arial" w:cs="Arial"/>
          <w:b/>
          <w:bCs/>
        </w:rPr>
      </w:pPr>
    </w:p>
    <w:p w14:paraId="52023173" w14:textId="77777777" w:rsidR="00D255BB" w:rsidRPr="00B462CD" w:rsidRDefault="00D255BB" w:rsidP="00E6526D">
      <w:pPr>
        <w:spacing w:line="360" w:lineRule="auto"/>
        <w:rPr>
          <w:rFonts w:ascii="Arial" w:eastAsia="Times New Roman" w:hAnsi="Arial" w:cs="Arial"/>
          <w:b/>
          <w:bCs/>
          <w:color w:val="000000" w:themeColor="text1"/>
        </w:rPr>
      </w:pPr>
      <w:r w:rsidRPr="00B462CD">
        <w:rPr>
          <w:rFonts w:ascii="Arial" w:eastAsia="Times New Roman" w:hAnsi="Arial" w:cs="Arial"/>
          <w:b/>
          <w:bCs/>
          <w:color w:val="000000" w:themeColor="text1"/>
        </w:rPr>
        <w:br w:type="page"/>
      </w:r>
    </w:p>
    <w:p w14:paraId="2C3E6948" w14:textId="51DACD48" w:rsidR="00FA791B" w:rsidRPr="00B462CD" w:rsidRDefault="00FA791B" w:rsidP="00E6526D">
      <w:pPr>
        <w:spacing w:after="200" w:line="360" w:lineRule="auto"/>
        <w:rPr>
          <w:rFonts w:ascii="Arial" w:eastAsia="Times New Roman" w:hAnsi="Arial" w:cs="Arial"/>
          <w:b/>
          <w:bCs/>
          <w:color w:val="000000" w:themeColor="text1"/>
        </w:rPr>
      </w:pPr>
      <w:r w:rsidRPr="00B462CD">
        <w:rPr>
          <w:rFonts w:ascii="Arial" w:eastAsia="Times New Roman" w:hAnsi="Arial" w:cs="Arial"/>
          <w:b/>
          <w:bCs/>
          <w:color w:val="000000" w:themeColor="text1"/>
        </w:rPr>
        <w:lastRenderedPageBreak/>
        <w:t>DECLARATION</w:t>
      </w:r>
    </w:p>
    <w:p w14:paraId="1B1C4059" w14:textId="77777777" w:rsidR="00FA791B" w:rsidRPr="00B462CD" w:rsidRDefault="00FA791B" w:rsidP="00E6526D">
      <w:pPr>
        <w:spacing w:after="200" w:line="360" w:lineRule="auto"/>
        <w:rPr>
          <w:rFonts w:ascii="Arial" w:eastAsia="Times New Roman" w:hAnsi="Arial" w:cs="Arial"/>
          <w:color w:val="000000" w:themeColor="text1"/>
        </w:rPr>
      </w:pPr>
      <w:r w:rsidRPr="00B462CD">
        <w:rPr>
          <w:rFonts w:ascii="Arial" w:hAnsi="Arial" w:cs="Arial"/>
          <w:noProof/>
        </w:rPr>
        <mc:AlternateContent>
          <mc:Choice Requires="wpi">
            <w:drawing>
              <wp:anchor distT="0" distB="0" distL="114300" distR="114300" simplePos="0" relativeHeight="251658240" behindDoc="0" locked="0" layoutInCell="1" allowOverlap="1" wp14:anchorId="35A30CD7" wp14:editId="4B306939">
                <wp:simplePos x="0" y="0"/>
                <wp:positionH relativeFrom="column">
                  <wp:posOffset>-1623695</wp:posOffset>
                </wp:positionH>
                <wp:positionV relativeFrom="paragraph">
                  <wp:posOffset>235585</wp:posOffset>
                </wp:positionV>
                <wp:extent cx="18415" cy="18415"/>
                <wp:effectExtent l="62230" t="65405" r="52705" b="59055"/>
                <wp:wrapNone/>
                <wp:docPr id="1797393392"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3475F93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AI2Jpv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3" o:title=""/>
                <o:lock v:ext="edit" rotation="t" verticies="t" shapetype="t"/>
              </v:shape>
            </w:pict>
          </mc:Fallback>
        </mc:AlternateContent>
      </w:r>
      <w:r w:rsidRPr="00B462CD">
        <w:rPr>
          <w:rFonts w:ascii="Arial" w:hAnsi="Arial" w:cs="Arial"/>
          <w:noProof/>
        </w:rPr>
        <mc:AlternateContent>
          <mc:Choice Requires="wpi">
            <w:drawing>
              <wp:anchor distT="0" distB="0" distL="114300" distR="114300" simplePos="0" relativeHeight="251658241" behindDoc="0" locked="0" layoutInCell="1" allowOverlap="1" wp14:anchorId="1B4196BC" wp14:editId="3E407AC5">
                <wp:simplePos x="0" y="0"/>
                <wp:positionH relativeFrom="column">
                  <wp:posOffset>-1623695</wp:posOffset>
                </wp:positionH>
                <wp:positionV relativeFrom="paragraph">
                  <wp:posOffset>241935</wp:posOffset>
                </wp:positionV>
                <wp:extent cx="18415" cy="23495"/>
                <wp:effectExtent l="62230" t="62230" r="52705" b="47625"/>
                <wp:wrapNone/>
                <wp:docPr id="1493133360"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1E398C40" id="Ink 15" o:spid="_x0000_s1026" type="#_x0000_t75" style="position:absolute;margin-left:-164.1pt;margin-top:18.35pt;width:72.5pt;height:3.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PdMJWr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5" o:title=""/>
                <o:lock v:ext="edit" rotation="t" verticies="t" shapetype="t"/>
              </v:shape>
            </w:pict>
          </mc:Fallback>
        </mc:AlternateContent>
      </w:r>
      <w:r w:rsidRPr="00B462CD">
        <w:rPr>
          <w:rFonts w:ascii="Arial" w:hAnsi="Arial" w:cs="Arial"/>
          <w:noProof/>
        </w:rPr>
        <mc:AlternateContent>
          <mc:Choice Requires="wpi">
            <w:drawing>
              <wp:anchor distT="0" distB="0" distL="114300" distR="114300" simplePos="0" relativeHeight="251658242" behindDoc="0" locked="0" layoutInCell="1" allowOverlap="1" wp14:anchorId="4AB2B48D" wp14:editId="44C56F05">
                <wp:simplePos x="0" y="0"/>
                <wp:positionH relativeFrom="column">
                  <wp:posOffset>-1623695</wp:posOffset>
                </wp:positionH>
                <wp:positionV relativeFrom="paragraph">
                  <wp:posOffset>245745</wp:posOffset>
                </wp:positionV>
                <wp:extent cx="18415" cy="18415"/>
                <wp:effectExtent l="62230" t="66040" r="52705" b="58420"/>
                <wp:wrapNone/>
                <wp:docPr id="68482738"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6696F0C"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NOAaZ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3" o:title=""/>
                <o:lock v:ext="edit" rotation="t" verticies="t" shapetype="t"/>
              </v:shape>
            </w:pict>
          </mc:Fallback>
        </mc:AlternateContent>
      </w:r>
      <w:r w:rsidRPr="00B462CD">
        <w:rPr>
          <w:rFonts w:ascii="Arial" w:hAnsi="Arial" w:cs="Arial"/>
          <w:noProof/>
        </w:rPr>
        <mc:AlternateContent>
          <mc:Choice Requires="wpi">
            <w:drawing>
              <wp:anchor distT="0" distB="0" distL="114300" distR="114300" simplePos="0" relativeHeight="251658243" behindDoc="0" locked="0" layoutInCell="1" allowOverlap="1" wp14:anchorId="6540FEF0" wp14:editId="09811B27">
                <wp:simplePos x="0" y="0"/>
                <wp:positionH relativeFrom="column">
                  <wp:posOffset>-1935480</wp:posOffset>
                </wp:positionH>
                <wp:positionV relativeFrom="paragraph">
                  <wp:posOffset>243840</wp:posOffset>
                </wp:positionV>
                <wp:extent cx="18415" cy="18415"/>
                <wp:effectExtent l="64770" t="63500" r="50165" b="51435"/>
                <wp:wrapNone/>
                <wp:docPr id="342613619"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99DC302" id="Ink 11" o:spid="_x0000_s1026" type="#_x0000_t75" style="position:absolute;margin-left:-188.65pt;margin-top:-17.05pt;width:72.5pt;height:7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DvIHne7AQAAXQQA&#10;ABAAAAAAAAAAAAAAAAAAJwQAAGRycy9pbmsvaW5rMS54bWxQSwECLQAUAAYACAAAACEAykeJa+QA&#10;AAANAQAADwAAAAAAAAAAAAAAAAAQBgAAZHJzL2Rvd25yZXYueG1sUEsBAi0AFAAGAAgAAAAhAHkY&#10;vJ2/AAAAIQEAABkAAAAAAAAAAAAAAAAAIQcAAGRycy9fcmVscy9lMm9Eb2MueG1sLnJlbHNQSwUG&#10;AAAAAAYABgB4AQAAFwgAAAAA&#10;">
                <v:imagedata r:id="rId13" o:title=""/>
                <o:lock v:ext="edit" rotation="t" verticies="t" shapetype="t"/>
              </v:shape>
            </w:pict>
          </mc:Fallback>
        </mc:AlternateContent>
      </w:r>
      <w:r w:rsidRPr="00B462CD">
        <w:rPr>
          <w:rFonts w:ascii="Arial" w:eastAsia="Times New Roman" w:hAnsi="Arial" w:cs="Arial"/>
          <w:color w:val="000000" w:themeColor="text1"/>
        </w:rPr>
        <w:t>I, Augustina Afi Acheampong, declare that this dissertation has been composed by me, that the work contained herein is entirely my own except where explicitly stated otherwise in the text, and that this work has not been submitted for any other degree or qualification, in whole or in part, except as specified.</w:t>
      </w:r>
    </w:p>
    <w:p w14:paraId="25DD55CC" w14:textId="77777777" w:rsidR="00FA791B" w:rsidRPr="00B462CD" w:rsidRDefault="00FA791B" w:rsidP="00E6526D">
      <w:pPr>
        <w:spacing w:after="200" w:line="360" w:lineRule="auto"/>
        <w:rPr>
          <w:rFonts w:ascii="Arial" w:eastAsia="Times New Roman" w:hAnsi="Arial" w:cs="Arial"/>
          <w:color w:val="000000" w:themeColor="text1"/>
        </w:rPr>
      </w:pPr>
    </w:p>
    <w:p w14:paraId="3731472E" w14:textId="77777777" w:rsidR="00FA791B" w:rsidRPr="00B462CD" w:rsidRDefault="00FA791B" w:rsidP="00E6526D">
      <w:pPr>
        <w:spacing w:after="200" w:line="360" w:lineRule="auto"/>
        <w:rPr>
          <w:rFonts w:ascii="Arial" w:eastAsia="Times New Roman" w:hAnsi="Arial" w:cs="Arial"/>
          <w:color w:val="000000" w:themeColor="text1"/>
        </w:rPr>
      </w:pPr>
    </w:p>
    <w:p w14:paraId="788481E7" w14:textId="77777777" w:rsidR="00FA791B" w:rsidRPr="00B462CD" w:rsidRDefault="00FA791B" w:rsidP="00E6526D">
      <w:pPr>
        <w:spacing w:after="200" w:line="360" w:lineRule="auto"/>
        <w:rPr>
          <w:rFonts w:ascii="Arial" w:eastAsia="Times New Roman" w:hAnsi="Arial" w:cs="Arial"/>
          <w:color w:val="000000" w:themeColor="text1"/>
        </w:rPr>
      </w:pPr>
      <w:r w:rsidRPr="00B462CD">
        <w:rPr>
          <w:rFonts w:ascii="Arial" w:eastAsia="Times New Roman" w:hAnsi="Arial" w:cs="Arial"/>
          <w:noProof/>
          <w:color w:val="000000" w:themeColor="text1"/>
        </w:rPr>
        <mc:AlternateContent>
          <mc:Choice Requires="wpi">
            <w:drawing>
              <wp:anchor distT="0" distB="0" distL="114300" distR="114300" simplePos="0" relativeHeight="251658244" behindDoc="0" locked="0" layoutInCell="1" allowOverlap="1" wp14:anchorId="38FB521A" wp14:editId="1C898C5C">
                <wp:simplePos x="0" y="0"/>
                <wp:positionH relativeFrom="column">
                  <wp:posOffset>488950</wp:posOffset>
                </wp:positionH>
                <wp:positionV relativeFrom="paragraph">
                  <wp:posOffset>-107950</wp:posOffset>
                </wp:positionV>
                <wp:extent cx="1927860" cy="989330"/>
                <wp:effectExtent l="38100" t="38100" r="15240" b="39370"/>
                <wp:wrapNone/>
                <wp:docPr id="37430500"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927860" cy="989330"/>
                      </w14:xfrm>
                    </w14:contentPart>
                  </a:graphicData>
                </a:graphic>
              </wp:anchor>
            </w:drawing>
          </mc:Choice>
          <mc:Fallback>
            <w:pict>
              <v:shape w14:anchorId="61293D4B" id="Ink 14" o:spid="_x0000_s1026" type="#_x0000_t75" style="position:absolute;margin-left:38.15pt;margin-top:-8.85pt;width:152.5pt;height:78.6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">
                <v:imagedata r:id="rId19" o:title=""/>
              </v:shape>
            </w:pict>
          </mc:Fallback>
        </mc:AlternateContent>
      </w:r>
    </w:p>
    <w:p w14:paraId="0E788517" w14:textId="77777777" w:rsidR="00FA791B" w:rsidRPr="00B462CD" w:rsidRDefault="00FA791B" w:rsidP="00E6526D">
      <w:pPr>
        <w:spacing w:after="200" w:line="360" w:lineRule="auto"/>
        <w:rPr>
          <w:rFonts w:ascii="Arial" w:eastAsia="Times New Roman" w:hAnsi="Arial" w:cs="Arial"/>
          <w:color w:val="000000" w:themeColor="text1"/>
        </w:rPr>
      </w:pPr>
      <w:r w:rsidRPr="00B462CD">
        <w:rPr>
          <w:rFonts w:ascii="Arial" w:eastAsia="Times New Roman" w:hAnsi="Arial" w:cs="Arial"/>
          <w:color w:val="000000" w:themeColor="text1"/>
        </w:rPr>
        <w:t>Signed………………………………………</w:t>
      </w:r>
    </w:p>
    <w:p w14:paraId="409674BC" w14:textId="77777777" w:rsidR="00FA791B" w:rsidRPr="00B462CD" w:rsidRDefault="00FA791B" w:rsidP="00E6526D">
      <w:pPr>
        <w:spacing w:after="200" w:line="360" w:lineRule="auto"/>
        <w:rPr>
          <w:rFonts w:ascii="Arial" w:eastAsia="Times New Roman" w:hAnsi="Arial" w:cs="Arial"/>
          <w:color w:val="000000" w:themeColor="text1"/>
        </w:rPr>
      </w:pPr>
    </w:p>
    <w:p w14:paraId="67091EAB" w14:textId="7748A7CC" w:rsidR="00FA791B" w:rsidRPr="00B462CD" w:rsidRDefault="00FA791B" w:rsidP="00E6526D">
      <w:pPr>
        <w:spacing w:after="200" w:line="360" w:lineRule="auto"/>
        <w:rPr>
          <w:rFonts w:ascii="Arial" w:eastAsia="Times New Roman" w:hAnsi="Arial" w:cs="Arial"/>
          <w:color w:val="000000" w:themeColor="text1"/>
        </w:rPr>
      </w:pPr>
      <w:r w:rsidRPr="00B462CD">
        <w:rPr>
          <w:rFonts w:ascii="Arial" w:eastAsia="Times New Roman" w:hAnsi="Arial" w:cs="Arial"/>
          <w:color w:val="000000" w:themeColor="text1"/>
        </w:rPr>
        <w:t>Date:</w:t>
      </w:r>
      <w:r w:rsidR="00E64AF8" w:rsidRPr="00B462CD">
        <w:rPr>
          <w:rFonts w:ascii="Arial" w:eastAsia="Times New Roman" w:hAnsi="Arial" w:cs="Arial"/>
          <w:color w:val="000000" w:themeColor="text1"/>
        </w:rPr>
        <w:t>31</w:t>
      </w:r>
      <w:r w:rsidRPr="00B462CD">
        <w:rPr>
          <w:rFonts w:ascii="Arial" w:eastAsia="Times New Roman" w:hAnsi="Arial" w:cs="Arial"/>
          <w:color w:val="000000" w:themeColor="text1"/>
        </w:rPr>
        <w:t>/01/2026</w:t>
      </w:r>
    </w:p>
    <w:p w14:paraId="63EA862C" w14:textId="77777777" w:rsidR="00FA791B" w:rsidRPr="00B462CD" w:rsidRDefault="00FA791B" w:rsidP="00E6526D">
      <w:pPr>
        <w:spacing w:after="157" w:line="360" w:lineRule="auto"/>
        <w:ind w:right="2357"/>
        <w:rPr>
          <w:rFonts w:ascii="Arial" w:hAnsi="Arial" w:cs="Arial"/>
          <w:b/>
          <w:bCs/>
        </w:rPr>
      </w:pPr>
    </w:p>
    <w:p w14:paraId="372A3015" w14:textId="77777777" w:rsidR="00FA791B" w:rsidRPr="00B462CD" w:rsidRDefault="00FA791B" w:rsidP="00E6526D">
      <w:pPr>
        <w:spacing w:after="0" w:line="360" w:lineRule="auto"/>
        <w:rPr>
          <w:rFonts w:ascii="Arial" w:hAnsi="Arial" w:cs="Arial"/>
        </w:rPr>
      </w:pPr>
      <w:r w:rsidRPr="00B462CD">
        <w:rPr>
          <w:rFonts w:ascii="Arial" w:hAnsi="Arial" w:cs="Arial"/>
          <w:color w:val="0070C0"/>
        </w:rPr>
        <w:t xml:space="preserve"> </w:t>
      </w:r>
      <w:r w:rsidRPr="00B462CD">
        <w:rPr>
          <w:rFonts w:ascii="Arial" w:hAnsi="Arial" w:cs="Arial"/>
          <w:color w:val="0070C0"/>
        </w:rPr>
        <w:tab/>
        <w:t xml:space="preserve"> </w:t>
      </w:r>
    </w:p>
    <w:p w14:paraId="68837742" w14:textId="77777777" w:rsidR="00FA791B" w:rsidRPr="00B462CD" w:rsidRDefault="00FA791B" w:rsidP="00E6526D">
      <w:pPr>
        <w:spacing w:line="360" w:lineRule="auto"/>
        <w:rPr>
          <w:rFonts w:ascii="Arial" w:eastAsia="Times New Roman" w:hAnsi="Arial" w:cs="Arial"/>
          <w:b/>
          <w:color w:val="000000"/>
        </w:rPr>
      </w:pPr>
      <w:r w:rsidRPr="00B462CD">
        <w:rPr>
          <w:rFonts w:ascii="Arial" w:hAnsi="Arial" w:cs="Arial"/>
        </w:rPr>
        <w:br w:type="page"/>
      </w:r>
    </w:p>
    <w:p w14:paraId="51B39F04" w14:textId="77777777" w:rsidR="00EC63F8" w:rsidRPr="00B462CD" w:rsidRDefault="00FA791B" w:rsidP="00E6526D">
      <w:pPr>
        <w:pStyle w:val="Heading2"/>
        <w:spacing w:line="360" w:lineRule="auto"/>
        <w:ind w:right="4"/>
        <w:jc w:val="left"/>
        <w:rPr>
          <w:rFonts w:ascii="Arial" w:hAnsi="Arial" w:cs="Arial"/>
          <w:sz w:val="22"/>
        </w:rPr>
      </w:pPr>
      <w:bookmarkStart w:id="2" w:name="_Toc220428638"/>
      <w:r w:rsidRPr="00B462CD">
        <w:rPr>
          <w:rFonts w:ascii="Arial" w:hAnsi="Arial" w:cs="Arial"/>
          <w:sz w:val="22"/>
        </w:rPr>
        <w:t>Acknowledgements</w:t>
      </w:r>
      <w:bookmarkEnd w:id="2"/>
      <w:r w:rsidRPr="00B462CD">
        <w:rPr>
          <w:rFonts w:ascii="Arial" w:hAnsi="Arial" w:cs="Arial"/>
          <w:sz w:val="22"/>
        </w:rPr>
        <w:t xml:space="preserve"> </w:t>
      </w:r>
    </w:p>
    <w:p w14:paraId="2A47051D" w14:textId="50C932ED" w:rsidR="00836974" w:rsidRPr="00B462CD" w:rsidRDefault="00836974" w:rsidP="00E6526D">
      <w:pPr>
        <w:pStyle w:val="Heading2"/>
        <w:spacing w:line="360" w:lineRule="auto"/>
        <w:ind w:right="4"/>
        <w:jc w:val="left"/>
        <w:rPr>
          <w:rFonts w:ascii="Arial" w:hAnsi="Arial" w:cs="Arial"/>
          <w:b w:val="0"/>
          <w:bCs/>
          <w:sz w:val="22"/>
        </w:rPr>
      </w:pPr>
      <w:r w:rsidRPr="00B462CD">
        <w:rPr>
          <w:rFonts w:ascii="Arial" w:hAnsi="Arial" w:cs="Arial"/>
          <w:b w:val="0"/>
          <w:bCs/>
          <w:kern w:val="0"/>
          <w:sz w:val="22"/>
          <w:lang w:val="en-US" w:eastAsia="en-US"/>
          <w14:ligatures w14:val="none"/>
        </w:rPr>
        <w:t xml:space="preserve">I sincerely thank Almighty God for His unwavering grace and guidance throughout this academic journey. I </w:t>
      </w:r>
      <w:proofErr w:type="spellStart"/>
      <w:r w:rsidRPr="00B462CD">
        <w:rPr>
          <w:rFonts w:ascii="Arial" w:hAnsi="Arial" w:cs="Arial"/>
          <w:b w:val="0"/>
          <w:bCs/>
          <w:kern w:val="0"/>
          <w:sz w:val="22"/>
          <w:lang w:val="en-US" w:eastAsia="en-US"/>
          <w14:ligatures w14:val="none"/>
        </w:rPr>
        <w:t>recognise</w:t>
      </w:r>
      <w:proofErr w:type="spellEnd"/>
      <w:r w:rsidRPr="00B462CD">
        <w:rPr>
          <w:rFonts w:ascii="Arial" w:hAnsi="Arial" w:cs="Arial"/>
          <w:b w:val="0"/>
          <w:bCs/>
          <w:kern w:val="0"/>
          <w:sz w:val="22"/>
          <w:lang w:val="en-US" w:eastAsia="en-US"/>
          <w14:ligatures w14:val="none"/>
        </w:rPr>
        <w:t xml:space="preserve"> that this achievement is the result of His perfect timing, provision, and the placement of the right people at every critical stage. His faithfulness sustained me through periods of uncertainty and challenge, shaping not only the outcome of this work but also my character and</w:t>
      </w:r>
      <w:r w:rsidRPr="00B462CD">
        <w:rPr>
          <w:rFonts w:ascii="Arial" w:hAnsi="Arial" w:cs="Arial"/>
          <w:kern w:val="0"/>
          <w:sz w:val="22"/>
          <w:lang w:val="en-US" w:eastAsia="en-US"/>
          <w14:ligatures w14:val="none"/>
        </w:rPr>
        <w:t xml:space="preserve"> </w:t>
      </w:r>
      <w:r w:rsidRPr="00B462CD">
        <w:rPr>
          <w:rFonts w:ascii="Arial" w:hAnsi="Arial" w:cs="Arial"/>
          <w:b w:val="0"/>
          <w:bCs/>
          <w:kern w:val="0"/>
          <w:sz w:val="22"/>
          <w:lang w:val="en-US" w:eastAsia="en-US"/>
          <w14:ligatures w14:val="none"/>
        </w:rPr>
        <w:t>resilience as a scholar.</w:t>
      </w:r>
    </w:p>
    <w:p w14:paraId="019BFC2F" w14:textId="50822B65" w:rsidR="00836974" w:rsidRPr="00B462CD" w:rsidRDefault="00836974" w:rsidP="00E6526D">
      <w:pPr>
        <w:spacing w:before="100" w:beforeAutospacing="1" w:after="100" w:afterAutospacing="1"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 xml:space="preserve">My sincere gratitude goes to my supervisor, </w:t>
      </w:r>
      <w:r w:rsidR="00EC63F8" w:rsidRPr="00B462CD">
        <w:rPr>
          <w:rFonts w:ascii="Arial" w:eastAsia="Times New Roman" w:hAnsi="Arial" w:cs="Arial"/>
          <w:kern w:val="0"/>
          <w:lang w:val="en-US" w:eastAsia="en-US"/>
          <w14:ligatures w14:val="none"/>
        </w:rPr>
        <w:t>Dr</w:t>
      </w:r>
      <w:r w:rsidRPr="00B462CD">
        <w:rPr>
          <w:rFonts w:ascii="Arial" w:eastAsia="Times New Roman" w:hAnsi="Arial" w:cs="Arial"/>
          <w:kern w:val="0"/>
          <w:lang w:val="en-US" w:eastAsia="en-US"/>
          <w14:ligatures w14:val="none"/>
        </w:rPr>
        <w:t xml:space="preserve"> </w:t>
      </w:r>
      <w:proofErr w:type="spellStart"/>
      <w:r w:rsidRPr="00B462CD">
        <w:rPr>
          <w:rFonts w:ascii="Arial" w:eastAsia="Times New Roman" w:hAnsi="Arial" w:cs="Arial"/>
          <w:kern w:val="0"/>
          <w:lang w:val="en-US" w:eastAsia="en-US"/>
          <w14:ligatures w14:val="none"/>
        </w:rPr>
        <w:t>Iste</w:t>
      </w:r>
      <w:proofErr w:type="spellEnd"/>
      <w:r w:rsidRPr="00B462CD">
        <w:rPr>
          <w:rFonts w:ascii="Arial" w:eastAsia="Times New Roman" w:hAnsi="Arial" w:cs="Arial"/>
          <w:kern w:val="0"/>
          <w:lang w:val="en-US" w:eastAsia="en-US"/>
          <w14:ligatures w14:val="none"/>
        </w:rPr>
        <w:t>, whose expert guidance, support, and constructive criticism were instrumental in shaping the direction and quality of this dissertation. I also extend my appreciation to Dr. Diola for her insightful lectures and academic support, which significantly enhanced my understanding of public health research and methodology.</w:t>
      </w:r>
    </w:p>
    <w:p w14:paraId="582657F6" w14:textId="77777777" w:rsidR="00836974" w:rsidRPr="00B462CD" w:rsidRDefault="00836974" w:rsidP="00E6526D">
      <w:pPr>
        <w:spacing w:before="100" w:beforeAutospacing="1" w:after="100" w:afterAutospacing="1"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I am grateful to the gatekeepers at Christ Apostolic Church (CAC) International, East London, for fostering trust within the BAME migrant community and facilitating participant recruitment. I also deeply appreciate the participants who generously shared their time, experiences, and personal stories; this study would not have been possible without their openness and willingness to contribute.</w:t>
      </w:r>
    </w:p>
    <w:p w14:paraId="52095DBF" w14:textId="08CD6B47" w:rsidR="00836974" w:rsidRPr="00B462CD" w:rsidRDefault="00836974" w:rsidP="00E6526D">
      <w:pPr>
        <w:spacing w:before="100" w:beforeAutospacing="1" w:after="100" w:afterAutospacing="1"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My heartfelt thanks go to my family for their unwavering support</w:t>
      </w:r>
      <w:r w:rsidR="003676D8" w:rsidRPr="00B462CD">
        <w:rPr>
          <w:rFonts w:ascii="Arial" w:eastAsia="Times New Roman" w:hAnsi="Arial" w:cs="Arial"/>
          <w:kern w:val="0"/>
          <w:lang w:val="en-US" w:eastAsia="en-US"/>
          <w14:ligatures w14:val="none"/>
        </w:rPr>
        <w:t>,</w:t>
      </w:r>
      <w:r w:rsidR="00783F26" w:rsidRPr="00B462CD">
        <w:rPr>
          <w:rFonts w:ascii="Arial" w:eastAsia="Times New Roman" w:hAnsi="Arial" w:cs="Arial"/>
          <w:kern w:val="0"/>
          <w:lang w:val="en-US" w:eastAsia="en-US"/>
          <w14:ligatures w14:val="none"/>
        </w:rPr>
        <w:t xml:space="preserve"> </w:t>
      </w:r>
      <w:r w:rsidRPr="00B462CD">
        <w:rPr>
          <w:rFonts w:ascii="Arial" w:eastAsia="Times New Roman" w:hAnsi="Arial" w:cs="Arial"/>
          <w:kern w:val="0"/>
          <w:lang w:val="en-US" w:eastAsia="en-US"/>
          <w14:ligatures w14:val="none"/>
        </w:rPr>
        <w:t>my mother, Dorothy Dzineku, for her prayers and moral strength</w:t>
      </w:r>
      <w:r w:rsidR="003676D8" w:rsidRPr="00B462CD">
        <w:rPr>
          <w:rFonts w:ascii="Arial" w:eastAsia="Times New Roman" w:hAnsi="Arial" w:cs="Arial"/>
          <w:kern w:val="0"/>
          <w:lang w:val="en-US" w:eastAsia="en-US"/>
          <w14:ligatures w14:val="none"/>
        </w:rPr>
        <w:t>,</w:t>
      </w:r>
      <w:r w:rsidRPr="00B462CD">
        <w:rPr>
          <w:rFonts w:ascii="Arial" w:eastAsia="Times New Roman" w:hAnsi="Arial" w:cs="Arial"/>
          <w:kern w:val="0"/>
          <w:lang w:val="en-US" w:eastAsia="en-US"/>
          <w14:ligatures w14:val="none"/>
        </w:rPr>
        <w:t xml:space="preserve"> my brother, Michael Dzineku, for his patience, encouragement, and financial support</w:t>
      </w:r>
      <w:r w:rsidR="003676D8" w:rsidRPr="00B462CD">
        <w:rPr>
          <w:rFonts w:ascii="Arial" w:eastAsia="Times New Roman" w:hAnsi="Arial" w:cs="Arial"/>
          <w:kern w:val="0"/>
          <w:lang w:val="en-US" w:eastAsia="en-US"/>
          <w14:ligatures w14:val="none"/>
        </w:rPr>
        <w:t>,</w:t>
      </w:r>
      <w:r w:rsidRPr="00B462CD">
        <w:rPr>
          <w:rFonts w:ascii="Arial" w:eastAsia="Times New Roman" w:hAnsi="Arial" w:cs="Arial"/>
          <w:kern w:val="0"/>
          <w:lang w:val="en-US" w:eastAsia="en-US"/>
          <w14:ligatures w14:val="none"/>
        </w:rPr>
        <w:t xml:space="preserve"> and my husband, Ps. Melchizedek Acheampong, for his constant belief in my ability to succeed.</w:t>
      </w:r>
    </w:p>
    <w:p w14:paraId="4C5E4479" w14:textId="6E1607F4" w:rsidR="00836974" w:rsidRPr="00B462CD" w:rsidRDefault="00836974" w:rsidP="00E6526D">
      <w:pPr>
        <w:spacing w:before="100" w:beforeAutospacing="1" w:after="100" w:afterAutospacing="1"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To my wonderful children,</w:t>
      </w:r>
      <w:r w:rsidR="00783F26" w:rsidRPr="00B462CD">
        <w:rPr>
          <w:rFonts w:ascii="Arial" w:eastAsia="Times New Roman" w:hAnsi="Arial" w:cs="Arial"/>
          <w:kern w:val="0"/>
          <w:lang w:val="en-US" w:eastAsia="en-US"/>
          <w14:ligatures w14:val="none"/>
        </w:rPr>
        <w:t xml:space="preserve"> </w:t>
      </w:r>
      <w:r w:rsidR="00783F26" w:rsidRPr="00B462CD">
        <w:rPr>
          <w:rFonts w:ascii="Arial" w:hAnsi="Arial" w:cs="Arial"/>
        </w:rPr>
        <w:t>Jeremy, Joel, Myma-Lisa, and Anna-Lisa</w:t>
      </w:r>
      <w:r w:rsidRPr="00B462CD">
        <w:rPr>
          <w:rFonts w:ascii="Arial" w:eastAsia="Times New Roman" w:hAnsi="Arial" w:cs="Arial"/>
          <w:kern w:val="0"/>
          <w:lang w:val="en-US" w:eastAsia="en-US"/>
          <w14:ligatures w14:val="none"/>
        </w:rPr>
        <w:t xml:space="preserve"> </w:t>
      </w:r>
      <w:r w:rsidR="00783F26" w:rsidRPr="00B462CD">
        <w:rPr>
          <w:rFonts w:ascii="Arial" w:eastAsia="Times New Roman" w:hAnsi="Arial" w:cs="Arial"/>
          <w:kern w:val="0"/>
          <w:lang w:val="en-US" w:eastAsia="en-US"/>
          <w14:ligatures w14:val="none"/>
        </w:rPr>
        <w:t xml:space="preserve">Acheampong. </w:t>
      </w:r>
      <w:r w:rsidRPr="00B462CD">
        <w:rPr>
          <w:rFonts w:ascii="Arial" w:eastAsia="Times New Roman" w:hAnsi="Arial" w:cs="Arial"/>
          <w:kern w:val="0"/>
          <w:lang w:val="en-US" w:eastAsia="en-US"/>
          <w14:ligatures w14:val="none"/>
        </w:rPr>
        <w:t xml:space="preserve">I am profoundly grateful for your love, patience, and encouragement. Your presence has been my greatest source of inspiration and emotional strength throughout this journey. Your faith in my pursuit of knowledge sustained me through the most challenging moments, and your own passion for learning continually reminds me of the value of perseverance and educational </w:t>
      </w:r>
      <w:proofErr w:type="spellStart"/>
      <w:r w:rsidRPr="00B462CD">
        <w:rPr>
          <w:rFonts w:ascii="Arial" w:eastAsia="Times New Roman" w:hAnsi="Arial" w:cs="Arial"/>
          <w:kern w:val="0"/>
          <w:lang w:val="en-US" w:eastAsia="en-US"/>
          <w14:ligatures w14:val="none"/>
        </w:rPr>
        <w:t>endeavour</w:t>
      </w:r>
      <w:proofErr w:type="spellEnd"/>
      <w:r w:rsidRPr="00B462CD">
        <w:rPr>
          <w:rFonts w:ascii="Arial" w:eastAsia="Times New Roman" w:hAnsi="Arial" w:cs="Arial"/>
          <w:kern w:val="0"/>
          <w:lang w:val="en-US" w:eastAsia="en-US"/>
          <w14:ligatures w14:val="none"/>
        </w:rPr>
        <w:t>. Your achievements stand as a testament to the strength and character of our family.</w:t>
      </w:r>
    </w:p>
    <w:p w14:paraId="5775B8DC" w14:textId="77777777" w:rsidR="00836974" w:rsidRPr="00B462CD" w:rsidRDefault="00836974" w:rsidP="00E6526D">
      <w:pPr>
        <w:spacing w:before="100" w:beforeAutospacing="1" w:after="100" w:afterAutospacing="1"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Finally, I acknowledge with gratitude the camaraderie, collaboration, and encouragement of my colleagues, mentors, and friends at UWTSD. This accomplishment reflects not only personal determination but also the kindness, support, and shared commitment to learning that surrounded me throughout this journey.</w:t>
      </w:r>
    </w:p>
    <w:p w14:paraId="02173CF2" w14:textId="77777777" w:rsidR="00797FCA" w:rsidRPr="00B462CD" w:rsidRDefault="00797FCA" w:rsidP="00E6526D">
      <w:pPr>
        <w:spacing w:line="360" w:lineRule="auto"/>
        <w:rPr>
          <w:rStyle w:val="Strong"/>
          <w:rFonts w:ascii="Arial" w:eastAsia="Times New Roman" w:hAnsi="Arial" w:cs="Arial"/>
          <w:kern w:val="0"/>
          <w:lang w:eastAsia="en-US"/>
          <w14:ligatures w14:val="none"/>
        </w:rPr>
      </w:pPr>
      <w:r w:rsidRPr="00B462CD">
        <w:rPr>
          <w:rStyle w:val="Strong"/>
          <w:rFonts w:ascii="Arial" w:hAnsi="Arial" w:cs="Arial"/>
        </w:rPr>
        <w:br w:type="page"/>
      </w:r>
    </w:p>
    <w:p w14:paraId="35F0870F" w14:textId="66D485A0" w:rsidR="00797FCA" w:rsidRPr="00B462CD" w:rsidRDefault="00797FCA" w:rsidP="00E6526D">
      <w:pPr>
        <w:pStyle w:val="gds-typography"/>
        <w:spacing w:line="360" w:lineRule="auto"/>
        <w:rPr>
          <w:rFonts w:ascii="Arial" w:hAnsi="Arial" w:cs="Arial"/>
          <w:sz w:val="22"/>
          <w:szCs w:val="22"/>
          <w:lang w:val="en-GB"/>
        </w:rPr>
      </w:pPr>
      <w:r w:rsidRPr="00B462CD">
        <w:rPr>
          <w:rStyle w:val="Strong"/>
          <w:rFonts w:ascii="Arial" w:hAnsi="Arial" w:cs="Arial"/>
          <w:sz w:val="22"/>
          <w:szCs w:val="22"/>
          <w:lang w:val="en-GB"/>
        </w:rPr>
        <w:t>Abstract</w:t>
      </w:r>
    </w:p>
    <w:p w14:paraId="07B8E2CE" w14:textId="7329F359" w:rsidR="000401A7" w:rsidRPr="00B462CD" w:rsidRDefault="000401A7" w:rsidP="00E6526D">
      <w:pPr>
        <w:pStyle w:val="NormalWeb"/>
        <w:spacing w:line="360" w:lineRule="auto"/>
        <w:rPr>
          <w:rFonts w:ascii="Arial" w:hAnsi="Arial" w:cs="Arial"/>
          <w:sz w:val="22"/>
          <w:szCs w:val="22"/>
        </w:rPr>
      </w:pPr>
      <w:r w:rsidRPr="00B462CD">
        <w:rPr>
          <w:rFonts w:ascii="Arial" w:hAnsi="Arial" w:cs="Arial"/>
          <w:sz w:val="22"/>
          <w:szCs w:val="22"/>
        </w:rPr>
        <w:t xml:space="preserve">This dissertation investigates the health outcomes of adult Black, Asian, and Minority Ethnic (BAME) migrants in East London, applying a </w:t>
      </w:r>
      <w:r w:rsidR="000202D7" w:rsidRPr="00B462CD">
        <w:rPr>
          <w:rFonts w:ascii="Arial" w:hAnsi="Arial" w:cs="Arial"/>
          <w:sz w:val="22"/>
          <w:szCs w:val="22"/>
        </w:rPr>
        <w:t>social determinant</w:t>
      </w:r>
      <w:r w:rsidRPr="00B462CD">
        <w:rPr>
          <w:rFonts w:ascii="Arial" w:hAnsi="Arial" w:cs="Arial"/>
          <w:sz w:val="22"/>
          <w:szCs w:val="22"/>
        </w:rPr>
        <w:t xml:space="preserve"> of health (SDH) lens and positioning immigration status as a key structural determinant of well-being. It critiques explanations attributing health disparities solely to individual </w:t>
      </w:r>
      <w:proofErr w:type="spellStart"/>
      <w:r w:rsidRPr="00B462CD">
        <w:rPr>
          <w:rFonts w:ascii="Arial" w:hAnsi="Arial" w:cs="Arial"/>
          <w:sz w:val="22"/>
          <w:szCs w:val="22"/>
        </w:rPr>
        <w:t>behaviours</w:t>
      </w:r>
      <w:proofErr w:type="spellEnd"/>
      <w:r w:rsidRPr="00B462CD">
        <w:rPr>
          <w:rFonts w:ascii="Arial" w:hAnsi="Arial" w:cs="Arial"/>
          <w:sz w:val="22"/>
          <w:szCs w:val="22"/>
        </w:rPr>
        <w:t xml:space="preserve"> or cultural traits, situating inequalities within socio-economic, political, and institutional contexts, including </w:t>
      </w:r>
      <w:proofErr w:type="spellStart"/>
      <w:r w:rsidRPr="00B462CD">
        <w:rPr>
          <w:rFonts w:ascii="Arial" w:hAnsi="Arial" w:cs="Arial"/>
          <w:sz w:val="22"/>
          <w:szCs w:val="22"/>
        </w:rPr>
        <w:t>labour</w:t>
      </w:r>
      <w:proofErr w:type="spellEnd"/>
      <w:r w:rsidRPr="00B462CD">
        <w:rPr>
          <w:rFonts w:ascii="Arial" w:hAnsi="Arial" w:cs="Arial"/>
          <w:sz w:val="22"/>
          <w:szCs w:val="22"/>
        </w:rPr>
        <w:t xml:space="preserve"> market dynamics, housing instability, employment conditions, and differential access to healthcare and welfare systems.</w:t>
      </w:r>
    </w:p>
    <w:p w14:paraId="5AE1ADCF" w14:textId="41984578" w:rsidR="000401A7" w:rsidRPr="00B462CD" w:rsidRDefault="00F87B66" w:rsidP="00E6526D">
      <w:pPr>
        <w:pStyle w:val="NormalWeb"/>
        <w:spacing w:line="360" w:lineRule="auto"/>
        <w:rPr>
          <w:rFonts w:ascii="Arial" w:hAnsi="Arial" w:cs="Arial"/>
          <w:sz w:val="22"/>
          <w:szCs w:val="22"/>
        </w:rPr>
      </w:pPr>
      <w:r w:rsidRPr="00B462CD">
        <w:rPr>
          <w:rFonts w:ascii="Arial" w:hAnsi="Arial" w:cs="Arial"/>
          <w:sz w:val="22"/>
          <w:szCs w:val="22"/>
        </w:rPr>
        <w:t xml:space="preserve">The analytical framework integrates SDH scholarship with intersectionality and acculturation theory, </w:t>
      </w:r>
      <w:proofErr w:type="spellStart"/>
      <w:r w:rsidRPr="00B462CD">
        <w:rPr>
          <w:rFonts w:ascii="Arial" w:hAnsi="Arial" w:cs="Arial"/>
          <w:sz w:val="22"/>
          <w:szCs w:val="22"/>
        </w:rPr>
        <w:t>conceptualising</w:t>
      </w:r>
      <w:proofErr w:type="spellEnd"/>
      <w:r w:rsidRPr="00B462CD">
        <w:rPr>
          <w:rFonts w:ascii="Arial" w:hAnsi="Arial" w:cs="Arial"/>
          <w:sz w:val="22"/>
          <w:szCs w:val="22"/>
        </w:rPr>
        <w:t xml:space="preserve"> environmental change and cultural adaptation as processes shaped by structural conditions rather than personal choice. This approach addresses gaps in migration health research by elucidating how social, legal, </w:t>
      </w:r>
      <w:r w:rsidR="00C314CA" w:rsidRPr="00B462CD">
        <w:rPr>
          <w:rFonts w:ascii="Arial" w:hAnsi="Arial" w:cs="Arial"/>
          <w:sz w:val="22"/>
          <w:szCs w:val="22"/>
        </w:rPr>
        <w:t xml:space="preserve">cultural </w:t>
      </w:r>
      <w:r w:rsidRPr="00B462CD">
        <w:rPr>
          <w:rFonts w:ascii="Arial" w:hAnsi="Arial" w:cs="Arial"/>
          <w:sz w:val="22"/>
          <w:szCs w:val="22"/>
        </w:rPr>
        <w:t>and ecological factors interact to influence migrant health trajectories in urban settings.</w:t>
      </w:r>
    </w:p>
    <w:p w14:paraId="1ED5C826" w14:textId="77777777" w:rsidR="000401A7" w:rsidRPr="00B462CD" w:rsidRDefault="000401A7" w:rsidP="00E6526D">
      <w:pPr>
        <w:pStyle w:val="NormalWeb"/>
        <w:spacing w:line="360" w:lineRule="auto"/>
        <w:rPr>
          <w:rFonts w:ascii="Arial" w:hAnsi="Arial" w:cs="Arial"/>
          <w:sz w:val="22"/>
          <w:szCs w:val="22"/>
        </w:rPr>
      </w:pPr>
      <w:r w:rsidRPr="00B462CD">
        <w:rPr>
          <w:rFonts w:ascii="Arial" w:hAnsi="Arial" w:cs="Arial"/>
          <w:sz w:val="22"/>
          <w:szCs w:val="22"/>
        </w:rPr>
        <w:t xml:space="preserve">A qualitative, interpretivist methodology was employed, </w:t>
      </w:r>
      <w:proofErr w:type="spellStart"/>
      <w:r w:rsidRPr="00B462CD">
        <w:rPr>
          <w:rFonts w:ascii="Arial" w:hAnsi="Arial" w:cs="Arial"/>
          <w:sz w:val="22"/>
          <w:szCs w:val="22"/>
        </w:rPr>
        <w:t>utilising</w:t>
      </w:r>
      <w:proofErr w:type="spellEnd"/>
      <w:r w:rsidRPr="00B462CD">
        <w:rPr>
          <w:rFonts w:ascii="Arial" w:hAnsi="Arial" w:cs="Arial"/>
          <w:sz w:val="22"/>
          <w:szCs w:val="22"/>
        </w:rPr>
        <w:t xml:space="preserve"> in-depth semi-structured interviews with purposively selected participants. Ethical considerations and reflexivity informed the study design and analysis.</w:t>
      </w:r>
    </w:p>
    <w:p w14:paraId="0A6C2D81" w14:textId="77777777" w:rsidR="000401A7" w:rsidRPr="00B462CD" w:rsidRDefault="000401A7" w:rsidP="00E6526D">
      <w:pPr>
        <w:pStyle w:val="NormalWeb"/>
        <w:spacing w:line="360" w:lineRule="auto"/>
        <w:rPr>
          <w:rFonts w:ascii="Arial" w:hAnsi="Arial" w:cs="Arial"/>
          <w:sz w:val="22"/>
          <w:szCs w:val="22"/>
        </w:rPr>
      </w:pPr>
      <w:r w:rsidRPr="00B462CD">
        <w:rPr>
          <w:rFonts w:ascii="Arial" w:hAnsi="Arial" w:cs="Arial"/>
          <w:sz w:val="22"/>
          <w:szCs w:val="22"/>
        </w:rPr>
        <w:t>Findings indicate that immigration insecurity, administrative barriers, discrimination, and precarious housing could collectively limit healthcare access and adversely impact physical and mental health. These pressures may accumulate over time, reinforcing health inequities. Participants demonstrated adaptive capacities through faith-based networks, community engagement, and culturally informed coping strategies, though systemic conditions often constrained their effectiveness.</w:t>
      </w:r>
    </w:p>
    <w:p w14:paraId="3F182776" w14:textId="3C966FB2" w:rsidR="00926511" w:rsidRPr="00B462CD" w:rsidRDefault="00926511" w:rsidP="00E6526D">
      <w:pPr>
        <w:spacing w:after="0"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val="en-US" w:eastAsia="en-US"/>
          <w14:ligatures w14:val="none"/>
        </w:rPr>
        <w:t xml:space="preserve">The </w:t>
      </w:r>
      <w:r w:rsidR="00CF7898" w:rsidRPr="00B462CD">
        <w:rPr>
          <w:rFonts w:ascii="Arial" w:eastAsia="Times New Roman" w:hAnsi="Arial" w:cs="Arial"/>
          <w:kern w:val="0"/>
          <w:lang w:val="en-US" w:eastAsia="en-US"/>
          <w14:ligatures w14:val="none"/>
        </w:rPr>
        <w:t>conclusion</w:t>
      </w:r>
      <w:r w:rsidRPr="00B462CD">
        <w:rPr>
          <w:rFonts w:ascii="Arial" w:eastAsia="Times New Roman" w:hAnsi="Arial" w:cs="Arial"/>
          <w:kern w:val="0"/>
          <w:lang w:val="en-US" w:eastAsia="en-US"/>
          <w14:ligatures w14:val="none"/>
        </w:rPr>
        <w:t xml:space="preserve"> </w:t>
      </w:r>
      <w:r w:rsidR="005C32F8" w:rsidRPr="00B462CD">
        <w:rPr>
          <w:rFonts w:ascii="Arial" w:eastAsia="Times New Roman" w:hAnsi="Arial" w:cs="Arial"/>
          <w:kern w:val="0"/>
          <w:lang w:val="en-US" w:eastAsia="en-US"/>
          <w14:ligatures w14:val="none"/>
        </w:rPr>
        <w:t>highlights</w:t>
      </w:r>
      <w:r w:rsidRPr="00B462CD">
        <w:rPr>
          <w:rFonts w:ascii="Arial" w:eastAsia="Times New Roman" w:hAnsi="Arial" w:cs="Arial"/>
          <w:kern w:val="0"/>
          <w:lang w:val="en-US" w:eastAsia="en-US"/>
          <w14:ligatures w14:val="none"/>
        </w:rPr>
        <w:t xml:space="preserve"> the potential benefits of an intersectional, holistic approach by demonstrating the interaction of structural, environmental, cultural, and individual factors. To lessen immigration-related injustices, public health policy should give priority to structural and rights-based measures. The need for comprehensive, inclusive public health initiatives that are sensitive to the realities of diverse migrant populations is also highlighted. By expanding the analytical lens to include environmental and cultural factors, future research directions may improve understanding of migrant health disparities.</w:t>
      </w:r>
    </w:p>
    <w:p w14:paraId="12203296" w14:textId="77777777" w:rsidR="00791238" w:rsidRPr="00B462CD" w:rsidRDefault="00791238" w:rsidP="00E6526D">
      <w:pPr>
        <w:spacing w:line="360" w:lineRule="auto"/>
        <w:rPr>
          <w:rFonts w:ascii="Arial" w:hAnsi="Arial" w:cs="Arial"/>
          <w:color w:val="EE0000"/>
        </w:rPr>
      </w:pPr>
    </w:p>
    <w:p w14:paraId="3C3132AD" w14:textId="77777777" w:rsidR="00797FCA" w:rsidRPr="00B462CD" w:rsidRDefault="00797FCA" w:rsidP="00E6526D">
      <w:pPr>
        <w:pStyle w:val="gds-typography"/>
        <w:spacing w:line="360" w:lineRule="auto"/>
        <w:rPr>
          <w:rFonts w:ascii="Arial" w:hAnsi="Arial" w:cs="Arial"/>
          <w:sz w:val="22"/>
          <w:szCs w:val="22"/>
          <w:lang w:val="en-GB"/>
        </w:rPr>
      </w:pPr>
    </w:p>
    <w:p w14:paraId="6EBBA24D" w14:textId="77777777" w:rsidR="00FA791B" w:rsidRPr="00B462CD" w:rsidRDefault="00FA791B" w:rsidP="00E6526D">
      <w:pPr>
        <w:spacing w:before="100" w:beforeAutospacing="1" w:after="100" w:afterAutospacing="1" w:line="360" w:lineRule="auto"/>
        <w:outlineLvl w:val="1"/>
        <w:rPr>
          <w:rFonts w:ascii="Arial" w:eastAsia="Times New Roman" w:hAnsi="Arial" w:cs="Arial"/>
          <w:b/>
          <w:bCs/>
          <w:kern w:val="0"/>
          <w:lang w:eastAsia="en-US"/>
          <w14:ligatures w14:val="none"/>
        </w:rPr>
      </w:pPr>
    </w:p>
    <w:p w14:paraId="0FD4AEAA" w14:textId="2F4E5065" w:rsidR="009F64C5" w:rsidRPr="00B462CD" w:rsidRDefault="009F64C5" w:rsidP="00E6526D">
      <w:pPr>
        <w:spacing w:after="158" w:line="360" w:lineRule="auto"/>
        <w:ind w:left="49"/>
        <w:rPr>
          <w:rFonts w:ascii="Arial" w:eastAsia="Calibri" w:hAnsi="Arial" w:cs="Arial"/>
        </w:rPr>
      </w:pPr>
    </w:p>
    <w:p w14:paraId="4D88A967" w14:textId="77777777" w:rsidR="00416F4B" w:rsidRPr="00B462CD" w:rsidRDefault="00416F4B" w:rsidP="00E6526D">
      <w:pPr>
        <w:spacing w:line="360" w:lineRule="auto"/>
        <w:rPr>
          <w:rFonts w:ascii="Arial" w:eastAsia="Calibri" w:hAnsi="Arial" w:cs="Arial"/>
        </w:rPr>
      </w:pPr>
    </w:p>
    <w:p w14:paraId="05DA0DE8" w14:textId="77777777" w:rsidR="00416F4B" w:rsidRPr="00B462CD" w:rsidRDefault="00416F4B" w:rsidP="00E6526D">
      <w:pPr>
        <w:spacing w:line="360" w:lineRule="auto"/>
        <w:rPr>
          <w:rFonts w:ascii="Arial" w:eastAsia="Calibri" w:hAnsi="Arial" w:cs="Arial"/>
        </w:rPr>
      </w:pPr>
    </w:p>
    <w:sdt>
      <w:sdtPr>
        <w:rPr>
          <w:rFonts w:ascii="Arial" w:eastAsiaTheme="minorEastAsia" w:hAnsi="Arial" w:cs="Arial"/>
          <w:color w:val="auto"/>
          <w:kern w:val="2"/>
          <w:sz w:val="22"/>
          <w:szCs w:val="22"/>
          <w:lang w:val="en-GB" w:eastAsia="zh-CN"/>
          <w14:ligatures w14:val="standardContextual"/>
        </w:rPr>
        <w:id w:val="61684849"/>
        <w:docPartObj>
          <w:docPartGallery w:val="Table of Contents"/>
          <w:docPartUnique/>
        </w:docPartObj>
      </w:sdtPr>
      <w:sdtContent>
        <w:p w14:paraId="2C527B6A" w14:textId="70C704C4" w:rsidR="00041FAF" w:rsidRPr="00B462CD" w:rsidRDefault="004E69A3" w:rsidP="00E6526D">
          <w:pPr>
            <w:pStyle w:val="TOCHeading"/>
            <w:spacing w:line="360" w:lineRule="auto"/>
            <w:rPr>
              <w:rFonts w:ascii="Arial" w:hAnsi="Arial" w:cs="Arial"/>
              <w:color w:val="auto"/>
              <w:sz w:val="22"/>
              <w:szCs w:val="22"/>
              <w:lang w:val="en-GB"/>
            </w:rPr>
          </w:pPr>
          <w:r w:rsidRPr="00B462CD">
            <w:rPr>
              <w:rFonts w:ascii="Arial" w:eastAsiaTheme="minorEastAsia" w:hAnsi="Arial" w:cs="Arial"/>
              <w:color w:val="auto"/>
              <w:kern w:val="2"/>
              <w:sz w:val="22"/>
              <w:szCs w:val="22"/>
              <w:lang w:val="en-GB" w:eastAsia="zh-CN"/>
              <w14:ligatures w14:val="standardContextual"/>
            </w:rPr>
            <w:t xml:space="preserve">Table of </w:t>
          </w:r>
          <w:r w:rsidR="00041FAF" w:rsidRPr="00B462CD">
            <w:rPr>
              <w:rFonts w:ascii="Arial" w:hAnsi="Arial" w:cs="Arial"/>
              <w:color w:val="auto"/>
              <w:sz w:val="22"/>
              <w:szCs w:val="22"/>
              <w:lang w:val="en-GB"/>
            </w:rPr>
            <w:t>Contents</w:t>
          </w:r>
        </w:p>
        <w:p w14:paraId="36036DC9" w14:textId="2EE4DD78" w:rsidR="001F1BDF" w:rsidRPr="00B462CD" w:rsidRDefault="00041FAF" w:rsidP="00E6526D">
          <w:pPr>
            <w:pStyle w:val="TOC2"/>
            <w:tabs>
              <w:tab w:val="right" w:leader="dot" w:pos="9016"/>
            </w:tabs>
            <w:spacing w:line="360" w:lineRule="auto"/>
            <w:ind w:left="0"/>
            <w:rPr>
              <w:rFonts w:ascii="Arial" w:hAnsi="Arial" w:cs="Arial"/>
              <w:noProof/>
              <w:lang w:eastAsia="en-US"/>
            </w:rPr>
          </w:pPr>
          <w:r w:rsidRPr="00B462CD">
            <w:rPr>
              <w:rFonts w:ascii="Arial" w:hAnsi="Arial" w:cs="Arial"/>
            </w:rPr>
            <w:fldChar w:fldCharType="begin"/>
          </w:r>
          <w:r w:rsidRPr="00B462CD">
            <w:rPr>
              <w:rFonts w:ascii="Arial" w:hAnsi="Arial" w:cs="Arial"/>
            </w:rPr>
            <w:instrText xml:space="preserve"> TOC \o "1-3" \h \z \u </w:instrText>
          </w:r>
          <w:r w:rsidRPr="00B462CD">
            <w:rPr>
              <w:rFonts w:ascii="Arial" w:hAnsi="Arial" w:cs="Arial"/>
            </w:rPr>
            <w:fldChar w:fldCharType="separate"/>
          </w:r>
          <w:hyperlink w:anchor="_Toc220428636" w:history="1">
            <w:r w:rsidR="001F1BDF" w:rsidRPr="00B462CD">
              <w:rPr>
                <w:rStyle w:val="Hyperlink"/>
                <w:rFonts w:ascii="Arial" w:hAnsi="Arial" w:cs="Arial"/>
                <w:noProof/>
                <w:color w:val="auto"/>
              </w:rPr>
              <w:t>The Influence of Immigration Status on the General Health Outcomes of Adult BAME Migrants in East London:</w:t>
            </w:r>
            <w:r w:rsidR="001F1BDF" w:rsidRPr="00B462CD">
              <w:rPr>
                <w:rFonts w:ascii="Arial" w:hAnsi="Arial" w:cs="Arial"/>
                <w:noProof/>
                <w:webHidden/>
              </w:rPr>
              <w:tab/>
            </w:r>
            <w:r w:rsidR="001F1BDF" w:rsidRPr="00B462CD">
              <w:rPr>
                <w:rFonts w:ascii="Arial" w:hAnsi="Arial" w:cs="Arial"/>
                <w:noProof/>
                <w:webHidden/>
              </w:rPr>
              <w:fldChar w:fldCharType="begin"/>
            </w:r>
            <w:r w:rsidR="001F1BDF" w:rsidRPr="00B462CD">
              <w:rPr>
                <w:rFonts w:ascii="Arial" w:hAnsi="Arial" w:cs="Arial"/>
                <w:noProof/>
                <w:webHidden/>
              </w:rPr>
              <w:instrText xml:space="preserve"> PAGEREF _Toc220428636 \h </w:instrText>
            </w:r>
            <w:r w:rsidR="001F1BDF" w:rsidRPr="00B462CD">
              <w:rPr>
                <w:rFonts w:ascii="Arial" w:hAnsi="Arial" w:cs="Arial"/>
                <w:noProof/>
                <w:webHidden/>
              </w:rPr>
            </w:r>
            <w:r w:rsidR="001F1BDF" w:rsidRPr="00B462CD">
              <w:rPr>
                <w:rFonts w:ascii="Arial" w:hAnsi="Arial" w:cs="Arial"/>
                <w:noProof/>
                <w:webHidden/>
              </w:rPr>
              <w:fldChar w:fldCharType="separate"/>
            </w:r>
            <w:r w:rsidR="00BB1BE4" w:rsidRPr="00B462CD">
              <w:rPr>
                <w:rFonts w:ascii="Arial" w:hAnsi="Arial" w:cs="Arial"/>
                <w:noProof/>
                <w:webHidden/>
              </w:rPr>
              <w:t>1</w:t>
            </w:r>
            <w:r w:rsidR="001F1BDF" w:rsidRPr="00B462CD">
              <w:rPr>
                <w:rFonts w:ascii="Arial" w:hAnsi="Arial" w:cs="Arial"/>
                <w:noProof/>
                <w:webHidden/>
              </w:rPr>
              <w:fldChar w:fldCharType="end"/>
            </w:r>
          </w:hyperlink>
        </w:p>
        <w:p w14:paraId="3C97948E" w14:textId="6AC9AA7A"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37" w:history="1">
            <w:r w:rsidRPr="00B462CD">
              <w:rPr>
                <w:rStyle w:val="Hyperlink"/>
                <w:rFonts w:ascii="Arial" w:eastAsia="Times New Roman" w:hAnsi="Arial" w:cs="Arial"/>
                <w:noProof/>
                <w:color w:val="auto"/>
              </w:rPr>
              <w:t>A QUALITATIVE PUBLIC HEALTH STUDY.</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_Toc220428637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w:t>
            </w:r>
            <w:r w:rsidRPr="00B462CD">
              <w:rPr>
                <w:rFonts w:ascii="Arial" w:hAnsi="Arial" w:cs="Arial"/>
                <w:noProof/>
                <w:webHidden/>
              </w:rPr>
              <w:fldChar w:fldCharType="end"/>
            </w:r>
          </w:hyperlink>
        </w:p>
        <w:p w14:paraId="1E2AF1F1" w14:textId="0E637692" w:rsidR="001F1BDF" w:rsidRPr="00B462CD" w:rsidRDefault="001F1BDF" w:rsidP="00E6526D">
          <w:pPr>
            <w:pStyle w:val="TOC2"/>
            <w:tabs>
              <w:tab w:val="right" w:leader="dot" w:pos="9016"/>
            </w:tabs>
            <w:spacing w:line="360" w:lineRule="auto"/>
            <w:ind w:left="0"/>
            <w:rPr>
              <w:rFonts w:ascii="Arial" w:hAnsi="Arial" w:cs="Arial"/>
              <w:noProof/>
            </w:rPr>
          </w:pPr>
          <w:hyperlink w:anchor="_Toc220428638" w:history="1">
            <w:r w:rsidRPr="00B462CD">
              <w:rPr>
                <w:rStyle w:val="Hyperlink"/>
                <w:rFonts w:ascii="Arial" w:hAnsi="Arial" w:cs="Arial"/>
                <w:noProof/>
                <w:color w:val="auto"/>
              </w:rPr>
              <w:t>Acknowledgements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_Toc220428638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w:t>
            </w:r>
            <w:r w:rsidRPr="00B462CD">
              <w:rPr>
                <w:rFonts w:ascii="Arial" w:hAnsi="Arial" w:cs="Arial"/>
                <w:noProof/>
                <w:webHidden/>
              </w:rPr>
              <w:fldChar w:fldCharType="end"/>
            </w:r>
          </w:hyperlink>
        </w:p>
        <w:p w14:paraId="70722A08" w14:textId="10051444" w:rsidR="00ED5C32" w:rsidRPr="00B462CD" w:rsidRDefault="00ED5C32" w:rsidP="00E6526D">
          <w:pPr>
            <w:spacing w:line="360" w:lineRule="auto"/>
            <w:rPr>
              <w:rFonts w:ascii="Arial" w:hAnsi="Arial" w:cs="Arial"/>
              <w:noProof/>
            </w:rPr>
          </w:pPr>
          <w:r w:rsidRPr="00B462CD">
            <w:rPr>
              <w:rFonts w:ascii="Arial" w:hAnsi="Arial" w:cs="Arial"/>
              <w:noProof/>
            </w:rPr>
            <w:t>Abstract……………………………………………………………………………………………….4</w:t>
          </w:r>
        </w:p>
        <w:p w14:paraId="395CCDA7" w14:textId="319F08DA" w:rsidR="00564027" w:rsidRPr="00B462CD" w:rsidRDefault="00564027" w:rsidP="00E6526D">
          <w:pPr>
            <w:spacing w:line="360" w:lineRule="auto"/>
            <w:rPr>
              <w:rFonts w:ascii="Arial" w:hAnsi="Arial" w:cs="Arial"/>
              <w:noProof/>
            </w:rPr>
          </w:pPr>
          <w:r w:rsidRPr="00B462CD">
            <w:rPr>
              <w:rFonts w:ascii="Arial" w:hAnsi="Arial" w:cs="Arial"/>
              <w:noProof/>
            </w:rPr>
            <w:t>Table o</w:t>
          </w:r>
          <w:r w:rsidR="004F4F16" w:rsidRPr="00B462CD">
            <w:rPr>
              <w:rFonts w:ascii="Arial" w:hAnsi="Arial" w:cs="Arial"/>
              <w:noProof/>
            </w:rPr>
            <w:t>f</w:t>
          </w:r>
          <w:r w:rsidRPr="00B462CD">
            <w:rPr>
              <w:rFonts w:ascii="Arial" w:hAnsi="Arial" w:cs="Arial"/>
              <w:noProof/>
            </w:rPr>
            <w:t xml:space="preserve"> Con</w:t>
          </w:r>
          <w:r w:rsidR="000F4283" w:rsidRPr="00B462CD">
            <w:rPr>
              <w:rFonts w:ascii="Arial" w:hAnsi="Arial" w:cs="Arial"/>
              <w:noProof/>
            </w:rPr>
            <w:t>tent………………………………………………………………………………….</w:t>
          </w:r>
          <w:r w:rsidR="000216D6" w:rsidRPr="00B462CD">
            <w:rPr>
              <w:rFonts w:ascii="Arial" w:hAnsi="Arial" w:cs="Arial"/>
              <w:noProof/>
            </w:rPr>
            <w:t>.</w:t>
          </w:r>
          <w:r w:rsidR="000F4283" w:rsidRPr="00B462CD">
            <w:rPr>
              <w:rFonts w:ascii="Arial" w:hAnsi="Arial" w:cs="Arial"/>
              <w:noProof/>
            </w:rPr>
            <w:t>.5</w:t>
          </w:r>
        </w:p>
        <w:p w14:paraId="709062AB" w14:textId="0C00D83D" w:rsidR="001F1BDF" w:rsidRPr="00B462CD" w:rsidRDefault="001F1BDF" w:rsidP="00E6526D">
          <w:pPr>
            <w:pStyle w:val="TOC1"/>
            <w:tabs>
              <w:tab w:val="right" w:leader="dot" w:pos="9016"/>
            </w:tabs>
            <w:spacing w:line="360" w:lineRule="auto"/>
            <w:rPr>
              <w:rFonts w:ascii="Arial" w:eastAsiaTheme="minorEastAsia" w:hAnsi="Arial" w:cs="Arial"/>
              <w:noProof/>
              <w:color w:val="auto"/>
              <w:sz w:val="22"/>
              <w:lang w:eastAsia="en-US"/>
            </w:rPr>
          </w:pPr>
          <w:hyperlink w:anchor="_Toc220428639" w:history="1">
            <w:r w:rsidRPr="00B462CD">
              <w:rPr>
                <w:rStyle w:val="Hyperlink"/>
                <w:rFonts w:ascii="Arial" w:hAnsi="Arial" w:cs="Arial"/>
                <w:noProof/>
                <w:color w:val="auto"/>
                <w:sz w:val="22"/>
              </w:rPr>
              <w:t>List of figures</w:t>
            </w:r>
            <w:r w:rsidRPr="00B462CD">
              <w:rPr>
                <w:rFonts w:ascii="Arial" w:hAnsi="Arial" w:cs="Arial"/>
                <w:noProof/>
                <w:webHidden/>
                <w:color w:val="auto"/>
                <w:sz w:val="22"/>
              </w:rPr>
              <w:tab/>
            </w:r>
            <w:r w:rsidRPr="00B462CD">
              <w:rPr>
                <w:rFonts w:ascii="Arial" w:hAnsi="Arial" w:cs="Arial"/>
                <w:noProof/>
                <w:webHidden/>
                <w:color w:val="auto"/>
                <w:sz w:val="22"/>
              </w:rPr>
              <w:fldChar w:fldCharType="begin"/>
            </w:r>
            <w:r w:rsidRPr="00B462CD">
              <w:rPr>
                <w:rFonts w:ascii="Arial" w:hAnsi="Arial" w:cs="Arial"/>
                <w:noProof/>
                <w:webHidden/>
                <w:color w:val="auto"/>
                <w:sz w:val="22"/>
              </w:rPr>
              <w:instrText xml:space="preserve"> PAGEREF _Toc220428639 \h </w:instrText>
            </w:r>
            <w:r w:rsidRPr="00B462CD">
              <w:rPr>
                <w:rFonts w:ascii="Arial" w:hAnsi="Arial" w:cs="Arial"/>
                <w:noProof/>
                <w:webHidden/>
                <w:color w:val="auto"/>
                <w:sz w:val="22"/>
              </w:rPr>
            </w:r>
            <w:r w:rsidRPr="00B462CD">
              <w:rPr>
                <w:rFonts w:ascii="Arial" w:hAnsi="Arial" w:cs="Arial"/>
                <w:noProof/>
                <w:webHidden/>
                <w:color w:val="auto"/>
                <w:sz w:val="22"/>
              </w:rPr>
              <w:fldChar w:fldCharType="separate"/>
            </w:r>
            <w:r w:rsidR="00BB1BE4" w:rsidRPr="00B462CD">
              <w:rPr>
                <w:rFonts w:ascii="Arial" w:hAnsi="Arial" w:cs="Arial"/>
                <w:noProof/>
                <w:webHidden/>
                <w:color w:val="auto"/>
                <w:sz w:val="22"/>
              </w:rPr>
              <w:t>9</w:t>
            </w:r>
            <w:r w:rsidRPr="00B462CD">
              <w:rPr>
                <w:rFonts w:ascii="Arial" w:hAnsi="Arial" w:cs="Arial"/>
                <w:noProof/>
                <w:webHidden/>
                <w:color w:val="auto"/>
                <w:sz w:val="22"/>
              </w:rPr>
              <w:fldChar w:fldCharType="end"/>
            </w:r>
          </w:hyperlink>
        </w:p>
        <w:p w14:paraId="6E263C32" w14:textId="213B6503" w:rsidR="001F1BDF" w:rsidRPr="00B462CD" w:rsidRDefault="001F1BDF" w:rsidP="00E6526D">
          <w:pPr>
            <w:pStyle w:val="TOC1"/>
            <w:tabs>
              <w:tab w:val="right" w:leader="dot" w:pos="9016"/>
            </w:tabs>
            <w:spacing w:line="360" w:lineRule="auto"/>
            <w:rPr>
              <w:rFonts w:ascii="Arial" w:eastAsiaTheme="minorEastAsia" w:hAnsi="Arial" w:cs="Arial"/>
              <w:noProof/>
              <w:color w:val="auto"/>
              <w:sz w:val="22"/>
              <w:lang w:eastAsia="en-US"/>
            </w:rPr>
          </w:pPr>
          <w:hyperlink w:anchor="_Toc220428640" w:history="1">
            <w:r w:rsidRPr="00B462CD">
              <w:rPr>
                <w:rStyle w:val="Hyperlink"/>
                <w:rFonts w:ascii="Arial" w:hAnsi="Arial" w:cs="Arial"/>
                <w:noProof/>
                <w:color w:val="auto"/>
                <w:sz w:val="22"/>
              </w:rPr>
              <w:t>List of tables</w:t>
            </w:r>
            <w:r w:rsidRPr="00B462CD">
              <w:rPr>
                <w:rFonts w:ascii="Arial" w:hAnsi="Arial" w:cs="Arial"/>
                <w:noProof/>
                <w:webHidden/>
                <w:color w:val="auto"/>
                <w:sz w:val="22"/>
              </w:rPr>
              <w:tab/>
            </w:r>
            <w:r w:rsidRPr="00B462CD">
              <w:rPr>
                <w:rFonts w:ascii="Arial" w:hAnsi="Arial" w:cs="Arial"/>
                <w:noProof/>
                <w:webHidden/>
                <w:color w:val="auto"/>
                <w:sz w:val="22"/>
              </w:rPr>
              <w:fldChar w:fldCharType="begin"/>
            </w:r>
            <w:r w:rsidRPr="00B462CD">
              <w:rPr>
                <w:rFonts w:ascii="Arial" w:hAnsi="Arial" w:cs="Arial"/>
                <w:noProof/>
                <w:webHidden/>
                <w:color w:val="auto"/>
                <w:sz w:val="22"/>
              </w:rPr>
              <w:instrText xml:space="preserve"> PAGEREF _Toc220428640 \h </w:instrText>
            </w:r>
            <w:r w:rsidRPr="00B462CD">
              <w:rPr>
                <w:rFonts w:ascii="Arial" w:hAnsi="Arial" w:cs="Arial"/>
                <w:noProof/>
                <w:webHidden/>
                <w:color w:val="auto"/>
                <w:sz w:val="22"/>
              </w:rPr>
            </w:r>
            <w:r w:rsidRPr="00B462CD">
              <w:rPr>
                <w:rFonts w:ascii="Arial" w:hAnsi="Arial" w:cs="Arial"/>
                <w:noProof/>
                <w:webHidden/>
                <w:color w:val="auto"/>
                <w:sz w:val="22"/>
              </w:rPr>
              <w:fldChar w:fldCharType="separate"/>
            </w:r>
            <w:r w:rsidR="00BB1BE4" w:rsidRPr="00B462CD">
              <w:rPr>
                <w:rFonts w:ascii="Arial" w:hAnsi="Arial" w:cs="Arial"/>
                <w:noProof/>
                <w:webHidden/>
                <w:color w:val="auto"/>
                <w:sz w:val="22"/>
              </w:rPr>
              <w:t>10</w:t>
            </w:r>
            <w:r w:rsidRPr="00B462CD">
              <w:rPr>
                <w:rFonts w:ascii="Arial" w:hAnsi="Arial" w:cs="Arial"/>
                <w:noProof/>
                <w:webHidden/>
                <w:color w:val="auto"/>
                <w:sz w:val="22"/>
              </w:rPr>
              <w:fldChar w:fldCharType="end"/>
            </w:r>
          </w:hyperlink>
        </w:p>
        <w:p w14:paraId="4BE03097" w14:textId="1EB5547F" w:rsidR="001F1BDF" w:rsidRPr="00B462CD" w:rsidRDefault="001F1BDF" w:rsidP="00E6526D">
          <w:pPr>
            <w:pStyle w:val="TOC1"/>
            <w:tabs>
              <w:tab w:val="right" w:leader="dot" w:pos="9016"/>
            </w:tabs>
            <w:spacing w:line="360" w:lineRule="auto"/>
            <w:rPr>
              <w:rFonts w:ascii="Arial" w:eastAsiaTheme="minorEastAsia" w:hAnsi="Arial" w:cs="Arial"/>
              <w:noProof/>
              <w:color w:val="auto"/>
              <w:sz w:val="22"/>
              <w:lang w:eastAsia="en-US"/>
            </w:rPr>
          </w:pPr>
          <w:hyperlink w:anchor="_Toc220428641" w:history="1">
            <w:r w:rsidRPr="00B462CD">
              <w:rPr>
                <w:rStyle w:val="Hyperlink"/>
                <w:rFonts w:ascii="Arial" w:hAnsi="Arial" w:cs="Arial"/>
                <w:noProof/>
                <w:color w:val="auto"/>
                <w:sz w:val="22"/>
              </w:rPr>
              <w:t>List of abbreviations</w:t>
            </w:r>
            <w:r w:rsidRPr="00B462CD">
              <w:rPr>
                <w:rFonts w:ascii="Arial" w:hAnsi="Arial" w:cs="Arial"/>
                <w:noProof/>
                <w:webHidden/>
                <w:color w:val="auto"/>
                <w:sz w:val="22"/>
              </w:rPr>
              <w:tab/>
            </w:r>
            <w:r w:rsidRPr="00B462CD">
              <w:rPr>
                <w:rFonts w:ascii="Arial" w:hAnsi="Arial" w:cs="Arial"/>
                <w:noProof/>
                <w:webHidden/>
                <w:color w:val="auto"/>
                <w:sz w:val="22"/>
              </w:rPr>
              <w:fldChar w:fldCharType="begin"/>
            </w:r>
            <w:r w:rsidRPr="00B462CD">
              <w:rPr>
                <w:rFonts w:ascii="Arial" w:hAnsi="Arial" w:cs="Arial"/>
                <w:noProof/>
                <w:webHidden/>
                <w:color w:val="auto"/>
                <w:sz w:val="22"/>
              </w:rPr>
              <w:instrText xml:space="preserve"> PAGEREF _Toc220428641 \h </w:instrText>
            </w:r>
            <w:r w:rsidRPr="00B462CD">
              <w:rPr>
                <w:rFonts w:ascii="Arial" w:hAnsi="Arial" w:cs="Arial"/>
                <w:noProof/>
                <w:webHidden/>
                <w:color w:val="auto"/>
                <w:sz w:val="22"/>
              </w:rPr>
            </w:r>
            <w:r w:rsidRPr="00B462CD">
              <w:rPr>
                <w:rFonts w:ascii="Arial" w:hAnsi="Arial" w:cs="Arial"/>
                <w:noProof/>
                <w:webHidden/>
                <w:color w:val="auto"/>
                <w:sz w:val="22"/>
              </w:rPr>
              <w:fldChar w:fldCharType="separate"/>
            </w:r>
            <w:r w:rsidR="00BB1BE4" w:rsidRPr="00B462CD">
              <w:rPr>
                <w:rFonts w:ascii="Arial" w:hAnsi="Arial" w:cs="Arial"/>
                <w:noProof/>
                <w:webHidden/>
                <w:color w:val="auto"/>
                <w:sz w:val="22"/>
              </w:rPr>
              <w:t>11</w:t>
            </w:r>
            <w:r w:rsidRPr="00B462CD">
              <w:rPr>
                <w:rFonts w:ascii="Arial" w:hAnsi="Arial" w:cs="Arial"/>
                <w:noProof/>
                <w:webHidden/>
                <w:color w:val="auto"/>
                <w:sz w:val="22"/>
              </w:rPr>
              <w:fldChar w:fldCharType="end"/>
            </w:r>
          </w:hyperlink>
        </w:p>
        <w:p w14:paraId="72B4F661" w14:textId="06075F3D" w:rsidR="001F1BDF" w:rsidRPr="00B462CD" w:rsidRDefault="001F1BDF" w:rsidP="00E6526D">
          <w:pPr>
            <w:pStyle w:val="TOC3"/>
            <w:tabs>
              <w:tab w:val="right" w:leader="dot" w:pos="9016"/>
            </w:tabs>
            <w:spacing w:line="360" w:lineRule="auto"/>
            <w:ind w:left="0"/>
            <w:rPr>
              <w:rFonts w:ascii="Arial" w:hAnsi="Arial" w:cs="Arial"/>
              <w:noProof/>
            </w:rPr>
          </w:pPr>
          <w:hyperlink w:anchor="_Toc220428642" w:history="1">
            <w:r w:rsidRPr="00B462CD">
              <w:rPr>
                <w:rStyle w:val="Hyperlink"/>
                <w:rFonts w:ascii="Arial" w:eastAsia="Times New Roman" w:hAnsi="Arial" w:cs="Arial"/>
                <w:noProof/>
                <w:color w:val="auto"/>
              </w:rPr>
              <w:t>1.1 Background and Context</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12</w:t>
            </w:r>
            <w:r w:rsidRPr="00B462CD">
              <w:rPr>
                <w:rFonts w:ascii="Arial" w:hAnsi="Arial" w:cs="Arial"/>
                <w:noProof/>
                <w:webHidden/>
              </w:rPr>
              <w:fldChar w:fldCharType="end"/>
            </w:r>
          </w:hyperlink>
        </w:p>
        <w:p w14:paraId="2D705553" w14:textId="51DA1E95" w:rsidR="00AE08C9" w:rsidRPr="00B462CD" w:rsidRDefault="00AE08C9" w:rsidP="00E6526D">
          <w:pPr>
            <w:spacing w:line="360" w:lineRule="auto"/>
            <w:rPr>
              <w:rFonts w:ascii="Arial" w:hAnsi="Arial" w:cs="Arial"/>
              <w:noProof/>
            </w:rPr>
          </w:pPr>
          <w:r w:rsidRPr="00B462CD">
            <w:rPr>
              <w:rFonts w:ascii="Arial" w:hAnsi="Arial" w:cs="Arial"/>
              <w:noProof/>
            </w:rPr>
            <w:t>1.2</w:t>
          </w:r>
          <w:r w:rsidR="00636D1C" w:rsidRPr="00B462CD">
            <w:rPr>
              <w:rFonts w:ascii="Arial" w:eastAsia="Times New Roman" w:hAnsi="Arial" w:cs="Arial"/>
              <w:noProof/>
            </w:rPr>
            <w:t>Key Concepts and Definitions……………………………………………………………</w:t>
          </w:r>
          <w:r w:rsidR="00C655F8" w:rsidRPr="00B462CD">
            <w:rPr>
              <w:rFonts w:ascii="Arial" w:eastAsia="Times New Roman" w:hAnsi="Arial" w:cs="Arial"/>
              <w:noProof/>
            </w:rPr>
            <w:t>…</w:t>
          </w:r>
          <w:r w:rsidR="004236DE" w:rsidRPr="00B462CD">
            <w:rPr>
              <w:rFonts w:ascii="Arial" w:eastAsia="Times New Roman" w:hAnsi="Arial" w:cs="Arial"/>
              <w:noProof/>
            </w:rPr>
            <w:t>..</w:t>
          </w:r>
          <w:r w:rsidR="00C655F8" w:rsidRPr="00B462CD">
            <w:rPr>
              <w:rFonts w:ascii="Arial" w:eastAsia="Times New Roman" w:hAnsi="Arial" w:cs="Arial"/>
              <w:noProof/>
            </w:rPr>
            <w:t>...</w:t>
          </w:r>
          <w:r w:rsidR="00636D1C" w:rsidRPr="00B462CD">
            <w:rPr>
              <w:rFonts w:ascii="Arial" w:eastAsia="Times New Roman" w:hAnsi="Arial" w:cs="Arial"/>
              <w:noProof/>
            </w:rPr>
            <w:t>12</w:t>
          </w:r>
        </w:p>
        <w:p w14:paraId="235CEC2A" w14:textId="501DBD35"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43" w:history="1">
            <w:r w:rsidRPr="00B462CD">
              <w:rPr>
                <w:rStyle w:val="Hyperlink"/>
                <w:rFonts w:ascii="Arial" w:eastAsia="Times New Roman" w:hAnsi="Arial" w:cs="Arial"/>
                <w:noProof/>
                <w:color w:val="auto"/>
              </w:rPr>
              <w:t>1.3 Theoretical Framework: Social Determinants of Health and Beyond</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_Toc220428643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14</w:t>
            </w:r>
            <w:r w:rsidRPr="00B462CD">
              <w:rPr>
                <w:rFonts w:ascii="Arial" w:hAnsi="Arial" w:cs="Arial"/>
                <w:noProof/>
                <w:webHidden/>
              </w:rPr>
              <w:fldChar w:fldCharType="end"/>
            </w:r>
          </w:hyperlink>
        </w:p>
        <w:p w14:paraId="3EDCC3BA" w14:textId="663D0C3C"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44" w:history="1">
            <w:r w:rsidRPr="00B462CD">
              <w:rPr>
                <w:rStyle w:val="Hyperlink"/>
                <w:rFonts w:ascii="Arial" w:eastAsia="Times New Roman" w:hAnsi="Arial" w:cs="Arial"/>
                <w:noProof/>
                <w:color w:val="auto"/>
              </w:rPr>
              <w:t>1.4 Literature Review and Research Gap</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_Toc220428644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15</w:t>
            </w:r>
            <w:r w:rsidRPr="00B462CD">
              <w:rPr>
                <w:rFonts w:ascii="Arial" w:hAnsi="Arial" w:cs="Arial"/>
                <w:noProof/>
                <w:webHidden/>
              </w:rPr>
              <w:fldChar w:fldCharType="end"/>
            </w:r>
          </w:hyperlink>
        </w:p>
        <w:p w14:paraId="364D8073" w14:textId="2829A2D6"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45" w:history="1">
            <w:r w:rsidRPr="00B462CD">
              <w:rPr>
                <w:rStyle w:val="Hyperlink"/>
                <w:rFonts w:ascii="Arial" w:eastAsia="Times New Roman" w:hAnsi="Arial" w:cs="Arial"/>
                <w:noProof/>
                <w:color w:val="auto"/>
              </w:rPr>
              <w:t>1.5 Rationale for the Study</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_Toc220428645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16</w:t>
            </w:r>
            <w:r w:rsidRPr="00B462CD">
              <w:rPr>
                <w:rFonts w:ascii="Arial" w:hAnsi="Arial" w:cs="Arial"/>
                <w:noProof/>
                <w:webHidden/>
              </w:rPr>
              <w:fldChar w:fldCharType="end"/>
            </w:r>
          </w:hyperlink>
        </w:p>
        <w:p w14:paraId="5645995D" w14:textId="0523196E"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46" w:history="1">
            <w:r w:rsidRPr="00B462CD">
              <w:rPr>
                <w:rStyle w:val="Hyperlink"/>
                <w:rFonts w:ascii="Arial" w:eastAsia="Times New Roman" w:hAnsi="Arial" w:cs="Arial"/>
                <w:noProof/>
                <w:color w:val="auto"/>
              </w:rPr>
              <w:t>Deprivation and Structural Challenges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_Toc220428646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16</w:t>
            </w:r>
            <w:r w:rsidRPr="00B462CD">
              <w:rPr>
                <w:rFonts w:ascii="Arial" w:hAnsi="Arial" w:cs="Arial"/>
                <w:noProof/>
                <w:webHidden/>
              </w:rPr>
              <w:fldChar w:fldCharType="end"/>
            </w:r>
          </w:hyperlink>
        </w:p>
        <w:p w14:paraId="4719599B" w14:textId="0873BA58"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47" w:history="1">
            <w:r w:rsidRPr="00B462CD">
              <w:rPr>
                <w:rStyle w:val="Hyperlink"/>
                <w:rFonts w:ascii="Arial" w:eastAsia="Times New Roman" w:hAnsi="Arial" w:cs="Arial"/>
                <w:noProof/>
                <w:color w:val="auto"/>
              </w:rPr>
              <w:t>1.6 Research Question, Aim, and Objectives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_Toc220428647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17</w:t>
            </w:r>
            <w:r w:rsidRPr="00B462CD">
              <w:rPr>
                <w:rFonts w:ascii="Arial" w:hAnsi="Arial" w:cs="Arial"/>
                <w:noProof/>
                <w:webHidden/>
              </w:rPr>
              <w:fldChar w:fldCharType="end"/>
            </w:r>
          </w:hyperlink>
        </w:p>
        <w:p w14:paraId="7F0ACD4C" w14:textId="6A627336" w:rsidR="00CB2B61" w:rsidRPr="00B462CD" w:rsidRDefault="001F1BDF" w:rsidP="00E6526D">
          <w:pPr>
            <w:pStyle w:val="TOC3"/>
            <w:tabs>
              <w:tab w:val="right" w:leader="dot" w:pos="9016"/>
            </w:tabs>
            <w:spacing w:line="360" w:lineRule="auto"/>
            <w:ind w:left="0"/>
            <w:rPr>
              <w:rFonts w:ascii="Arial" w:hAnsi="Arial" w:cs="Arial"/>
              <w:noProof/>
            </w:rPr>
          </w:pPr>
          <w:hyperlink w:anchor="_Toc220428648" w:history="1">
            <w:r w:rsidRPr="00B462CD">
              <w:rPr>
                <w:rStyle w:val="Hyperlink"/>
                <w:rFonts w:ascii="Arial" w:eastAsia="Times New Roman" w:hAnsi="Arial" w:cs="Arial"/>
                <w:noProof/>
                <w:color w:val="auto"/>
              </w:rPr>
              <w:t>1.7 Structure of the Dissertation</w:t>
            </w:r>
            <w:r w:rsidR="00A8153C" w:rsidRPr="00B462CD">
              <w:rPr>
                <w:rStyle w:val="Hyperlink"/>
                <w:rFonts w:ascii="Arial" w:eastAsia="Times New Roman" w:hAnsi="Arial" w:cs="Arial"/>
                <w:noProof/>
                <w:color w:val="auto"/>
              </w:rPr>
              <w:t>………………………………………………………</w:t>
            </w:r>
            <w:r w:rsidR="00C655F8" w:rsidRPr="00B462CD">
              <w:rPr>
                <w:rStyle w:val="Hyperlink"/>
                <w:rFonts w:ascii="Arial" w:eastAsia="Times New Roman" w:hAnsi="Arial" w:cs="Arial"/>
                <w:noProof/>
                <w:color w:val="auto"/>
              </w:rPr>
              <w:t>………</w:t>
            </w:r>
            <w:r w:rsidR="004236DE" w:rsidRPr="00B462CD">
              <w:rPr>
                <w:rStyle w:val="Hyperlink"/>
                <w:rFonts w:ascii="Arial" w:eastAsia="Times New Roman" w:hAnsi="Arial" w:cs="Arial"/>
                <w:noProof/>
                <w:color w:val="auto"/>
              </w:rPr>
              <w:t>…</w:t>
            </w:r>
            <w:r w:rsidR="00C655F8" w:rsidRPr="00B462CD">
              <w:rPr>
                <w:rStyle w:val="Hyperlink"/>
                <w:rFonts w:ascii="Arial" w:eastAsia="Times New Roman" w:hAnsi="Arial" w:cs="Arial"/>
                <w:noProof/>
                <w:color w:val="auto"/>
              </w:rPr>
              <w:t>..</w:t>
            </w:r>
            <w:r w:rsidR="00A8153C" w:rsidRPr="00B462CD">
              <w:rPr>
                <w:rStyle w:val="Hyperlink"/>
                <w:rFonts w:ascii="Arial" w:eastAsia="Times New Roman" w:hAnsi="Arial" w:cs="Arial"/>
                <w:noProof/>
                <w:color w:val="auto"/>
              </w:rPr>
              <w:t>.</w:t>
            </w:r>
            <w:r w:rsidRPr="00B462CD">
              <w:rPr>
                <w:rFonts w:ascii="Arial" w:hAnsi="Arial" w:cs="Arial"/>
                <w:noProof/>
                <w:webHidden/>
              </w:rPr>
              <w:fldChar w:fldCharType="begin"/>
            </w:r>
            <w:r w:rsidRPr="00B462CD">
              <w:rPr>
                <w:rFonts w:ascii="Arial" w:hAnsi="Arial" w:cs="Arial"/>
                <w:noProof/>
                <w:webHidden/>
              </w:rPr>
              <w:instrText xml:space="preserve"> PAGEREF _Toc220428648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18</w:t>
            </w:r>
            <w:r w:rsidRPr="00B462CD">
              <w:rPr>
                <w:rFonts w:ascii="Arial" w:hAnsi="Arial" w:cs="Arial"/>
                <w:noProof/>
                <w:webHidden/>
              </w:rPr>
              <w:fldChar w:fldCharType="end"/>
            </w:r>
          </w:hyperlink>
        </w:p>
        <w:p w14:paraId="49F23768" w14:textId="58057B37" w:rsidR="00290F04" w:rsidRPr="00B462CD" w:rsidRDefault="00290F04" w:rsidP="00E6526D">
          <w:pPr>
            <w:spacing w:before="120" w:after="120" w:line="360" w:lineRule="auto"/>
            <w:outlineLvl w:val="2"/>
            <w:rPr>
              <w:rFonts w:ascii="Arial" w:eastAsia="Times New Roman" w:hAnsi="Arial" w:cs="Arial"/>
              <w:b/>
              <w:bCs/>
              <w:noProof/>
            </w:rPr>
          </w:pPr>
          <w:r w:rsidRPr="00B462CD">
            <w:rPr>
              <w:rFonts w:ascii="Arial" w:hAnsi="Arial" w:cs="Arial"/>
              <w:noProof/>
            </w:rPr>
            <w:t xml:space="preserve">1.8 </w:t>
          </w:r>
          <w:r w:rsidRPr="00B462CD">
            <w:rPr>
              <w:rFonts w:ascii="Arial" w:eastAsia="Times New Roman" w:hAnsi="Arial" w:cs="Arial"/>
              <w:noProof/>
            </w:rPr>
            <w:t>Chapter Summary…………………………………………………………………</w:t>
          </w:r>
          <w:r w:rsidR="00C655F8" w:rsidRPr="00B462CD">
            <w:rPr>
              <w:rFonts w:ascii="Arial" w:eastAsia="Times New Roman" w:hAnsi="Arial" w:cs="Arial"/>
              <w:noProof/>
            </w:rPr>
            <w:t>…</w:t>
          </w:r>
          <w:r w:rsidRPr="00B462CD">
            <w:rPr>
              <w:rFonts w:ascii="Arial" w:eastAsia="Times New Roman" w:hAnsi="Arial" w:cs="Arial"/>
              <w:noProof/>
            </w:rPr>
            <w:t>……</w:t>
          </w:r>
          <w:r w:rsidR="004236DE" w:rsidRPr="00B462CD">
            <w:rPr>
              <w:rFonts w:ascii="Arial" w:eastAsia="Times New Roman" w:hAnsi="Arial" w:cs="Arial"/>
              <w:noProof/>
            </w:rPr>
            <w:t>…</w:t>
          </w:r>
          <w:r w:rsidRPr="00B462CD">
            <w:rPr>
              <w:rFonts w:ascii="Arial" w:eastAsia="Times New Roman" w:hAnsi="Arial" w:cs="Arial"/>
              <w:noProof/>
            </w:rPr>
            <w:t>.</w:t>
          </w:r>
          <w:r w:rsidR="009D5202" w:rsidRPr="00B462CD">
            <w:rPr>
              <w:rFonts w:ascii="Arial" w:eastAsia="Times New Roman" w:hAnsi="Arial" w:cs="Arial"/>
              <w:noProof/>
            </w:rPr>
            <w:t>17</w:t>
          </w:r>
        </w:p>
        <w:p w14:paraId="6E987F5E" w14:textId="2FDA3B7A" w:rsidR="007D14F3" w:rsidRPr="00B462CD" w:rsidRDefault="007D14F3" w:rsidP="00E6526D">
          <w:pPr>
            <w:pStyle w:val="TOC3"/>
            <w:tabs>
              <w:tab w:val="right" w:leader="dot" w:pos="9016"/>
            </w:tabs>
            <w:spacing w:line="360" w:lineRule="auto"/>
            <w:ind w:left="0"/>
            <w:rPr>
              <w:rFonts w:ascii="Arial" w:hAnsi="Arial" w:cs="Arial"/>
              <w:noProof/>
            </w:rPr>
          </w:pPr>
          <w:r w:rsidRPr="00B462CD">
            <w:rPr>
              <w:rFonts w:ascii="Arial" w:hAnsi="Arial" w:cs="Arial"/>
              <w:noProof/>
            </w:rPr>
            <w:t>2</w:t>
          </w:r>
          <w:r w:rsidR="00A709A7" w:rsidRPr="00B462CD">
            <w:rPr>
              <w:rFonts w:ascii="Arial" w:hAnsi="Arial" w:cs="Arial"/>
              <w:noProof/>
            </w:rPr>
            <w:t>.1</w:t>
          </w:r>
          <w:r w:rsidR="009F7D16" w:rsidRPr="00B462CD">
            <w:rPr>
              <w:rFonts w:ascii="Arial" w:hAnsi="Arial" w:cs="Arial"/>
              <w:noProof/>
            </w:rPr>
            <w:t xml:space="preserve"> Introduction………………………………………………………………………</w:t>
          </w:r>
          <w:r w:rsidR="00C655F8" w:rsidRPr="00B462CD">
            <w:rPr>
              <w:rFonts w:ascii="Arial" w:hAnsi="Arial" w:cs="Arial"/>
              <w:noProof/>
            </w:rPr>
            <w:t>………</w:t>
          </w:r>
          <w:r w:rsidR="004236DE" w:rsidRPr="00B462CD">
            <w:rPr>
              <w:rFonts w:ascii="Arial" w:hAnsi="Arial" w:cs="Arial"/>
              <w:noProof/>
            </w:rPr>
            <w:t>….</w:t>
          </w:r>
          <w:r w:rsidR="009F7D16" w:rsidRPr="00B462CD">
            <w:rPr>
              <w:rFonts w:ascii="Arial" w:hAnsi="Arial" w:cs="Arial"/>
              <w:noProof/>
            </w:rPr>
            <w:t>…..19</w:t>
          </w:r>
        </w:p>
        <w:p w14:paraId="3A34331C" w14:textId="551B10FD" w:rsidR="00476399" w:rsidRPr="00B462CD" w:rsidRDefault="00476399" w:rsidP="00E6526D">
          <w:pPr>
            <w:spacing w:line="360" w:lineRule="auto"/>
            <w:rPr>
              <w:rFonts w:ascii="Arial" w:hAnsi="Arial" w:cs="Arial"/>
              <w:noProof/>
            </w:rPr>
          </w:pPr>
          <w:r w:rsidRPr="00B462CD">
            <w:rPr>
              <w:rFonts w:ascii="Arial" w:hAnsi="Arial" w:cs="Arial"/>
              <w:noProof/>
            </w:rPr>
            <w:t>2.2</w:t>
          </w:r>
          <w:r w:rsidR="0009538B" w:rsidRPr="00B462CD">
            <w:rPr>
              <w:rFonts w:ascii="Arial" w:hAnsi="Arial" w:cs="Arial"/>
              <w:noProof/>
            </w:rPr>
            <w:t xml:space="preserve"> </w:t>
          </w:r>
          <w:r w:rsidR="00753052" w:rsidRPr="00B462CD">
            <w:rPr>
              <w:rFonts w:ascii="Arial" w:hAnsi="Arial" w:cs="Arial"/>
              <w:noProof/>
            </w:rPr>
            <w:t>Migration, Demographic Change, and Super-diversity in London………………</w:t>
          </w:r>
          <w:r w:rsidR="00C655F8" w:rsidRPr="00B462CD">
            <w:rPr>
              <w:rFonts w:ascii="Arial" w:hAnsi="Arial" w:cs="Arial"/>
              <w:noProof/>
            </w:rPr>
            <w:t>……</w:t>
          </w:r>
          <w:r w:rsidR="004236DE" w:rsidRPr="00B462CD">
            <w:rPr>
              <w:rFonts w:ascii="Arial" w:hAnsi="Arial" w:cs="Arial"/>
              <w:noProof/>
            </w:rPr>
            <w:t>……</w:t>
          </w:r>
          <w:r w:rsidR="00753052" w:rsidRPr="00B462CD">
            <w:rPr>
              <w:rFonts w:ascii="Arial" w:hAnsi="Arial" w:cs="Arial"/>
              <w:noProof/>
            </w:rPr>
            <w:t>19</w:t>
          </w:r>
        </w:p>
        <w:p w14:paraId="19D813BD" w14:textId="60258AB6" w:rsidR="00476399" w:rsidRPr="00B462CD" w:rsidRDefault="00476399" w:rsidP="00E6526D">
          <w:pPr>
            <w:spacing w:line="360" w:lineRule="auto"/>
            <w:rPr>
              <w:rFonts w:ascii="Arial" w:hAnsi="Arial" w:cs="Arial"/>
              <w:noProof/>
            </w:rPr>
          </w:pPr>
          <w:r w:rsidRPr="00B462CD">
            <w:rPr>
              <w:rFonts w:ascii="Arial" w:hAnsi="Arial" w:cs="Arial"/>
              <w:noProof/>
            </w:rPr>
            <w:t>2.3</w:t>
          </w:r>
          <w:r w:rsidR="0009538B" w:rsidRPr="00B462CD">
            <w:rPr>
              <w:rFonts w:ascii="Arial" w:hAnsi="Arial" w:cs="Arial"/>
              <w:noProof/>
            </w:rPr>
            <w:t xml:space="preserve"> </w:t>
          </w:r>
          <w:r w:rsidR="00753052" w:rsidRPr="00B462CD">
            <w:rPr>
              <w:rFonts w:ascii="Arial" w:eastAsia="Times New Roman" w:hAnsi="Arial" w:cs="Arial"/>
              <w:noProof/>
            </w:rPr>
            <w:t>Socioeconomic Deprivation and Structural Disadvantage…………………………</w:t>
          </w:r>
          <w:r w:rsidR="00C655F8" w:rsidRPr="00B462CD">
            <w:rPr>
              <w:rFonts w:ascii="Arial" w:eastAsia="Times New Roman" w:hAnsi="Arial" w:cs="Arial"/>
              <w:noProof/>
            </w:rPr>
            <w:t>…</w:t>
          </w:r>
          <w:r w:rsidR="004236DE" w:rsidRPr="00B462CD">
            <w:rPr>
              <w:rFonts w:ascii="Arial" w:eastAsia="Times New Roman" w:hAnsi="Arial" w:cs="Arial"/>
              <w:noProof/>
            </w:rPr>
            <w:t>..</w:t>
          </w:r>
          <w:r w:rsidR="00C655F8" w:rsidRPr="00B462CD">
            <w:rPr>
              <w:rFonts w:ascii="Arial" w:eastAsia="Times New Roman" w:hAnsi="Arial" w:cs="Arial"/>
              <w:noProof/>
            </w:rPr>
            <w:t>…</w:t>
          </w:r>
          <w:r w:rsidR="00753052" w:rsidRPr="00B462CD">
            <w:rPr>
              <w:rFonts w:ascii="Arial" w:eastAsia="Times New Roman" w:hAnsi="Arial" w:cs="Arial"/>
              <w:noProof/>
            </w:rPr>
            <w:t>..20</w:t>
          </w:r>
        </w:p>
        <w:p w14:paraId="4F528C66" w14:textId="378A8EFE"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2" w:history="1">
            <w:r w:rsidRPr="00B462CD">
              <w:rPr>
                <w:rStyle w:val="Hyperlink"/>
                <w:rFonts w:ascii="Arial" w:eastAsia="Times New Roman" w:hAnsi="Arial" w:cs="Arial"/>
                <w:noProof/>
                <w:color w:val="auto"/>
              </w:rPr>
              <w:t>2.4 Health Inequalities Among Migrants and BAME Communities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24</w:t>
            </w:r>
            <w:r w:rsidRPr="00B462CD">
              <w:rPr>
                <w:rFonts w:ascii="Arial" w:hAnsi="Arial" w:cs="Arial"/>
                <w:noProof/>
                <w:webHidden/>
              </w:rPr>
              <w:fldChar w:fldCharType="end"/>
            </w:r>
          </w:hyperlink>
        </w:p>
        <w:p w14:paraId="2CE0FB86" w14:textId="3D1B9B3F"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3" w:history="1">
            <w:r w:rsidRPr="00B462CD">
              <w:rPr>
                <w:rStyle w:val="Hyperlink"/>
                <w:rFonts w:ascii="Arial" w:eastAsia="Times New Roman" w:hAnsi="Arial" w:cs="Arial"/>
                <w:noProof/>
                <w:color w:val="auto"/>
              </w:rPr>
              <w:t>2.5 Immigration Status as a Social Determinant of Health</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_Toc220428653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24</w:t>
            </w:r>
            <w:r w:rsidRPr="00B462CD">
              <w:rPr>
                <w:rFonts w:ascii="Arial" w:hAnsi="Arial" w:cs="Arial"/>
                <w:noProof/>
                <w:webHidden/>
              </w:rPr>
              <w:fldChar w:fldCharType="end"/>
            </w:r>
          </w:hyperlink>
        </w:p>
        <w:p w14:paraId="4E1E0EAF" w14:textId="4C1DEA2B"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4" w:history="1">
            <w:r w:rsidRPr="00B462CD">
              <w:rPr>
                <w:rStyle w:val="Hyperlink"/>
                <w:rFonts w:ascii="Arial" w:eastAsia="Times New Roman" w:hAnsi="Arial" w:cs="Arial"/>
                <w:noProof/>
                <w:color w:val="auto"/>
              </w:rPr>
              <w:t>2.6 Theoretical and Conceptual Frameworks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_Toc220428654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26</w:t>
            </w:r>
            <w:r w:rsidRPr="00B462CD">
              <w:rPr>
                <w:rFonts w:ascii="Arial" w:hAnsi="Arial" w:cs="Arial"/>
                <w:noProof/>
                <w:webHidden/>
              </w:rPr>
              <w:fldChar w:fldCharType="end"/>
            </w:r>
          </w:hyperlink>
        </w:p>
        <w:p w14:paraId="676CAF1F" w14:textId="74AEB494"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7" w:history="1">
            <w:r w:rsidRPr="00B462CD">
              <w:rPr>
                <w:rStyle w:val="Hyperlink"/>
                <w:rFonts w:ascii="Arial" w:eastAsia="Times New Roman" w:hAnsi="Arial" w:cs="Arial"/>
                <w:noProof/>
                <w:color w:val="auto"/>
              </w:rPr>
              <w:t>2.7 The Impact of UK Immigration Policy and the “Hostile Environment”</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27</w:t>
            </w:r>
            <w:r w:rsidRPr="00B462CD">
              <w:rPr>
                <w:rFonts w:ascii="Arial" w:hAnsi="Arial" w:cs="Arial"/>
                <w:noProof/>
                <w:webHidden/>
              </w:rPr>
              <w:fldChar w:fldCharType="end"/>
            </w:r>
          </w:hyperlink>
        </w:p>
        <w:p w14:paraId="4F873817" w14:textId="420F25B2"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8" w:history="1">
            <w:r w:rsidRPr="00B462CD">
              <w:rPr>
                <w:rStyle w:val="Hyperlink"/>
                <w:rFonts w:ascii="Arial" w:eastAsia="Times New Roman" w:hAnsi="Arial" w:cs="Arial"/>
                <w:noProof/>
                <w:color w:val="auto"/>
              </w:rPr>
              <w:t>2.8 The Role of Community and Voluntary Sector Organisations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28</w:t>
            </w:r>
            <w:r w:rsidRPr="00B462CD">
              <w:rPr>
                <w:rFonts w:ascii="Arial" w:hAnsi="Arial" w:cs="Arial"/>
                <w:noProof/>
                <w:webHidden/>
              </w:rPr>
              <w:fldChar w:fldCharType="end"/>
            </w:r>
          </w:hyperlink>
        </w:p>
        <w:p w14:paraId="117F9F8D" w14:textId="26324F6D"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59" w:history="1">
            <w:r w:rsidRPr="00B462CD">
              <w:rPr>
                <w:rStyle w:val="Hyperlink"/>
                <w:rFonts w:ascii="Arial" w:eastAsia="Times New Roman" w:hAnsi="Arial" w:cs="Arial"/>
                <w:noProof/>
                <w:color w:val="auto"/>
              </w:rPr>
              <w:t>2.9 Gaps and Limitations in the Literature</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_Toc220428659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28</w:t>
            </w:r>
            <w:r w:rsidRPr="00B462CD">
              <w:rPr>
                <w:rFonts w:ascii="Arial" w:hAnsi="Arial" w:cs="Arial"/>
                <w:noProof/>
                <w:webHidden/>
              </w:rPr>
              <w:fldChar w:fldCharType="end"/>
            </w:r>
          </w:hyperlink>
        </w:p>
        <w:p w14:paraId="6818ABDA" w14:textId="7FF4DB11"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60" w:history="1">
            <w:r w:rsidRPr="00B462CD">
              <w:rPr>
                <w:rStyle w:val="Hyperlink"/>
                <w:rFonts w:ascii="Arial" w:eastAsia="Times New Roman" w:hAnsi="Arial" w:cs="Arial"/>
                <w:noProof/>
                <w:color w:val="auto"/>
              </w:rPr>
              <w:t>2.10 Chapter Summary</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_Toc220428660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29</w:t>
            </w:r>
            <w:r w:rsidRPr="00B462CD">
              <w:rPr>
                <w:rFonts w:ascii="Arial" w:hAnsi="Arial" w:cs="Arial"/>
                <w:noProof/>
                <w:webHidden/>
              </w:rPr>
              <w:fldChar w:fldCharType="end"/>
            </w:r>
          </w:hyperlink>
        </w:p>
        <w:p w14:paraId="46AD1401" w14:textId="0B519F1B"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62" w:history="1">
            <w:r w:rsidRPr="00B462CD">
              <w:rPr>
                <w:rStyle w:val="Hyperlink"/>
                <w:rFonts w:ascii="Arial" w:eastAsia="Arial" w:hAnsi="Arial" w:cs="Arial"/>
                <w:noProof/>
                <w:color w:val="auto"/>
                <w:kern w:val="0"/>
                <w:lang w:eastAsia="en-US"/>
                <w14:ligatures w14:val="none"/>
              </w:rPr>
              <w:t>3.1 Introduction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30</w:t>
            </w:r>
            <w:r w:rsidRPr="00B462CD">
              <w:rPr>
                <w:rFonts w:ascii="Arial" w:hAnsi="Arial" w:cs="Arial"/>
                <w:noProof/>
                <w:webHidden/>
              </w:rPr>
              <w:fldChar w:fldCharType="end"/>
            </w:r>
          </w:hyperlink>
        </w:p>
        <w:p w14:paraId="10537B19" w14:textId="4FA1A357" w:rsidR="001F1BDF" w:rsidRPr="00B462CD" w:rsidRDefault="001F1BDF" w:rsidP="00E6526D">
          <w:pPr>
            <w:pStyle w:val="TOC2"/>
            <w:tabs>
              <w:tab w:val="right" w:leader="dot" w:pos="9016"/>
            </w:tabs>
            <w:spacing w:line="360" w:lineRule="auto"/>
            <w:ind w:left="0"/>
            <w:rPr>
              <w:rFonts w:ascii="Arial" w:hAnsi="Arial" w:cs="Arial"/>
              <w:noProof/>
            </w:rPr>
          </w:pPr>
          <w:hyperlink w:anchor="_Toc220428664" w:history="1">
            <w:r w:rsidRPr="00B462CD">
              <w:rPr>
                <w:rStyle w:val="Hyperlink"/>
                <w:rFonts w:ascii="Arial" w:eastAsia="Times New Roman" w:hAnsi="Arial" w:cs="Arial"/>
                <w:noProof/>
                <w:color w:val="auto"/>
                <w:kern w:val="0"/>
                <w:lang w:eastAsia="en-US"/>
                <w14:ligatures w14:val="none"/>
              </w:rPr>
              <w:t>3.2 Research Design and Philosophical Underpinnings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_Toc220428664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30</w:t>
            </w:r>
            <w:r w:rsidRPr="00B462CD">
              <w:rPr>
                <w:rFonts w:ascii="Arial" w:hAnsi="Arial" w:cs="Arial"/>
                <w:noProof/>
                <w:webHidden/>
              </w:rPr>
              <w:fldChar w:fldCharType="end"/>
            </w:r>
          </w:hyperlink>
        </w:p>
        <w:p w14:paraId="5237C183" w14:textId="6554CEFC" w:rsidR="00476399" w:rsidRPr="00B462CD" w:rsidRDefault="00476399" w:rsidP="00E6526D">
          <w:pPr>
            <w:spacing w:line="360" w:lineRule="auto"/>
            <w:rPr>
              <w:rFonts w:ascii="Arial" w:hAnsi="Arial" w:cs="Arial"/>
              <w:noProof/>
            </w:rPr>
          </w:pPr>
          <w:r w:rsidRPr="00B462CD">
            <w:rPr>
              <w:rFonts w:ascii="Arial" w:hAnsi="Arial" w:cs="Arial"/>
              <w:noProof/>
            </w:rPr>
            <w:t>3.3</w:t>
          </w:r>
          <w:r w:rsidR="0009538B" w:rsidRPr="00B462CD">
            <w:rPr>
              <w:rFonts w:ascii="Arial" w:hAnsi="Arial" w:cs="Arial"/>
              <w:noProof/>
            </w:rPr>
            <w:t xml:space="preserve"> </w:t>
          </w:r>
          <w:r w:rsidR="000C1CAD" w:rsidRPr="00B462CD">
            <w:rPr>
              <w:rFonts w:ascii="Arial" w:eastAsia="Times New Roman" w:hAnsi="Arial" w:cs="Arial"/>
              <w:noProof/>
              <w:kern w:val="0"/>
              <w:lang w:eastAsia="en-US"/>
              <w14:ligatures w14:val="none"/>
            </w:rPr>
            <w:t>Setting and Rationale………………………………………………………………</w:t>
          </w:r>
          <w:r w:rsidR="00C655F8" w:rsidRPr="00B462CD">
            <w:rPr>
              <w:rFonts w:ascii="Arial" w:eastAsia="Times New Roman" w:hAnsi="Arial" w:cs="Arial"/>
              <w:noProof/>
              <w:kern w:val="0"/>
              <w:lang w:eastAsia="en-US"/>
              <w14:ligatures w14:val="none"/>
            </w:rPr>
            <w:t>……</w:t>
          </w:r>
          <w:r w:rsidR="004236DE" w:rsidRPr="00B462CD">
            <w:rPr>
              <w:rFonts w:ascii="Arial" w:eastAsia="Times New Roman" w:hAnsi="Arial" w:cs="Arial"/>
              <w:noProof/>
              <w:kern w:val="0"/>
              <w:lang w:eastAsia="en-US"/>
              <w14:ligatures w14:val="none"/>
            </w:rPr>
            <w:t>...</w:t>
          </w:r>
          <w:r w:rsidR="000C1CAD" w:rsidRPr="00B462CD">
            <w:rPr>
              <w:rFonts w:ascii="Arial" w:eastAsia="Times New Roman" w:hAnsi="Arial" w:cs="Arial"/>
              <w:noProof/>
              <w:kern w:val="0"/>
              <w:lang w:eastAsia="en-US"/>
              <w14:ligatures w14:val="none"/>
            </w:rPr>
            <w:t>…28</w:t>
          </w:r>
        </w:p>
        <w:p w14:paraId="25538CE8" w14:textId="019589DE" w:rsidR="00476399" w:rsidRPr="00B462CD" w:rsidRDefault="00476399" w:rsidP="00E6526D">
          <w:pPr>
            <w:spacing w:line="360" w:lineRule="auto"/>
            <w:rPr>
              <w:rFonts w:ascii="Arial" w:hAnsi="Arial" w:cs="Arial"/>
              <w:noProof/>
            </w:rPr>
          </w:pPr>
          <w:r w:rsidRPr="00B462CD">
            <w:rPr>
              <w:rFonts w:ascii="Arial" w:hAnsi="Arial" w:cs="Arial"/>
              <w:noProof/>
            </w:rPr>
            <w:t>3.4</w:t>
          </w:r>
          <w:r w:rsidR="0009538B" w:rsidRPr="00B462CD">
            <w:rPr>
              <w:rFonts w:ascii="Arial" w:hAnsi="Arial" w:cs="Arial"/>
              <w:noProof/>
            </w:rPr>
            <w:t xml:space="preserve"> </w:t>
          </w:r>
          <w:r w:rsidR="000C1CAD" w:rsidRPr="00B462CD">
            <w:rPr>
              <w:rFonts w:ascii="Arial" w:eastAsia="Times New Roman" w:hAnsi="Arial" w:cs="Arial"/>
              <w:noProof/>
              <w:kern w:val="0"/>
              <w:lang w:eastAsia="en-US"/>
              <w14:ligatures w14:val="none"/>
            </w:rPr>
            <w:t>Sampling and Recruitment………………………………………………………………</w:t>
          </w:r>
          <w:r w:rsidR="004236DE" w:rsidRPr="00B462CD">
            <w:rPr>
              <w:rFonts w:ascii="Arial" w:eastAsia="Times New Roman" w:hAnsi="Arial" w:cs="Arial"/>
              <w:noProof/>
              <w:kern w:val="0"/>
              <w:lang w:eastAsia="en-US"/>
              <w14:ligatures w14:val="none"/>
            </w:rPr>
            <w:t>…</w:t>
          </w:r>
          <w:r w:rsidR="000C1CAD" w:rsidRPr="00B462CD">
            <w:rPr>
              <w:rFonts w:ascii="Arial" w:eastAsia="Times New Roman" w:hAnsi="Arial" w:cs="Arial"/>
              <w:noProof/>
              <w:kern w:val="0"/>
              <w:lang w:eastAsia="en-US"/>
              <w14:ligatures w14:val="none"/>
            </w:rPr>
            <w:t>..29</w:t>
          </w:r>
        </w:p>
        <w:p w14:paraId="6E41D05C" w14:textId="167EB004" w:rsidR="00476399" w:rsidRPr="00B462CD" w:rsidRDefault="00476399" w:rsidP="00E6526D">
          <w:pPr>
            <w:spacing w:line="360" w:lineRule="auto"/>
            <w:rPr>
              <w:rFonts w:ascii="Arial" w:hAnsi="Arial" w:cs="Arial"/>
              <w:noProof/>
            </w:rPr>
          </w:pPr>
          <w:r w:rsidRPr="00B462CD">
            <w:rPr>
              <w:rFonts w:ascii="Arial" w:hAnsi="Arial" w:cs="Arial"/>
              <w:noProof/>
            </w:rPr>
            <w:t>3.5</w:t>
          </w:r>
          <w:r w:rsidR="00C378EE" w:rsidRPr="00B462CD">
            <w:rPr>
              <w:rFonts w:ascii="Arial" w:eastAsia="Times New Roman" w:hAnsi="Arial" w:cs="Arial"/>
              <w:noProof/>
              <w:kern w:val="0"/>
              <w:lang w:eastAsia="en-US"/>
              <w14:ligatures w14:val="none"/>
            </w:rPr>
            <w:t xml:space="preserve"> Data Collection ………………………………………………………………………</w:t>
          </w:r>
          <w:r w:rsidR="00C655F8" w:rsidRPr="00B462CD">
            <w:rPr>
              <w:rFonts w:ascii="Arial" w:eastAsia="Times New Roman" w:hAnsi="Arial" w:cs="Arial"/>
              <w:noProof/>
              <w:kern w:val="0"/>
              <w:lang w:eastAsia="en-US"/>
              <w14:ligatures w14:val="none"/>
            </w:rPr>
            <w:t>……</w:t>
          </w:r>
          <w:r w:rsidR="004236DE" w:rsidRPr="00B462CD">
            <w:rPr>
              <w:rFonts w:ascii="Arial" w:eastAsia="Times New Roman" w:hAnsi="Arial" w:cs="Arial"/>
              <w:noProof/>
              <w:kern w:val="0"/>
              <w:lang w:eastAsia="en-US"/>
              <w14:ligatures w14:val="none"/>
            </w:rPr>
            <w:t>…</w:t>
          </w:r>
          <w:r w:rsidR="00C655F8" w:rsidRPr="00B462CD">
            <w:rPr>
              <w:rFonts w:ascii="Arial" w:eastAsia="Times New Roman" w:hAnsi="Arial" w:cs="Arial"/>
              <w:noProof/>
              <w:kern w:val="0"/>
              <w:lang w:eastAsia="en-US"/>
              <w14:ligatures w14:val="none"/>
            </w:rPr>
            <w:t>…</w:t>
          </w:r>
          <w:r w:rsidR="00C378EE" w:rsidRPr="00B462CD">
            <w:rPr>
              <w:rFonts w:ascii="Arial" w:eastAsia="Times New Roman" w:hAnsi="Arial" w:cs="Arial"/>
              <w:noProof/>
              <w:kern w:val="0"/>
              <w:lang w:eastAsia="en-US"/>
              <w14:ligatures w14:val="none"/>
            </w:rPr>
            <w:t>2</w:t>
          </w:r>
          <w:r w:rsidR="0079039A" w:rsidRPr="00B462CD">
            <w:rPr>
              <w:rFonts w:ascii="Arial" w:eastAsia="Times New Roman" w:hAnsi="Arial" w:cs="Arial"/>
              <w:noProof/>
              <w:kern w:val="0"/>
              <w:lang w:eastAsia="en-US"/>
              <w14:ligatures w14:val="none"/>
            </w:rPr>
            <w:t>9</w:t>
          </w:r>
        </w:p>
        <w:p w14:paraId="10E68EE1" w14:textId="6F85FEE7" w:rsidR="00476399" w:rsidRPr="00B462CD" w:rsidRDefault="00345F41" w:rsidP="00E6526D">
          <w:pPr>
            <w:spacing w:line="360" w:lineRule="auto"/>
            <w:rPr>
              <w:rFonts w:ascii="Arial" w:hAnsi="Arial" w:cs="Arial"/>
              <w:noProof/>
            </w:rPr>
          </w:pPr>
          <w:r w:rsidRPr="00B462CD">
            <w:rPr>
              <w:rFonts w:ascii="Arial" w:hAnsi="Arial" w:cs="Arial"/>
              <w:noProof/>
            </w:rPr>
            <w:t>3.6</w:t>
          </w:r>
          <w:r w:rsidR="00D622CA" w:rsidRPr="00B462CD">
            <w:rPr>
              <w:rFonts w:ascii="Arial" w:eastAsia="Times New Roman" w:hAnsi="Arial" w:cs="Arial"/>
              <w:noProof/>
              <w:kern w:val="0"/>
              <w:lang w:eastAsia="en-US"/>
              <w14:ligatures w14:val="none"/>
            </w:rPr>
            <w:t xml:space="preserve"> Data Analysis …………………………………………………………………</w:t>
          </w:r>
          <w:r w:rsidR="00C655F8" w:rsidRPr="00B462CD">
            <w:rPr>
              <w:rFonts w:ascii="Arial" w:eastAsia="Times New Roman" w:hAnsi="Arial" w:cs="Arial"/>
              <w:noProof/>
              <w:kern w:val="0"/>
              <w:lang w:eastAsia="en-US"/>
              <w14:ligatures w14:val="none"/>
            </w:rPr>
            <w:t>……………</w:t>
          </w:r>
          <w:r w:rsidR="004236DE" w:rsidRPr="00B462CD">
            <w:rPr>
              <w:rFonts w:ascii="Arial" w:eastAsia="Times New Roman" w:hAnsi="Arial" w:cs="Arial"/>
              <w:noProof/>
              <w:kern w:val="0"/>
              <w:lang w:eastAsia="en-US"/>
              <w14:ligatures w14:val="none"/>
            </w:rPr>
            <w:t>…</w:t>
          </w:r>
          <w:r w:rsidR="00C655F8" w:rsidRPr="00B462CD">
            <w:rPr>
              <w:rFonts w:ascii="Arial" w:eastAsia="Times New Roman" w:hAnsi="Arial" w:cs="Arial"/>
              <w:noProof/>
              <w:kern w:val="0"/>
              <w:lang w:eastAsia="en-US"/>
              <w14:ligatures w14:val="none"/>
            </w:rPr>
            <w:t>..30</w:t>
          </w:r>
        </w:p>
        <w:p w14:paraId="394CCF76" w14:textId="2E4B3096" w:rsidR="00345F41" w:rsidRPr="00B462CD" w:rsidRDefault="00345F41" w:rsidP="00E6526D">
          <w:pPr>
            <w:spacing w:line="360" w:lineRule="auto"/>
            <w:rPr>
              <w:rFonts w:ascii="Arial" w:hAnsi="Arial" w:cs="Arial"/>
              <w:noProof/>
            </w:rPr>
          </w:pPr>
          <w:r w:rsidRPr="00B462CD">
            <w:rPr>
              <w:rFonts w:ascii="Arial" w:hAnsi="Arial" w:cs="Arial"/>
              <w:noProof/>
            </w:rPr>
            <w:t>3.7</w:t>
          </w:r>
          <w:r w:rsidR="008A2FF8" w:rsidRPr="00B462CD">
            <w:rPr>
              <w:rFonts w:ascii="Arial" w:eastAsia="Times New Roman" w:hAnsi="Arial" w:cs="Arial"/>
              <w:noProof/>
              <w:kern w:val="0"/>
              <w:lang w:eastAsia="en-US"/>
              <w14:ligatures w14:val="none"/>
            </w:rPr>
            <w:t xml:space="preserve">  Ethical Considerations………………………………………………………………………</w:t>
          </w:r>
          <w:r w:rsidR="00ED2B67" w:rsidRPr="00B462CD">
            <w:rPr>
              <w:rFonts w:ascii="Arial" w:eastAsia="Times New Roman" w:hAnsi="Arial" w:cs="Arial"/>
              <w:noProof/>
              <w:kern w:val="0"/>
              <w:lang w:eastAsia="en-US"/>
              <w14:ligatures w14:val="none"/>
            </w:rPr>
            <w:t>.</w:t>
          </w:r>
          <w:r w:rsidR="004236DE" w:rsidRPr="00B462CD">
            <w:rPr>
              <w:rFonts w:ascii="Arial" w:eastAsia="Times New Roman" w:hAnsi="Arial" w:cs="Arial"/>
              <w:noProof/>
              <w:kern w:val="0"/>
              <w:lang w:eastAsia="en-US"/>
              <w14:ligatures w14:val="none"/>
            </w:rPr>
            <w:t>.</w:t>
          </w:r>
          <w:r w:rsidR="008A2FF8" w:rsidRPr="00B462CD">
            <w:rPr>
              <w:rFonts w:ascii="Arial" w:eastAsia="Times New Roman" w:hAnsi="Arial" w:cs="Arial"/>
              <w:noProof/>
              <w:kern w:val="0"/>
              <w:lang w:eastAsia="en-US"/>
              <w14:ligatures w14:val="none"/>
            </w:rPr>
            <w:t>.</w:t>
          </w:r>
          <w:r w:rsidR="00C655F8" w:rsidRPr="00B462CD">
            <w:rPr>
              <w:rFonts w:ascii="Arial" w:eastAsia="Times New Roman" w:hAnsi="Arial" w:cs="Arial"/>
              <w:noProof/>
              <w:kern w:val="0"/>
              <w:lang w:eastAsia="en-US"/>
              <w14:ligatures w14:val="none"/>
            </w:rPr>
            <w:t>30</w:t>
          </w:r>
        </w:p>
        <w:p w14:paraId="1A483247" w14:textId="7C20AA8D" w:rsidR="001F1BDF" w:rsidRPr="00B462CD" w:rsidRDefault="001F1BDF" w:rsidP="00E6526D">
          <w:pPr>
            <w:pStyle w:val="TOC3"/>
            <w:tabs>
              <w:tab w:val="right" w:leader="dot" w:pos="9016"/>
            </w:tabs>
            <w:spacing w:line="360" w:lineRule="auto"/>
            <w:ind w:left="0"/>
            <w:rPr>
              <w:rFonts w:ascii="Arial" w:hAnsi="Arial" w:cs="Arial"/>
              <w:noProof/>
            </w:rPr>
          </w:pPr>
          <w:hyperlink w:anchor="_Toc220428666" w:history="1">
            <w:r w:rsidRPr="00B462CD">
              <w:rPr>
                <w:rStyle w:val="Hyperlink"/>
                <w:rFonts w:ascii="Arial" w:eastAsia="Times New Roman" w:hAnsi="Arial" w:cs="Arial"/>
                <w:noProof/>
                <w:color w:val="auto"/>
                <w:kern w:val="0"/>
                <w:lang w:eastAsia="en-US"/>
                <w14:ligatures w14:val="none"/>
              </w:rPr>
              <w:t>3.8 Trustworthiness and Rigour</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_Toc220428666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33</w:t>
            </w:r>
            <w:r w:rsidRPr="00B462CD">
              <w:rPr>
                <w:rFonts w:ascii="Arial" w:hAnsi="Arial" w:cs="Arial"/>
                <w:noProof/>
                <w:webHidden/>
              </w:rPr>
              <w:fldChar w:fldCharType="end"/>
            </w:r>
          </w:hyperlink>
        </w:p>
        <w:p w14:paraId="70088BDA" w14:textId="358F06F4" w:rsidR="00345F41" w:rsidRPr="00B462CD" w:rsidRDefault="001A2E36" w:rsidP="00E6526D">
          <w:pPr>
            <w:spacing w:line="360" w:lineRule="auto"/>
            <w:rPr>
              <w:rFonts w:ascii="Arial" w:hAnsi="Arial" w:cs="Arial"/>
              <w:noProof/>
            </w:rPr>
          </w:pPr>
          <w:r w:rsidRPr="00B462CD">
            <w:rPr>
              <w:rFonts w:ascii="Arial" w:hAnsi="Arial" w:cs="Arial"/>
              <w:noProof/>
            </w:rPr>
            <w:t>3.9</w:t>
          </w:r>
          <w:r w:rsidR="008A2FF8" w:rsidRPr="00B462CD">
            <w:rPr>
              <w:rFonts w:ascii="Arial" w:eastAsia="Times New Roman" w:hAnsi="Arial" w:cs="Arial"/>
              <w:noProof/>
              <w:kern w:val="0"/>
              <w:lang w:eastAsia="en-US"/>
              <w14:ligatures w14:val="none"/>
            </w:rPr>
            <w:t xml:space="preserve"> Reflexivity and Researcher Positionality ………………………………………………</w:t>
          </w:r>
          <w:r w:rsidR="00410229" w:rsidRPr="00B462CD">
            <w:rPr>
              <w:rFonts w:ascii="Arial" w:eastAsia="Times New Roman" w:hAnsi="Arial" w:cs="Arial"/>
              <w:noProof/>
              <w:kern w:val="0"/>
              <w:lang w:eastAsia="en-US"/>
              <w14:ligatures w14:val="none"/>
            </w:rPr>
            <w:t>…….31</w:t>
          </w:r>
        </w:p>
        <w:p w14:paraId="0D987211" w14:textId="4E6619B3" w:rsidR="00D66CF3" w:rsidRPr="00B462CD" w:rsidRDefault="00D66CF3" w:rsidP="00E6526D">
          <w:pPr>
            <w:spacing w:line="360" w:lineRule="auto"/>
            <w:rPr>
              <w:rFonts w:ascii="Arial" w:hAnsi="Arial" w:cs="Arial"/>
              <w:noProof/>
            </w:rPr>
          </w:pPr>
          <w:r w:rsidRPr="00B462CD">
            <w:rPr>
              <w:rFonts w:ascii="Arial" w:hAnsi="Arial" w:cs="Arial"/>
              <w:noProof/>
            </w:rPr>
            <w:t>3.1</w:t>
          </w:r>
          <w:r w:rsidR="005700A5" w:rsidRPr="00B462CD">
            <w:rPr>
              <w:rFonts w:ascii="Arial" w:hAnsi="Arial" w:cs="Arial"/>
              <w:noProof/>
            </w:rPr>
            <w:t>0</w:t>
          </w:r>
          <w:r w:rsidR="00CC54A0" w:rsidRPr="00B462CD">
            <w:rPr>
              <w:rFonts w:ascii="Arial" w:eastAsia="Times New Roman" w:hAnsi="Arial" w:cs="Arial"/>
              <w:b/>
              <w:bCs/>
              <w:noProof/>
              <w:kern w:val="0"/>
              <w:lang w:eastAsia="en-US"/>
              <w14:ligatures w14:val="none"/>
            </w:rPr>
            <w:t xml:space="preserve"> </w:t>
          </w:r>
          <w:r w:rsidR="00CC54A0" w:rsidRPr="00B462CD">
            <w:rPr>
              <w:rFonts w:ascii="Arial" w:eastAsia="Times New Roman" w:hAnsi="Arial" w:cs="Arial"/>
              <w:noProof/>
              <w:kern w:val="0"/>
              <w:lang w:eastAsia="en-US"/>
              <w14:ligatures w14:val="none"/>
            </w:rPr>
            <w:t>Chapter Summary</w:t>
          </w:r>
          <w:r w:rsidR="00CC54A0" w:rsidRPr="00B462CD">
            <w:rPr>
              <w:rFonts w:ascii="Arial" w:eastAsia="Times New Roman" w:hAnsi="Arial" w:cs="Arial"/>
              <w:b/>
              <w:bCs/>
              <w:noProof/>
              <w:kern w:val="0"/>
              <w:lang w:eastAsia="en-US"/>
              <w14:ligatures w14:val="none"/>
            </w:rPr>
            <w:t xml:space="preserve"> …………………………………………………………………………</w:t>
          </w:r>
          <w:r w:rsidR="00ED2B67" w:rsidRPr="00B462CD">
            <w:rPr>
              <w:rFonts w:ascii="Arial" w:eastAsia="Times New Roman" w:hAnsi="Arial" w:cs="Arial"/>
              <w:b/>
              <w:bCs/>
              <w:noProof/>
              <w:kern w:val="0"/>
              <w:lang w:eastAsia="en-US"/>
              <w14:ligatures w14:val="none"/>
            </w:rPr>
            <w:t>…</w:t>
          </w:r>
          <w:r w:rsidR="00CC54A0" w:rsidRPr="00B462CD">
            <w:rPr>
              <w:rFonts w:ascii="Arial" w:eastAsia="Times New Roman" w:hAnsi="Arial" w:cs="Arial"/>
              <w:b/>
              <w:bCs/>
              <w:noProof/>
              <w:kern w:val="0"/>
              <w:lang w:eastAsia="en-US"/>
              <w14:ligatures w14:val="none"/>
            </w:rPr>
            <w:t>.</w:t>
          </w:r>
          <w:r w:rsidR="00CC54A0" w:rsidRPr="00B462CD">
            <w:rPr>
              <w:rFonts w:ascii="Arial" w:eastAsia="Times New Roman" w:hAnsi="Arial" w:cs="Arial"/>
              <w:noProof/>
              <w:kern w:val="0"/>
              <w:lang w:eastAsia="en-US"/>
              <w14:ligatures w14:val="none"/>
            </w:rPr>
            <w:t>3</w:t>
          </w:r>
          <w:r w:rsidR="005B16EE" w:rsidRPr="00B462CD">
            <w:rPr>
              <w:rFonts w:ascii="Arial" w:eastAsia="Times New Roman" w:hAnsi="Arial" w:cs="Arial"/>
              <w:noProof/>
              <w:kern w:val="0"/>
              <w:lang w:eastAsia="en-US"/>
              <w14:ligatures w14:val="none"/>
            </w:rPr>
            <w:t>2</w:t>
          </w:r>
        </w:p>
        <w:p w14:paraId="295F6B5C" w14:textId="7B1E60A5"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68" w:history="1">
            <w:r w:rsidRPr="00B462CD">
              <w:rPr>
                <w:rStyle w:val="Hyperlink"/>
                <w:rFonts w:ascii="Arial" w:eastAsia="Times New Roman" w:hAnsi="Arial" w:cs="Arial"/>
                <w:noProof/>
                <w:color w:val="auto"/>
                <w:kern w:val="0"/>
                <w:lang w:eastAsia="en-US"/>
                <w14:ligatures w14:val="none"/>
              </w:rPr>
              <w:t>4.1 Introduction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35</w:t>
            </w:r>
            <w:r w:rsidRPr="00B462CD">
              <w:rPr>
                <w:rFonts w:ascii="Arial" w:hAnsi="Arial" w:cs="Arial"/>
                <w:noProof/>
                <w:webHidden/>
              </w:rPr>
              <w:fldChar w:fldCharType="end"/>
            </w:r>
          </w:hyperlink>
        </w:p>
        <w:p w14:paraId="4CA65EBF" w14:textId="47C6CD84" w:rsidR="001F1BDF" w:rsidRPr="00B462CD" w:rsidRDefault="001F1BDF" w:rsidP="00E6526D">
          <w:pPr>
            <w:pStyle w:val="TOC3"/>
            <w:tabs>
              <w:tab w:val="right" w:leader="dot" w:pos="9016"/>
            </w:tabs>
            <w:spacing w:line="360" w:lineRule="auto"/>
            <w:ind w:left="0"/>
            <w:rPr>
              <w:rFonts w:ascii="Arial" w:hAnsi="Arial" w:cs="Arial"/>
              <w:noProof/>
            </w:rPr>
          </w:pPr>
          <w:hyperlink w:anchor="_Toc220428669" w:history="1">
            <w:r w:rsidRPr="00B462CD">
              <w:rPr>
                <w:rStyle w:val="Hyperlink"/>
                <w:rFonts w:ascii="Arial" w:eastAsia="Times New Roman" w:hAnsi="Arial" w:cs="Arial"/>
                <w:noProof/>
                <w:color w:val="auto"/>
                <w:kern w:val="0"/>
                <w:lang w:eastAsia="en-US"/>
                <w14:ligatures w14:val="none"/>
              </w:rPr>
              <w:t>4.2 Barriers to Healthcare Access.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_Toc220428669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36</w:t>
            </w:r>
            <w:r w:rsidRPr="00B462CD">
              <w:rPr>
                <w:rFonts w:ascii="Arial" w:hAnsi="Arial" w:cs="Arial"/>
                <w:noProof/>
                <w:webHidden/>
              </w:rPr>
              <w:fldChar w:fldCharType="end"/>
            </w:r>
          </w:hyperlink>
        </w:p>
        <w:p w14:paraId="71EEE1B0" w14:textId="4A4C539E" w:rsidR="00362B79" w:rsidRPr="00B462CD" w:rsidRDefault="00362B79" w:rsidP="00E6526D">
          <w:pPr>
            <w:spacing w:line="360" w:lineRule="auto"/>
            <w:rPr>
              <w:rFonts w:ascii="Arial" w:hAnsi="Arial" w:cs="Arial"/>
              <w:noProof/>
            </w:rPr>
          </w:pPr>
          <w:r w:rsidRPr="00B462CD">
            <w:rPr>
              <w:rFonts w:ascii="Arial" w:hAnsi="Arial" w:cs="Arial"/>
              <w:noProof/>
            </w:rPr>
            <w:t>4.3</w:t>
          </w:r>
          <w:r w:rsidR="00A7630E" w:rsidRPr="00B462CD">
            <w:rPr>
              <w:rFonts w:ascii="Arial" w:hAnsi="Arial" w:cs="Arial"/>
              <w:noProof/>
            </w:rPr>
            <w:t xml:space="preserve"> </w:t>
          </w:r>
          <w:r w:rsidR="00375575" w:rsidRPr="00B462CD">
            <w:rPr>
              <w:rFonts w:ascii="Arial" w:eastAsia="Times New Roman" w:hAnsi="Arial" w:cs="Arial"/>
              <w:noProof/>
              <w:kern w:val="0"/>
              <w:lang w:eastAsia="en-US"/>
              <w14:ligatures w14:val="none"/>
            </w:rPr>
            <w:t>Precarious Housing and Employment ………</w:t>
          </w:r>
          <w:r w:rsidR="00A7630E" w:rsidRPr="00B462CD">
            <w:rPr>
              <w:rFonts w:ascii="Arial" w:eastAsia="Times New Roman" w:hAnsi="Arial" w:cs="Arial"/>
              <w:noProof/>
              <w:kern w:val="0"/>
              <w:lang w:eastAsia="en-US"/>
              <w14:ligatures w14:val="none"/>
            </w:rPr>
            <w:t>………………………………</w:t>
          </w:r>
          <w:r w:rsidR="00032920" w:rsidRPr="00B462CD">
            <w:rPr>
              <w:rFonts w:ascii="Arial" w:eastAsia="Times New Roman" w:hAnsi="Arial" w:cs="Arial"/>
              <w:noProof/>
              <w:kern w:val="0"/>
              <w:lang w:eastAsia="en-US"/>
              <w14:ligatures w14:val="none"/>
            </w:rPr>
            <w:t>……………….</w:t>
          </w:r>
          <w:r w:rsidR="00BC0121" w:rsidRPr="00B462CD">
            <w:rPr>
              <w:rFonts w:ascii="Arial" w:eastAsia="Times New Roman" w:hAnsi="Arial" w:cs="Arial"/>
              <w:noProof/>
              <w:kern w:val="0"/>
              <w:lang w:eastAsia="en-US"/>
              <w14:ligatures w14:val="none"/>
            </w:rPr>
            <w:t>3</w:t>
          </w:r>
          <w:r w:rsidR="005A53C1" w:rsidRPr="00B462CD">
            <w:rPr>
              <w:rFonts w:ascii="Arial" w:eastAsia="Times New Roman" w:hAnsi="Arial" w:cs="Arial"/>
              <w:noProof/>
              <w:kern w:val="0"/>
              <w:lang w:eastAsia="en-US"/>
              <w14:ligatures w14:val="none"/>
            </w:rPr>
            <w:t>7</w:t>
          </w:r>
        </w:p>
        <w:p w14:paraId="495B42C0" w14:textId="09F4993F" w:rsidR="00362B79" w:rsidRPr="00B462CD" w:rsidRDefault="00362B79" w:rsidP="00E6526D">
          <w:pPr>
            <w:spacing w:line="360" w:lineRule="auto"/>
            <w:rPr>
              <w:rFonts w:ascii="Arial" w:hAnsi="Arial" w:cs="Arial"/>
              <w:noProof/>
            </w:rPr>
          </w:pPr>
          <w:r w:rsidRPr="00B462CD">
            <w:rPr>
              <w:rFonts w:ascii="Arial" w:hAnsi="Arial" w:cs="Arial"/>
              <w:noProof/>
            </w:rPr>
            <w:t>4.4</w:t>
          </w:r>
          <w:r w:rsidR="00A7630E" w:rsidRPr="00B462CD">
            <w:rPr>
              <w:rFonts w:ascii="Arial" w:eastAsia="Times New Roman" w:hAnsi="Arial" w:cs="Arial"/>
              <w:noProof/>
              <w:kern w:val="0"/>
              <w:lang w:eastAsia="en-US"/>
              <w14:ligatures w14:val="none"/>
            </w:rPr>
            <w:t xml:space="preserve">Experiences of Discrimination and Social Exclusion. </w:t>
          </w:r>
          <w:r w:rsidR="00D6267A" w:rsidRPr="00B462CD">
            <w:rPr>
              <w:rFonts w:ascii="Arial" w:eastAsia="Times New Roman" w:hAnsi="Arial" w:cs="Arial"/>
              <w:noProof/>
              <w:kern w:val="0"/>
              <w:lang w:eastAsia="en-US"/>
              <w14:ligatures w14:val="none"/>
            </w:rPr>
            <w:t>…………………………………</w:t>
          </w:r>
          <w:r w:rsidR="005A53C1" w:rsidRPr="00B462CD">
            <w:rPr>
              <w:rFonts w:ascii="Arial" w:eastAsia="Times New Roman" w:hAnsi="Arial" w:cs="Arial"/>
              <w:noProof/>
              <w:kern w:val="0"/>
              <w:lang w:eastAsia="en-US"/>
              <w14:ligatures w14:val="none"/>
            </w:rPr>
            <w:t>…</w:t>
          </w:r>
          <w:r w:rsidR="00D32858" w:rsidRPr="00B462CD">
            <w:rPr>
              <w:rFonts w:ascii="Arial" w:eastAsia="Times New Roman" w:hAnsi="Arial" w:cs="Arial"/>
              <w:noProof/>
              <w:kern w:val="0"/>
              <w:lang w:eastAsia="en-US"/>
              <w14:ligatures w14:val="none"/>
            </w:rPr>
            <w:t>….38</w:t>
          </w:r>
        </w:p>
        <w:p w14:paraId="61600F03" w14:textId="352F8B9F" w:rsidR="00362B79" w:rsidRPr="00B462CD" w:rsidRDefault="00362B79" w:rsidP="00E6526D">
          <w:pPr>
            <w:spacing w:line="360" w:lineRule="auto"/>
            <w:rPr>
              <w:rFonts w:ascii="Arial" w:hAnsi="Arial" w:cs="Arial"/>
              <w:noProof/>
            </w:rPr>
          </w:pPr>
          <w:r w:rsidRPr="00B462CD">
            <w:rPr>
              <w:rFonts w:ascii="Arial" w:hAnsi="Arial" w:cs="Arial"/>
              <w:noProof/>
            </w:rPr>
            <w:t>4.5</w:t>
          </w:r>
          <w:r w:rsidR="00D6267A" w:rsidRPr="00B462CD">
            <w:rPr>
              <w:rFonts w:ascii="Arial" w:hAnsi="Arial" w:cs="Arial"/>
              <w:noProof/>
            </w:rPr>
            <w:t xml:space="preserve"> </w:t>
          </w:r>
          <w:r w:rsidR="00D6267A" w:rsidRPr="00B462CD">
            <w:rPr>
              <w:rFonts w:ascii="Arial" w:eastAsia="Times New Roman" w:hAnsi="Arial" w:cs="Arial"/>
              <w:noProof/>
              <w:kern w:val="0"/>
              <w:lang w:eastAsia="en-US"/>
              <w14:ligatures w14:val="none"/>
            </w:rPr>
            <w:t>Coping Strategies and Resilience………………………………………………………</w:t>
          </w:r>
          <w:r w:rsidR="00D32858" w:rsidRPr="00B462CD">
            <w:rPr>
              <w:rFonts w:ascii="Arial" w:eastAsia="Times New Roman" w:hAnsi="Arial" w:cs="Arial"/>
              <w:noProof/>
              <w:kern w:val="0"/>
              <w:lang w:eastAsia="en-US"/>
              <w14:ligatures w14:val="none"/>
            </w:rPr>
            <w:t>…….</w:t>
          </w:r>
          <w:r w:rsidR="00687E74" w:rsidRPr="00B462CD">
            <w:rPr>
              <w:rFonts w:ascii="Arial" w:eastAsia="Times New Roman" w:hAnsi="Arial" w:cs="Arial"/>
              <w:noProof/>
              <w:kern w:val="0"/>
              <w:lang w:eastAsia="en-US"/>
              <w14:ligatures w14:val="none"/>
            </w:rPr>
            <w:t>39</w:t>
          </w:r>
        </w:p>
        <w:p w14:paraId="2A077EB7" w14:textId="03C134E9" w:rsidR="00362B79" w:rsidRPr="00B462CD" w:rsidRDefault="00362B79" w:rsidP="00E6526D">
          <w:pPr>
            <w:spacing w:line="360" w:lineRule="auto"/>
            <w:rPr>
              <w:rFonts w:ascii="Arial" w:hAnsi="Arial" w:cs="Arial"/>
              <w:noProof/>
            </w:rPr>
          </w:pPr>
          <w:r w:rsidRPr="00B462CD">
            <w:rPr>
              <w:rFonts w:ascii="Arial" w:hAnsi="Arial" w:cs="Arial"/>
              <w:noProof/>
            </w:rPr>
            <w:t>4.6</w:t>
          </w:r>
          <w:r w:rsidR="00D6267A" w:rsidRPr="00B462CD">
            <w:rPr>
              <w:rFonts w:ascii="Arial" w:eastAsia="Times New Roman" w:hAnsi="Arial" w:cs="Arial"/>
              <w:noProof/>
              <w:kern w:val="0"/>
              <w:lang w:eastAsia="en-US"/>
              <w14:ligatures w14:val="none"/>
            </w:rPr>
            <w:t xml:space="preserve"> Climate Change Impacts……………………………………………………………………</w:t>
          </w:r>
          <w:r w:rsidR="00ED2B67" w:rsidRPr="00B462CD">
            <w:rPr>
              <w:rFonts w:ascii="Arial" w:eastAsia="Times New Roman" w:hAnsi="Arial" w:cs="Arial"/>
              <w:noProof/>
              <w:kern w:val="0"/>
              <w:lang w:eastAsia="en-US"/>
              <w14:ligatures w14:val="none"/>
            </w:rPr>
            <w:t>…</w:t>
          </w:r>
          <w:r w:rsidR="00DF5D62" w:rsidRPr="00B462CD">
            <w:rPr>
              <w:rFonts w:ascii="Arial" w:eastAsia="Times New Roman" w:hAnsi="Arial" w:cs="Arial"/>
              <w:noProof/>
              <w:kern w:val="0"/>
              <w:lang w:eastAsia="en-US"/>
              <w14:ligatures w14:val="none"/>
            </w:rPr>
            <w:t>.</w:t>
          </w:r>
          <w:r w:rsidR="005F1326" w:rsidRPr="00B462CD">
            <w:rPr>
              <w:rFonts w:ascii="Arial" w:eastAsia="Times New Roman" w:hAnsi="Arial" w:cs="Arial"/>
              <w:noProof/>
              <w:kern w:val="0"/>
              <w:lang w:eastAsia="en-US"/>
              <w14:ligatures w14:val="none"/>
            </w:rPr>
            <w:t>40</w:t>
          </w:r>
        </w:p>
        <w:p w14:paraId="13635AD8" w14:textId="42338919" w:rsidR="00362B79" w:rsidRPr="00B462CD" w:rsidRDefault="00362B79" w:rsidP="00E6526D">
          <w:pPr>
            <w:spacing w:line="360" w:lineRule="auto"/>
            <w:rPr>
              <w:rFonts w:ascii="Arial" w:hAnsi="Arial" w:cs="Arial"/>
              <w:noProof/>
            </w:rPr>
          </w:pPr>
          <w:r w:rsidRPr="00B462CD">
            <w:rPr>
              <w:rFonts w:ascii="Arial" w:hAnsi="Arial" w:cs="Arial"/>
              <w:noProof/>
            </w:rPr>
            <w:t>4.7</w:t>
          </w:r>
          <w:r w:rsidR="00D6267A" w:rsidRPr="00B462CD">
            <w:rPr>
              <w:rFonts w:ascii="Arial" w:hAnsi="Arial" w:cs="Arial"/>
              <w:noProof/>
            </w:rPr>
            <w:t xml:space="preserve"> </w:t>
          </w:r>
          <w:r w:rsidR="00D6267A" w:rsidRPr="00B462CD">
            <w:rPr>
              <w:rFonts w:ascii="Arial" w:eastAsia="Times New Roman" w:hAnsi="Arial" w:cs="Arial"/>
              <w:noProof/>
              <w:kern w:val="0"/>
              <w:lang w:eastAsia="en-US"/>
              <w14:ligatures w14:val="none"/>
            </w:rPr>
            <w:t>Cultural Change and Adaptation……………………………………………………………</w:t>
          </w:r>
          <w:r w:rsidR="00ED2B67" w:rsidRPr="00B462CD">
            <w:rPr>
              <w:rFonts w:ascii="Arial" w:eastAsia="Times New Roman" w:hAnsi="Arial" w:cs="Arial"/>
              <w:noProof/>
              <w:kern w:val="0"/>
              <w:lang w:eastAsia="en-US"/>
              <w14:ligatures w14:val="none"/>
            </w:rPr>
            <w:t>..</w:t>
          </w:r>
          <w:r w:rsidR="00D6267A" w:rsidRPr="00B462CD">
            <w:rPr>
              <w:rFonts w:ascii="Arial" w:eastAsia="Times New Roman" w:hAnsi="Arial" w:cs="Arial"/>
              <w:noProof/>
              <w:kern w:val="0"/>
              <w:lang w:eastAsia="en-US"/>
              <w14:ligatures w14:val="none"/>
            </w:rPr>
            <w:t>.</w:t>
          </w:r>
          <w:r w:rsidR="005F1326" w:rsidRPr="00B462CD">
            <w:rPr>
              <w:rFonts w:ascii="Arial" w:eastAsia="Times New Roman" w:hAnsi="Arial" w:cs="Arial"/>
              <w:noProof/>
              <w:kern w:val="0"/>
              <w:lang w:eastAsia="en-US"/>
              <w14:ligatures w14:val="none"/>
            </w:rPr>
            <w:t>40</w:t>
          </w:r>
        </w:p>
        <w:p w14:paraId="18AE55F1" w14:textId="5B08FF2E" w:rsidR="00924321" w:rsidRPr="00B462CD" w:rsidRDefault="00924321" w:rsidP="00E6526D">
          <w:pPr>
            <w:spacing w:line="360" w:lineRule="auto"/>
            <w:rPr>
              <w:rFonts w:ascii="Arial" w:hAnsi="Arial" w:cs="Arial"/>
              <w:noProof/>
            </w:rPr>
          </w:pPr>
          <w:r w:rsidRPr="00B462CD">
            <w:rPr>
              <w:rFonts w:ascii="Arial" w:hAnsi="Arial" w:cs="Arial"/>
              <w:noProof/>
            </w:rPr>
            <w:t>4.8</w:t>
          </w:r>
          <w:r w:rsidR="00793793" w:rsidRPr="00B462CD">
            <w:rPr>
              <w:rFonts w:ascii="Arial" w:eastAsia="Arial" w:hAnsi="Arial" w:cs="Arial"/>
              <w:noProof/>
              <w:kern w:val="0"/>
              <w:lang w:eastAsia="en-US"/>
              <w14:ligatures w14:val="none"/>
            </w:rPr>
            <w:t>Thematic Interconnections………………………………………………………………</w:t>
          </w:r>
          <w:r w:rsidR="007813BA" w:rsidRPr="00B462CD">
            <w:rPr>
              <w:rFonts w:ascii="Arial" w:eastAsia="Arial" w:hAnsi="Arial" w:cs="Arial"/>
              <w:noProof/>
              <w:kern w:val="0"/>
              <w:lang w:eastAsia="en-US"/>
              <w14:ligatures w14:val="none"/>
            </w:rPr>
            <w:t>…</w:t>
          </w:r>
          <w:r w:rsidR="00ED2B67" w:rsidRPr="00B462CD">
            <w:rPr>
              <w:rFonts w:ascii="Arial" w:eastAsia="Arial" w:hAnsi="Arial" w:cs="Arial"/>
              <w:noProof/>
              <w:kern w:val="0"/>
              <w:lang w:eastAsia="en-US"/>
              <w14:ligatures w14:val="none"/>
            </w:rPr>
            <w:t>…</w:t>
          </w:r>
          <w:r w:rsidR="007813BA" w:rsidRPr="00B462CD">
            <w:rPr>
              <w:rFonts w:ascii="Arial" w:eastAsia="Arial" w:hAnsi="Arial" w:cs="Arial"/>
              <w:noProof/>
              <w:kern w:val="0"/>
              <w:lang w:eastAsia="en-US"/>
              <w14:ligatures w14:val="none"/>
            </w:rPr>
            <w:t>.</w:t>
          </w:r>
          <w:r w:rsidR="00793793" w:rsidRPr="00B462CD">
            <w:rPr>
              <w:rFonts w:ascii="Arial" w:eastAsia="Arial" w:hAnsi="Arial" w:cs="Arial"/>
              <w:noProof/>
              <w:kern w:val="0"/>
              <w:lang w:eastAsia="en-US"/>
              <w14:ligatures w14:val="none"/>
            </w:rPr>
            <w:t>.4</w:t>
          </w:r>
          <w:r w:rsidR="00666AAE" w:rsidRPr="00B462CD">
            <w:rPr>
              <w:rFonts w:ascii="Arial" w:eastAsia="Arial" w:hAnsi="Arial" w:cs="Arial"/>
              <w:noProof/>
              <w:kern w:val="0"/>
              <w:lang w:eastAsia="en-US"/>
              <w14:ligatures w14:val="none"/>
            </w:rPr>
            <w:t>1</w:t>
          </w:r>
        </w:p>
        <w:p w14:paraId="772036CB" w14:textId="045356F5" w:rsidR="00CA5150" w:rsidRPr="00B462CD" w:rsidRDefault="00CA5150" w:rsidP="00E6526D">
          <w:pPr>
            <w:spacing w:line="360" w:lineRule="auto"/>
            <w:rPr>
              <w:rFonts w:ascii="Arial" w:hAnsi="Arial" w:cs="Arial"/>
              <w:noProof/>
            </w:rPr>
          </w:pPr>
          <w:r w:rsidRPr="00B462CD">
            <w:rPr>
              <w:rFonts w:ascii="Arial" w:hAnsi="Arial" w:cs="Arial"/>
              <w:noProof/>
            </w:rPr>
            <w:t>4.9</w:t>
          </w:r>
          <w:r w:rsidR="002E5CAB" w:rsidRPr="00B462CD">
            <w:rPr>
              <w:rFonts w:ascii="Arial" w:eastAsia="Times New Roman" w:hAnsi="Arial" w:cs="Arial"/>
              <w:noProof/>
              <w:kern w:val="0"/>
              <w:lang w:eastAsia="en-US"/>
              <w14:ligatures w14:val="none"/>
            </w:rPr>
            <w:t>Summary of Key Findings</w:t>
          </w:r>
          <w:r w:rsidR="0015445B" w:rsidRPr="00B462CD">
            <w:rPr>
              <w:rFonts w:ascii="Arial" w:eastAsia="Times New Roman" w:hAnsi="Arial" w:cs="Arial"/>
              <w:noProof/>
              <w:kern w:val="0"/>
              <w:lang w:eastAsia="en-US"/>
              <w14:ligatures w14:val="none"/>
            </w:rPr>
            <w:t>…………………………………………………………………</w:t>
          </w:r>
          <w:r w:rsidR="007813BA" w:rsidRPr="00B462CD">
            <w:rPr>
              <w:rFonts w:ascii="Arial" w:eastAsia="Times New Roman" w:hAnsi="Arial" w:cs="Arial"/>
              <w:noProof/>
              <w:kern w:val="0"/>
              <w:lang w:eastAsia="en-US"/>
              <w14:ligatures w14:val="none"/>
            </w:rPr>
            <w:t>…</w:t>
          </w:r>
          <w:r w:rsidR="00ED2B67" w:rsidRPr="00B462CD">
            <w:rPr>
              <w:rFonts w:ascii="Arial" w:eastAsia="Times New Roman" w:hAnsi="Arial" w:cs="Arial"/>
              <w:noProof/>
              <w:kern w:val="0"/>
              <w:lang w:eastAsia="en-US"/>
              <w14:ligatures w14:val="none"/>
            </w:rPr>
            <w:t>..</w:t>
          </w:r>
          <w:r w:rsidR="007813BA" w:rsidRPr="00B462CD">
            <w:rPr>
              <w:rFonts w:ascii="Arial" w:eastAsia="Times New Roman" w:hAnsi="Arial" w:cs="Arial"/>
              <w:noProof/>
              <w:kern w:val="0"/>
              <w:lang w:eastAsia="en-US"/>
              <w14:ligatures w14:val="none"/>
            </w:rPr>
            <w:t>.</w:t>
          </w:r>
          <w:r w:rsidR="006F7E17" w:rsidRPr="00B462CD">
            <w:rPr>
              <w:rFonts w:ascii="Arial" w:eastAsia="Times New Roman" w:hAnsi="Arial" w:cs="Arial"/>
              <w:noProof/>
              <w:kern w:val="0"/>
              <w:lang w:eastAsia="en-US"/>
              <w14:ligatures w14:val="none"/>
            </w:rPr>
            <w:t>42</w:t>
          </w:r>
        </w:p>
        <w:p w14:paraId="4ED24AF2" w14:textId="2ABD53CE" w:rsidR="00CA5150" w:rsidRPr="00B462CD" w:rsidRDefault="00CA5150" w:rsidP="00E6526D">
          <w:pPr>
            <w:spacing w:line="360" w:lineRule="auto"/>
            <w:rPr>
              <w:rFonts w:ascii="Arial" w:hAnsi="Arial" w:cs="Arial"/>
              <w:noProof/>
            </w:rPr>
          </w:pPr>
          <w:r w:rsidRPr="00B462CD">
            <w:rPr>
              <w:rFonts w:ascii="Arial" w:hAnsi="Arial" w:cs="Arial"/>
              <w:noProof/>
            </w:rPr>
            <w:t>4.10</w:t>
          </w:r>
          <w:r w:rsidR="003E340F" w:rsidRPr="00B462CD">
            <w:rPr>
              <w:rFonts w:ascii="Arial" w:hAnsi="Arial" w:cs="Arial"/>
              <w:noProof/>
            </w:rPr>
            <w:t xml:space="preserve"> </w:t>
          </w:r>
          <w:r w:rsidR="0015445B" w:rsidRPr="00B462CD">
            <w:rPr>
              <w:rFonts w:ascii="Arial" w:eastAsia="Times New Roman" w:hAnsi="Arial" w:cs="Arial"/>
              <w:noProof/>
              <w:kern w:val="0"/>
              <w:lang w:eastAsia="en-US"/>
              <w14:ligatures w14:val="none"/>
            </w:rPr>
            <w:t>Chapter Summary. …………………………………………………………………</w:t>
          </w:r>
          <w:r w:rsidR="007813BA" w:rsidRPr="00B462CD">
            <w:rPr>
              <w:rFonts w:ascii="Arial" w:eastAsia="Times New Roman" w:hAnsi="Arial" w:cs="Arial"/>
              <w:noProof/>
              <w:kern w:val="0"/>
              <w:lang w:eastAsia="en-US"/>
              <w14:ligatures w14:val="none"/>
            </w:rPr>
            <w:t>….</w:t>
          </w:r>
          <w:r w:rsidR="0015445B" w:rsidRPr="00B462CD">
            <w:rPr>
              <w:rFonts w:ascii="Arial" w:eastAsia="Times New Roman" w:hAnsi="Arial" w:cs="Arial"/>
              <w:noProof/>
              <w:kern w:val="0"/>
              <w:lang w:eastAsia="en-US"/>
              <w14:ligatures w14:val="none"/>
            </w:rPr>
            <w:t>…</w:t>
          </w:r>
          <w:r w:rsidR="00ED2B67" w:rsidRPr="00B462CD">
            <w:rPr>
              <w:rFonts w:ascii="Arial" w:eastAsia="Times New Roman" w:hAnsi="Arial" w:cs="Arial"/>
              <w:noProof/>
              <w:kern w:val="0"/>
              <w:lang w:eastAsia="en-US"/>
              <w14:ligatures w14:val="none"/>
            </w:rPr>
            <w:t>..</w:t>
          </w:r>
          <w:r w:rsidR="0015445B" w:rsidRPr="00B462CD">
            <w:rPr>
              <w:rFonts w:ascii="Arial" w:eastAsia="Times New Roman" w:hAnsi="Arial" w:cs="Arial"/>
              <w:noProof/>
              <w:kern w:val="0"/>
              <w:lang w:eastAsia="en-US"/>
              <w14:ligatures w14:val="none"/>
            </w:rPr>
            <w:t>.</w:t>
          </w:r>
          <w:r w:rsidR="00687EFA" w:rsidRPr="00B462CD">
            <w:rPr>
              <w:rFonts w:ascii="Arial" w:eastAsia="Times New Roman" w:hAnsi="Arial" w:cs="Arial"/>
              <w:noProof/>
              <w:kern w:val="0"/>
              <w:lang w:eastAsia="en-US"/>
              <w14:ligatures w14:val="none"/>
            </w:rPr>
            <w:t>43</w:t>
          </w:r>
        </w:p>
        <w:p w14:paraId="1EBED77F" w14:textId="5F08AA30" w:rsidR="001F1BDF" w:rsidRPr="00B462CD" w:rsidRDefault="001F1BDF" w:rsidP="00E6526D">
          <w:pPr>
            <w:pStyle w:val="TOC2"/>
            <w:tabs>
              <w:tab w:val="right" w:leader="dot" w:pos="9016"/>
            </w:tabs>
            <w:spacing w:line="360" w:lineRule="auto"/>
            <w:ind w:left="0"/>
            <w:rPr>
              <w:rFonts w:ascii="Arial" w:hAnsi="Arial" w:cs="Arial"/>
              <w:noProof/>
            </w:rPr>
          </w:pPr>
          <w:hyperlink w:anchor="_Toc220428673" w:history="1">
            <w:r w:rsidRPr="00B462CD">
              <w:rPr>
                <w:rStyle w:val="Hyperlink"/>
                <w:rFonts w:ascii="Arial" w:eastAsia="Times New Roman" w:hAnsi="Arial" w:cs="Arial"/>
                <w:noProof/>
                <w:color w:val="auto"/>
              </w:rPr>
              <w:t>Chapter 5: Discussio</w:t>
            </w:r>
            <w:r w:rsidR="00FD1023" w:rsidRPr="00B462CD">
              <w:rPr>
                <w:rStyle w:val="Hyperlink"/>
                <w:rFonts w:ascii="Arial" w:eastAsia="Times New Roman" w:hAnsi="Arial" w:cs="Arial"/>
                <w:noProof/>
                <w:color w:val="auto"/>
              </w:rPr>
              <w:t>n ……</w:t>
            </w:r>
            <w:r w:rsidR="00C621B2" w:rsidRPr="00B462CD">
              <w:rPr>
                <w:rStyle w:val="Hyperlink"/>
                <w:rFonts w:ascii="Arial" w:eastAsia="Times New Roman" w:hAnsi="Arial" w:cs="Arial"/>
                <w:noProof/>
                <w:color w:val="auto"/>
              </w:rPr>
              <w:t>……………………………………………</w:t>
            </w:r>
            <w:r w:rsidR="007813BA" w:rsidRPr="00B462CD">
              <w:rPr>
                <w:rStyle w:val="Hyperlink"/>
                <w:rFonts w:ascii="Arial" w:eastAsia="Times New Roman" w:hAnsi="Arial" w:cs="Arial"/>
                <w:noProof/>
                <w:color w:val="auto"/>
              </w:rPr>
              <w:t>……………….</w:t>
            </w:r>
            <w:r w:rsidR="00FD1023" w:rsidRPr="00B462CD">
              <w:rPr>
                <w:rStyle w:val="Hyperlink"/>
                <w:rFonts w:ascii="Arial" w:eastAsia="Times New Roman" w:hAnsi="Arial" w:cs="Arial"/>
                <w:noProof/>
                <w:color w:val="auto"/>
              </w:rPr>
              <w:t>.</w:t>
            </w:r>
          </w:hyperlink>
          <w:r w:rsidR="007813BA" w:rsidRPr="00B462CD">
            <w:rPr>
              <w:rFonts w:ascii="Arial" w:hAnsi="Arial" w:cs="Arial"/>
              <w:noProof/>
            </w:rPr>
            <w:t>........</w:t>
          </w:r>
          <w:r w:rsidR="00ED2B67" w:rsidRPr="00B462CD">
            <w:rPr>
              <w:rFonts w:ascii="Arial" w:hAnsi="Arial" w:cs="Arial"/>
              <w:noProof/>
            </w:rPr>
            <w:t>..</w:t>
          </w:r>
          <w:r w:rsidR="007813BA" w:rsidRPr="00B462CD">
            <w:rPr>
              <w:rFonts w:ascii="Arial" w:hAnsi="Arial" w:cs="Arial"/>
              <w:noProof/>
            </w:rPr>
            <w:t>..</w:t>
          </w:r>
          <w:r w:rsidR="00285191" w:rsidRPr="00B462CD">
            <w:rPr>
              <w:rFonts w:ascii="Arial" w:hAnsi="Arial" w:cs="Arial"/>
              <w:noProof/>
            </w:rPr>
            <w:t>4</w:t>
          </w:r>
          <w:r w:rsidR="00C621B2" w:rsidRPr="00B462CD">
            <w:rPr>
              <w:rFonts w:ascii="Arial" w:hAnsi="Arial" w:cs="Arial"/>
              <w:noProof/>
            </w:rPr>
            <w:t>5</w:t>
          </w:r>
        </w:p>
        <w:p w14:paraId="2D049B99" w14:textId="69FA5209" w:rsidR="00FC764B" w:rsidRPr="00B462CD" w:rsidRDefault="00FC764B" w:rsidP="00E6526D">
          <w:pPr>
            <w:spacing w:line="360" w:lineRule="auto"/>
            <w:rPr>
              <w:rFonts w:ascii="Arial" w:hAnsi="Arial" w:cs="Arial"/>
              <w:noProof/>
            </w:rPr>
          </w:pPr>
          <w:r w:rsidRPr="00B462CD">
            <w:rPr>
              <w:rFonts w:ascii="Arial" w:hAnsi="Arial" w:cs="Arial"/>
              <w:noProof/>
            </w:rPr>
            <w:t>5.1</w:t>
          </w:r>
          <w:r w:rsidR="00AC44B6" w:rsidRPr="00B462CD">
            <w:rPr>
              <w:rFonts w:ascii="Arial" w:eastAsia="Times New Roman" w:hAnsi="Arial" w:cs="Arial"/>
              <w:noProof/>
            </w:rPr>
            <w:t xml:space="preserve"> Introduction</w:t>
          </w:r>
          <w:r w:rsidR="00370C40" w:rsidRPr="00B462CD">
            <w:rPr>
              <w:rFonts w:ascii="Arial" w:eastAsia="Times New Roman" w:hAnsi="Arial" w:cs="Arial"/>
              <w:noProof/>
            </w:rPr>
            <w:t>……………………………………………………………………………</w:t>
          </w:r>
          <w:r w:rsidR="007813BA" w:rsidRPr="00B462CD">
            <w:rPr>
              <w:rFonts w:ascii="Arial" w:eastAsia="Times New Roman" w:hAnsi="Arial" w:cs="Arial"/>
              <w:noProof/>
            </w:rPr>
            <w:t>……</w:t>
          </w:r>
          <w:r w:rsidR="00ED2B67" w:rsidRPr="00B462CD">
            <w:rPr>
              <w:rFonts w:ascii="Arial" w:eastAsia="Times New Roman" w:hAnsi="Arial" w:cs="Arial"/>
              <w:noProof/>
            </w:rPr>
            <w:t>..</w:t>
          </w:r>
          <w:r w:rsidR="007813BA" w:rsidRPr="00B462CD">
            <w:rPr>
              <w:rFonts w:ascii="Arial" w:eastAsia="Times New Roman" w:hAnsi="Arial" w:cs="Arial"/>
              <w:noProof/>
            </w:rPr>
            <w:t>…</w:t>
          </w:r>
          <w:r w:rsidR="00370C40" w:rsidRPr="00B462CD">
            <w:rPr>
              <w:rFonts w:ascii="Arial" w:eastAsia="Times New Roman" w:hAnsi="Arial" w:cs="Arial"/>
              <w:noProof/>
            </w:rPr>
            <w:t>.4</w:t>
          </w:r>
          <w:r w:rsidR="007813BA" w:rsidRPr="00B462CD">
            <w:rPr>
              <w:rFonts w:ascii="Arial" w:eastAsia="Times New Roman" w:hAnsi="Arial" w:cs="Arial"/>
              <w:noProof/>
            </w:rPr>
            <w:t>5</w:t>
          </w:r>
        </w:p>
        <w:p w14:paraId="1A5DDF62" w14:textId="73A6BD4D"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74" w:history="1">
            <w:r w:rsidRPr="00B462CD">
              <w:rPr>
                <w:rStyle w:val="Hyperlink"/>
                <w:rFonts w:ascii="Arial" w:eastAsia="Times New Roman" w:hAnsi="Arial" w:cs="Arial"/>
                <w:noProof/>
                <w:color w:val="auto"/>
              </w:rPr>
              <w:t>5.2 Barriers to Healthcare Access: Interpretation and Implications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_Toc220428674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46</w:t>
            </w:r>
            <w:r w:rsidRPr="00B462CD">
              <w:rPr>
                <w:rFonts w:ascii="Arial" w:hAnsi="Arial" w:cs="Arial"/>
                <w:noProof/>
                <w:webHidden/>
              </w:rPr>
              <w:fldChar w:fldCharType="end"/>
            </w:r>
          </w:hyperlink>
        </w:p>
        <w:p w14:paraId="1E4F6794" w14:textId="1C10557C"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75" w:history="1">
            <w:r w:rsidRPr="00B462CD">
              <w:rPr>
                <w:rStyle w:val="Hyperlink"/>
                <w:rFonts w:ascii="Arial" w:eastAsia="Times New Roman" w:hAnsi="Arial" w:cs="Arial"/>
                <w:noProof/>
                <w:color w:val="auto"/>
              </w:rPr>
              <w:t>5.3 Precarious Housing and Employment: Analytical Insights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_Toc220428675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47</w:t>
            </w:r>
            <w:r w:rsidRPr="00B462CD">
              <w:rPr>
                <w:rFonts w:ascii="Arial" w:hAnsi="Arial" w:cs="Arial"/>
                <w:noProof/>
                <w:webHidden/>
              </w:rPr>
              <w:fldChar w:fldCharType="end"/>
            </w:r>
          </w:hyperlink>
        </w:p>
        <w:p w14:paraId="67455C59" w14:textId="3B78366D" w:rsidR="001F1BDF" w:rsidRPr="00B462CD" w:rsidRDefault="001F1BDF" w:rsidP="00E6526D">
          <w:pPr>
            <w:pStyle w:val="TOC3"/>
            <w:tabs>
              <w:tab w:val="right" w:leader="dot" w:pos="9016"/>
            </w:tabs>
            <w:spacing w:line="360" w:lineRule="auto"/>
            <w:ind w:left="0"/>
            <w:rPr>
              <w:rFonts w:ascii="Arial" w:hAnsi="Arial" w:cs="Arial"/>
              <w:noProof/>
            </w:rPr>
          </w:pPr>
          <w:hyperlink w:anchor="_Toc220428676" w:history="1">
            <w:r w:rsidRPr="00B462CD">
              <w:rPr>
                <w:rStyle w:val="Hyperlink"/>
                <w:rFonts w:ascii="Arial" w:eastAsia="Times New Roman" w:hAnsi="Arial" w:cs="Arial"/>
                <w:noProof/>
                <w:color w:val="auto"/>
              </w:rPr>
              <w:t>5.4 Discrimination and Social Exclusion: Critical Reflections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_Toc220428676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47</w:t>
            </w:r>
            <w:r w:rsidRPr="00B462CD">
              <w:rPr>
                <w:rFonts w:ascii="Arial" w:hAnsi="Arial" w:cs="Arial"/>
                <w:noProof/>
                <w:webHidden/>
              </w:rPr>
              <w:fldChar w:fldCharType="end"/>
            </w:r>
          </w:hyperlink>
        </w:p>
        <w:p w14:paraId="54578A77" w14:textId="64DD573B" w:rsidR="00D01AF7" w:rsidRPr="00B462CD" w:rsidRDefault="00D01AF7" w:rsidP="00E6526D">
          <w:pPr>
            <w:spacing w:line="360" w:lineRule="auto"/>
            <w:rPr>
              <w:rFonts w:ascii="Arial" w:hAnsi="Arial" w:cs="Arial"/>
              <w:noProof/>
            </w:rPr>
          </w:pPr>
          <w:r w:rsidRPr="00B462CD">
            <w:rPr>
              <w:rFonts w:ascii="Arial" w:hAnsi="Arial" w:cs="Arial"/>
              <w:noProof/>
            </w:rPr>
            <w:t>5.5</w:t>
          </w:r>
          <w:r w:rsidR="00273F1A" w:rsidRPr="00B462CD">
            <w:rPr>
              <w:rFonts w:ascii="Arial" w:hAnsi="Arial" w:cs="Arial"/>
              <w:noProof/>
            </w:rPr>
            <w:t xml:space="preserve"> </w:t>
          </w:r>
          <w:r w:rsidR="00B801C2" w:rsidRPr="00B462CD">
            <w:rPr>
              <w:rFonts w:ascii="Arial" w:eastAsia="Times New Roman" w:hAnsi="Arial" w:cs="Arial"/>
              <w:noProof/>
            </w:rPr>
            <w:t>Coping Strategies and Resilience: The Role of Community and Faith ……………</w:t>
          </w:r>
          <w:r w:rsidR="007813BA" w:rsidRPr="00B462CD">
            <w:rPr>
              <w:rFonts w:ascii="Arial" w:eastAsia="Times New Roman" w:hAnsi="Arial" w:cs="Arial"/>
              <w:noProof/>
            </w:rPr>
            <w:t>…</w:t>
          </w:r>
          <w:r w:rsidR="00ED2B67" w:rsidRPr="00B462CD">
            <w:rPr>
              <w:rFonts w:ascii="Arial" w:eastAsia="Times New Roman" w:hAnsi="Arial" w:cs="Arial"/>
              <w:noProof/>
            </w:rPr>
            <w:t>…</w:t>
          </w:r>
          <w:r w:rsidR="007813BA" w:rsidRPr="00B462CD">
            <w:rPr>
              <w:rFonts w:ascii="Arial" w:eastAsia="Times New Roman" w:hAnsi="Arial" w:cs="Arial"/>
              <w:noProof/>
            </w:rPr>
            <w:t>..</w:t>
          </w:r>
          <w:r w:rsidR="00B801C2" w:rsidRPr="00B462CD">
            <w:rPr>
              <w:rFonts w:ascii="Arial" w:eastAsia="Times New Roman" w:hAnsi="Arial" w:cs="Arial"/>
              <w:noProof/>
            </w:rPr>
            <w:t>46</w:t>
          </w:r>
        </w:p>
        <w:p w14:paraId="385255CF" w14:textId="7C2144F0" w:rsidR="00D01AF7" w:rsidRPr="00B462CD" w:rsidRDefault="00D01AF7" w:rsidP="00E6526D">
          <w:pPr>
            <w:spacing w:line="360" w:lineRule="auto"/>
            <w:rPr>
              <w:rFonts w:ascii="Arial" w:hAnsi="Arial" w:cs="Arial"/>
              <w:noProof/>
            </w:rPr>
          </w:pPr>
          <w:r w:rsidRPr="00B462CD">
            <w:rPr>
              <w:rFonts w:ascii="Arial" w:hAnsi="Arial" w:cs="Arial"/>
              <w:noProof/>
            </w:rPr>
            <w:t>5.6</w:t>
          </w:r>
          <w:r w:rsidR="00273F1A" w:rsidRPr="00B462CD">
            <w:rPr>
              <w:rFonts w:ascii="Arial" w:hAnsi="Arial" w:cs="Arial"/>
              <w:noProof/>
            </w:rPr>
            <w:t xml:space="preserve"> </w:t>
          </w:r>
          <w:r w:rsidR="00684BBC" w:rsidRPr="00B462CD">
            <w:rPr>
              <w:rFonts w:ascii="Arial" w:eastAsia="Times New Roman" w:hAnsi="Arial" w:cs="Arial"/>
              <w:noProof/>
            </w:rPr>
            <w:t xml:space="preserve">Climate Change Impacts: Environmental Adaptation and Health. </w:t>
          </w:r>
          <w:r w:rsidR="00B1054A" w:rsidRPr="00B462CD">
            <w:rPr>
              <w:rFonts w:ascii="Arial" w:eastAsia="Times New Roman" w:hAnsi="Arial" w:cs="Arial"/>
              <w:noProof/>
            </w:rPr>
            <w:t>…………………</w:t>
          </w:r>
          <w:r w:rsidR="007813BA" w:rsidRPr="00B462CD">
            <w:rPr>
              <w:rFonts w:ascii="Arial" w:eastAsia="Times New Roman" w:hAnsi="Arial" w:cs="Arial"/>
              <w:noProof/>
            </w:rPr>
            <w:t>…</w:t>
          </w:r>
          <w:r w:rsidR="00ED2B67" w:rsidRPr="00B462CD">
            <w:rPr>
              <w:rFonts w:ascii="Arial" w:eastAsia="Times New Roman" w:hAnsi="Arial" w:cs="Arial"/>
              <w:noProof/>
            </w:rPr>
            <w:t>….</w:t>
          </w:r>
          <w:r w:rsidR="007813BA" w:rsidRPr="00B462CD">
            <w:rPr>
              <w:rFonts w:ascii="Arial" w:eastAsia="Times New Roman" w:hAnsi="Arial" w:cs="Arial"/>
              <w:noProof/>
            </w:rPr>
            <w:t>.</w:t>
          </w:r>
          <w:r w:rsidR="00B1054A" w:rsidRPr="00B462CD">
            <w:rPr>
              <w:rFonts w:ascii="Arial" w:eastAsia="Times New Roman" w:hAnsi="Arial" w:cs="Arial"/>
              <w:noProof/>
            </w:rPr>
            <w:t>47</w:t>
          </w:r>
        </w:p>
        <w:p w14:paraId="6AF4BC63" w14:textId="0CC12CF3" w:rsidR="001F1BDF" w:rsidRPr="00B462CD" w:rsidRDefault="001F1BDF" w:rsidP="00E6526D">
          <w:pPr>
            <w:pStyle w:val="TOC3"/>
            <w:tabs>
              <w:tab w:val="right" w:leader="dot" w:pos="9016"/>
            </w:tabs>
            <w:spacing w:line="360" w:lineRule="auto"/>
            <w:ind w:left="0"/>
            <w:rPr>
              <w:rFonts w:ascii="Arial" w:hAnsi="Arial" w:cs="Arial"/>
              <w:noProof/>
            </w:rPr>
          </w:pPr>
          <w:hyperlink w:anchor="_Toc220428677" w:history="1">
            <w:r w:rsidRPr="00B462CD">
              <w:rPr>
                <w:rStyle w:val="Hyperlink"/>
                <w:rFonts w:ascii="Arial" w:hAnsi="Arial" w:cs="Arial"/>
                <w:noProof/>
                <w:color w:val="auto"/>
              </w:rPr>
              <w:t>5.7 Cultural Change and Adaptation: Navigating New Norms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48</w:t>
            </w:r>
            <w:r w:rsidRPr="00B462CD">
              <w:rPr>
                <w:rFonts w:ascii="Arial" w:hAnsi="Arial" w:cs="Arial"/>
                <w:noProof/>
                <w:webHidden/>
              </w:rPr>
              <w:fldChar w:fldCharType="end"/>
            </w:r>
          </w:hyperlink>
        </w:p>
        <w:p w14:paraId="13E2F7FA" w14:textId="251674E2" w:rsidR="00D01AF7" w:rsidRPr="00B462CD" w:rsidRDefault="00D01AF7" w:rsidP="00E6526D">
          <w:pPr>
            <w:spacing w:line="360" w:lineRule="auto"/>
            <w:rPr>
              <w:rFonts w:ascii="Arial" w:hAnsi="Arial" w:cs="Arial"/>
              <w:noProof/>
            </w:rPr>
          </w:pPr>
          <w:r w:rsidRPr="00B462CD">
            <w:rPr>
              <w:rFonts w:ascii="Arial" w:hAnsi="Arial" w:cs="Arial"/>
              <w:noProof/>
            </w:rPr>
            <w:t>5.8</w:t>
          </w:r>
          <w:r w:rsidR="00B43407" w:rsidRPr="00B462CD">
            <w:rPr>
              <w:rFonts w:ascii="Arial" w:eastAsia="Times New Roman" w:hAnsi="Arial" w:cs="Arial"/>
              <w:noProof/>
            </w:rPr>
            <w:t>8 Integration with Conceptual Framework ……………………………………………</w:t>
          </w:r>
          <w:r w:rsidR="00ED2B67" w:rsidRPr="00B462CD">
            <w:rPr>
              <w:rFonts w:ascii="Arial" w:eastAsia="Times New Roman" w:hAnsi="Arial" w:cs="Arial"/>
              <w:noProof/>
            </w:rPr>
            <w:t>…….</w:t>
          </w:r>
          <w:r w:rsidR="00B43407" w:rsidRPr="00B462CD">
            <w:rPr>
              <w:rFonts w:ascii="Arial" w:eastAsia="Times New Roman" w:hAnsi="Arial" w:cs="Arial"/>
              <w:noProof/>
            </w:rPr>
            <w:t>..48</w:t>
          </w:r>
        </w:p>
        <w:p w14:paraId="75CE5733" w14:textId="53BE33B4" w:rsidR="00D01AF7" w:rsidRPr="00B462CD" w:rsidRDefault="00D01AF7" w:rsidP="00E6526D">
          <w:pPr>
            <w:spacing w:line="360" w:lineRule="auto"/>
            <w:rPr>
              <w:rFonts w:ascii="Arial" w:hAnsi="Arial" w:cs="Arial"/>
              <w:noProof/>
            </w:rPr>
          </w:pPr>
          <w:r w:rsidRPr="00B462CD">
            <w:rPr>
              <w:rFonts w:ascii="Arial" w:hAnsi="Arial" w:cs="Arial"/>
              <w:noProof/>
            </w:rPr>
            <w:t>5.9</w:t>
          </w:r>
          <w:r w:rsidR="0072393C" w:rsidRPr="00B462CD">
            <w:rPr>
              <w:rFonts w:ascii="Arial" w:hAnsi="Arial" w:cs="Arial"/>
              <w:noProof/>
            </w:rPr>
            <w:t xml:space="preserve"> </w:t>
          </w:r>
          <w:r w:rsidR="0090039A" w:rsidRPr="00B462CD">
            <w:rPr>
              <w:rFonts w:ascii="Arial" w:hAnsi="Arial" w:cs="Arial"/>
              <w:noProof/>
            </w:rPr>
            <w:t>Strengths</w:t>
          </w:r>
          <w:r w:rsidR="0072393C" w:rsidRPr="00B462CD">
            <w:rPr>
              <w:rFonts w:ascii="Arial" w:hAnsi="Arial" w:cs="Arial"/>
              <w:noProof/>
            </w:rPr>
            <w:t xml:space="preserve"> and Limitations…………………………………………………………</w:t>
          </w:r>
          <w:r w:rsidR="00ED2B67" w:rsidRPr="00B462CD">
            <w:rPr>
              <w:rFonts w:ascii="Arial" w:hAnsi="Arial" w:cs="Arial"/>
              <w:noProof/>
            </w:rPr>
            <w:t>…….</w:t>
          </w:r>
          <w:r w:rsidR="0072393C" w:rsidRPr="00B462CD">
            <w:rPr>
              <w:rFonts w:ascii="Arial" w:hAnsi="Arial" w:cs="Arial"/>
              <w:noProof/>
            </w:rPr>
            <w:t>…</w:t>
          </w:r>
          <w:r w:rsidR="00ED2B67" w:rsidRPr="00B462CD">
            <w:rPr>
              <w:rFonts w:ascii="Arial" w:hAnsi="Arial" w:cs="Arial"/>
              <w:noProof/>
            </w:rPr>
            <w:t>.</w:t>
          </w:r>
          <w:r w:rsidR="0072393C" w:rsidRPr="00B462CD">
            <w:rPr>
              <w:rFonts w:ascii="Arial" w:hAnsi="Arial" w:cs="Arial"/>
              <w:noProof/>
            </w:rPr>
            <w:t>.</w:t>
          </w:r>
          <w:r w:rsidR="00B43407" w:rsidRPr="00B462CD">
            <w:rPr>
              <w:rFonts w:ascii="Arial" w:hAnsi="Arial" w:cs="Arial"/>
              <w:noProof/>
            </w:rPr>
            <w:t>48</w:t>
          </w:r>
        </w:p>
        <w:p w14:paraId="6A78AC42" w14:textId="3ABF6214" w:rsidR="00D01AF7" w:rsidRPr="00B462CD" w:rsidRDefault="00D01AF7" w:rsidP="00E6526D">
          <w:pPr>
            <w:spacing w:line="360" w:lineRule="auto"/>
            <w:rPr>
              <w:rFonts w:ascii="Arial" w:hAnsi="Arial" w:cs="Arial"/>
              <w:noProof/>
            </w:rPr>
          </w:pPr>
          <w:r w:rsidRPr="00B462CD">
            <w:rPr>
              <w:rFonts w:ascii="Arial" w:hAnsi="Arial" w:cs="Arial"/>
              <w:noProof/>
            </w:rPr>
            <w:t>5.10</w:t>
          </w:r>
          <w:r w:rsidR="00C8044A" w:rsidRPr="00B462CD">
            <w:rPr>
              <w:rFonts w:ascii="Arial" w:hAnsi="Arial" w:cs="Arial"/>
              <w:noProof/>
            </w:rPr>
            <w:t xml:space="preserve"> </w:t>
          </w:r>
          <w:r w:rsidR="00133A3E" w:rsidRPr="00B462CD">
            <w:rPr>
              <w:rFonts w:ascii="Arial" w:hAnsi="Arial" w:cs="Arial"/>
              <w:noProof/>
            </w:rPr>
            <w:t>Implication for Policy</w:t>
          </w:r>
          <w:r w:rsidR="00274ECA" w:rsidRPr="00B462CD">
            <w:rPr>
              <w:rFonts w:ascii="Arial" w:hAnsi="Arial" w:cs="Arial"/>
              <w:noProof/>
            </w:rPr>
            <w:t>, Practice</w:t>
          </w:r>
          <w:r w:rsidR="00FA1FAE" w:rsidRPr="00B462CD">
            <w:rPr>
              <w:rFonts w:ascii="Arial" w:hAnsi="Arial" w:cs="Arial"/>
              <w:noProof/>
            </w:rPr>
            <w:t xml:space="preserve"> and Research</w:t>
          </w:r>
          <w:r w:rsidR="00C8044A" w:rsidRPr="00B462CD">
            <w:rPr>
              <w:rFonts w:ascii="Arial" w:hAnsi="Arial" w:cs="Arial"/>
              <w:noProof/>
            </w:rPr>
            <w:t>…………………………………</w:t>
          </w:r>
          <w:r w:rsidR="00ED2B67" w:rsidRPr="00B462CD">
            <w:rPr>
              <w:rFonts w:ascii="Arial" w:hAnsi="Arial" w:cs="Arial"/>
              <w:noProof/>
            </w:rPr>
            <w:t>……….</w:t>
          </w:r>
          <w:r w:rsidR="00C8044A" w:rsidRPr="00B462CD">
            <w:rPr>
              <w:rFonts w:ascii="Arial" w:hAnsi="Arial" w:cs="Arial"/>
              <w:noProof/>
            </w:rPr>
            <w:t>.</w:t>
          </w:r>
          <w:r w:rsidR="00B43407" w:rsidRPr="00B462CD">
            <w:rPr>
              <w:rFonts w:ascii="Arial" w:hAnsi="Arial" w:cs="Arial"/>
              <w:noProof/>
            </w:rPr>
            <w:t>49</w:t>
          </w:r>
        </w:p>
        <w:p w14:paraId="49EC1E0C" w14:textId="09BF265D"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78" w:history="1">
            <w:r w:rsidRPr="00B462CD">
              <w:rPr>
                <w:rStyle w:val="Hyperlink"/>
                <w:rFonts w:ascii="Arial" w:eastAsia="Times New Roman" w:hAnsi="Arial" w:cs="Arial"/>
                <w:noProof/>
                <w:color w:val="auto"/>
              </w:rPr>
              <w:t>5.11 Conclusion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50</w:t>
            </w:r>
            <w:r w:rsidRPr="00B462CD">
              <w:rPr>
                <w:rFonts w:ascii="Arial" w:hAnsi="Arial" w:cs="Arial"/>
                <w:noProof/>
                <w:webHidden/>
              </w:rPr>
              <w:fldChar w:fldCharType="end"/>
            </w:r>
          </w:hyperlink>
        </w:p>
        <w:p w14:paraId="02498469" w14:textId="7032E09E"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79" w:history="1">
            <w:r w:rsidRPr="00B462CD">
              <w:rPr>
                <w:rStyle w:val="Hyperlink"/>
                <w:rFonts w:ascii="Arial" w:eastAsia="Times New Roman" w:hAnsi="Arial" w:cs="Arial"/>
                <w:noProof/>
                <w:color w:val="auto"/>
                <w:kern w:val="0"/>
                <w:lang w:eastAsia="en-US"/>
                <w14:ligatures w14:val="none"/>
              </w:rPr>
              <w:t>Chapter 6: Conclusion and Recommendations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_Toc220428679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52</w:t>
            </w:r>
            <w:r w:rsidRPr="00B462CD">
              <w:rPr>
                <w:rFonts w:ascii="Arial" w:hAnsi="Arial" w:cs="Arial"/>
                <w:noProof/>
                <w:webHidden/>
              </w:rPr>
              <w:fldChar w:fldCharType="end"/>
            </w:r>
          </w:hyperlink>
        </w:p>
        <w:p w14:paraId="59695FA6" w14:textId="0C6D160E"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80" w:history="1">
            <w:r w:rsidRPr="00B462CD">
              <w:rPr>
                <w:rStyle w:val="Hyperlink"/>
                <w:rFonts w:ascii="Arial" w:eastAsia="Times New Roman" w:hAnsi="Arial" w:cs="Arial"/>
                <w:noProof/>
                <w:color w:val="auto"/>
                <w:kern w:val="0"/>
                <w:lang w:eastAsia="en-US"/>
                <w14:ligatures w14:val="none"/>
              </w:rPr>
              <w:t>6.1 Introduction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_Toc220428680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52</w:t>
            </w:r>
            <w:r w:rsidRPr="00B462CD">
              <w:rPr>
                <w:rFonts w:ascii="Arial" w:hAnsi="Arial" w:cs="Arial"/>
                <w:noProof/>
                <w:webHidden/>
              </w:rPr>
              <w:fldChar w:fldCharType="end"/>
            </w:r>
          </w:hyperlink>
        </w:p>
        <w:p w14:paraId="3A87434A" w14:textId="24AA91A2" w:rsidR="001F1BDF" w:rsidRPr="00B462CD" w:rsidRDefault="001F1BDF" w:rsidP="00E6526D">
          <w:pPr>
            <w:pStyle w:val="TOC3"/>
            <w:tabs>
              <w:tab w:val="right" w:leader="dot" w:pos="9016"/>
            </w:tabs>
            <w:spacing w:line="360" w:lineRule="auto"/>
            <w:ind w:left="0"/>
            <w:rPr>
              <w:rFonts w:ascii="Arial" w:hAnsi="Arial" w:cs="Arial"/>
              <w:noProof/>
            </w:rPr>
          </w:pPr>
          <w:hyperlink w:anchor="_Toc220428681" w:history="1">
            <w:r w:rsidRPr="00B462CD">
              <w:rPr>
                <w:rStyle w:val="Hyperlink"/>
                <w:rFonts w:ascii="Arial" w:eastAsia="Times New Roman" w:hAnsi="Arial" w:cs="Arial"/>
                <w:noProof/>
                <w:color w:val="auto"/>
                <w:kern w:val="0"/>
                <w:lang w:eastAsia="en-US"/>
                <w14:ligatures w14:val="none"/>
              </w:rPr>
              <w:t>6.2 Synthesis of Findings and Achievement of Objectives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_Toc220428681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52</w:t>
            </w:r>
            <w:r w:rsidRPr="00B462CD">
              <w:rPr>
                <w:rFonts w:ascii="Arial" w:hAnsi="Arial" w:cs="Arial"/>
                <w:noProof/>
                <w:webHidden/>
              </w:rPr>
              <w:fldChar w:fldCharType="end"/>
            </w:r>
          </w:hyperlink>
        </w:p>
        <w:p w14:paraId="383DDFDD" w14:textId="426F830F" w:rsidR="00757BD0" w:rsidRPr="00B462CD" w:rsidRDefault="00757BD0" w:rsidP="00E6526D">
          <w:pPr>
            <w:spacing w:line="360" w:lineRule="auto"/>
            <w:rPr>
              <w:rFonts w:ascii="Arial" w:hAnsi="Arial" w:cs="Arial"/>
              <w:noProof/>
            </w:rPr>
          </w:pPr>
          <w:r w:rsidRPr="00B462CD">
            <w:rPr>
              <w:rFonts w:ascii="Arial" w:hAnsi="Arial" w:cs="Arial"/>
              <w:noProof/>
            </w:rPr>
            <w:t>6.3</w:t>
          </w:r>
          <w:r w:rsidR="000A4A4B" w:rsidRPr="00B462CD">
            <w:rPr>
              <w:rFonts w:ascii="Arial" w:hAnsi="Arial" w:cs="Arial"/>
              <w:noProof/>
            </w:rPr>
            <w:t xml:space="preserve"> </w:t>
          </w:r>
          <w:r w:rsidR="000A1E32" w:rsidRPr="00B462CD">
            <w:rPr>
              <w:rFonts w:ascii="Arial" w:hAnsi="Arial" w:cs="Arial"/>
              <w:noProof/>
            </w:rPr>
            <w:t>New Finding</w:t>
          </w:r>
          <w:r w:rsidR="006257EB" w:rsidRPr="00B462CD">
            <w:rPr>
              <w:rFonts w:ascii="Arial" w:hAnsi="Arial" w:cs="Arial"/>
              <w:noProof/>
            </w:rPr>
            <w:t>…………………………………………………………………………………</w:t>
          </w:r>
          <w:r w:rsidR="00936EB8" w:rsidRPr="00B462CD">
            <w:rPr>
              <w:rFonts w:ascii="Arial" w:hAnsi="Arial" w:cs="Arial"/>
              <w:noProof/>
            </w:rPr>
            <w:t>…</w:t>
          </w:r>
          <w:r w:rsidR="00ED2B67" w:rsidRPr="00B462CD">
            <w:rPr>
              <w:rFonts w:ascii="Arial" w:hAnsi="Arial" w:cs="Arial"/>
              <w:noProof/>
            </w:rPr>
            <w:t>.</w:t>
          </w:r>
          <w:r w:rsidR="00E05A7F" w:rsidRPr="00B462CD">
            <w:rPr>
              <w:rFonts w:ascii="Arial" w:hAnsi="Arial" w:cs="Arial"/>
              <w:noProof/>
            </w:rPr>
            <w:t>51</w:t>
          </w:r>
        </w:p>
        <w:p w14:paraId="722D5282" w14:textId="3ED048C2"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82" w:history="1">
            <w:r w:rsidRPr="00B462CD">
              <w:rPr>
                <w:rStyle w:val="Hyperlink"/>
                <w:rFonts w:ascii="Arial" w:eastAsia="Times New Roman" w:hAnsi="Arial" w:cs="Arial"/>
                <w:noProof/>
                <w:color w:val="auto"/>
                <w:kern w:val="0"/>
                <w:lang w:eastAsia="en-US"/>
                <w14:ligatures w14:val="none"/>
              </w:rPr>
              <w:t>6.4 Effectiveness of the Methodological Approach</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53</w:t>
            </w:r>
            <w:r w:rsidRPr="00B462CD">
              <w:rPr>
                <w:rFonts w:ascii="Arial" w:hAnsi="Arial" w:cs="Arial"/>
                <w:noProof/>
                <w:webHidden/>
              </w:rPr>
              <w:fldChar w:fldCharType="end"/>
            </w:r>
          </w:hyperlink>
        </w:p>
        <w:p w14:paraId="4FC34341" w14:textId="5500D28C"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83" w:history="1">
            <w:r w:rsidRPr="00B462CD">
              <w:rPr>
                <w:rStyle w:val="Hyperlink"/>
                <w:rFonts w:ascii="Arial" w:eastAsia="Times New Roman" w:hAnsi="Arial" w:cs="Arial"/>
                <w:noProof/>
                <w:color w:val="auto"/>
                <w:kern w:val="0"/>
                <w:lang w:eastAsia="en-US"/>
                <w14:ligatures w14:val="none"/>
              </w:rPr>
              <w:t>6.5 Reflections on Strengths and Limitations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_Toc220428683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54</w:t>
            </w:r>
            <w:r w:rsidRPr="00B462CD">
              <w:rPr>
                <w:rFonts w:ascii="Arial" w:hAnsi="Arial" w:cs="Arial"/>
                <w:noProof/>
                <w:webHidden/>
              </w:rPr>
              <w:fldChar w:fldCharType="end"/>
            </w:r>
          </w:hyperlink>
        </w:p>
        <w:p w14:paraId="10F80289" w14:textId="1B500709" w:rsidR="001F1BDF" w:rsidRPr="00B462CD" w:rsidRDefault="001F1BDF" w:rsidP="00E6526D">
          <w:pPr>
            <w:pStyle w:val="TOC3"/>
            <w:tabs>
              <w:tab w:val="right" w:leader="dot" w:pos="9016"/>
            </w:tabs>
            <w:spacing w:line="360" w:lineRule="auto"/>
            <w:ind w:left="0"/>
            <w:rPr>
              <w:rFonts w:ascii="Arial" w:hAnsi="Arial" w:cs="Arial"/>
              <w:noProof/>
            </w:rPr>
          </w:pPr>
          <w:hyperlink w:anchor="_Toc220428684" w:history="1">
            <w:r w:rsidRPr="00B462CD">
              <w:rPr>
                <w:rStyle w:val="Hyperlink"/>
                <w:rFonts w:ascii="Arial" w:eastAsia="Times New Roman" w:hAnsi="Arial" w:cs="Arial"/>
                <w:noProof/>
                <w:color w:val="auto"/>
                <w:kern w:val="0"/>
                <w:lang w:eastAsia="en-US"/>
                <w14:ligatures w14:val="none"/>
              </w:rPr>
              <w:t>6.7 Recommendations for Future Research</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_Toc220428684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56</w:t>
            </w:r>
            <w:r w:rsidRPr="00B462CD">
              <w:rPr>
                <w:rFonts w:ascii="Arial" w:hAnsi="Arial" w:cs="Arial"/>
                <w:noProof/>
                <w:webHidden/>
              </w:rPr>
              <w:fldChar w:fldCharType="end"/>
            </w:r>
          </w:hyperlink>
        </w:p>
        <w:p w14:paraId="1A8BE74E" w14:textId="11E33884" w:rsidR="001620DD" w:rsidRPr="00B462CD" w:rsidRDefault="001620DD" w:rsidP="00E6526D">
          <w:pPr>
            <w:spacing w:line="360" w:lineRule="auto"/>
            <w:rPr>
              <w:rFonts w:ascii="Arial" w:hAnsi="Arial" w:cs="Arial"/>
              <w:noProof/>
            </w:rPr>
          </w:pPr>
          <w:r w:rsidRPr="00B462CD">
            <w:rPr>
              <w:rFonts w:ascii="Arial" w:hAnsi="Arial" w:cs="Arial"/>
              <w:noProof/>
            </w:rPr>
            <w:t>6.</w:t>
          </w:r>
          <w:r w:rsidR="00DF4F27" w:rsidRPr="00B462CD">
            <w:rPr>
              <w:rFonts w:ascii="Arial" w:hAnsi="Arial" w:cs="Arial"/>
              <w:noProof/>
            </w:rPr>
            <w:t>8</w:t>
          </w:r>
          <w:r w:rsidR="00D70781" w:rsidRPr="00B462CD">
            <w:rPr>
              <w:rFonts w:ascii="Arial" w:hAnsi="Arial" w:cs="Arial"/>
              <w:noProof/>
            </w:rPr>
            <w:t xml:space="preserve"> Or</w:t>
          </w:r>
          <w:r w:rsidR="00070500" w:rsidRPr="00B462CD">
            <w:rPr>
              <w:rFonts w:ascii="Arial" w:hAnsi="Arial" w:cs="Arial"/>
              <w:noProof/>
            </w:rPr>
            <w:t xml:space="preserve">iginal </w:t>
          </w:r>
          <w:r w:rsidR="00086C87" w:rsidRPr="00B462CD">
            <w:rPr>
              <w:rFonts w:ascii="Arial" w:hAnsi="Arial" w:cs="Arial"/>
              <w:noProof/>
            </w:rPr>
            <w:t>Knowledge</w:t>
          </w:r>
          <w:r w:rsidR="00AC722A" w:rsidRPr="00B462CD">
            <w:rPr>
              <w:rFonts w:ascii="Arial" w:hAnsi="Arial" w:cs="Arial"/>
              <w:noProof/>
            </w:rPr>
            <w:t xml:space="preserve"> and Significance</w:t>
          </w:r>
          <w:r w:rsidR="006257EB" w:rsidRPr="00B462CD">
            <w:rPr>
              <w:rFonts w:ascii="Arial" w:hAnsi="Arial" w:cs="Arial"/>
              <w:noProof/>
            </w:rPr>
            <w:t>……………………………………………………</w:t>
          </w:r>
          <w:r w:rsidR="00936EB8" w:rsidRPr="00B462CD">
            <w:rPr>
              <w:rFonts w:ascii="Arial" w:hAnsi="Arial" w:cs="Arial"/>
              <w:noProof/>
            </w:rPr>
            <w:t>.</w:t>
          </w:r>
          <w:r w:rsidR="0095286E" w:rsidRPr="00B462CD">
            <w:rPr>
              <w:rFonts w:ascii="Arial" w:hAnsi="Arial" w:cs="Arial"/>
              <w:noProof/>
            </w:rPr>
            <w:t>56</w:t>
          </w:r>
        </w:p>
        <w:p w14:paraId="53A8F0ED" w14:textId="50C86BB1" w:rsidR="00DF4F27" w:rsidRPr="00B462CD" w:rsidRDefault="00DF4F27" w:rsidP="00E6526D">
          <w:pPr>
            <w:spacing w:line="360" w:lineRule="auto"/>
            <w:rPr>
              <w:rFonts w:ascii="Arial" w:hAnsi="Arial" w:cs="Arial"/>
              <w:noProof/>
            </w:rPr>
          </w:pPr>
          <w:r w:rsidRPr="00B462CD">
            <w:rPr>
              <w:rFonts w:ascii="Arial" w:hAnsi="Arial" w:cs="Arial"/>
              <w:noProof/>
            </w:rPr>
            <w:t>6.</w:t>
          </w:r>
          <w:r w:rsidR="008E35B5" w:rsidRPr="00B462CD">
            <w:rPr>
              <w:rFonts w:ascii="Arial" w:hAnsi="Arial" w:cs="Arial"/>
              <w:noProof/>
            </w:rPr>
            <w:t>9</w:t>
          </w:r>
          <w:r w:rsidR="0084135A" w:rsidRPr="00B462CD">
            <w:rPr>
              <w:rFonts w:ascii="Arial" w:hAnsi="Arial" w:cs="Arial"/>
              <w:noProof/>
            </w:rPr>
            <w:t xml:space="preserve"> Closing </w:t>
          </w:r>
          <w:r w:rsidR="00086C87" w:rsidRPr="00B462CD">
            <w:rPr>
              <w:rFonts w:ascii="Arial" w:hAnsi="Arial" w:cs="Arial"/>
              <w:noProof/>
            </w:rPr>
            <w:t>Reflection</w:t>
          </w:r>
          <w:r w:rsidR="00513C3F" w:rsidRPr="00B462CD">
            <w:rPr>
              <w:rFonts w:ascii="Arial" w:hAnsi="Arial" w:cs="Arial"/>
              <w:noProof/>
            </w:rPr>
            <w:t>……………………………………</w:t>
          </w:r>
          <w:r w:rsidR="008A1CC2" w:rsidRPr="00B462CD">
            <w:rPr>
              <w:rFonts w:ascii="Arial" w:hAnsi="Arial" w:cs="Arial"/>
              <w:noProof/>
            </w:rPr>
            <w:t>……………………………………</w:t>
          </w:r>
          <w:r w:rsidR="00936EB8" w:rsidRPr="00B462CD">
            <w:rPr>
              <w:rFonts w:ascii="Arial" w:hAnsi="Arial" w:cs="Arial"/>
              <w:noProof/>
            </w:rPr>
            <w:t>…</w:t>
          </w:r>
          <w:r w:rsidR="00FB1048" w:rsidRPr="00B462CD">
            <w:rPr>
              <w:rFonts w:ascii="Arial" w:hAnsi="Arial" w:cs="Arial"/>
              <w:noProof/>
            </w:rPr>
            <w:t>57</w:t>
          </w:r>
        </w:p>
        <w:p w14:paraId="15860728" w14:textId="04123693"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85" w:history="1">
            <w:r w:rsidRPr="00B462CD">
              <w:rPr>
                <w:rStyle w:val="Hyperlink"/>
                <w:rFonts w:ascii="Arial" w:eastAsia="Times New Roman" w:hAnsi="Arial" w:cs="Arial"/>
                <w:noProof/>
                <w:color w:val="auto"/>
                <w:kern w:val="0"/>
                <w:lang w:eastAsia="en-US"/>
                <w14:ligatures w14:val="none"/>
              </w:rPr>
              <w:t>Reference List</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_Toc220428685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59</w:t>
            </w:r>
            <w:r w:rsidRPr="00B462CD">
              <w:rPr>
                <w:rFonts w:ascii="Arial" w:hAnsi="Arial" w:cs="Arial"/>
                <w:noProof/>
                <w:webHidden/>
              </w:rPr>
              <w:fldChar w:fldCharType="end"/>
            </w:r>
          </w:hyperlink>
        </w:p>
        <w:p w14:paraId="4ACF7A35" w14:textId="7977EBE1"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86" w:history="1">
            <w:r w:rsidRPr="00B462CD">
              <w:rPr>
                <w:rStyle w:val="Hyperlink"/>
                <w:rFonts w:ascii="Arial" w:eastAsia="Times New Roman" w:hAnsi="Arial" w:cs="Arial"/>
                <w:noProof/>
                <w:color w:val="auto"/>
                <w:kern w:val="0"/>
                <w:lang w:eastAsia="en-US"/>
                <w14:ligatures w14:val="none"/>
              </w:rPr>
              <w:t xml:space="preserve">Appendix </w:t>
            </w:r>
            <w:r w:rsidR="009128C2" w:rsidRPr="00B462CD">
              <w:rPr>
                <w:rStyle w:val="Hyperlink"/>
                <w:rFonts w:ascii="Arial" w:eastAsia="Times New Roman" w:hAnsi="Arial" w:cs="Arial"/>
                <w:noProof/>
                <w:color w:val="auto"/>
                <w:kern w:val="0"/>
                <w:lang w:eastAsia="en-US"/>
                <w14:ligatures w14:val="none"/>
              </w:rPr>
              <w:t>A</w:t>
            </w:r>
            <w:r w:rsidRPr="00B462CD">
              <w:rPr>
                <w:rStyle w:val="Hyperlink"/>
                <w:rFonts w:ascii="Arial" w:eastAsia="Times New Roman" w:hAnsi="Arial" w:cs="Arial"/>
                <w:noProof/>
                <w:color w:val="auto"/>
                <w:kern w:val="0"/>
                <w:lang w:eastAsia="en-US"/>
                <w14:ligatures w14:val="none"/>
              </w:rPr>
              <w:t>:</w:t>
            </w:r>
          </w:hyperlink>
          <w:r w:rsidR="00733BC2" w:rsidRPr="00B462CD">
            <w:rPr>
              <w:rFonts w:ascii="Arial" w:hAnsi="Arial" w:cs="Arial"/>
            </w:rPr>
            <w:t xml:space="preserve"> </w:t>
          </w:r>
          <w:hyperlink w:anchor="_Toc220428687" w:history="1">
            <w:r w:rsidRPr="00B462CD">
              <w:rPr>
                <w:rStyle w:val="Hyperlink"/>
                <w:rFonts w:ascii="Arial" w:eastAsia="Times New Roman" w:hAnsi="Arial" w:cs="Arial"/>
                <w:noProof/>
                <w:color w:val="auto"/>
                <w:kern w:val="0"/>
                <w:lang w:eastAsia="en-US"/>
                <w14:ligatures w14:val="none"/>
              </w:rPr>
              <w:t>Participant Information Sheet and Consent Form</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64</w:t>
            </w:r>
            <w:r w:rsidRPr="00B462CD">
              <w:rPr>
                <w:rFonts w:ascii="Arial" w:hAnsi="Arial" w:cs="Arial"/>
                <w:noProof/>
                <w:webHidden/>
              </w:rPr>
              <w:fldChar w:fldCharType="end"/>
            </w:r>
          </w:hyperlink>
        </w:p>
        <w:p w14:paraId="14901E4B" w14:textId="2C465DE8"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88" w:history="1">
            <w:r w:rsidRPr="00B462CD">
              <w:rPr>
                <w:rStyle w:val="Hyperlink"/>
                <w:rFonts w:ascii="Arial" w:eastAsia="Times New Roman" w:hAnsi="Arial" w:cs="Arial"/>
                <w:noProof/>
                <w:color w:val="auto"/>
                <w:kern w:val="0"/>
                <w:lang w:eastAsia="en-US"/>
                <w14:ligatures w14:val="none"/>
              </w:rPr>
              <w:t>Participant Information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64</w:t>
            </w:r>
            <w:r w:rsidRPr="00B462CD">
              <w:rPr>
                <w:rFonts w:ascii="Arial" w:hAnsi="Arial" w:cs="Arial"/>
                <w:noProof/>
                <w:webHidden/>
              </w:rPr>
              <w:fldChar w:fldCharType="end"/>
            </w:r>
          </w:hyperlink>
        </w:p>
        <w:p w14:paraId="77E6F151" w14:textId="086FF8D5"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89" w:history="1">
            <w:r w:rsidRPr="00B462CD">
              <w:rPr>
                <w:rStyle w:val="Hyperlink"/>
                <w:rFonts w:ascii="Arial" w:eastAsia="Times New Roman" w:hAnsi="Arial" w:cs="Arial"/>
                <w:noProof/>
                <w:color w:val="auto"/>
                <w:kern w:val="0"/>
                <w:lang w:eastAsia="en-US"/>
                <w14:ligatures w14:val="none"/>
              </w:rPr>
              <w:t>Key Points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_Toc220428689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64</w:t>
            </w:r>
            <w:r w:rsidRPr="00B462CD">
              <w:rPr>
                <w:rFonts w:ascii="Arial" w:hAnsi="Arial" w:cs="Arial"/>
                <w:noProof/>
                <w:webHidden/>
              </w:rPr>
              <w:fldChar w:fldCharType="end"/>
            </w:r>
          </w:hyperlink>
        </w:p>
        <w:p w14:paraId="71C4BAF7" w14:textId="31599B69"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90" w:history="1">
            <w:r w:rsidRPr="00B462CD">
              <w:rPr>
                <w:rStyle w:val="Hyperlink"/>
                <w:rFonts w:ascii="Arial" w:eastAsia="Times New Roman" w:hAnsi="Arial" w:cs="Arial"/>
                <w:noProof/>
                <w:color w:val="auto"/>
                <w:kern w:val="0"/>
                <w:lang w:eastAsia="en-US"/>
                <w14:ligatures w14:val="none"/>
              </w:rPr>
              <w:t>Contact Information</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_Toc220428690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65</w:t>
            </w:r>
            <w:r w:rsidRPr="00B462CD">
              <w:rPr>
                <w:rFonts w:ascii="Arial" w:hAnsi="Arial" w:cs="Arial"/>
                <w:noProof/>
                <w:webHidden/>
              </w:rPr>
              <w:fldChar w:fldCharType="end"/>
            </w:r>
          </w:hyperlink>
        </w:p>
        <w:p w14:paraId="23459064" w14:textId="213B79BE"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91" w:history="1">
            <w:r w:rsidRPr="00B462CD">
              <w:rPr>
                <w:rStyle w:val="Hyperlink"/>
                <w:rFonts w:ascii="Arial" w:eastAsia="Times New Roman" w:hAnsi="Arial" w:cs="Arial"/>
                <w:noProof/>
                <w:color w:val="auto"/>
                <w:kern w:val="0"/>
                <w:lang w:eastAsia="en-US"/>
                <w14:ligatures w14:val="none"/>
              </w:rPr>
              <w:t>Consent Statement:</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_Toc220428691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70</w:t>
            </w:r>
            <w:r w:rsidRPr="00B462CD">
              <w:rPr>
                <w:rFonts w:ascii="Arial" w:hAnsi="Arial" w:cs="Arial"/>
                <w:noProof/>
                <w:webHidden/>
              </w:rPr>
              <w:fldChar w:fldCharType="end"/>
            </w:r>
          </w:hyperlink>
        </w:p>
        <w:p w14:paraId="21A4EEB8" w14:textId="116F7C6E"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692" w:history="1">
            <w:r w:rsidRPr="00B462CD">
              <w:rPr>
                <w:rStyle w:val="Hyperlink"/>
                <w:rFonts w:ascii="Arial" w:eastAsia="Times New Roman" w:hAnsi="Arial" w:cs="Arial"/>
                <w:noProof/>
                <w:color w:val="auto"/>
                <w:kern w:val="0"/>
                <w:lang w:eastAsia="en-US"/>
                <w14:ligatures w14:val="none"/>
              </w:rPr>
              <w:t xml:space="preserve">Appendix </w:t>
            </w:r>
            <w:r w:rsidR="00E60739" w:rsidRPr="00B462CD">
              <w:rPr>
                <w:rStyle w:val="Hyperlink"/>
                <w:rFonts w:ascii="Arial" w:eastAsia="Times New Roman" w:hAnsi="Arial" w:cs="Arial"/>
                <w:noProof/>
                <w:color w:val="auto"/>
                <w:kern w:val="0"/>
                <w:lang w:eastAsia="en-US"/>
                <w14:ligatures w14:val="none"/>
              </w:rPr>
              <w:t>B</w:t>
            </w:r>
            <w:r w:rsidRPr="00B462CD">
              <w:rPr>
                <w:rStyle w:val="Hyperlink"/>
                <w:rFonts w:ascii="Arial" w:eastAsia="Times New Roman" w:hAnsi="Arial" w:cs="Arial"/>
                <w:noProof/>
                <w:color w:val="auto"/>
                <w:kern w:val="0"/>
                <w:lang w:eastAsia="en-US"/>
                <w14:ligatures w14:val="none"/>
              </w:rPr>
              <w:t>: Research Ethics Approval Letter</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w:t>
            </w:r>
            <w:r w:rsidR="005336B2" w:rsidRPr="00B462CD">
              <w:rPr>
                <w:rFonts w:ascii="Arial" w:hAnsi="Arial" w:cs="Arial"/>
                <w:noProof/>
                <w:webHidden/>
              </w:rPr>
              <w:t>4</w:t>
            </w:r>
            <w:r w:rsidRPr="00B462CD">
              <w:rPr>
                <w:rFonts w:ascii="Arial" w:hAnsi="Arial" w:cs="Arial"/>
                <w:noProof/>
                <w:webHidden/>
              </w:rPr>
              <w:fldChar w:fldCharType="end"/>
            </w:r>
          </w:hyperlink>
        </w:p>
        <w:p w14:paraId="4FBEFAA2" w14:textId="123E6324" w:rsidR="00AB654A" w:rsidRPr="00B462CD" w:rsidRDefault="001F1BDF" w:rsidP="00E6526D">
          <w:pPr>
            <w:pStyle w:val="TOC2"/>
            <w:tabs>
              <w:tab w:val="right" w:leader="dot" w:pos="9016"/>
            </w:tabs>
            <w:spacing w:line="360" w:lineRule="auto"/>
            <w:ind w:left="0"/>
            <w:rPr>
              <w:rFonts w:ascii="Arial" w:hAnsi="Arial" w:cs="Arial"/>
            </w:rPr>
          </w:pPr>
          <w:hyperlink w:anchor="_Toc220428696" w:history="1">
            <w:r w:rsidRPr="00B462CD">
              <w:rPr>
                <w:rStyle w:val="Hyperlink"/>
                <w:rFonts w:ascii="Arial" w:eastAsia="Times New Roman" w:hAnsi="Arial" w:cs="Arial"/>
                <w:noProof/>
                <w:color w:val="auto"/>
                <w:kern w:val="0"/>
                <w:lang w:eastAsia="en-US"/>
                <w14:ligatures w14:val="none"/>
              </w:rPr>
              <w:t xml:space="preserve">Appendix </w:t>
            </w:r>
            <w:r w:rsidR="00E60739" w:rsidRPr="00B462CD">
              <w:rPr>
                <w:rStyle w:val="Hyperlink"/>
                <w:rFonts w:ascii="Arial" w:eastAsia="Times New Roman" w:hAnsi="Arial" w:cs="Arial"/>
                <w:noProof/>
                <w:color w:val="auto"/>
                <w:kern w:val="0"/>
                <w:lang w:eastAsia="en-US"/>
                <w14:ligatures w14:val="none"/>
              </w:rPr>
              <w:t>C</w:t>
            </w:r>
            <w:r w:rsidRPr="00B462CD">
              <w:rPr>
                <w:rStyle w:val="Hyperlink"/>
                <w:rFonts w:ascii="Arial" w:eastAsia="Times New Roman" w:hAnsi="Arial" w:cs="Arial"/>
                <w:noProof/>
                <w:color w:val="auto"/>
                <w:kern w:val="0"/>
                <w:lang w:eastAsia="en-US"/>
                <w14:ligatures w14:val="none"/>
              </w:rPr>
              <w:t>: Semi-Structured Interview Schedule</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_Toc220428696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76</w:t>
            </w:r>
            <w:r w:rsidRPr="00B462CD">
              <w:rPr>
                <w:rFonts w:ascii="Arial" w:hAnsi="Arial" w:cs="Arial"/>
                <w:noProof/>
                <w:webHidden/>
              </w:rPr>
              <w:fldChar w:fldCharType="end"/>
            </w:r>
          </w:hyperlink>
        </w:p>
        <w:p w14:paraId="35029410" w14:textId="77E69F4C"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97" w:history="1">
            <w:r w:rsidRPr="00B462CD">
              <w:rPr>
                <w:rStyle w:val="Hyperlink"/>
                <w:rFonts w:ascii="Arial" w:eastAsia="Times New Roman" w:hAnsi="Arial" w:cs="Arial"/>
                <w:noProof/>
                <w:color w:val="auto"/>
                <w:kern w:val="0"/>
                <w:lang w:eastAsia="en-US"/>
                <w14:ligatures w14:val="none"/>
              </w:rPr>
              <w:t>Purpose</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_Toc220428697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76</w:t>
            </w:r>
            <w:r w:rsidRPr="00B462CD">
              <w:rPr>
                <w:rFonts w:ascii="Arial" w:hAnsi="Arial" w:cs="Arial"/>
                <w:noProof/>
                <w:webHidden/>
              </w:rPr>
              <w:fldChar w:fldCharType="end"/>
            </w:r>
          </w:hyperlink>
        </w:p>
        <w:p w14:paraId="3EF6FEDB" w14:textId="519141FA"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98" w:history="1">
            <w:r w:rsidRPr="00B462CD">
              <w:rPr>
                <w:rStyle w:val="Hyperlink"/>
                <w:rFonts w:ascii="Arial" w:eastAsia="Times New Roman" w:hAnsi="Arial" w:cs="Arial"/>
                <w:noProof/>
                <w:color w:val="auto"/>
                <w:kern w:val="0"/>
                <w:lang w:eastAsia="en-US"/>
                <w14:ligatures w14:val="none"/>
              </w:rPr>
              <w:t>Example Interview Questions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_Toc220428698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76</w:t>
            </w:r>
            <w:r w:rsidRPr="00B462CD">
              <w:rPr>
                <w:rFonts w:ascii="Arial" w:hAnsi="Arial" w:cs="Arial"/>
                <w:noProof/>
                <w:webHidden/>
              </w:rPr>
              <w:fldChar w:fldCharType="end"/>
            </w:r>
          </w:hyperlink>
        </w:p>
        <w:p w14:paraId="249BF79E" w14:textId="05BF3267"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699" w:history="1">
            <w:r w:rsidRPr="00B462CD">
              <w:rPr>
                <w:rStyle w:val="Hyperlink"/>
                <w:rFonts w:ascii="Arial" w:eastAsia="Times New Roman" w:hAnsi="Arial" w:cs="Arial"/>
                <w:noProof/>
                <w:color w:val="auto"/>
                <w:kern w:val="0"/>
                <w:lang w:eastAsia="en-US"/>
                <w14:ligatures w14:val="none"/>
              </w:rPr>
              <w:t>Coded Transcript Table</w:t>
            </w:r>
            <w:r w:rsidRPr="00B462CD">
              <w:rPr>
                <w:rFonts w:ascii="Arial" w:hAnsi="Arial" w:cs="Arial"/>
                <w:noProof/>
                <w:webHidden/>
              </w:rPr>
              <w:tab/>
            </w:r>
            <w:r w:rsidR="003B609F" w:rsidRPr="00B462CD">
              <w:rPr>
                <w:rFonts w:ascii="Arial" w:hAnsi="Arial" w:cs="Arial"/>
                <w:noProof/>
                <w:webHidden/>
              </w:rPr>
              <w:t>7</w:t>
            </w:r>
            <w:r w:rsidRPr="00B462CD">
              <w:rPr>
                <w:rFonts w:ascii="Arial" w:hAnsi="Arial" w:cs="Arial"/>
                <w:noProof/>
                <w:webHidden/>
              </w:rPr>
              <w:fldChar w:fldCharType="begin"/>
            </w:r>
            <w:r w:rsidRPr="00B462CD">
              <w:rPr>
                <w:rFonts w:ascii="Arial" w:hAnsi="Arial" w:cs="Arial"/>
                <w:noProof/>
                <w:webHidden/>
              </w:rPr>
              <w:instrText xml:space="preserve"> PAGEREF _Toc220428699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w:t>
            </w:r>
            <w:r w:rsidRPr="00B462CD">
              <w:rPr>
                <w:rFonts w:ascii="Arial" w:hAnsi="Arial" w:cs="Arial"/>
                <w:noProof/>
                <w:webHidden/>
              </w:rPr>
              <w:fldChar w:fldCharType="end"/>
            </w:r>
          </w:hyperlink>
        </w:p>
        <w:p w14:paraId="0E773CFF" w14:textId="0B47C8EF" w:rsidR="001F1BDF" w:rsidRPr="00B462CD" w:rsidRDefault="001F1BDF" w:rsidP="00E6526D">
          <w:pPr>
            <w:pStyle w:val="TOC2"/>
            <w:tabs>
              <w:tab w:val="right" w:leader="dot" w:pos="9016"/>
            </w:tabs>
            <w:spacing w:line="360" w:lineRule="auto"/>
            <w:ind w:left="0"/>
            <w:rPr>
              <w:rFonts w:ascii="Arial" w:hAnsi="Arial" w:cs="Arial"/>
            </w:rPr>
          </w:pPr>
          <w:hyperlink w:anchor="_Toc220428700" w:history="1">
            <w:r w:rsidRPr="00B462CD">
              <w:rPr>
                <w:rStyle w:val="Hyperlink"/>
                <w:rFonts w:ascii="Arial" w:eastAsia="Times New Roman" w:hAnsi="Arial" w:cs="Arial"/>
                <w:noProof/>
                <w:color w:val="auto"/>
                <w:kern w:val="0"/>
                <w:lang w:eastAsia="en-US"/>
                <w14:ligatures w14:val="none"/>
              </w:rPr>
              <w:t xml:space="preserve">Appendix </w:t>
            </w:r>
            <w:r w:rsidR="00371794" w:rsidRPr="00B462CD">
              <w:rPr>
                <w:rStyle w:val="Hyperlink"/>
                <w:rFonts w:ascii="Arial" w:eastAsia="Times New Roman" w:hAnsi="Arial" w:cs="Arial"/>
                <w:noProof/>
                <w:color w:val="auto"/>
                <w:kern w:val="0"/>
                <w:lang w:eastAsia="en-US"/>
                <w14:ligatures w14:val="none"/>
              </w:rPr>
              <w:t>D</w:t>
            </w:r>
            <w:r w:rsidRPr="00B462CD">
              <w:rPr>
                <w:rStyle w:val="Hyperlink"/>
                <w:rFonts w:ascii="Arial" w:eastAsia="Times New Roman" w:hAnsi="Arial" w:cs="Arial"/>
                <w:noProof/>
                <w:color w:val="auto"/>
                <w:kern w:val="0"/>
                <w:lang w:eastAsia="en-US"/>
                <w14:ligatures w14:val="none"/>
              </w:rPr>
              <w:t xml:space="preserve">: </w:t>
            </w:r>
            <w:r w:rsidR="009E0B58" w:rsidRPr="00B462CD">
              <w:rPr>
                <w:rStyle w:val="Hyperlink"/>
                <w:rFonts w:ascii="Arial" w:eastAsia="Times New Roman" w:hAnsi="Arial" w:cs="Arial"/>
                <w:noProof/>
                <w:color w:val="auto"/>
                <w:kern w:val="0"/>
                <w:lang w:eastAsia="en-US"/>
                <w14:ligatures w14:val="none"/>
              </w:rPr>
              <w:t>Sample transcript Interview</w:t>
            </w:r>
            <w:r w:rsidR="00097B14" w:rsidRPr="00B462CD">
              <w:rPr>
                <w:rStyle w:val="Hyperlink"/>
                <w:rFonts w:ascii="Arial" w:eastAsia="Times New Roman" w:hAnsi="Arial" w:cs="Arial"/>
                <w:noProof/>
                <w:color w:val="auto"/>
                <w:kern w:val="0"/>
                <w:lang w:eastAsia="en-US"/>
                <w14:ligatures w14:val="none"/>
              </w:rPr>
              <w:t xml:space="preserve"> Excerpt</w:t>
            </w:r>
            <w:r w:rsidR="00D86112" w:rsidRPr="00B462CD">
              <w:rPr>
                <w:rFonts w:ascii="Arial" w:hAnsi="Arial" w:cs="Arial"/>
                <w:noProof/>
                <w:webHidden/>
              </w:rPr>
              <w:t xml:space="preserve"> </w:t>
            </w:r>
            <w:r w:rsidR="00374E61" w:rsidRPr="00B462CD">
              <w:rPr>
                <w:rFonts w:ascii="Arial" w:hAnsi="Arial" w:cs="Arial"/>
                <w:noProof/>
                <w:webHidden/>
              </w:rPr>
              <w:t>…………………………………………..</w:t>
            </w:r>
            <w:r w:rsidRPr="00B462CD">
              <w:rPr>
                <w:rFonts w:ascii="Arial" w:hAnsi="Arial" w:cs="Arial"/>
                <w:noProof/>
                <w:webHidden/>
              </w:rPr>
              <w:fldChar w:fldCharType="begin"/>
            </w:r>
            <w:r w:rsidRPr="00B462CD">
              <w:rPr>
                <w:rFonts w:ascii="Arial" w:hAnsi="Arial" w:cs="Arial"/>
                <w:noProof/>
                <w:webHidden/>
              </w:rPr>
              <w:instrText xml:space="preserve"> PAGEREF _Toc220428700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7</w:t>
            </w:r>
            <w:r w:rsidR="00374E61" w:rsidRPr="00B462CD">
              <w:rPr>
                <w:rFonts w:ascii="Arial" w:hAnsi="Arial" w:cs="Arial"/>
                <w:noProof/>
                <w:webHidden/>
              </w:rPr>
              <w:t>8</w:t>
            </w:r>
            <w:r w:rsidRPr="00B462CD">
              <w:rPr>
                <w:rFonts w:ascii="Arial" w:hAnsi="Arial" w:cs="Arial"/>
                <w:noProof/>
                <w:webHidden/>
              </w:rPr>
              <w:fldChar w:fldCharType="end"/>
            </w:r>
          </w:hyperlink>
        </w:p>
        <w:p w14:paraId="5BDB41F4" w14:textId="52AA24D6" w:rsidR="00097B14" w:rsidRPr="00B462CD" w:rsidRDefault="00A95E5D" w:rsidP="00E6526D">
          <w:pPr>
            <w:spacing w:line="360" w:lineRule="auto"/>
            <w:rPr>
              <w:rFonts w:ascii="Arial" w:hAnsi="Arial" w:cs="Arial"/>
            </w:rPr>
          </w:pPr>
          <w:r w:rsidRPr="00B462CD">
            <w:rPr>
              <w:rFonts w:ascii="Arial" w:hAnsi="Arial" w:cs="Arial"/>
            </w:rPr>
            <w:t>Appendix E: Sample Coded Transcript</w:t>
          </w:r>
          <w:r w:rsidR="00112309" w:rsidRPr="00B462CD">
            <w:rPr>
              <w:rFonts w:ascii="Arial" w:hAnsi="Arial" w:cs="Arial"/>
            </w:rPr>
            <w:t>……………………………………………………</w:t>
          </w:r>
          <w:r w:rsidR="00904FFB" w:rsidRPr="00B462CD">
            <w:rPr>
              <w:rFonts w:ascii="Arial" w:hAnsi="Arial" w:cs="Arial"/>
            </w:rPr>
            <w:t>…79</w:t>
          </w:r>
        </w:p>
        <w:p w14:paraId="0F6BB8E3" w14:textId="0DC6CBAA" w:rsidR="001F1BDF" w:rsidRPr="00B462CD" w:rsidRDefault="00112309" w:rsidP="00E6526D">
          <w:pPr>
            <w:pStyle w:val="TOC3"/>
            <w:tabs>
              <w:tab w:val="right" w:leader="dot" w:pos="9016"/>
            </w:tabs>
            <w:spacing w:line="360" w:lineRule="auto"/>
            <w:ind w:left="0"/>
            <w:rPr>
              <w:rFonts w:ascii="Arial" w:hAnsi="Arial" w:cs="Arial"/>
              <w:noProof/>
              <w:lang w:eastAsia="en-US"/>
            </w:rPr>
          </w:pPr>
          <w:r w:rsidRPr="00B462CD">
            <w:rPr>
              <w:rFonts w:ascii="Arial" w:hAnsi="Arial" w:cs="Arial"/>
            </w:rPr>
            <w:t xml:space="preserve">Appendix </w:t>
          </w:r>
          <w:r w:rsidR="00FE753A" w:rsidRPr="00B462CD">
            <w:rPr>
              <w:rFonts w:ascii="Arial" w:hAnsi="Arial" w:cs="Arial"/>
            </w:rPr>
            <w:t xml:space="preserve">F: </w:t>
          </w:r>
          <w:hyperlink w:anchor="_Toc220428701" w:history="1">
            <w:r w:rsidR="001F1BDF" w:rsidRPr="00B462CD">
              <w:rPr>
                <w:rStyle w:val="Hyperlink"/>
                <w:rFonts w:ascii="Arial" w:eastAsia="Times New Roman" w:hAnsi="Arial" w:cs="Arial"/>
                <w:noProof/>
                <w:color w:val="auto"/>
                <w:kern w:val="0"/>
                <w:lang w:eastAsia="en-US"/>
                <w14:ligatures w14:val="none"/>
              </w:rPr>
              <w:t>Table of themes</w:t>
            </w:r>
            <w:r w:rsidR="001F1BDF" w:rsidRPr="00B462CD">
              <w:rPr>
                <w:rFonts w:ascii="Arial" w:hAnsi="Arial" w:cs="Arial"/>
                <w:noProof/>
                <w:webHidden/>
              </w:rPr>
              <w:tab/>
            </w:r>
            <w:r w:rsidR="00C82A6C" w:rsidRPr="00B462CD">
              <w:rPr>
                <w:rFonts w:ascii="Arial" w:hAnsi="Arial" w:cs="Arial"/>
                <w:noProof/>
                <w:webHidden/>
              </w:rPr>
              <w:t>80</w:t>
            </w:r>
          </w:hyperlink>
        </w:p>
        <w:p w14:paraId="32A0A36C" w14:textId="241B1A8D" w:rsidR="001F1BDF" w:rsidRPr="00B462CD" w:rsidRDefault="001F1BDF" w:rsidP="00E6526D">
          <w:pPr>
            <w:pStyle w:val="TOC2"/>
            <w:tabs>
              <w:tab w:val="right" w:leader="dot" w:pos="9016"/>
            </w:tabs>
            <w:spacing w:line="360" w:lineRule="auto"/>
            <w:ind w:left="0"/>
            <w:rPr>
              <w:rFonts w:ascii="Arial" w:hAnsi="Arial" w:cs="Arial"/>
              <w:noProof/>
              <w:lang w:eastAsia="en-US"/>
            </w:rPr>
          </w:pPr>
          <w:hyperlink w:anchor="_Toc220428702" w:history="1">
            <w:r w:rsidRPr="00B462CD">
              <w:rPr>
                <w:rStyle w:val="Hyperlink"/>
                <w:rFonts w:ascii="Arial" w:eastAsia="Times New Roman" w:hAnsi="Arial" w:cs="Arial"/>
                <w:noProof/>
                <w:color w:val="auto"/>
                <w:kern w:val="0"/>
                <w:lang w:eastAsia="en-US"/>
                <w14:ligatures w14:val="none"/>
              </w:rPr>
              <w:t xml:space="preserve">Appendix </w:t>
            </w:r>
            <w:r w:rsidR="00FE753A" w:rsidRPr="00B462CD">
              <w:rPr>
                <w:rStyle w:val="Hyperlink"/>
                <w:rFonts w:ascii="Arial" w:eastAsia="Times New Roman" w:hAnsi="Arial" w:cs="Arial"/>
                <w:noProof/>
                <w:color w:val="auto"/>
                <w:kern w:val="0"/>
                <w:lang w:eastAsia="en-US"/>
                <w14:ligatures w14:val="none"/>
              </w:rPr>
              <w:t>G</w:t>
            </w:r>
            <w:r w:rsidRPr="00B462CD">
              <w:rPr>
                <w:rStyle w:val="Hyperlink"/>
                <w:rFonts w:ascii="Arial" w:eastAsia="Times New Roman" w:hAnsi="Arial" w:cs="Arial"/>
                <w:noProof/>
                <w:color w:val="auto"/>
                <w:kern w:val="0"/>
                <w:lang w:eastAsia="en-US"/>
                <w14:ligatures w14:val="none"/>
              </w:rPr>
              <w:t>: Additional Data Tables and Figures</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_Toc220428702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8</w:t>
            </w:r>
            <w:r w:rsidR="00C60423" w:rsidRPr="00B462CD">
              <w:rPr>
                <w:rFonts w:ascii="Arial" w:hAnsi="Arial" w:cs="Arial"/>
                <w:noProof/>
                <w:webHidden/>
              </w:rPr>
              <w:t>2</w:t>
            </w:r>
            <w:r w:rsidRPr="00B462CD">
              <w:rPr>
                <w:rFonts w:ascii="Arial" w:hAnsi="Arial" w:cs="Arial"/>
                <w:noProof/>
                <w:webHidden/>
              </w:rPr>
              <w:fldChar w:fldCharType="end"/>
            </w:r>
          </w:hyperlink>
        </w:p>
        <w:p w14:paraId="397D09AB" w14:textId="3535F4AA"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703" w:history="1">
            <w:r w:rsidRPr="00B462CD">
              <w:rPr>
                <w:rStyle w:val="Hyperlink"/>
                <w:rFonts w:ascii="Arial" w:eastAsia="Times New Roman" w:hAnsi="Arial" w:cs="Arial"/>
                <w:noProof/>
                <w:color w:val="auto"/>
                <w:kern w:val="0"/>
                <w:lang w:eastAsia="en-US"/>
                <w14:ligatures w14:val="none"/>
              </w:rPr>
              <w:t xml:space="preserve">Table </w:t>
            </w:r>
            <w:r w:rsidR="00D71455" w:rsidRPr="00B462CD">
              <w:rPr>
                <w:rStyle w:val="Hyperlink"/>
                <w:rFonts w:ascii="Arial" w:eastAsia="Times New Roman" w:hAnsi="Arial" w:cs="Arial"/>
                <w:noProof/>
                <w:color w:val="auto"/>
                <w:kern w:val="0"/>
                <w:lang w:eastAsia="en-US"/>
                <w14:ligatures w14:val="none"/>
              </w:rPr>
              <w:t>G1</w:t>
            </w:r>
            <w:r w:rsidRPr="00B462CD">
              <w:rPr>
                <w:rStyle w:val="Hyperlink"/>
                <w:rFonts w:ascii="Arial" w:eastAsia="Times New Roman" w:hAnsi="Arial" w:cs="Arial"/>
                <w:noProof/>
                <w:color w:val="auto"/>
                <w:kern w:val="0"/>
                <w:lang w:eastAsia="en-US"/>
                <w14:ligatures w14:val="none"/>
              </w:rPr>
              <w:t>: Codes by Theme Matrix</w:t>
            </w:r>
            <w:r w:rsidRPr="00B462CD">
              <w:rPr>
                <w:rFonts w:ascii="Arial" w:hAnsi="Arial" w:cs="Arial"/>
                <w:noProof/>
                <w:webHidden/>
              </w:rPr>
              <w:tab/>
            </w:r>
            <w:r w:rsidRPr="00B462CD">
              <w:rPr>
                <w:rFonts w:ascii="Arial" w:hAnsi="Arial" w:cs="Arial"/>
                <w:noProof/>
                <w:webHidden/>
              </w:rPr>
              <w:fldChar w:fldCharType="begin"/>
            </w:r>
            <w:r w:rsidRPr="00B462CD">
              <w:rPr>
                <w:rFonts w:ascii="Arial" w:hAnsi="Arial" w:cs="Arial"/>
                <w:noProof/>
                <w:webHidden/>
              </w:rPr>
              <w:instrText xml:space="preserve"> PAGEREF _Toc220428703 \h </w:instrText>
            </w:r>
            <w:r w:rsidRPr="00B462CD">
              <w:rPr>
                <w:rFonts w:ascii="Arial" w:hAnsi="Arial" w:cs="Arial"/>
                <w:noProof/>
                <w:webHidden/>
              </w:rPr>
            </w:r>
            <w:r w:rsidRPr="00B462CD">
              <w:rPr>
                <w:rFonts w:ascii="Arial" w:hAnsi="Arial" w:cs="Arial"/>
                <w:noProof/>
                <w:webHidden/>
              </w:rPr>
              <w:fldChar w:fldCharType="separate"/>
            </w:r>
            <w:r w:rsidR="00BB1BE4" w:rsidRPr="00B462CD">
              <w:rPr>
                <w:rFonts w:ascii="Arial" w:hAnsi="Arial" w:cs="Arial"/>
                <w:noProof/>
                <w:webHidden/>
              </w:rPr>
              <w:t>8</w:t>
            </w:r>
            <w:r w:rsidR="0071191D" w:rsidRPr="00B462CD">
              <w:rPr>
                <w:rFonts w:ascii="Arial" w:hAnsi="Arial" w:cs="Arial"/>
                <w:noProof/>
                <w:webHidden/>
              </w:rPr>
              <w:t>2</w:t>
            </w:r>
            <w:r w:rsidRPr="00B462CD">
              <w:rPr>
                <w:rFonts w:ascii="Arial" w:hAnsi="Arial" w:cs="Arial"/>
                <w:noProof/>
                <w:webHidden/>
              </w:rPr>
              <w:fldChar w:fldCharType="end"/>
            </w:r>
          </w:hyperlink>
        </w:p>
        <w:p w14:paraId="0CE8C808" w14:textId="29113E49"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705" w:history="1">
            <w:r w:rsidRPr="00B462CD">
              <w:rPr>
                <w:rStyle w:val="Hyperlink"/>
                <w:rFonts w:ascii="Arial" w:eastAsia="Times New Roman" w:hAnsi="Arial" w:cs="Arial"/>
                <w:noProof/>
                <w:color w:val="auto"/>
                <w:kern w:val="0"/>
                <w:lang w:eastAsia="en-US"/>
                <w14:ligatures w14:val="none"/>
              </w:rPr>
              <w:t xml:space="preserve">Table </w:t>
            </w:r>
            <w:r w:rsidR="00D71455" w:rsidRPr="00B462CD">
              <w:rPr>
                <w:rStyle w:val="Hyperlink"/>
                <w:rFonts w:ascii="Arial" w:eastAsia="Times New Roman" w:hAnsi="Arial" w:cs="Arial"/>
                <w:noProof/>
                <w:color w:val="auto"/>
                <w:kern w:val="0"/>
                <w:lang w:eastAsia="en-US"/>
                <w14:ligatures w14:val="none"/>
              </w:rPr>
              <w:t>G2</w:t>
            </w:r>
            <w:r w:rsidRPr="00B462CD">
              <w:rPr>
                <w:rStyle w:val="Hyperlink"/>
                <w:rFonts w:ascii="Arial" w:eastAsia="Times New Roman" w:hAnsi="Arial" w:cs="Arial"/>
                <w:noProof/>
                <w:color w:val="auto"/>
                <w:kern w:val="0"/>
                <w:lang w:eastAsia="en-US"/>
                <w14:ligatures w14:val="none"/>
              </w:rPr>
              <w:t>: Policy Recommendations Mapped to Findings</w:t>
            </w:r>
            <w:r w:rsidRPr="00B462CD">
              <w:rPr>
                <w:rFonts w:ascii="Arial" w:hAnsi="Arial" w:cs="Arial"/>
                <w:noProof/>
                <w:webHidden/>
              </w:rPr>
              <w:tab/>
            </w:r>
            <w:r w:rsidR="0071191D" w:rsidRPr="00B462CD">
              <w:rPr>
                <w:rFonts w:ascii="Arial" w:hAnsi="Arial" w:cs="Arial"/>
                <w:noProof/>
                <w:webHidden/>
              </w:rPr>
              <w:t>83</w:t>
            </w:r>
          </w:hyperlink>
        </w:p>
        <w:p w14:paraId="346026CB" w14:textId="13EE859E" w:rsidR="001F1BDF" w:rsidRPr="00B462CD" w:rsidRDefault="001F1BDF" w:rsidP="00E6526D">
          <w:pPr>
            <w:pStyle w:val="TOC3"/>
            <w:tabs>
              <w:tab w:val="right" w:leader="dot" w:pos="9016"/>
            </w:tabs>
            <w:spacing w:line="360" w:lineRule="auto"/>
            <w:ind w:left="0"/>
            <w:rPr>
              <w:rFonts w:ascii="Arial" w:hAnsi="Arial" w:cs="Arial"/>
              <w:noProof/>
              <w:lang w:eastAsia="en-US"/>
            </w:rPr>
          </w:pPr>
          <w:hyperlink w:anchor="_Toc220428706" w:history="1">
            <w:r w:rsidRPr="00B462CD">
              <w:rPr>
                <w:rStyle w:val="Hyperlink"/>
                <w:rFonts w:ascii="Arial" w:hAnsi="Arial" w:cs="Arial"/>
                <w:noProof/>
                <w:color w:val="auto"/>
              </w:rPr>
              <w:t xml:space="preserve">Figure </w:t>
            </w:r>
            <w:r w:rsidR="008D028F" w:rsidRPr="00B462CD">
              <w:rPr>
                <w:rStyle w:val="Hyperlink"/>
                <w:rFonts w:ascii="Arial" w:hAnsi="Arial" w:cs="Arial"/>
                <w:noProof/>
                <w:color w:val="auto"/>
              </w:rPr>
              <w:t>G1</w:t>
            </w:r>
            <w:r w:rsidRPr="00B462CD">
              <w:rPr>
                <w:rStyle w:val="Hyperlink"/>
                <w:rFonts w:ascii="Arial" w:hAnsi="Arial" w:cs="Arial"/>
                <w:noProof/>
                <w:color w:val="auto"/>
              </w:rPr>
              <w:t>Thematic Map (Braun &amp; Clarke)</w:t>
            </w:r>
            <w:r w:rsidRPr="00B462CD">
              <w:rPr>
                <w:rFonts w:ascii="Arial" w:hAnsi="Arial" w:cs="Arial"/>
                <w:noProof/>
                <w:webHidden/>
              </w:rPr>
              <w:tab/>
            </w:r>
            <w:r w:rsidR="005D681E" w:rsidRPr="00B462CD">
              <w:rPr>
                <w:rFonts w:ascii="Arial" w:hAnsi="Arial" w:cs="Arial"/>
                <w:noProof/>
                <w:webHidden/>
              </w:rPr>
              <w:t>84</w:t>
            </w:r>
          </w:hyperlink>
        </w:p>
        <w:p w14:paraId="73556CFE" w14:textId="67BD0EF0" w:rsidR="00041FAF" w:rsidRPr="00B462CD" w:rsidRDefault="00041FAF" w:rsidP="00E6526D">
          <w:pPr>
            <w:spacing w:line="360" w:lineRule="auto"/>
            <w:rPr>
              <w:rFonts w:ascii="Arial" w:hAnsi="Arial" w:cs="Arial"/>
            </w:rPr>
          </w:pPr>
          <w:r w:rsidRPr="00B462CD">
            <w:rPr>
              <w:rFonts w:ascii="Arial" w:hAnsi="Arial" w:cs="Arial"/>
            </w:rPr>
            <w:fldChar w:fldCharType="end"/>
          </w:r>
        </w:p>
      </w:sdtContent>
    </w:sdt>
    <w:p w14:paraId="6F92CD55" w14:textId="77777777" w:rsidR="00B16768" w:rsidRPr="00B462CD" w:rsidRDefault="00B16768" w:rsidP="00E6526D">
      <w:pPr>
        <w:spacing w:line="360" w:lineRule="auto"/>
        <w:rPr>
          <w:rStyle w:val="Strong"/>
          <w:rFonts w:ascii="Arial" w:hAnsi="Arial" w:cs="Arial"/>
        </w:rPr>
      </w:pPr>
    </w:p>
    <w:p w14:paraId="347550FB" w14:textId="77777777" w:rsidR="00B16768" w:rsidRPr="00B462CD" w:rsidRDefault="00B16768" w:rsidP="00E6526D">
      <w:pPr>
        <w:spacing w:line="360" w:lineRule="auto"/>
        <w:rPr>
          <w:rStyle w:val="Strong"/>
          <w:rFonts w:ascii="Arial" w:hAnsi="Arial" w:cs="Arial"/>
        </w:rPr>
      </w:pPr>
    </w:p>
    <w:p w14:paraId="7375A2AA" w14:textId="77777777" w:rsidR="00B16768" w:rsidRPr="00B462CD" w:rsidRDefault="00B16768" w:rsidP="00E6526D">
      <w:pPr>
        <w:spacing w:line="360" w:lineRule="auto"/>
        <w:rPr>
          <w:rStyle w:val="Strong"/>
          <w:rFonts w:ascii="Arial" w:hAnsi="Arial" w:cs="Arial"/>
        </w:rPr>
      </w:pPr>
    </w:p>
    <w:p w14:paraId="69FCBA71" w14:textId="77777777" w:rsidR="00C5220D" w:rsidRPr="00B462CD" w:rsidRDefault="00C5220D" w:rsidP="00E6526D">
      <w:pPr>
        <w:spacing w:line="360" w:lineRule="auto"/>
        <w:rPr>
          <w:rStyle w:val="Strong"/>
          <w:rFonts w:ascii="Arial" w:hAnsi="Arial" w:cs="Arial"/>
        </w:rPr>
      </w:pPr>
      <w:r w:rsidRPr="00B462CD">
        <w:rPr>
          <w:rStyle w:val="Strong"/>
          <w:rFonts w:ascii="Arial" w:hAnsi="Arial" w:cs="Arial"/>
        </w:rPr>
        <w:br w:type="page"/>
      </w:r>
    </w:p>
    <w:p w14:paraId="7CF5D8CD" w14:textId="22E191F6" w:rsidR="009F64C5" w:rsidRPr="00B462CD" w:rsidRDefault="009F64C5" w:rsidP="00E6526D">
      <w:pPr>
        <w:pStyle w:val="Heading1"/>
        <w:spacing w:after="158" w:line="360" w:lineRule="auto"/>
        <w:ind w:left="0" w:right="0" w:firstLine="0"/>
        <w:jc w:val="left"/>
        <w:rPr>
          <w:rFonts w:ascii="Arial" w:hAnsi="Arial" w:cs="Arial"/>
          <w:sz w:val="22"/>
        </w:rPr>
      </w:pPr>
      <w:bookmarkStart w:id="3" w:name="_Toc219579421"/>
      <w:bookmarkStart w:id="4" w:name="_Toc220428639"/>
      <w:r w:rsidRPr="00B462CD">
        <w:rPr>
          <w:rFonts w:ascii="Arial" w:hAnsi="Arial" w:cs="Arial"/>
          <w:sz w:val="22"/>
        </w:rPr>
        <w:t>List of figures</w:t>
      </w:r>
      <w:bookmarkEnd w:id="3"/>
      <w:bookmarkEnd w:id="4"/>
    </w:p>
    <w:p w14:paraId="069A36CD" w14:textId="5BCD0019" w:rsidR="009F64C5" w:rsidRPr="00B462CD" w:rsidRDefault="009F64C5" w:rsidP="00E6526D">
      <w:pPr>
        <w:spacing w:after="179" w:line="360" w:lineRule="auto"/>
        <w:ind w:left="59"/>
        <w:rPr>
          <w:rFonts w:ascii="Arial" w:hAnsi="Arial" w:cs="Arial"/>
        </w:rPr>
      </w:pPr>
      <w:r w:rsidRPr="00B462CD">
        <w:rPr>
          <w:rFonts w:ascii="Arial" w:eastAsia="Times New Roman" w:hAnsi="Arial" w:cs="Arial"/>
          <w:b/>
        </w:rPr>
        <w:t xml:space="preserve"> </w:t>
      </w:r>
      <w:r w:rsidRPr="00B462CD">
        <w:rPr>
          <w:rFonts w:ascii="Arial" w:hAnsi="Arial" w:cs="Arial"/>
        </w:rPr>
        <w:t xml:space="preserve"> </w:t>
      </w:r>
    </w:p>
    <w:p w14:paraId="653508AC" w14:textId="6CBFC093" w:rsidR="009F64C5" w:rsidRPr="00B462CD" w:rsidRDefault="009F64C5" w:rsidP="00E6526D">
      <w:pPr>
        <w:spacing w:after="206" w:line="360" w:lineRule="auto"/>
        <w:rPr>
          <w:rFonts w:ascii="Arial" w:hAnsi="Arial" w:cs="Arial"/>
        </w:rPr>
      </w:pPr>
      <w:r w:rsidRPr="00B462CD">
        <w:rPr>
          <w:rFonts w:ascii="Arial" w:hAnsi="Arial" w:cs="Arial"/>
        </w:rPr>
        <w:t xml:space="preserve">Figure 1: </w:t>
      </w:r>
      <w:r w:rsidR="004B7D70" w:rsidRPr="00B462CD">
        <w:rPr>
          <w:rFonts w:ascii="Arial" w:eastAsia="Times New Roman" w:hAnsi="Arial" w:cs="Arial"/>
        </w:rPr>
        <w:t>Social Determinants and Social Needs</w:t>
      </w:r>
    </w:p>
    <w:p w14:paraId="3E9AA326" w14:textId="5A1BFABF" w:rsidR="009F64C5" w:rsidRPr="00B462CD" w:rsidRDefault="009F64C5" w:rsidP="00E6526D">
      <w:pPr>
        <w:spacing w:after="169" w:line="360" w:lineRule="auto"/>
        <w:rPr>
          <w:rFonts w:ascii="Arial" w:hAnsi="Arial" w:cs="Arial"/>
        </w:rPr>
      </w:pPr>
      <w:r w:rsidRPr="00B462CD">
        <w:rPr>
          <w:rFonts w:ascii="Arial" w:hAnsi="Arial" w:cs="Arial"/>
        </w:rPr>
        <w:t xml:space="preserve">Figure 2: </w:t>
      </w:r>
      <w:r w:rsidR="00202D78" w:rsidRPr="00B462CD">
        <w:rPr>
          <w:rFonts w:ascii="Arial" w:hAnsi="Arial" w:cs="Arial"/>
        </w:rPr>
        <w:t xml:space="preserve">Flow </w:t>
      </w:r>
      <w:r w:rsidR="004B7D70" w:rsidRPr="00B462CD">
        <w:rPr>
          <w:rFonts w:ascii="Arial" w:hAnsi="Arial" w:cs="Arial"/>
        </w:rPr>
        <w:t>chart</w:t>
      </w:r>
    </w:p>
    <w:p w14:paraId="3FA6D3C5" w14:textId="0E86BFEC" w:rsidR="00582B15" w:rsidRPr="00B462CD" w:rsidRDefault="00582B15" w:rsidP="00E6526D">
      <w:pPr>
        <w:spacing w:after="158" w:line="360" w:lineRule="auto"/>
        <w:rPr>
          <w:rFonts w:ascii="Arial" w:hAnsi="Arial" w:cs="Arial"/>
        </w:rPr>
      </w:pPr>
      <w:r w:rsidRPr="00B462CD">
        <w:rPr>
          <w:rFonts w:ascii="Arial" w:hAnsi="Arial" w:cs="Arial"/>
        </w:rPr>
        <w:t xml:space="preserve">Figure </w:t>
      </w:r>
      <w:r w:rsidR="00CB1B6A" w:rsidRPr="00B462CD">
        <w:rPr>
          <w:rFonts w:ascii="Arial" w:hAnsi="Arial" w:cs="Arial"/>
        </w:rPr>
        <w:t>3</w:t>
      </w:r>
      <w:r w:rsidRPr="00B462CD">
        <w:rPr>
          <w:rFonts w:ascii="Arial" w:hAnsi="Arial" w:cs="Arial"/>
        </w:rPr>
        <w:t xml:space="preserve">: </w:t>
      </w:r>
      <w:r w:rsidR="00EE13B9" w:rsidRPr="00B462CD">
        <w:rPr>
          <w:rFonts w:ascii="Arial" w:hAnsi="Arial" w:cs="Arial"/>
        </w:rPr>
        <w:t>Immigration Status as a structuring factor</w:t>
      </w:r>
    </w:p>
    <w:p w14:paraId="1F33F1E7" w14:textId="61731B3F" w:rsidR="009F64C5" w:rsidRPr="00B462CD" w:rsidRDefault="00CB1B6A" w:rsidP="00E6526D">
      <w:pPr>
        <w:spacing w:after="156" w:line="360" w:lineRule="auto"/>
        <w:rPr>
          <w:rFonts w:ascii="Arial" w:hAnsi="Arial" w:cs="Arial"/>
        </w:rPr>
      </w:pPr>
      <w:r w:rsidRPr="00B462CD">
        <w:rPr>
          <w:rFonts w:ascii="Arial" w:hAnsi="Arial" w:cs="Arial"/>
        </w:rPr>
        <w:t xml:space="preserve">Figure </w:t>
      </w:r>
      <w:r w:rsidR="002A410D" w:rsidRPr="00B462CD">
        <w:rPr>
          <w:rFonts w:ascii="Arial" w:hAnsi="Arial" w:cs="Arial"/>
        </w:rPr>
        <w:t>4</w:t>
      </w:r>
      <w:r w:rsidRPr="00B462CD">
        <w:rPr>
          <w:rFonts w:ascii="Arial" w:hAnsi="Arial" w:cs="Arial"/>
        </w:rPr>
        <w:t>: Conceptual Framework</w:t>
      </w:r>
      <w:r w:rsidR="009F64C5" w:rsidRPr="00B462CD">
        <w:rPr>
          <w:rFonts w:ascii="Arial" w:eastAsia="Times New Roman" w:hAnsi="Arial" w:cs="Arial"/>
          <w:b/>
        </w:rPr>
        <w:t xml:space="preserve"> </w:t>
      </w:r>
    </w:p>
    <w:p w14:paraId="1028A266" w14:textId="0EEDC2D8" w:rsidR="000555DE" w:rsidRPr="00B462CD" w:rsidRDefault="001A7A67" w:rsidP="00E6526D">
      <w:pPr>
        <w:spacing w:line="360" w:lineRule="auto"/>
        <w:rPr>
          <w:rFonts w:ascii="Arial" w:eastAsia="Times New Roman" w:hAnsi="Arial" w:cs="Arial"/>
          <w:b/>
          <w:color w:val="000000"/>
        </w:rPr>
      </w:pPr>
      <w:r w:rsidRPr="00B462CD">
        <w:rPr>
          <w:rFonts w:ascii="Arial" w:hAnsi="Arial" w:cs="Arial"/>
        </w:rPr>
        <w:t>Figure G1 Thematic Map</w:t>
      </w:r>
      <w:r w:rsidR="000555DE" w:rsidRPr="00B462CD">
        <w:rPr>
          <w:rFonts w:ascii="Arial" w:hAnsi="Arial" w:cs="Arial"/>
        </w:rPr>
        <w:br w:type="page"/>
      </w:r>
    </w:p>
    <w:p w14:paraId="26D3E5D0" w14:textId="4977B35C" w:rsidR="009F64C5" w:rsidRPr="00B462CD" w:rsidRDefault="009F64C5" w:rsidP="00E6526D">
      <w:pPr>
        <w:pStyle w:val="Heading1"/>
        <w:spacing w:line="360" w:lineRule="auto"/>
        <w:ind w:left="12" w:right="4"/>
        <w:jc w:val="left"/>
        <w:rPr>
          <w:rFonts w:ascii="Arial" w:hAnsi="Arial" w:cs="Arial"/>
          <w:sz w:val="22"/>
        </w:rPr>
      </w:pPr>
      <w:bookmarkStart w:id="5" w:name="_Toc219579422"/>
      <w:bookmarkStart w:id="6" w:name="_Toc220428640"/>
      <w:r w:rsidRPr="00B462CD">
        <w:rPr>
          <w:rFonts w:ascii="Arial" w:hAnsi="Arial" w:cs="Arial"/>
          <w:sz w:val="22"/>
        </w:rPr>
        <w:t>List of tables</w:t>
      </w:r>
      <w:bookmarkEnd w:id="5"/>
      <w:bookmarkEnd w:id="6"/>
      <w:r w:rsidRPr="00B462CD">
        <w:rPr>
          <w:rFonts w:ascii="Arial" w:hAnsi="Arial" w:cs="Arial"/>
          <w:sz w:val="22"/>
        </w:rPr>
        <w:t xml:space="preserve"> </w:t>
      </w:r>
    </w:p>
    <w:p w14:paraId="6DD17FA5" w14:textId="6381DF12" w:rsidR="009F64C5" w:rsidRPr="00B462CD" w:rsidRDefault="009F64C5" w:rsidP="00E6526D">
      <w:pPr>
        <w:spacing w:after="172" w:line="360" w:lineRule="auto"/>
        <w:rPr>
          <w:rFonts w:ascii="Arial" w:hAnsi="Arial" w:cs="Arial"/>
        </w:rPr>
      </w:pPr>
      <w:r w:rsidRPr="00B462CD">
        <w:rPr>
          <w:rFonts w:ascii="Arial" w:hAnsi="Arial" w:cs="Arial"/>
        </w:rPr>
        <w:t xml:space="preserve"> </w:t>
      </w:r>
    </w:p>
    <w:p w14:paraId="191ACBB0" w14:textId="5A1B46CF" w:rsidR="009F64C5" w:rsidRPr="00B462CD" w:rsidRDefault="009F64C5" w:rsidP="00E6526D">
      <w:pPr>
        <w:spacing w:after="214" w:line="360" w:lineRule="auto"/>
        <w:rPr>
          <w:rFonts w:ascii="Arial" w:hAnsi="Arial" w:cs="Arial"/>
        </w:rPr>
      </w:pPr>
      <w:r w:rsidRPr="00B462CD">
        <w:rPr>
          <w:rFonts w:ascii="Arial" w:hAnsi="Arial" w:cs="Arial"/>
        </w:rPr>
        <w:t xml:space="preserve">Table 1: </w:t>
      </w:r>
      <w:r w:rsidR="00897FCB" w:rsidRPr="00B462CD">
        <w:rPr>
          <w:rFonts w:ascii="Arial" w:hAnsi="Arial" w:cs="Arial"/>
        </w:rPr>
        <w:t>Participant</w:t>
      </w:r>
      <w:r w:rsidR="00D875A4" w:rsidRPr="00B462CD">
        <w:rPr>
          <w:rFonts w:ascii="Arial" w:hAnsi="Arial" w:cs="Arial"/>
        </w:rPr>
        <w:t xml:space="preserve"> </w:t>
      </w:r>
      <w:r w:rsidR="00897FCB" w:rsidRPr="00B462CD">
        <w:rPr>
          <w:rFonts w:ascii="Arial" w:hAnsi="Arial" w:cs="Arial"/>
        </w:rPr>
        <w:t>Profile</w:t>
      </w:r>
    </w:p>
    <w:p w14:paraId="0AA831D5" w14:textId="68484B69" w:rsidR="00A55DA3" w:rsidRPr="00B462CD" w:rsidRDefault="009F64C5" w:rsidP="00E6526D">
      <w:pPr>
        <w:spacing w:after="169" w:line="360" w:lineRule="auto"/>
        <w:rPr>
          <w:rFonts w:ascii="Arial" w:hAnsi="Arial" w:cs="Arial"/>
        </w:rPr>
      </w:pPr>
      <w:r w:rsidRPr="00B462CD">
        <w:rPr>
          <w:rFonts w:ascii="Arial" w:hAnsi="Arial" w:cs="Arial"/>
        </w:rPr>
        <w:t xml:space="preserve">Table 2: </w:t>
      </w:r>
      <w:r w:rsidR="00A55DA3" w:rsidRPr="00B462CD">
        <w:rPr>
          <w:rFonts w:ascii="Arial" w:eastAsia="Times New Roman" w:hAnsi="Arial" w:cs="Arial"/>
          <w:kern w:val="0"/>
          <w:lang w:eastAsia="en-US"/>
          <w14:ligatures w14:val="none"/>
        </w:rPr>
        <w:t>Overview of Main Themes and Sub-themes</w:t>
      </w:r>
    </w:p>
    <w:p w14:paraId="7E558482" w14:textId="27B5F5EC" w:rsidR="00472C9C" w:rsidRPr="00B462CD" w:rsidRDefault="00472C9C" w:rsidP="00E6526D">
      <w:pPr>
        <w:spacing w:after="169" w:line="360" w:lineRule="auto"/>
        <w:rPr>
          <w:rFonts w:ascii="Arial" w:hAnsi="Arial" w:cs="Arial"/>
        </w:rPr>
      </w:pPr>
      <w:r w:rsidRPr="00B462CD">
        <w:rPr>
          <w:rFonts w:ascii="Arial" w:hAnsi="Arial" w:cs="Arial"/>
        </w:rPr>
        <w:t>Table 3</w:t>
      </w:r>
      <w:r w:rsidR="00AC3426" w:rsidRPr="00B462CD">
        <w:rPr>
          <w:rFonts w:ascii="Arial" w:hAnsi="Arial" w:cs="Arial"/>
        </w:rPr>
        <w:t xml:space="preserve">: Coping strategies and </w:t>
      </w:r>
      <w:r w:rsidR="00561E2B" w:rsidRPr="00B462CD">
        <w:rPr>
          <w:rFonts w:ascii="Arial" w:hAnsi="Arial" w:cs="Arial"/>
        </w:rPr>
        <w:t>sources of support</w:t>
      </w:r>
    </w:p>
    <w:p w14:paraId="4C25A3D6" w14:textId="7AB04411" w:rsidR="00561E2B" w:rsidRPr="00B462CD" w:rsidRDefault="00561E2B" w:rsidP="00E6526D">
      <w:pPr>
        <w:spacing w:after="169" w:line="360" w:lineRule="auto"/>
        <w:rPr>
          <w:rFonts w:ascii="Arial" w:hAnsi="Arial" w:cs="Arial"/>
        </w:rPr>
      </w:pPr>
      <w:r w:rsidRPr="00B462CD">
        <w:rPr>
          <w:rFonts w:ascii="Arial" w:hAnsi="Arial" w:cs="Arial"/>
        </w:rPr>
        <w:t xml:space="preserve">Table 4: </w:t>
      </w:r>
      <w:r w:rsidR="0093174A" w:rsidRPr="00B462CD">
        <w:rPr>
          <w:rFonts w:ascii="Arial" w:hAnsi="Arial" w:cs="Arial"/>
        </w:rPr>
        <w:t>Alignment of Research Objectives and Evidence</w:t>
      </w:r>
    </w:p>
    <w:p w14:paraId="299BD8FC" w14:textId="345C943E" w:rsidR="001A7A67" w:rsidRPr="00B462CD" w:rsidRDefault="001A7A67" w:rsidP="00E6526D">
      <w:pPr>
        <w:spacing w:after="169" w:line="360" w:lineRule="auto"/>
        <w:rPr>
          <w:rFonts w:ascii="Arial" w:hAnsi="Arial" w:cs="Arial"/>
        </w:rPr>
      </w:pPr>
      <w:r w:rsidRPr="00B462CD">
        <w:rPr>
          <w:rFonts w:ascii="Arial" w:hAnsi="Arial" w:cs="Arial"/>
        </w:rPr>
        <w:t>Table A1: Contact Information</w:t>
      </w:r>
    </w:p>
    <w:p w14:paraId="48485CBC" w14:textId="48EB37EF" w:rsidR="001A7A67" w:rsidRPr="00B462CD" w:rsidRDefault="001A7A67" w:rsidP="00E6526D">
      <w:pPr>
        <w:spacing w:after="169" w:line="360" w:lineRule="auto"/>
        <w:rPr>
          <w:rFonts w:ascii="Arial" w:hAnsi="Arial" w:cs="Arial"/>
        </w:rPr>
      </w:pPr>
      <w:r w:rsidRPr="00B462CD">
        <w:rPr>
          <w:rFonts w:ascii="Arial" w:hAnsi="Arial" w:cs="Arial"/>
        </w:rPr>
        <w:t>Table D</w:t>
      </w:r>
      <w:r w:rsidR="00B66717" w:rsidRPr="00B462CD">
        <w:rPr>
          <w:rFonts w:ascii="Arial" w:hAnsi="Arial" w:cs="Arial"/>
        </w:rPr>
        <w:t>1: Thematic</w:t>
      </w:r>
      <w:r w:rsidRPr="00B462CD">
        <w:rPr>
          <w:rFonts w:ascii="Arial" w:hAnsi="Arial" w:cs="Arial"/>
        </w:rPr>
        <w:t xml:space="preserve"> Findings</w:t>
      </w:r>
    </w:p>
    <w:p w14:paraId="3F8FFA81" w14:textId="77777777" w:rsidR="001A7A67" w:rsidRPr="00B462CD" w:rsidRDefault="001A7A67" w:rsidP="00E6526D">
      <w:pPr>
        <w:spacing w:after="169" w:line="360" w:lineRule="auto"/>
        <w:rPr>
          <w:rFonts w:ascii="Arial" w:hAnsi="Arial" w:cs="Arial"/>
        </w:rPr>
      </w:pPr>
      <w:r w:rsidRPr="00B462CD">
        <w:rPr>
          <w:rFonts w:ascii="Arial" w:hAnsi="Arial" w:cs="Arial"/>
        </w:rPr>
        <w:t>Table E1: Coded Transcript</w:t>
      </w:r>
    </w:p>
    <w:p w14:paraId="5125BB04" w14:textId="77777777" w:rsidR="001A7A67" w:rsidRPr="00B462CD" w:rsidRDefault="001A7A67" w:rsidP="00E6526D">
      <w:pPr>
        <w:spacing w:after="169" w:line="360" w:lineRule="auto"/>
        <w:rPr>
          <w:rFonts w:ascii="Arial" w:hAnsi="Arial" w:cs="Arial"/>
        </w:rPr>
      </w:pPr>
      <w:r w:rsidRPr="00B462CD">
        <w:rPr>
          <w:rFonts w:ascii="Arial" w:hAnsi="Arial" w:cs="Arial"/>
        </w:rPr>
        <w:t>Table F1: Table of Thems</w:t>
      </w:r>
    </w:p>
    <w:p w14:paraId="3B31B8FE" w14:textId="77777777" w:rsidR="001A7A67" w:rsidRPr="00B462CD" w:rsidRDefault="001A7A67" w:rsidP="00E6526D">
      <w:pPr>
        <w:spacing w:after="169" w:line="360" w:lineRule="auto"/>
        <w:rPr>
          <w:rFonts w:ascii="Arial" w:hAnsi="Arial" w:cs="Arial"/>
        </w:rPr>
      </w:pPr>
      <w:r w:rsidRPr="00B462CD">
        <w:rPr>
          <w:rFonts w:ascii="Arial" w:hAnsi="Arial" w:cs="Arial"/>
        </w:rPr>
        <w:t>Table G1: Theme of Matrix Code</w:t>
      </w:r>
    </w:p>
    <w:p w14:paraId="0403CA47" w14:textId="77777777" w:rsidR="00B66717" w:rsidRPr="00B462CD" w:rsidRDefault="00B6671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Table G2: Policy Recommendations Mapped to Findings</w:t>
      </w:r>
    </w:p>
    <w:p w14:paraId="279143F6" w14:textId="77777777" w:rsidR="000555DE" w:rsidRPr="00B462CD" w:rsidRDefault="000555DE" w:rsidP="00E6526D">
      <w:pPr>
        <w:spacing w:line="360" w:lineRule="auto"/>
        <w:rPr>
          <w:rFonts w:ascii="Arial" w:eastAsia="Times New Roman" w:hAnsi="Arial" w:cs="Arial"/>
          <w:b/>
          <w:color w:val="000000"/>
        </w:rPr>
      </w:pPr>
      <w:r w:rsidRPr="00B462CD">
        <w:rPr>
          <w:rFonts w:ascii="Arial" w:hAnsi="Arial" w:cs="Arial"/>
        </w:rPr>
        <w:br w:type="page"/>
      </w:r>
    </w:p>
    <w:p w14:paraId="3ABADF24" w14:textId="4B15EAE8" w:rsidR="009F64C5" w:rsidRPr="00B462CD" w:rsidRDefault="009F64C5" w:rsidP="00E6526D">
      <w:pPr>
        <w:pStyle w:val="Heading1"/>
        <w:spacing w:after="169" w:line="360" w:lineRule="auto"/>
        <w:ind w:right="0"/>
        <w:jc w:val="left"/>
        <w:rPr>
          <w:rFonts w:ascii="Arial" w:hAnsi="Arial" w:cs="Arial"/>
          <w:sz w:val="22"/>
        </w:rPr>
      </w:pPr>
      <w:bookmarkStart w:id="7" w:name="_Toc219579423"/>
      <w:bookmarkStart w:id="8" w:name="_Toc220428641"/>
      <w:r w:rsidRPr="00B462CD">
        <w:rPr>
          <w:rFonts w:ascii="Arial" w:hAnsi="Arial" w:cs="Arial"/>
          <w:sz w:val="22"/>
        </w:rPr>
        <w:t>List of abbreviations</w:t>
      </w:r>
      <w:bookmarkEnd w:id="7"/>
      <w:bookmarkEnd w:id="8"/>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552"/>
        <w:gridCol w:w="2819"/>
      </w:tblGrid>
      <w:tr w:rsidR="00DF5D62" w:rsidRPr="00B462CD" w14:paraId="6B649C34" w14:textId="77777777" w:rsidTr="00AE1808">
        <w:trPr>
          <w:tblHeader/>
          <w:tblCellSpacing w:w="15" w:type="dxa"/>
        </w:trPr>
        <w:tc>
          <w:tcPr>
            <w:tcW w:w="2507" w:type="dxa"/>
            <w:vAlign w:val="center"/>
            <w:hideMark/>
          </w:tcPr>
          <w:p w14:paraId="2D22AF42" w14:textId="77777777" w:rsidR="00224E1C" w:rsidRPr="00B462CD" w:rsidRDefault="00224E1C"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Abbreviation</w:t>
            </w:r>
          </w:p>
        </w:tc>
        <w:tc>
          <w:tcPr>
            <w:tcW w:w="2774" w:type="dxa"/>
            <w:vAlign w:val="center"/>
            <w:hideMark/>
          </w:tcPr>
          <w:p w14:paraId="26AA394A" w14:textId="77777777" w:rsidR="00224E1C" w:rsidRPr="00B462CD" w:rsidRDefault="00224E1C"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Full Term</w:t>
            </w:r>
          </w:p>
        </w:tc>
      </w:tr>
      <w:tr w:rsidR="00DF5D62" w:rsidRPr="00B462CD" w14:paraId="313F1656" w14:textId="77777777" w:rsidTr="00F46630">
        <w:trPr>
          <w:tblCellSpacing w:w="15" w:type="dxa"/>
        </w:trPr>
        <w:tc>
          <w:tcPr>
            <w:tcW w:w="2507" w:type="dxa"/>
            <w:tcBorders>
              <w:top w:val="single" w:sz="4" w:space="0" w:color="auto"/>
              <w:bottom w:val="single" w:sz="4" w:space="0" w:color="auto"/>
            </w:tcBorders>
            <w:vAlign w:val="center"/>
            <w:hideMark/>
          </w:tcPr>
          <w:p w14:paraId="0DC96C4F"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BAME</w:t>
            </w:r>
          </w:p>
        </w:tc>
        <w:tc>
          <w:tcPr>
            <w:tcW w:w="2774" w:type="dxa"/>
            <w:tcBorders>
              <w:top w:val="single" w:sz="4" w:space="0" w:color="auto"/>
              <w:bottom w:val="single" w:sz="4" w:space="0" w:color="auto"/>
            </w:tcBorders>
            <w:vAlign w:val="center"/>
            <w:hideMark/>
          </w:tcPr>
          <w:p w14:paraId="034CB818"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Black, Asian, and Minority Ethnic</w:t>
            </w:r>
          </w:p>
        </w:tc>
      </w:tr>
      <w:tr w:rsidR="00DF5D62" w:rsidRPr="00B462CD" w14:paraId="6F32835C" w14:textId="77777777" w:rsidTr="009C3D22">
        <w:trPr>
          <w:tblCellSpacing w:w="15" w:type="dxa"/>
        </w:trPr>
        <w:tc>
          <w:tcPr>
            <w:tcW w:w="2507" w:type="dxa"/>
            <w:tcBorders>
              <w:top w:val="nil"/>
              <w:bottom w:val="nil"/>
            </w:tcBorders>
            <w:vAlign w:val="center"/>
            <w:hideMark/>
          </w:tcPr>
          <w:p w14:paraId="5C489BC3"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CAC</w:t>
            </w:r>
          </w:p>
        </w:tc>
        <w:tc>
          <w:tcPr>
            <w:tcW w:w="2774" w:type="dxa"/>
            <w:vAlign w:val="center"/>
            <w:hideMark/>
          </w:tcPr>
          <w:p w14:paraId="688C735C"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Christ Apostolic Church</w:t>
            </w:r>
          </w:p>
        </w:tc>
      </w:tr>
      <w:tr w:rsidR="00DF5D62" w:rsidRPr="00B462CD" w14:paraId="6F467AC7" w14:textId="77777777" w:rsidTr="009C3D22">
        <w:trPr>
          <w:tblCellSpacing w:w="15" w:type="dxa"/>
        </w:trPr>
        <w:tc>
          <w:tcPr>
            <w:tcW w:w="2507" w:type="dxa"/>
            <w:tcBorders>
              <w:top w:val="single" w:sz="4" w:space="0" w:color="auto"/>
              <w:bottom w:val="nil"/>
            </w:tcBorders>
            <w:vAlign w:val="center"/>
            <w:hideMark/>
          </w:tcPr>
          <w:p w14:paraId="7FE652AF"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COVID-19</w:t>
            </w:r>
          </w:p>
        </w:tc>
        <w:tc>
          <w:tcPr>
            <w:tcW w:w="2774" w:type="dxa"/>
            <w:tcBorders>
              <w:top w:val="single" w:sz="4" w:space="0" w:color="auto"/>
              <w:bottom w:val="nil"/>
            </w:tcBorders>
            <w:vAlign w:val="center"/>
            <w:hideMark/>
          </w:tcPr>
          <w:p w14:paraId="41FF03ED"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Coronavirus Disease 2019</w:t>
            </w:r>
          </w:p>
        </w:tc>
      </w:tr>
      <w:tr w:rsidR="004C6E94" w:rsidRPr="00B462CD" w14:paraId="1A1E7B04" w14:textId="77777777" w:rsidTr="009C3D22">
        <w:trPr>
          <w:tblCellSpacing w:w="15" w:type="dxa"/>
        </w:trPr>
        <w:tc>
          <w:tcPr>
            <w:tcW w:w="2507" w:type="dxa"/>
            <w:tcBorders>
              <w:top w:val="single" w:sz="4" w:space="0" w:color="auto"/>
              <w:bottom w:val="nil"/>
            </w:tcBorders>
            <w:vAlign w:val="center"/>
          </w:tcPr>
          <w:p w14:paraId="7BDCCFE0" w14:textId="5C2340D2" w:rsidR="004C6E94" w:rsidRPr="00B462CD" w:rsidRDefault="00A5411D"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GLA</w:t>
            </w:r>
          </w:p>
        </w:tc>
        <w:tc>
          <w:tcPr>
            <w:tcW w:w="2774" w:type="dxa"/>
            <w:tcBorders>
              <w:top w:val="single" w:sz="4" w:space="0" w:color="auto"/>
              <w:bottom w:val="nil"/>
            </w:tcBorders>
            <w:vAlign w:val="center"/>
          </w:tcPr>
          <w:p w14:paraId="611FC03B" w14:textId="785E6844" w:rsidR="004C6E94" w:rsidRPr="00B462CD" w:rsidRDefault="00A5411D" w:rsidP="00E6526D">
            <w:pPr>
              <w:spacing w:after="0" w:line="360" w:lineRule="auto"/>
              <w:rPr>
                <w:rFonts w:ascii="Arial" w:eastAsia="Times New Roman" w:hAnsi="Arial" w:cs="Arial"/>
                <w:kern w:val="0"/>
                <w:lang w:eastAsia="en-US"/>
                <w14:ligatures w14:val="none"/>
              </w:rPr>
            </w:pPr>
            <w:r w:rsidRPr="00B462CD">
              <w:rPr>
                <w:rFonts w:ascii="Arial" w:hAnsi="Arial" w:cs="Arial"/>
              </w:rPr>
              <w:t>Greater London Authority</w:t>
            </w:r>
          </w:p>
        </w:tc>
      </w:tr>
      <w:tr w:rsidR="00DF5D62" w:rsidRPr="00B462CD" w14:paraId="30F9742E" w14:textId="77777777" w:rsidTr="00F46630">
        <w:trPr>
          <w:tblCellSpacing w:w="15" w:type="dxa"/>
        </w:trPr>
        <w:tc>
          <w:tcPr>
            <w:tcW w:w="2507" w:type="dxa"/>
            <w:tcBorders>
              <w:top w:val="single" w:sz="4" w:space="0" w:color="auto"/>
              <w:bottom w:val="single" w:sz="4" w:space="0" w:color="auto"/>
            </w:tcBorders>
            <w:vAlign w:val="center"/>
            <w:hideMark/>
          </w:tcPr>
          <w:p w14:paraId="7DE122C5"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GP</w:t>
            </w:r>
          </w:p>
        </w:tc>
        <w:tc>
          <w:tcPr>
            <w:tcW w:w="2774" w:type="dxa"/>
            <w:tcBorders>
              <w:top w:val="single" w:sz="4" w:space="0" w:color="auto"/>
              <w:bottom w:val="single" w:sz="4" w:space="0" w:color="auto"/>
            </w:tcBorders>
            <w:vAlign w:val="center"/>
            <w:hideMark/>
          </w:tcPr>
          <w:p w14:paraId="40FFD0C9"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General Practitioner</w:t>
            </w:r>
          </w:p>
        </w:tc>
      </w:tr>
      <w:tr w:rsidR="00DF5D62" w:rsidRPr="00B462CD" w14:paraId="4D065002" w14:textId="77777777" w:rsidTr="00AE1808">
        <w:trPr>
          <w:tblCellSpacing w:w="15" w:type="dxa"/>
        </w:trPr>
        <w:tc>
          <w:tcPr>
            <w:tcW w:w="2507" w:type="dxa"/>
            <w:vAlign w:val="center"/>
            <w:hideMark/>
          </w:tcPr>
          <w:p w14:paraId="6CEAD549"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HIC</w:t>
            </w:r>
          </w:p>
        </w:tc>
        <w:tc>
          <w:tcPr>
            <w:tcW w:w="2774" w:type="dxa"/>
            <w:vAlign w:val="center"/>
            <w:hideMark/>
          </w:tcPr>
          <w:p w14:paraId="2CCEC224"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High-Income Country</w:t>
            </w:r>
          </w:p>
          <w:p w14:paraId="080543CA" w14:textId="77777777" w:rsidR="005047FD" w:rsidRPr="00B462CD" w:rsidRDefault="005047FD" w:rsidP="00E6526D">
            <w:pPr>
              <w:spacing w:after="0" w:line="360" w:lineRule="auto"/>
              <w:rPr>
                <w:rFonts w:ascii="Arial" w:eastAsia="Times New Roman" w:hAnsi="Arial" w:cs="Arial"/>
                <w:kern w:val="0"/>
                <w:lang w:eastAsia="en-US"/>
                <w14:ligatures w14:val="none"/>
              </w:rPr>
            </w:pPr>
          </w:p>
        </w:tc>
      </w:tr>
      <w:tr w:rsidR="00F46630" w:rsidRPr="00B462CD" w14:paraId="6C47F7E6" w14:textId="77777777" w:rsidTr="00F46630">
        <w:trPr>
          <w:tblCellSpacing w:w="15" w:type="dxa"/>
        </w:trPr>
        <w:tc>
          <w:tcPr>
            <w:tcW w:w="2507" w:type="dxa"/>
            <w:tcBorders>
              <w:top w:val="single" w:sz="4" w:space="0" w:color="auto"/>
              <w:bottom w:val="single" w:sz="4" w:space="0" w:color="auto"/>
            </w:tcBorders>
            <w:vAlign w:val="center"/>
          </w:tcPr>
          <w:p w14:paraId="15F735C0" w14:textId="1CACD2DE" w:rsidR="00F46630" w:rsidRPr="00B462CD" w:rsidRDefault="00F46630" w:rsidP="00E6526D">
            <w:pPr>
              <w:spacing w:after="158" w:line="360" w:lineRule="auto"/>
              <w:ind w:left="59"/>
              <w:rPr>
                <w:rFonts w:ascii="Arial" w:eastAsia="Times New Roman" w:hAnsi="Arial" w:cs="Arial"/>
                <w:kern w:val="0"/>
                <w:lang w:eastAsia="en-US"/>
                <w14:ligatures w14:val="none"/>
              </w:rPr>
            </w:pPr>
            <w:r w:rsidRPr="00B462CD">
              <w:rPr>
                <w:rFonts w:ascii="Arial" w:hAnsi="Arial" w:cs="Arial"/>
              </w:rPr>
              <w:t>MHCLG</w:t>
            </w:r>
            <w:r w:rsidR="00205AE7" w:rsidRPr="00B462CD">
              <w:rPr>
                <w:rFonts w:ascii="Arial" w:hAnsi="Arial" w:cs="Arial"/>
              </w:rPr>
              <w:t xml:space="preserve">         </w:t>
            </w:r>
          </w:p>
        </w:tc>
        <w:tc>
          <w:tcPr>
            <w:tcW w:w="2774" w:type="dxa"/>
            <w:tcBorders>
              <w:top w:val="single" w:sz="4" w:space="0" w:color="auto"/>
              <w:bottom w:val="single" w:sz="4" w:space="0" w:color="auto"/>
            </w:tcBorders>
            <w:vAlign w:val="center"/>
          </w:tcPr>
          <w:p w14:paraId="37D9A352" w14:textId="77777777" w:rsidR="00205AE7" w:rsidRPr="00B462CD" w:rsidRDefault="00205AE7" w:rsidP="00E6526D">
            <w:pPr>
              <w:spacing w:after="158" w:line="360" w:lineRule="auto"/>
              <w:ind w:left="59"/>
              <w:rPr>
                <w:rFonts w:ascii="Arial" w:hAnsi="Arial" w:cs="Arial"/>
              </w:rPr>
            </w:pPr>
            <w:r w:rsidRPr="00B462CD">
              <w:rPr>
                <w:rFonts w:ascii="Arial" w:hAnsi="Arial" w:cs="Arial"/>
              </w:rPr>
              <w:t>Ministry of   Housing, Communities and Local Government</w:t>
            </w:r>
          </w:p>
          <w:p w14:paraId="47D5B32F" w14:textId="77777777" w:rsidR="00F46630" w:rsidRPr="00B462CD" w:rsidRDefault="00F46630" w:rsidP="00E6526D">
            <w:pPr>
              <w:spacing w:after="0" w:line="360" w:lineRule="auto"/>
              <w:rPr>
                <w:rFonts w:ascii="Arial" w:eastAsia="Times New Roman" w:hAnsi="Arial" w:cs="Arial"/>
                <w:kern w:val="0"/>
                <w:lang w:eastAsia="en-US"/>
                <w14:ligatures w14:val="none"/>
              </w:rPr>
            </w:pPr>
          </w:p>
        </w:tc>
      </w:tr>
      <w:tr w:rsidR="00DF5D62" w:rsidRPr="00B462CD" w14:paraId="6E9D4B4D" w14:textId="77777777" w:rsidTr="00057C44">
        <w:trPr>
          <w:tblCellSpacing w:w="15" w:type="dxa"/>
        </w:trPr>
        <w:tc>
          <w:tcPr>
            <w:tcW w:w="2507" w:type="dxa"/>
            <w:tcBorders>
              <w:top w:val="nil"/>
              <w:bottom w:val="single" w:sz="4" w:space="0" w:color="auto"/>
            </w:tcBorders>
            <w:vAlign w:val="center"/>
            <w:hideMark/>
          </w:tcPr>
          <w:p w14:paraId="06383C57"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NHS</w:t>
            </w:r>
          </w:p>
        </w:tc>
        <w:tc>
          <w:tcPr>
            <w:tcW w:w="2774" w:type="dxa"/>
            <w:tcBorders>
              <w:top w:val="nil"/>
              <w:bottom w:val="single" w:sz="4" w:space="0" w:color="auto"/>
            </w:tcBorders>
            <w:vAlign w:val="center"/>
            <w:hideMark/>
          </w:tcPr>
          <w:p w14:paraId="366F8064"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National Health Service</w:t>
            </w:r>
          </w:p>
        </w:tc>
      </w:tr>
      <w:tr w:rsidR="00DF5D62" w:rsidRPr="00B462CD" w14:paraId="15CBF4EA" w14:textId="77777777" w:rsidTr="00AE1808">
        <w:trPr>
          <w:tblCellSpacing w:w="15" w:type="dxa"/>
        </w:trPr>
        <w:tc>
          <w:tcPr>
            <w:tcW w:w="2507" w:type="dxa"/>
            <w:vAlign w:val="center"/>
            <w:hideMark/>
          </w:tcPr>
          <w:p w14:paraId="235EB40C"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NRPF</w:t>
            </w:r>
          </w:p>
        </w:tc>
        <w:tc>
          <w:tcPr>
            <w:tcW w:w="2774" w:type="dxa"/>
            <w:vAlign w:val="center"/>
            <w:hideMark/>
          </w:tcPr>
          <w:p w14:paraId="64AF5A3E"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No Recourse to Public Funds</w:t>
            </w:r>
          </w:p>
          <w:p w14:paraId="032DF991" w14:textId="77777777" w:rsidR="006A7D5E" w:rsidRPr="00B462CD" w:rsidRDefault="006A7D5E" w:rsidP="00E6526D">
            <w:pPr>
              <w:spacing w:after="0" w:line="360" w:lineRule="auto"/>
              <w:rPr>
                <w:rFonts w:ascii="Arial" w:eastAsia="Times New Roman" w:hAnsi="Arial" w:cs="Arial"/>
                <w:kern w:val="0"/>
                <w:lang w:eastAsia="en-US"/>
                <w14:ligatures w14:val="none"/>
              </w:rPr>
            </w:pPr>
          </w:p>
        </w:tc>
      </w:tr>
      <w:tr w:rsidR="00DF5D62" w:rsidRPr="00B462CD" w14:paraId="2ADCDBB7" w14:textId="77777777" w:rsidTr="00057C44">
        <w:trPr>
          <w:tblCellSpacing w:w="15" w:type="dxa"/>
        </w:trPr>
        <w:tc>
          <w:tcPr>
            <w:tcW w:w="2507" w:type="dxa"/>
            <w:tcBorders>
              <w:top w:val="single" w:sz="4" w:space="0" w:color="auto"/>
              <w:bottom w:val="single" w:sz="4" w:space="0" w:color="auto"/>
            </w:tcBorders>
            <w:vAlign w:val="center"/>
            <w:hideMark/>
          </w:tcPr>
          <w:p w14:paraId="4C7F6231"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ONS</w:t>
            </w:r>
          </w:p>
        </w:tc>
        <w:tc>
          <w:tcPr>
            <w:tcW w:w="2774" w:type="dxa"/>
            <w:tcBorders>
              <w:top w:val="single" w:sz="4" w:space="0" w:color="auto"/>
              <w:bottom w:val="single" w:sz="4" w:space="0" w:color="auto"/>
            </w:tcBorders>
            <w:vAlign w:val="center"/>
            <w:hideMark/>
          </w:tcPr>
          <w:p w14:paraId="4DE6D096"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Office for National Statistics</w:t>
            </w:r>
          </w:p>
        </w:tc>
      </w:tr>
      <w:tr w:rsidR="00DF5D62" w:rsidRPr="00B462CD" w14:paraId="71A71217" w14:textId="77777777" w:rsidTr="00AE1808">
        <w:trPr>
          <w:tblCellSpacing w:w="15" w:type="dxa"/>
        </w:trPr>
        <w:tc>
          <w:tcPr>
            <w:tcW w:w="2507" w:type="dxa"/>
            <w:vAlign w:val="center"/>
            <w:hideMark/>
          </w:tcPr>
          <w:p w14:paraId="75E5D16C"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PHE</w:t>
            </w:r>
          </w:p>
        </w:tc>
        <w:tc>
          <w:tcPr>
            <w:tcW w:w="2774" w:type="dxa"/>
            <w:vAlign w:val="center"/>
            <w:hideMark/>
          </w:tcPr>
          <w:p w14:paraId="0CA00330"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Public Health England</w:t>
            </w:r>
          </w:p>
        </w:tc>
      </w:tr>
      <w:tr w:rsidR="00DF5D62" w:rsidRPr="00B462CD" w14:paraId="6D5F72EE" w14:textId="77777777" w:rsidTr="00057C44">
        <w:trPr>
          <w:tblCellSpacing w:w="15" w:type="dxa"/>
        </w:trPr>
        <w:tc>
          <w:tcPr>
            <w:tcW w:w="2507" w:type="dxa"/>
            <w:tcBorders>
              <w:top w:val="single" w:sz="4" w:space="0" w:color="auto"/>
              <w:bottom w:val="single" w:sz="4" w:space="0" w:color="auto"/>
            </w:tcBorders>
            <w:vAlign w:val="center"/>
            <w:hideMark/>
          </w:tcPr>
          <w:p w14:paraId="316DEB67"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SDH</w:t>
            </w:r>
          </w:p>
        </w:tc>
        <w:tc>
          <w:tcPr>
            <w:tcW w:w="2774" w:type="dxa"/>
            <w:tcBorders>
              <w:top w:val="single" w:sz="4" w:space="0" w:color="auto"/>
              <w:bottom w:val="single" w:sz="4" w:space="0" w:color="auto"/>
            </w:tcBorders>
            <w:vAlign w:val="center"/>
            <w:hideMark/>
          </w:tcPr>
          <w:p w14:paraId="60EC8963"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Social Determinants of Health</w:t>
            </w:r>
          </w:p>
        </w:tc>
      </w:tr>
      <w:tr w:rsidR="00DF5D62" w:rsidRPr="00B462CD" w14:paraId="27A47E6E" w14:textId="77777777" w:rsidTr="00AE1808">
        <w:trPr>
          <w:tblCellSpacing w:w="15" w:type="dxa"/>
        </w:trPr>
        <w:tc>
          <w:tcPr>
            <w:tcW w:w="2507" w:type="dxa"/>
            <w:vAlign w:val="center"/>
            <w:hideMark/>
          </w:tcPr>
          <w:p w14:paraId="01C8F7BF"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UK</w:t>
            </w:r>
          </w:p>
        </w:tc>
        <w:tc>
          <w:tcPr>
            <w:tcW w:w="2774" w:type="dxa"/>
            <w:vAlign w:val="center"/>
            <w:hideMark/>
          </w:tcPr>
          <w:p w14:paraId="15D5016D"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United Kingdom</w:t>
            </w:r>
          </w:p>
        </w:tc>
      </w:tr>
      <w:tr w:rsidR="00DF5D62" w:rsidRPr="00B462CD" w14:paraId="001DE062" w14:textId="77777777" w:rsidTr="00057C44">
        <w:trPr>
          <w:tblCellSpacing w:w="15" w:type="dxa"/>
        </w:trPr>
        <w:tc>
          <w:tcPr>
            <w:tcW w:w="2507" w:type="dxa"/>
            <w:tcBorders>
              <w:top w:val="single" w:sz="4" w:space="0" w:color="auto"/>
              <w:bottom w:val="single" w:sz="4" w:space="0" w:color="auto"/>
            </w:tcBorders>
            <w:vAlign w:val="center"/>
            <w:hideMark/>
          </w:tcPr>
          <w:p w14:paraId="6C93058B"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UWTSD</w:t>
            </w:r>
          </w:p>
        </w:tc>
        <w:tc>
          <w:tcPr>
            <w:tcW w:w="2774" w:type="dxa"/>
            <w:tcBorders>
              <w:top w:val="single" w:sz="4" w:space="0" w:color="auto"/>
              <w:bottom w:val="single" w:sz="4" w:space="0" w:color="auto"/>
            </w:tcBorders>
            <w:vAlign w:val="center"/>
            <w:hideMark/>
          </w:tcPr>
          <w:p w14:paraId="5F489F8D"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University of Wales Trinity Saint David</w:t>
            </w:r>
          </w:p>
        </w:tc>
      </w:tr>
      <w:tr w:rsidR="00DF5D62" w:rsidRPr="00B462CD" w14:paraId="60F5FD25" w14:textId="77777777" w:rsidTr="00057C44">
        <w:trPr>
          <w:tblCellSpacing w:w="15" w:type="dxa"/>
        </w:trPr>
        <w:tc>
          <w:tcPr>
            <w:tcW w:w="2507" w:type="dxa"/>
            <w:tcBorders>
              <w:top w:val="nil"/>
              <w:bottom w:val="single" w:sz="4" w:space="0" w:color="auto"/>
            </w:tcBorders>
            <w:vAlign w:val="center"/>
            <w:hideMark/>
          </w:tcPr>
          <w:p w14:paraId="1535C242"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VSO</w:t>
            </w:r>
          </w:p>
        </w:tc>
        <w:tc>
          <w:tcPr>
            <w:tcW w:w="2774" w:type="dxa"/>
            <w:tcBorders>
              <w:top w:val="nil"/>
              <w:bottom w:val="single" w:sz="4" w:space="0" w:color="auto"/>
            </w:tcBorders>
            <w:vAlign w:val="center"/>
            <w:hideMark/>
          </w:tcPr>
          <w:p w14:paraId="4A6A095C"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Voluntary Sector Organisation</w:t>
            </w:r>
          </w:p>
        </w:tc>
      </w:tr>
      <w:tr w:rsidR="00DF5D62" w:rsidRPr="00B462CD" w14:paraId="7E920BE6" w14:textId="77777777" w:rsidTr="00AE1808">
        <w:trPr>
          <w:tblCellSpacing w:w="15" w:type="dxa"/>
        </w:trPr>
        <w:tc>
          <w:tcPr>
            <w:tcW w:w="2507" w:type="dxa"/>
            <w:vAlign w:val="center"/>
            <w:hideMark/>
          </w:tcPr>
          <w:p w14:paraId="57FD67FB" w14:textId="77777777"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WHO</w:t>
            </w:r>
          </w:p>
        </w:tc>
        <w:tc>
          <w:tcPr>
            <w:tcW w:w="2774" w:type="dxa"/>
            <w:vAlign w:val="center"/>
            <w:hideMark/>
          </w:tcPr>
          <w:p w14:paraId="2F8AE578" w14:textId="665387E9" w:rsidR="00224E1C" w:rsidRPr="00B462CD" w:rsidRDefault="00224E1C"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World Health </w:t>
            </w:r>
            <w:r w:rsidR="004D3A68" w:rsidRPr="00B462CD">
              <w:rPr>
                <w:rFonts w:ascii="Arial" w:eastAsia="Times New Roman" w:hAnsi="Arial" w:cs="Arial"/>
                <w:kern w:val="0"/>
                <w:lang w:eastAsia="en-US"/>
                <w14:ligatures w14:val="none"/>
              </w:rPr>
              <w:t>Organisation</w:t>
            </w:r>
          </w:p>
        </w:tc>
      </w:tr>
    </w:tbl>
    <w:p w14:paraId="53439232" w14:textId="74E3D8CD" w:rsidR="009F64C5" w:rsidRPr="00B462CD" w:rsidRDefault="009F64C5" w:rsidP="00E6526D">
      <w:pPr>
        <w:spacing w:after="158" w:line="360" w:lineRule="auto"/>
        <w:ind w:left="59"/>
        <w:rPr>
          <w:rFonts w:ascii="Arial" w:hAnsi="Arial" w:cs="Arial"/>
        </w:rPr>
      </w:pPr>
      <w:r w:rsidRPr="00B462CD">
        <w:rPr>
          <w:rFonts w:ascii="Arial" w:eastAsia="Times New Roman" w:hAnsi="Arial" w:cs="Arial"/>
          <w:b/>
        </w:rPr>
        <w:t xml:space="preserve"> </w:t>
      </w:r>
    </w:p>
    <w:p w14:paraId="52C80364" w14:textId="77777777" w:rsidR="00C41ACA" w:rsidRPr="00B462CD" w:rsidRDefault="00C41ACA" w:rsidP="00E6526D">
      <w:pPr>
        <w:spacing w:line="360" w:lineRule="auto"/>
        <w:rPr>
          <w:rFonts w:ascii="Arial" w:eastAsia="Times New Roman" w:hAnsi="Arial" w:cs="Arial"/>
          <w:b/>
          <w:bCs/>
        </w:rPr>
      </w:pPr>
      <w:r w:rsidRPr="00B462CD">
        <w:rPr>
          <w:rFonts w:ascii="Arial" w:eastAsia="Times New Roman" w:hAnsi="Arial" w:cs="Arial"/>
          <w:b/>
          <w:bCs/>
        </w:rPr>
        <w:br w:type="page"/>
      </w:r>
    </w:p>
    <w:p w14:paraId="5AA3CF53" w14:textId="77777777" w:rsidR="00BC3DB1" w:rsidRPr="00B462CD" w:rsidRDefault="00BC3DB1" w:rsidP="00E6526D">
      <w:pPr>
        <w:spacing w:line="360" w:lineRule="auto"/>
        <w:rPr>
          <w:rFonts w:ascii="Arial" w:eastAsia="Times New Roman" w:hAnsi="Arial" w:cs="Arial"/>
          <w:b/>
          <w:bCs/>
        </w:rPr>
      </w:pPr>
      <w:r w:rsidRPr="00B462CD">
        <w:rPr>
          <w:rFonts w:ascii="Arial" w:eastAsia="Times New Roman" w:hAnsi="Arial" w:cs="Arial"/>
          <w:b/>
          <w:bCs/>
        </w:rPr>
        <w:t>Chapter 1: Introduction</w:t>
      </w:r>
    </w:p>
    <w:p w14:paraId="59557ECA" w14:textId="6F4D538D"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This dissertation addresses both structural factors and lived experiences </w:t>
      </w:r>
      <w:proofErr w:type="gramStart"/>
      <w:r w:rsidRPr="00B462CD">
        <w:rPr>
          <w:rFonts w:ascii="Arial" w:eastAsia="Times New Roman" w:hAnsi="Arial" w:cs="Arial"/>
        </w:rPr>
        <w:t>in order to</w:t>
      </w:r>
      <w:proofErr w:type="gramEnd"/>
      <w:r w:rsidRPr="00B462CD">
        <w:rPr>
          <w:rFonts w:ascii="Arial" w:eastAsia="Times New Roman" w:hAnsi="Arial" w:cs="Arial"/>
        </w:rPr>
        <w:t xml:space="preserve"> investigate how immigration status affects health and well-being among BAME adult migrants in East London.</w:t>
      </w:r>
      <w:r w:rsidR="003D4E4D" w:rsidRPr="00B462CD">
        <w:rPr>
          <w:rFonts w:ascii="Arial" w:eastAsia="Times New Roman" w:hAnsi="Arial" w:cs="Arial"/>
        </w:rPr>
        <w:t xml:space="preserve"> </w:t>
      </w:r>
      <w:r w:rsidR="003D4E4D" w:rsidRPr="00B462CD">
        <w:rPr>
          <w:rFonts w:ascii="Arial" w:hAnsi="Arial" w:cs="Arial"/>
        </w:rPr>
        <w:t xml:space="preserve">Chapter 1 delineates the </w:t>
      </w:r>
      <w:r w:rsidR="00951BF2" w:rsidRPr="00B462CD">
        <w:rPr>
          <w:rFonts w:ascii="Arial" w:hAnsi="Arial" w:cs="Arial"/>
        </w:rPr>
        <w:t>dissertation's central objective, academic significance, analytical scope, and overarching focus, and provides a glimpse of the work's structure</w:t>
      </w:r>
      <w:r w:rsidRPr="00B462CD">
        <w:rPr>
          <w:rFonts w:ascii="Arial" w:eastAsia="Times New Roman" w:hAnsi="Arial" w:cs="Arial"/>
        </w:rPr>
        <w:t xml:space="preserve"> in compliance with the assignment brief. </w:t>
      </w:r>
      <w:r w:rsidRPr="00B462CD">
        <w:rPr>
          <w:rFonts w:ascii="Arial" w:eastAsia="Times New Roman" w:hAnsi="Arial" w:cs="Arial"/>
        </w:rPr>
        <w:br/>
        <w:t>One of the most important and contentious factors influencing the modern United Kingdom is immigration. Over the past century, the UK has experienced several distinct waves of migration, beginning with post-war arrivals from the Commonwealth, followed by more recent movements from the European Union, Africa, Asia, and beyond. This complex history has resulted in a diverse and dynamic population landscape, particularly in urban centres. London, as the UK’s capital and global city, stands at the forefront of these demographic shifts, serving as both a destination and a point of transition for migrants from across the globe. Within London, East London has emerged as a microcosm of these broader processes, exemplifying the convergence of intense cultural diversity and pronounced socioeconomic deprivation.</w:t>
      </w:r>
    </w:p>
    <w:p w14:paraId="2F4E4978" w14:textId="77777777" w:rsidR="00995E7E" w:rsidRPr="00B462CD" w:rsidRDefault="00BC3DB1" w:rsidP="00E6526D">
      <w:pPr>
        <w:spacing w:line="360" w:lineRule="auto"/>
        <w:rPr>
          <w:rFonts w:ascii="Arial" w:eastAsia="Times New Roman" w:hAnsi="Arial" w:cs="Arial"/>
        </w:rPr>
      </w:pPr>
      <w:r w:rsidRPr="00B462CD">
        <w:rPr>
          <w:rFonts w:ascii="Arial" w:eastAsia="Times New Roman" w:hAnsi="Arial" w:cs="Arial"/>
        </w:rPr>
        <w:t>Particularly instructive are the boroughs of Tower Hamlets and Newham. Tower Hamlets was the second most deprived local authority in the country, according to the 2021 Census, while Newham had the largest percentage of non-UK-born citizens in England and Wales (52.8%) (ONS, 2021; MHCLG, 2019). These figures reflect the real-life experiences of thousands of people and families navigating the opportunities and difficulties of migration; they are more than simply numbers.</w:t>
      </w:r>
      <w:r w:rsidR="00AB5F81" w:rsidRPr="00B462CD">
        <w:rPr>
          <w:rFonts w:ascii="Arial" w:eastAsia="Times New Roman" w:hAnsi="Arial" w:cs="Arial"/>
        </w:rPr>
        <w:t xml:space="preserve"> </w:t>
      </w:r>
      <w:r w:rsidR="00AB5F81" w:rsidRPr="00B462CD">
        <w:rPr>
          <w:rFonts w:ascii="Arial" w:hAnsi="Arial" w:cs="Arial"/>
        </w:rPr>
        <w:t>East London is a key setting for examining the relationship between</w:t>
      </w:r>
      <w:r w:rsidR="002E4955" w:rsidRPr="00B462CD">
        <w:rPr>
          <w:rFonts w:ascii="Arial" w:hAnsi="Arial" w:cs="Arial"/>
        </w:rPr>
        <w:t xml:space="preserve"> migration, ethnicity, health outcomes, and social wellbeing in twenty-first-century Britain</w:t>
      </w:r>
      <w:r w:rsidR="00AB5F81" w:rsidRPr="00B462CD">
        <w:rPr>
          <w:rFonts w:ascii="Arial" w:hAnsi="Arial" w:cs="Arial"/>
        </w:rPr>
        <w:t>, as it brings together conditions of super-diversity marked by multiple ethnic backgrounds, varied languages, differing religious practices, and complex migration histories (</w:t>
      </w:r>
      <w:proofErr w:type="spellStart"/>
      <w:r w:rsidR="00AB5F81" w:rsidRPr="00B462CD">
        <w:rPr>
          <w:rFonts w:ascii="Arial" w:hAnsi="Arial" w:cs="Arial"/>
        </w:rPr>
        <w:t>Vertovec</w:t>
      </w:r>
      <w:proofErr w:type="spellEnd"/>
      <w:r w:rsidR="00AB5F81" w:rsidRPr="00B462CD">
        <w:rPr>
          <w:rFonts w:ascii="Arial" w:hAnsi="Arial" w:cs="Arial"/>
        </w:rPr>
        <w:t>, 2007) with sustained socioeconomic deprivation, patterns of social exclusion, unequal access to resources, and entrenched health inequalities</w:t>
      </w:r>
      <w:r w:rsidRPr="00B462CD">
        <w:rPr>
          <w:rFonts w:ascii="Arial" w:eastAsia="Times New Roman" w:hAnsi="Arial" w:cs="Arial"/>
        </w:rPr>
        <w:t xml:space="preserve"> </w:t>
      </w:r>
      <w:bookmarkStart w:id="9" w:name="_Toc220428642"/>
    </w:p>
    <w:p w14:paraId="255723AE" w14:textId="3D98F07A" w:rsidR="00BC3DB1" w:rsidRPr="00B462CD" w:rsidRDefault="00BC3DB1" w:rsidP="00E6526D">
      <w:pPr>
        <w:spacing w:line="360" w:lineRule="auto"/>
        <w:rPr>
          <w:rFonts w:ascii="Arial" w:eastAsia="Times New Roman" w:hAnsi="Arial" w:cs="Arial"/>
          <w:b/>
          <w:bCs/>
        </w:rPr>
      </w:pPr>
      <w:r w:rsidRPr="00B462CD">
        <w:rPr>
          <w:rFonts w:ascii="Arial" w:eastAsia="Times New Roman" w:hAnsi="Arial" w:cs="Arial"/>
          <w:b/>
          <w:bCs/>
        </w:rPr>
        <w:t>1.1 Background and Context</w:t>
      </w:r>
      <w:bookmarkEnd w:id="9"/>
    </w:p>
    <w:p w14:paraId="1B00A16E" w14:textId="1871FB1B"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Demographic Complexity and Super-diversity</w:t>
      </w:r>
      <w:r w:rsidRPr="00B462CD">
        <w:rPr>
          <w:rFonts w:ascii="Arial" w:eastAsia="Times New Roman" w:hAnsi="Arial" w:cs="Arial"/>
        </w:rPr>
        <w:t xml:space="preserve">. Migration is responsible for London's plurality, which is usually acknowledged as the most ethnically and culturally diverse city in the United Kingdom. Over 40% of Londoners were born outside of the United Kingdom, according to the 2021 Census; this percentage is significantly greater in </w:t>
      </w:r>
      <w:proofErr w:type="gramStart"/>
      <w:r w:rsidRPr="00B462CD">
        <w:rPr>
          <w:rFonts w:ascii="Arial" w:eastAsia="Times New Roman" w:hAnsi="Arial" w:cs="Arial"/>
        </w:rPr>
        <w:t>a number of</w:t>
      </w:r>
      <w:proofErr w:type="gramEnd"/>
      <w:r w:rsidRPr="00B462CD">
        <w:rPr>
          <w:rFonts w:ascii="Arial" w:eastAsia="Times New Roman" w:hAnsi="Arial" w:cs="Arial"/>
        </w:rPr>
        <w:t xml:space="preserve"> East London boroughs. For example, Newham had the greatest percentage of foreign-born residents in England and Wales at 52.8%, while Tower Hamlets and Redbridge also had higher percentages</w:t>
      </w:r>
      <w:r w:rsidR="00876FBB" w:rsidRPr="00B462CD">
        <w:rPr>
          <w:rFonts w:ascii="Arial" w:eastAsia="Times New Roman" w:hAnsi="Arial" w:cs="Arial"/>
        </w:rPr>
        <w:t xml:space="preserve"> </w:t>
      </w:r>
      <w:r w:rsidRPr="00B462CD">
        <w:rPr>
          <w:rFonts w:ascii="Arial" w:eastAsia="Times New Roman" w:hAnsi="Arial" w:cs="Arial"/>
        </w:rPr>
        <w:t>44</w:t>
      </w:r>
      <w:proofErr w:type="gramStart"/>
      <w:r w:rsidRPr="00B462CD">
        <w:rPr>
          <w:rFonts w:ascii="Arial" w:eastAsia="Times New Roman" w:hAnsi="Arial" w:cs="Arial"/>
        </w:rPr>
        <w:t>%(</w:t>
      </w:r>
      <w:proofErr w:type="gramEnd"/>
      <w:r w:rsidRPr="00B462CD">
        <w:rPr>
          <w:rFonts w:ascii="Arial" w:eastAsia="Times New Roman" w:hAnsi="Arial" w:cs="Arial"/>
        </w:rPr>
        <w:t>ONS, 2021</w:t>
      </w:r>
      <w:proofErr w:type="gramStart"/>
      <w:r w:rsidRPr="00B462CD">
        <w:rPr>
          <w:rFonts w:ascii="Arial" w:eastAsia="Times New Roman" w:hAnsi="Arial" w:cs="Arial"/>
        </w:rPr>
        <w:t>).The</w:t>
      </w:r>
      <w:proofErr w:type="gramEnd"/>
      <w:r w:rsidRPr="00B462CD">
        <w:rPr>
          <w:rFonts w:ascii="Arial" w:eastAsia="Times New Roman" w:hAnsi="Arial" w:cs="Arial"/>
        </w:rPr>
        <w:t xml:space="preserve"> ethnic makeup of these boroughs is equally worthy</w:t>
      </w:r>
      <w:r w:rsidR="00876FBB" w:rsidRPr="00B462CD">
        <w:rPr>
          <w:rFonts w:ascii="Arial" w:eastAsia="Times New Roman" w:hAnsi="Arial" w:cs="Arial"/>
        </w:rPr>
        <w:t xml:space="preserve"> to note. </w:t>
      </w:r>
      <w:r w:rsidRPr="00B462CD">
        <w:rPr>
          <w:rFonts w:ascii="Arial" w:eastAsia="Times New Roman" w:hAnsi="Arial" w:cs="Arial"/>
        </w:rPr>
        <w:t>Tower Hamlets has the largest Bangladeshi-origin community in the nation, with more than half of its residents being of Bangladeshi descent, while Newham has 71% of residents who identify as belonging to a minority ethnic background (Tower Hamlets Council, 2022). East London is a prime location for researching the connections between migration, ethnicity, health</w:t>
      </w:r>
      <w:r w:rsidR="003842DF" w:rsidRPr="00B462CD">
        <w:rPr>
          <w:rFonts w:ascii="Arial" w:eastAsia="Times New Roman" w:hAnsi="Arial" w:cs="Arial"/>
        </w:rPr>
        <w:t xml:space="preserve"> and well-being</w:t>
      </w:r>
      <w:r w:rsidRPr="00B462CD">
        <w:rPr>
          <w:rFonts w:ascii="Arial" w:eastAsia="Times New Roman" w:hAnsi="Arial" w:cs="Arial"/>
        </w:rPr>
        <w:t xml:space="preserve"> because of its super-diversity, which is reflected not just in ethnicity and language but also in migration histories, visa statuses, socioeconomic origins</w:t>
      </w:r>
      <w:r w:rsidR="00351E23" w:rsidRPr="00B462CD">
        <w:rPr>
          <w:rFonts w:ascii="Arial" w:eastAsia="Times New Roman" w:hAnsi="Arial" w:cs="Arial"/>
        </w:rPr>
        <w:t xml:space="preserve"> </w:t>
      </w:r>
      <w:r w:rsidR="00351E23" w:rsidRPr="00B462CD">
        <w:rPr>
          <w:rFonts w:ascii="Arial" w:hAnsi="Arial" w:cs="Arial"/>
        </w:rPr>
        <w:t>and family or community backgrounds</w:t>
      </w:r>
      <w:r w:rsidRPr="00B462CD">
        <w:rPr>
          <w:rFonts w:ascii="Arial" w:eastAsia="Times New Roman" w:hAnsi="Arial" w:cs="Arial"/>
        </w:rPr>
        <w:t xml:space="preserve">. </w:t>
      </w:r>
      <w:r w:rsidRPr="00B462CD">
        <w:rPr>
          <w:rFonts w:ascii="Arial" w:eastAsia="Times New Roman" w:hAnsi="Arial" w:cs="Arial"/>
        </w:rPr>
        <w:br/>
        <w:t>It is impossible to overestimate the demographic complexity of East London. From Irish and Jewish immigrants in the late 19th and early 20th centuries to Caribbean, South Asian, African, and, most recently, Eastern European and Middle Eastern arrivals, the area has a long history of accepting newcomers. A social fabric characterised by both resiliency and conflict has been produced by this stacking of migrant experiences. These days, Newham, Tower Hamlets, Hackney, Barking and Dagenham, and Waltham Forest are home to a remarkable variety of groups, each with unique linguistic repertoires, work and educational backgrounds, migration paths, and immigration statuses.</w:t>
      </w:r>
    </w:p>
    <w:p w14:paraId="158579E9" w14:textId="388CA84F"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There are structural issues with this diversity. Income, employment, housing, health, and education are just a few of the metrics that continually place East London's boroughs among the poorest in England (Public Health England, 2023). For instance, Tower Hamlets has high rates of long-term health issues and in-work poverty, while Newham has an overcrowding rate of 18.7%, more than four times the England average. Migrants are disproportionately affected by these types of deprivation, </w:t>
      </w:r>
      <w:r w:rsidR="001F2049" w:rsidRPr="00B462CD">
        <w:rPr>
          <w:rFonts w:ascii="Arial" w:hAnsi="Arial" w:cs="Arial"/>
        </w:rPr>
        <w:t>especially those with temporary or precarious immigration status, low proficiency in English, restricted access to public services, and limited social support.</w:t>
      </w:r>
      <w:r w:rsidR="001A21E9" w:rsidRPr="00B462CD">
        <w:rPr>
          <w:rFonts w:ascii="Arial" w:hAnsi="Arial" w:cs="Arial"/>
        </w:rPr>
        <w:t xml:space="preserve"> </w:t>
      </w:r>
      <w:r w:rsidRPr="00B462CD">
        <w:rPr>
          <w:rFonts w:ascii="Arial" w:eastAsia="Times New Roman" w:hAnsi="Arial" w:cs="Arial"/>
        </w:rPr>
        <w:t>Examining how immigrant status and related policies affect health outcomes is made possible by the region's varied and dynamic demographics.</w:t>
      </w:r>
    </w:p>
    <w:p w14:paraId="4308D658" w14:textId="77777777" w:rsidR="004E1902" w:rsidRPr="00B462CD" w:rsidRDefault="00B14A1F" w:rsidP="00E6526D">
      <w:pPr>
        <w:spacing w:line="360" w:lineRule="auto"/>
        <w:rPr>
          <w:rFonts w:ascii="Arial" w:eastAsia="Times New Roman" w:hAnsi="Arial" w:cs="Arial"/>
        </w:rPr>
      </w:pPr>
      <w:r w:rsidRPr="00B462CD">
        <w:rPr>
          <w:rFonts w:ascii="Arial" w:hAnsi="Arial" w:cs="Arial"/>
        </w:rPr>
        <w:t xml:space="preserve">The advent of the “hostile environment” policy framework, the tightening of visa restrictions, the effects of Brexit on EU citizens, and the increased use of compliance and enforcement measures have all </w:t>
      </w:r>
      <w:r w:rsidR="00BC3DB1" w:rsidRPr="00B462CD">
        <w:rPr>
          <w:rFonts w:ascii="Arial" w:eastAsia="Times New Roman" w:hAnsi="Arial" w:cs="Arial"/>
        </w:rPr>
        <w:t xml:space="preserve">had a major impact on the UK's immigration system in recent decades. </w:t>
      </w:r>
      <w:r w:rsidR="0009680F" w:rsidRPr="00B462CD">
        <w:rPr>
          <w:rFonts w:ascii="Arial" w:hAnsi="Arial" w:cs="Arial"/>
        </w:rPr>
        <w:t>The rights, entitlements, daily experiences, social interactions, and living conditions of migrants</w:t>
      </w:r>
      <w:r w:rsidR="00BC3DB1" w:rsidRPr="00B462CD">
        <w:rPr>
          <w:rFonts w:ascii="Arial" w:eastAsia="Times New Roman" w:hAnsi="Arial" w:cs="Arial"/>
        </w:rPr>
        <w:t>, such as their access to healthcare, work, social support, and legal protection, are significantly impacted by these laws.</w:t>
      </w:r>
      <w:r w:rsidR="001C1B11" w:rsidRPr="00B462CD">
        <w:rPr>
          <w:rFonts w:ascii="Arial" w:eastAsia="Times New Roman" w:hAnsi="Arial" w:cs="Arial"/>
        </w:rPr>
        <w:t xml:space="preserve"> </w:t>
      </w:r>
      <w:r w:rsidR="00022029" w:rsidRPr="00B462CD">
        <w:rPr>
          <w:rFonts w:ascii="Arial" w:hAnsi="Arial" w:cs="Arial"/>
        </w:rPr>
        <w:t>These structural disparities were further exposed and intensified by the COVID-19 pandemic, as migrants were disproportionately employed in front-line roles, precarious positions, informal work, and temporary or agency-based jobs</w:t>
      </w:r>
      <w:r w:rsidR="000D573F" w:rsidRPr="00B462CD">
        <w:rPr>
          <w:rFonts w:ascii="Arial" w:hAnsi="Arial" w:cs="Arial"/>
        </w:rPr>
        <w:t>, while also experiencing heightened exposure to infection, financial instability, restricted access to support services, and social isolation.</w:t>
      </w:r>
      <w:r w:rsidR="00BC3DB1" w:rsidRPr="00B462CD">
        <w:rPr>
          <w:rFonts w:ascii="Arial" w:eastAsia="Times New Roman" w:hAnsi="Arial" w:cs="Arial"/>
        </w:rPr>
        <w:br/>
        <w:t>This research uses thematic analysis and in-depth interviews to highlight the lived experiences of migrants using a qualitative research design.</w:t>
      </w:r>
    </w:p>
    <w:p w14:paraId="40BAB39D" w14:textId="3A434DB4"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1.2 Key Concepts and Definitions</w:t>
      </w:r>
    </w:p>
    <w:p w14:paraId="10AC45F0" w14:textId="30899C26" w:rsidR="00DE0381" w:rsidRPr="00B462CD" w:rsidRDefault="00BC3DB1" w:rsidP="00E6526D">
      <w:pPr>
        <w:pStyle w:val="NormalWeb"/>
        <w:spacing w:line="360" w:lineRule="auto"/>
        <w:rPr>
          <w:rFonts w:ascii="Arial" w:hAnsi="Arial" w:cs="Arial"/>
          <w:sz w:val="22"/>
          <w:szCs w:val="22"/>
          <w:lang w:val="en-GB"/>
        </w:rPr>
      </w:pPr>
      <w:r w:rsidRPr="00B462CD">
        <w:rPr>
          <w:rFonts w:ascii="Arial" w:hAnsi="Arial" w:cs="Arial"/>
          <w:sz w:val="22"/>
          <w:szCs w:val="22"/>
          <w:lang w:val="en-GB"/>
        </w:rPr>
        <w:t xml:space="preserve">This research makes a distinction between </w:t>
      </w:r>
      <w:proofErr w:type="gramStart"/>
      <w:r w:rsidRPr="00B462CD">
        <w:rPr>
          <w:rFonts w:ascii="Arial" w:hAnsi="Arial" w:cs="Arial"/>
          <w:sz w:val="22"/>
          <w:szCs w:val="22"/>
          <w:lang w:val="en-GB"/>
        </w:rPr>
        <w:t>a number of</w:t>
      </w:r>
      <w:proofErr w:type="gramEnd"/>
      <w:r w:rsidRPr="00B462CD">
        <w:rPr>
          <w:rFonts w:ascii="Arial" w:hAnsi="Arial" w:cs="Arial"/>
          <w:sz w:val="22"/>
          <w:szCs w:val="22"/>
          <w:lang w:val="en-GB"/>
        </w:rPr>
        <w:t xml:space="preserve"> important words </w:t>
      </w:r>
      <w:proofErr w:type="gramStart"/>
      <w:r w:rsidRPr="00B462CD">
        <w:rPr>
          <w:rFonts w:ascii="Arial" w:hAnsi="Arial" w:cs="Arial"/>
          <w:sz w:val="22"/>
          <w:szCs w:val="22"/>
          <w:lang w:val="en-GB"/>
        </w:rPr>
        <w:t>in order to</w:t>
      </w:r>
      <w:proofErr w:type="gramEnd"/>
      <w:r w:rsidRPr="00B462CD">
        <w:rPr>
          <w:rFonts w:ascii="Arial" w:hAnsi="Arial" w:cs="Arial"/>
          <w:sz w:val="22"/>
          <w:szCs w:val="22"/>
          <w:lang w:val="en-GB"/>
        </w:rPr>
        <w:t xml:space="preserve"> establish conceptual clarity: </w:t>
      </w:r>
      <w:r w:rsidR="00DE0381" w:rsidRPr="00B462CD">
        <w:rPr>
          <w:rFonts w:ascii="Arial" w:hAnsi="Arial" w:cs="Arial"/>
          <w:sz w:val="22"/>
          <w:szCs w:val="22"/>
          <w:lang w:val="en-GB"/>
        </w:rPr>
        <w:t>Castles and Miller (2019) describe migration as the movement of people across geographical borders for purposes including employment, long-term settlement, personal safety, or family reasons. Immigration refers to the process of entering another country for either temporary or permanent residence.</w:t>
      </w:r>
      <w:r w:rsidR="004F4F16" w:rsidRPr="00B462CD">
        <w:rPr>
          <w:rFonts w:ascii="Arial" w:hAnsi="Arial" w:cs="Arial"/>
          <w:sz w:val="22"/>
          <w:szCs w:val="22"/>
          <w:lang w:val="en-GB"/>
        </w:rPr>
        <w:t xml:space="preserve"> </w:t>
      </w:r>
      <w:r w:rsidR="00DE0381" w:rsidRPr="00B462CD">
        <w:rPr>
          <w:rFonts w:ascii="Arial" w:hAnsi="Arial" w:cs="Arial"/>
          <w:sz w:val="22"/>
          <w:szCs w:val="22"/>
          <w:lang w:val="en-GB"/>
        </w:rPr>
        <w:t>Immigration status is the legal classification assigned to a migrant by the state. This status determines an individual’s rights and entitlements, such as permission to work, access to welfare support, availability of healthcare services, and the right to remain within the host country. Categories of immigration status include work or study permission, dependent status, humanitarian or refugee protection, asylum seeker designation, permanent residence, and undocumented residence.</w:t>
      </w:r>
      <w:r w:rsidR="004630CE" w:rsidRPr="00B462CD">
        <w:rPr>
          <w:rFonts w:ascii="Arial" w:hAnsi="Arial" w:cs="Arial"/>
          <w:sz w:val="22"/>
          <w:szCs w:val="22"/>
          <w:lang w:val="en-GB"/>
        </w:rPr>
        <w:t xml:space="preserve"> </w:t>
      </w:r>
      <w:proofErr w:type="gramStart"/>
      <w:r w:rsidR="00DE0381" w:rsidRPr="00B462CD">
        <w:rPr>
          <w:rFonts w:ascii="Arial" w:hAnsi="Arial" w:cs="Arial"/>
          <w:sz w:val="22"/>
          <w:szCs w:val="22"/>
          <w:lang w:val="en-GB"/>
        </w:rPr>
        <w:t>For the purpose of</w:t>
      </w:r>
      <w:proofErr w:type="gramEnd"/>
      <w:r w:rsidR="00DE0381" w:rsidRPr="00B462CD">
        <w:rPr>
          <w:rFonts w:ascii="Arial" w:hAnsi="Arial" w:cs="Arial"/>
          <w:sz w:val="22"/>
          <w:szCs w:val="22"/>
          <w:lang w:val="en-GB"/>
        </w:rPr>
        <w:t xml:space="preserve"> conceptual clarity, this dissertation uses the terms </w:t>
      </w:r>
      <w:r w:rsidR="00DE0381" w:rsidRPr="00B462CD">
        <w:rPr>
          <w:rStyle w:val="Emphasis"/>
          <w:rFonts w:ascii="Arial" w:hAnsi="Arial" w:cs="Arial"/>
          <w:sz w:val="22"/>
          <w:szCs w:val="22"/>
          <w:lang w:val="en-GB"/>
        </w:rPr>
        <w:t>migrant</w:t>
      </w:r>
      <w:r w:rsidR="00DE0381" w:rsidRPr="00B462CD">
        <w:rPr>
          <w:rFonts w:ascii="Arial" w:hAnsi="Arial" w:cs="Arial"/>
          <w:sz w:val="22"/>
          <w:szCs w:val="22"/>
          <w:lang w:val="en-GB"/>
        </w:rPr>
        <w:t xml:space="preserve"> and </w:t>
      </w:r>
      <w:r w:rsidR="00DE0381" w:rsidRPr="00B462CD">
        <w:rPr>
          <w:rStyle w:val="Emphasis"/>
          <w:rFonts w:ascii="Arial" w:hAnsi="Arial" w:cs="Arial"/>
          <w:sz w:val="22"/>
          <w:szCs w:val="22"/>
          <w:lang w:val="en-GB"/>
        </w:rPr>
        <w:t>immigrant</w:t>
      </w:r>
      <w:r w:rsidR="00DE0381" w:rsidRPr="00B462CD">
        <w:rPr>
          <w:rFonts w:ascii="Arial" w:hAnsi="Arial" w:cs="Arial"/>
          <w:sz w:val="22"/>
          <w:szCs w:val="22"/>
          <w:lang w:val="en-GB"/>
        </w:rPr>
        <w:t xml:space="preserve"> interchangeably to refer to individuals living outside their country of origin.</w:t>
      </w:r>
    </w:p>
    <w:p w14:paraId="107D2F6B" w14:textId="5297DD06" w:rsidR="00BC3DB1" w:rsidRPr="00B462CD" w:rsidRDefault="00BC3DB1" w:rsidP="00E6526D">
      <w:pPr>
        <w:spacing w:line="360" w:lineRule="auto"/>
        <w:rPr>
          <w:rFonts w:ascii="Arial" w:eastAsia="Times New Roman" w:hAnsi="Arial" w:cs="Arial"/>
          <w:b/>
          <w:bCs/>
        </w:rPr>
      </w:pPr>
      <w:bookmarkStart w:id="10" w:name="_Toc220428643"/>
      <w:r w:rsidRPr="00B462CD">
        <w:rPr>
          <w:rFonts w:ascii="Arial" w:eastAsia="Times New Roman" w:hAnsi="Arial" w:cs="Arial"/>
          <w:b/>
          <w:bCs/>
        </w:rPr>
        <w:t>1.3 Theoretical Framework: Social Determinants of Health and Beyond</w:t>
      </w:r>
      <w:bookmarkEnd w:id="10"/>
    </w:p>
    <w:p w14:paraId="7C342F5E" w14:textId="48CD758A"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The Social Determinants of Health (SDH) framework, which holds that health outcomes are influenced by the larger structural, economic, and social contexts in which individuals live, work, and age, serves as the foundation for the conceptualisation of health in this dissertation (Marmot et al., 2020). Every SDH domain is impacted by immigration status:(WHO, 2021) </w:t>
      </w:r>
      <w:r w:rsidRPr="00B462CD">
        <w:rPr>
          <w:rFonts w:ascii="Arial" w:eastAsia="Times New Roman" w:hAnsi="Arial" w:cs="Arial"/>
        </w:rPr>
        <w:br/>
        <w:t>Housing:</w:t>
      </w:r>
      <w:r w:rsidR="00F04AC2" w:rsidRPr="00B462CD">
        <w:rPr>
          <w:rFonts w:ascii="Arial" w:eastAsia="Times New Roman" w:hAnsi="Arial" w:cs="Arial"/>
        </w:rPr>
        <w:t xml:space="preserve"> </w:t>
      </w:r>
      <w:r w:rsidR="00F04AC2" w:rsidRPr="00B462CD">
        <w:rPr>
          <w:rFonts w:ascii="Arial" w:hAnsi="Arial" w:cs="Arial"/>
        </w:rPr>
        <w:t>Due to financial and legal barriers, temporary visa holders and undocumented migrants are often compelled to live in overcrowded, substandard, informal, or short-term housing. For example, housing insecurity, high population density, inadequate facilities, and overcrowding are particularly serious issues in Newham.</w:t>
      </w:r>
      <w:r w:rsidRPr="00B462CD">
        <w:rPr>
          <w:rFonts w:ascii="Arial" w:eastAsia="Times New Roman" w:hAnsi="Arial" w:cs="Arial"/>
        </w:rPr>
        <w:t xml:space="preserve"> (ONS, 2021).</w:t>
      </w:r>
      <w:r w:rsidRPr="00B462CD">
        <w:rPr>
          <w:rFonts w:ascii="Arial" w:eastAsia="Times New Roman" w:hAnsi="Arial" w:cs="Arial"/>
        </w:rPr>
        <w:br/>
        <w:t>Employment: Migrants with restricted status are typically forced into physically taxing</w:t>
      </w:r>
      <w:r w:rsidR="00527494" w:rsidRPr="00B462CD">
        <w:rPr>
          <w:rFonts w:ascii="Arial" w:eastAsia="Times New Roman" w:hAnsi="Arial" w:cs="Arial"/>
        </w:rPr>
        <w:t>,</w:t>
      </w:r>
      <w:r w:rsidRPr="00B462CD">
        <w:rPr>
          <w:rFonts w:ascii="Arial" w:eastAsia="Times New Roman" w:hAnsi="Arial" w:cs="Arial"/>
        </w:rPr>
        <w:t xml:space="preserve"> low-paying, </w:t>
      </w:r>
      <w:r w:rsidR="001C3E7C" w:rsidRPr="00B462CD">
        <w:rPr>
          <w:rFonts w:ascii="Arial" w:eastAsia="Times New Roman" w:hAnsi="Arial" w:cs="Arial"/>
        </w:rPr>
        <w:t xml:space="preserve">zero to </w:t>
      </w:r>
      <w:r w:rsidR="005E05BA" w:rsidRPr="00B462CD">
        <w:rPr>
          <w:rFonts w:ascii="Arial" w:eastAsia="Times New Roman" w:hAnsi="Arial" w:cs="Arial"/>
        </w:rPr>
        <w:t xml:space="preserve">low job security, </w:t>
      </w:r>
      <w:r w:rsidRPr="00B462CD">
        <w:rPr>
          <w:rFonts w:ascii="Arial" w:eastAsia="Times New Roman" w:hAnsi="Arial" w:cs="Arial"/>
        </w:rPr>
        <w:t>and unstable employment without the same rights as citizens (Jayaweera, 2019).</w:t>
      </w:r>
    </w:p>
    <w:p w14:paraId="4AF8F697" w14:textId="77777777" w:rsidR="004630CE" w:rsidRPr="00B462CD" w:rsidRDefault="00BC3DB1" w:rsidP="00E6526D">
      <w:pPr>
        <w:spacing w:line="360" w:lineRule="auto"/>
        <w:rPr>
          <w:rFonts w:ascii="Arial" w:hAnsi="Arial" w:cs="Arial"/>
        </w:rPr>
      </w:pPr>
      <w:r w:rsidRPr="00B462CD">
        <w:rPr>
          <w:rFonts w:ascii="Arial" w:eastAsia="Times New Roman" w:hAnsi="Arial" w:cs="Arial"/>
        </w:rPr>
        <w:t xml:space="preserve">Income: The stability of households and mental health are negatively impacted by the ongoing financial burden caused by </w:t>
      </w:r>
      <w:r w:rsidR="00274F9D" w:rsidRPr="00B462CD">
        <w:rPr>
          <w:rFonts w:ascii="Arial" w:hAnsi="Arial" w:cs="Arial"/>
        </w:rPr>
        <w:t>visa renewal fees, legal expenses, limitations on access to public funds, and additional financial burdens (Hiam et al., 2018).</w:t>
      </w:r>
    </w:p>
    <w:p w14:paraId="744E1686" w14:textId="77777777" w:rsidR="004630CE" w:rsidRPr="00B462CD" w:rsidRDefault="00BC3DB1" w:rsidP="00E6526D">
      <w:pPr>
        <w:spacing w:line="360" w:lineRule="auto"/>
        <w:rPr>
          <w:rFonts w:ascii="Arial" w:hAnsi="Arial" w:cs="Arial"/>
        </w:rPr>
      </w:pPr>
      <w:r w:rsidRPr="00B462CD">
        <w:rPr>
          <w:rFonts w:ascii="Arial" w:hAnsi="Arial" w:cs="Arial"/>
        </w:rPr>
        <w:t xml:space="preserve">Healthcare Access: </w:t>
      </w:r>
      <w:r w:rsidR="00EB4FBA" w:rsidRPr="00B462CD">
        <w:rPr>
          <w:rFonts w:ascii="Arial" w:hAnsi="Arial" w:cs="Arial"/>
        </w:rPr>
        <w:t>Previous negative experiences with institutions, restrictions on eligibility, concerns about data sharing with immigration enforcement, and distrust of authorities all contribute to delayed or avoided healthcare (Doctors of the World, 2017; Morris, 2021).</w:t>
      </w:r>
    </w:p>
    <w:p w14:paraId="4C4A09F0" w14:textId="0D46E865" w:rsidR="00EB4FBA" w:rsidRPr="00B462CD" w:rsidRDefault="00EB4FBA" w:rsidP="00E6526D">
      <w:pPr>
        <w:spacing w:line="360" w:lineRule="auto"/>
        <w:rPr>
          <w:rFonts w:ascii="Arial" w:eastAsia="Times New Roman" w:hAnsi="Arial" w:cs="Arial"/>
        </w:rPr>
      </w:pPr>
      <w:r w:rsidRPr="00B462CD">
        <w:rPr>
          <w:rStyle w:val="Strong"/>
          <w:rFonts w:ascii="Arial" w:hAnsi="Arial" w:cs="Arial"/>
          <w:b w:val="0"/>
          <w:bCs w:val="0"/>
        </w:rPr>
        <w:t>Psychological stress</w:t>
      </w:r>
      <w:r w:rsidRPr="00B462CD">
        <w:rPr>
          <w:rStyle w:val="Strong"/>
          <w:rFonts w:ascii="Arial" w:hAnsi="Arial" w:cs="Arial"/>
        </w:rPr>
        <w:t>:</w:t>
      </w:r>
      <w:r w:rsidRPr="00B462CD">
        <w:rPr>
          <w:rFonts w:ascii="Arial" w:hAnsi="Arial" w:cs="Arial"/>
        </w:rPr>
        <w:t xml:space="preserve"> Chronic stress is a significant factor in poor health outcomes and is triggered by persistent fear of deportation, prolonged uncertainty, daily discrimination, social marginalisation, and insecurity in living or working conditions (Hansen, 2019; McEwen, 2004).</w:t>
      </w:r>
    </w:p>
    <w:p w14:paraId="270237E7" w14:textId="77777777" w:rsidR="00F96512"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Interpretivist and social constructionist viewpoints complement the SDH framework. Interpretivism is perfect for studying how migrants understand and describe the effects of legal precarity on their health since it emphasises the subjective meanings people give to their experiences (Bryman, 2016). </w:t>
      </w:r>
    </w:p>
    <w:p w14:paraId="585D6054" w14:textId="2E5FA9CF"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Social constructionism emphasises how institutional and governmental actions create and perpetuate categories like "migrant" or "BAME," influencing identity and resource access (Burr, 2015). Additionally, the study's investigation of how overlapping forms of disadvantage </w:t>
      </w:r>
      <w:proofErr w:type="gramStart"/>
      <w:r w:rsidRPr="00B462CD">
        <w:rPr>
          <w:rFonts w:ascii="Arial" w:eastAsia="Times New Roman" w:hAnsi="Arial" w:cs="Arial"/>
        </w:rPr>
        <w:t>are</w:t>
      </w:r>
      <w:proofErr w:type="gramEnd"/>
      <w:r w:rsidRPr="00B462CD">
        <w:rPr>
          <w:rFonts w:ascii="Arial" w:eastAsia="Times New Roman" w:hAnsi="Arial" w:cs="Arial"/>
        </w:rPr>
        <w:t xml:space="preserve"> embodied and performed in daily life is informed by concepts of intersectionality (Crenshaw, 1989) and structural violence (Farmer, 2004).</w:t>
      </w:r>
    </w:p>
    <w:p w14:paraId="11456470" w14:textId="77777777" w:rsidR="00BC3DB1" w:rsidRPr="00B462CD" w:rsidRDefault="00BC3DB1" w:rsidP="00E6526D">
      <w:pPr>
        <w:spacing w:before="240" w:after="120" w:line="360" w:lineRule="auto"/>
        <w:outlineLvl w:val="2"/>
        <w:rPr>
          <w:rFonts w:ascii="Arial" w:eastAsia="Times New Roman" w:hAnsi="Arial" w:cs="Arial"/>
          <w:b/>
          <w:bCs/>
        </w:rPr>
      </w:pPr>
      <w:bookmarkStart w:id="11" w:name="_Toc220428644"/>
      <w:r w:rsidRPr="00B462CD">
        <w:rPr>
          <w:rFonts w:ascii="Arial" w:eastAsia="Times New Roman" w:hAnsi="Arial" w:cs="Arial"/>
          <w:b/>
          <w:bCs/>
        </w:rPr>
        <w:t>1.4 Literature Review and Research Gap</w:t>
      </w:r>
      <w:bookmarkEnd w:id="11"/>
    </w:p>
    <w:p w14:paraId="2E2AE213"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Health Inequalities and Barriers to Care</w:t>
      </w:r>
    </w:p>
    <w:p w14:paraId="4633DBB8" w14:textId="44FB9D51"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Health is significantly impacted by these social variables. Tower Hamlets has one of the lowest life expectancies in London, and there might be a 15-year difference in healthy life expectancy between the most and least deprived residents of the city (PHE, 2021; GLA, 2022). Certain minority groups are more likely to suffer from chronic illnesses. Black African and Caribbean communities have higher rates of hypertension and stroke, while South Asian populations in London have up to six times higher rates of Type 2 diabetes than white British groups (Diabetes UK, 2023; PHE, 2017). Asylum seekers and refugees are thought to be five times more likely than the overall population to experience poor mental health, demonstrating the severe inequities in mental health (Hiam et al., 2018).</w:t>
      </w:r>
      <w:r w:rsidR="004F4F16" w:rsidRPr="00B462CD">
        <w:rPr>
          <w:rFonts w:ascii="Arial" w:eastAsia="Times New Roman" w:hAnsi="Arial" w:cs="Arial"/>
        </w:rPr>
        <w:t xml:space="preserve"> </w:t>
      </w:r>
      <w:r w:rsidRPr="00B462CD">
        <w:rPr>
          <w:rFonts w:ascii="Arial" w:eastAsia="Times New Roman" w:hAnsi="Arial" w:cs="Arial"/>
        </w:rPr>
        <w:t>These disparities are further exacerbated by barriers to healthcare access, 61% of migrants in London who were surveyed said they avoided care because they were afraid of immigration checks or treatment costs, and people who are subject to the "No Recourse to Public Funds" condition frequently encounter major challenges when trying to register with a general practitioner or obtain secondary care (Doctors of the World, 2017; NHS England, 2022). Black African and Bangladeshi populations in London had mortality rates twice as high as those of white British groups due to the COVID-19 pandemic, which exacerbated these issues (ONS, 2020). Health disparities among immigrants and ethnic minorities in the UK have been extensively studied (</w:t>
      </w:r>
      <w:proofErr w:type="spellStart"/>
      <w:r w:rsidRPr="00B462CD">
        <w:rPr>
          <w:rFonts w:ascii="Arial" w:eastAsia="Times New Roman" w:hAnsi="Arial" w:cs="Arial"/>
        </w:rPr>
        <w:t>Nazroo</w:t>
      </w:r>
      <w:proofErr w:type="spellEnd"/>
      <w:r w:rsidRPr="00B462CD">
        <w:rPr>
          <w:rFonts w:ascii="Arial" w:eastAsia="Times New Roman" w:hAnsi="Arial" w:cs="Arial"/>
        </w:rPr>
        <w:t>, 2021; Salway et al., 2016).</w:t>
      </w:r>
    </w:p>
    <w:p w14:paraId="4E80FCE2" w14:textId="36C63E78"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Compared to the general population, long-term illnesses, mental health issues, and unmet healthcare needs disproportionately affect migrants from BAME backgrounds (Public Health England, 2023). For instance, type 2 diabetes is more common in South Asian cultures, whereas stroke and hypertension are more common among Black African and Caribbean groups. </w:t>
      </w:r>
      <w:r w:rsidR="00C24B14" w:rsidRPr="00B462CD">
        <w:rPr>
          <w:rFonts w:ascii="Arial" w:hAnsi="Arial" w:cs="Arial"/>
        </w:rPr>
        <w:t>Socioeconomic hardship, unstable housing, limited access to culturally appropriate services, social marginalisation, and barriers to community support all exacerbate these disparities</w:t>
      </w:r>
      <w:r w:rsidRPr="00B462CD">
        <w:rPr>
          <w:rFonts w:ascii="Arial" w:eastAsia="Times New Roman" w:hAnsi="Arial" w:cs="Arial"/>
        </w:rPr>
        <w:t xml:space="preserve">. Even though these problems are well acknowledged, the literature still has </w:t>
      </w:r>
      <w:proofErr w:type="gramStart"/>
      <w:r w:rsidRPr="00B462CD">
        <w:rPr>
          <w:rFonts w:ascii="Arial" w:eastAsia="Times New Roman" w:hAnsi="Arial" w:cs="Arial"/>
        </w:rPr>
        <w:t>a number of</w:t>
      </w:r>
      <w:proofErr w:type="gramEnd"/>
      <w:r w:rsidRPr="00B462CD">
        <w:rPr>
          <w:rFonts w:ascii="Arial" w:eastAsia="Times New Roman" w:hAnsi="Arial" w:cs="Arial"/>
        </w:rPr>
        <w:t xml:space="preserve"> shortcomings:</w:t>
      </w:r>
    </w:p>
    <w:p w14:paraId="2CD14171" w14:textId="127B369D" w:rsidR="00706433"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1. Confusion of Ethnicity and Migration: A lot of research ignores the diversity of migration status within ethnic groups, treating BAME groupings as uniform. This hides the unique vulnerabilities that non-UK-born people face, such as legal limitations, exclusion from public finances, the psychological weight of uncertainty </w:t>
      </w:r>
      <w:r w:rsidR="002B6542" w:rsidRPr="00B462CD">
        <w:rPr>
          <w:rFonts w:ascii="Arial" w:hAnsi="Arial" w:cs="Arial"/>
        </w:rPr>
        <w:t>and social marginalisation (Virdee, 2020).</w:t>
      </w:r>
      <w:r w:rsidRPr="00B462CD">
        <w:rPr>
          <w:rFonts w:ascii="Arial" w:eastAsia="Times New Roman" w:hAnsi="Arial" w:cs="Arial"/>
        </w:rPr>
        <w:br/>
        <w:t>2. Overemphasis on Individual Behaviour:</w:t>
      </w:r>
      <w:r w:rsidR="00706433" w:rsidRPr="00B462CD">
        <w:rPr>
          <w:rFonts w:ascii="Arial" w:eastAsia="Times New Roman" w:hAnsi="Arial" w:cs="Arial"/>
        </w:rPr>
        <w:t xml:space="preserve"> </w:t>
      </w:r>
      <w:r w:rsidR="00C56671" w:rsidRPr="00B462CD">
        <w:rPr>
          <w:rFonts w:ascii="Arial" w:hAnsi="Arial" w:cs="Arial"/>
        </w:rPr>
        <w:t xml:space="preserve">Public health narratives sometimes divert attention from structural factors such as immigration restrictions, economic marginalisation, housing precarity, unequal access to services, and social exclusion by attributing </w:t>
      </w:r>
      <w:r w:rsidR="00E21555" w:rsidRPr="00B462CD">
        <w:rPr>
          <w:rFonts w:ascii="Arial" w:hAnsi="Arial" w:cs="Arial"/>
        </w:rPr>
        <w:t>differences to cultural customs or individual decisions.</w:t>
      </w:r>
      <w:r w:rsidRPr="00B462CD">
        <w:rPr>
          <w:rFonts w:ascii="Arial" w:eastAsia="Times New Roman" w:hAnsi="Arial" w:cs="Arial"/>
        </w:rPr>
        <w:t xml:space="preserve"> </w:t>
      </w:r>
    </w:p>
    <w:p w14:paraId="570BDB46" w14:textId="74BE0A8E" w:rsidR="002D036A"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3. </w:t>
      </w:r>
      <w:r w:rsidR="002D036A" w:rsidRPr="00B462CD">
        <w:rPr>
          <w:rStyle w:val="Strong"/>
          <w:rFonts w:ascii="Arial" w:hAnsi="Arial" w:cs="Arial"/>
        </w:rPr>
        <w:t>Limited Mechanistic Explanation:</w:t>
      </w:r>
      <w:r w:rsidR="002D036A" w:rsidRPr="00B462CD">
        <w:rPr>
          <w:rFonts w:ascii="Arial" w:hAnsi="Arial" w:cs="Arial"/>
        </w:rPr>
        <w:t xml:space="preserve"> Although there is ample evidence linking migration to poor health, fewer studies examine the mechanisms by which policy environments, chronic stress, legal insecurity, and structural constraints are embodied and translated into physical and mental health conditions (Hansen, 2019).</w:t>
      </w:r>
    </w:p>
    <w:p w14:paraId="49EFA898" w14:textId="4BB6FDD8"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 xml:space="preserve">4. Underrepresentation of Lived Experience: </w:t>
      </w:r>
      <w:r w:rsidR="00B673C2" w:rsidRPr="00B462CD">
        <w:rPr>
          <w:rFonts w:ascii="Arial" w:eastAsia="Times New Roman" w:hAnsi="Arial" w:cs="Arial"/>
        </w:rPr>
        <w:t>The area</w:t>
      </w:r>
      <w:r w:rsidR="00BF644A" w:rsidRPr="00B462CD">
        <w:rPr>
          <w:rFonts w:ascii="Arial" w:eastAsia="Times New Roman" w:hAnsi="Arial" w:cs="Arial"/>
        </w:rPr>
        <w:t>, East London</w:t>
      </w:r>
      <w:r w:rsidR="00063BF8" w:rsidRPr="00B462CD">
        <w:rPr>
          <w:rFonts w:ascii="Arial" w:eastAsia="Times New Roman" w:hAnsi="Arial" w:cs="Arial"/>
        </w:rPr>
        <w:t>,</w:t>
      </w:r>
      <w:r w:rsidR="00BF644A" w:rsidRPr="00B462CD">
        <w:rPr>
          <w:rFonts w:ascii="Arial" w:eastAsia="Times New Roman" w:hAnsi="Arial" w:cs="Arial"/>
        </w:rPr>
        <w:t xml:space="preserve"> </w:t>
      </w:r>
      <w:r w:rsidR="00B673C2" w:rsidRPr="00B462CD">
        <w:rPr>
          <w:rFonts w:ascii="Arial" w:hAnsi="Arial" w:cs="Arial"/>
        </w:rPr>
        <w:t>is dominated by large-scale surveys, which offer valuable quantitative data but provide limited insight into the complex experiences, personal narratives, coping strategies, emotional burdens, and social challenges that migrants face.</w:t>
      </w:r>
      <w:r w:rsidR="00063BF8" w:rsidRPr="00B462CD">
        <w:rPr>
          <w:rFonts w:ascii="Arial" w:hAnsi="Arial" w:cs="Arial"/>
        </w:rPr>
        <w:t xml:space="preserve"> </w:t>
      </w:r>
      <w:r w:rsidRPr="00B462CD">
        <w:rPr>
          <w:rFonts w:ascii="Arial" w:eastAsia="Times New Roman" w:hAnsi="Arial" w:cs="Arial"/>
        </w:rPr>
        <w:t xml:space="preserve">Qualitative research that highlights the perspectives of adult migrants from BAME backgrounds, </w:t>
      </w:r>
      <w:r w:rsidR="009345B1" w:rsidRPr="00B462CD">
        <w:rPr>
          <w:rFonts w:ascii="Arial" w:hAnsi="Arial" w:cs="Arial"/>
        </w:rPr>
        <w:t>investigates how immigration status affects health via everyday lifestyle, embodied experiences, material conditions, and emphasises the role of institutional determinants in creating and sustaining health disparities is desperately needed.</w:t>
      </w:r>
    </w:p>
    <w:p w14:paraId="0A23AEAE" w14:textId="77777777" w:rsidR="00BC3DB1" w:rsidRPr="00B462CD" w:rsidRDefault="00BC3DB1" w:rsidP="00E6526D">
      <w:pPr>
        <w:spacing w:before="240" w:after="120" w:line="360" w:lineRule="auto"/>
        <w:outlineLvl w:val="2"/>
        <w:rPr>
          <w:rFonts w:ascii="Arial" w:eastAsia="Times New Roman" w:hAnsi="Arial" w:cs="Arial"/>
          <w:b/>
          <w:bCs/>
        </w:rPr>
      </w:pPr>
      <w:bookmarkStart w:id="12" w:name="_Toc220428645"/>
      <w:r w:rsidRPr="00B462CD">
        <w:rPr>
          <w:rFonts w:ascii="Arial" w:eastAsia="Times New Roman" w:hAnsi="Arial" w:cs="Arial"/>
          <w:b/>
          <w:bCs/>
        </w:rPr>
        <w:t>1.5 Rationale for the Study</w:t>
      </w:r>
      <w:bookmarkEnd w:id="12"/>
    </w:p>
    <w:p w14:paraId="15F10C6D" w14:textId="77777777" w:rsidR="00BC3DB1" w:rsidRPr="00B462CD" w:rsidRDefault="00BC3DB1" w:rsidP="00E6526D">
      <w:pPr>
        <w:spacing w:before="120" w:after="120" w:line="360" w:lineRule="auto"/>
        <w:outlineLvl w:val="2"/>
        <w:rPr>
          <w:rFonts w:ascii="Arial" w:eastAsia="Times New Roman" w:hAnsi="Arial" w:cs="Arial"/>
          <w:b/>
          <w:bCs/>
        </w:rPr>
      </w:pPr>
      <w:bookmarkStart w:id="13" w:name="_Toc220428646"/>
      <w:r w:rsidRPr="00B462CD">
        <w:rPr>
          <w:rFonts w:ascii="Arial" w:eastAsia="Times New Roman" w:hAnsi="Arial" w:cs="Arial"/>
          <w:b/>
          <w:bCs/>
        </w:rPr>
        <w:t>Deprivation and Structural Challenges</w:t>
      </w:r>
      <w:bookmarkEnd w:id="13"/>
    </w:p>
    <w:p w14:paraId="67ABC019" w14:textId="3AA5B40E"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Migrants and BAME groups are disproportionately affected by these structural disadvantages, especially those with unstable immigration status or restricted access to public finances, which increases their susceptibility to negative social and health effects. Understanding how immigration status interacts with other social variables to shape health and well-being in this environment is crucial, given the high incidence of deprivation and the distinctive demographic makeup of East London. The lived experiences of adult migrants from BAME backgrounds have frequently been ignored in previous research, especially when it comes to the cumulative effects of structural and policy-driven issues. By thoroughly examining these experiences, this research aims to close this gap and provide guidance for more equitable public health and social policy solutions.</w:t>
      </w:r>
      <w:r w:rsidR="004F4F16" w:rsidRPr="00B462CD">
        <w:rPr>
          <w:rFonts w:ascii="Arial" w:eastAsia="Times New Roman" w:hAnsi="Arial" w:cs="Arial"/>
        </w:rPr>
        <w:t xml:space="preserve"> </w:t>
      </w:r>
      <w:r w:rsidRPr="00B462CD">
        <w:rPr>
          <w:rFonts w:ascii="Arial" w:eastAsia="Times New Roman" w:hAnsi="Arial" w:cs="Arial"/>
        </w:rPr>
        <w:t>East London is characterised by enduring and pervasive destitution despite its vitality. Newham has some of the highest rates of child poverty and in-work poverty in London, while Tower Hamlets is the second most impoverished borough in England (MHCLG, 2019; Trust for London, 2023). Overcrowding and housing insecurity are severe: 18.7% of Newham households are classified as overcrowded, more than four times the national average, while the borough also has the highest number of homeless households in temporary accommodation in England (ONS, 2021; Shelter, 2023). Migrants and BAME groups are disproportionately affected by these structural disadvantages, especially those with unstable immigration status or restricted access to public finances, which increases their susceptibility to negative social and health effects.</w:t>
      </w:r>
    </w:p>
    <w:p w14:paraId="62F2EF3C" w14:textId="6B0B4381" w:rsidR="00765C8F" w:rsidRPr="00B462CD" w:rsidRDefault="00BC3DB1" w:rsidP="00E6526D">
      <w:pPr>
        <w:spacing w:line="360" w:lineRule="auto"/>
        <w:rPr>
          <w:rFonts w:ascii="Arial" w:eastAsia="Times New Roman" w:hAnsi="Arial" w:cs="Arial"/>
        </w:rPr>
      </w:pPr>
      <w:r w:rsidRPr="00B462CD">
        <w:rPr>
          <w:rFonts w:ascii="Arial" w:eastAsia="Times New Roman" w:hAnsi="Arial" w:cs="Arial"/>
        </w:rPr>
        <w:t>East London is the subject of both practical and analytical attention.</w:t>
      </w:r>
      <w:r w:rsidR="00234318" w:rsidRPr="00B462CD">
        <w:rPr>
          <w:rFonts w:ascii="Arial" w:eastAsia="Times New Roman" w:hAnsi="Arial" w:cs="Arial"/>
        </w:rPr>
        <w:t xml:space="preserve"> </w:t>
      </w:r>
      <w:r w:rsidR="00234318" w:rsidRPr="00B462CD">
        <w:rPr>
          <w:rFonts w:ascii="Arial" w:hAnsi="Arial" w:cs="Arial"/>
        </w:rPr>
        <w:t>Exploring diverse migration experiences is made easier by the region's remarkable diversity, obvious deprivation, well-developed statutory and voluntary-sector infrastructure, cultural richness, and local climate.</w:t>
      </w:r>
      <w:r w:rsidRPr="00B462CD">
        <w:rPr>
          <w:rFonts w:ascii="Arial" w:eastAsia="Times New Roman" w:hAnsi="Arial" w:cs="Arial"/>
        </w:rPr>
        <w:t xml:space="preserve"> </w:t>
      </w:r>
      <w:r w:rsidR="008874F5" w:rsidRPr="00B462CD">
        <w:rPr>
          <w:rFonts w:ascii="Arial" w:hAnsi="Arial" w:cs="Arial"/>
        </w:rPr>
        <w:t xml:space="preserve">It is home to immigrants with a variety of immigration statuses, socioeconomic origins, health concerns, and family or community backgrounds, as well as migrants at different stages of settlement. </w:t>
      </w:r>
      <w:r w:rsidRPr="00B462CD">
        <w:rPr>
          <w:rFonts w:ascii="Arial" w:eastAsia="Times New Roman" w:hAnsi="Arial" w:cs="Arial"/>
        </w:rPr>
        <w:t>Access to participants and in-depth interaction with "hard-to-reach" people are also made easier by the region's vast network of community organisations and support services. Furthermore, structural deprivation increases vulnerability;</w:t>
      </w:r>
      <w:r w:rsidR="00765C8F" w:rsidRPr="00B462CD">
        <w:rPr>
          <w:rFonts w:ascii="Arial" w:eastAsia="Times New Roman" w:hAnsi="Arial" w:cs="Arial"/>
        </w:rPr>
        <w:t xml:space="preserve"> </w:t>
      </w:r>
      <w:r w:rsidR="00765C8F" w:rsidRPr="00B462CD">
        <w:rPr>
          <w:rFonts w:ascii="Arial" w:hAnsi="Arial" w:cs="Arial"/>
        </w:rPr>
        <w:t>in East London, the effects of immigration status are often more pronounced and visible than in other areas due to overcrowding, precarious employment, limited access to steady work, and constrained social resources. Situating the research in this context allows for an examination not only of the range of health disparities that exist, but also of the mechanisms through which they emerge, persist, are experienced, and intersect with policy and geographic location.</w:t>
      </w:r>
      <w:r w:rsidRPr="00B462CD">
        <w:rPr>
          <w:rFonts w:ascii="Arial" w:eastAsia="Times New Roman" w:hAnsi="Arial" w:cs="Arial"/>
        </w:rPr>
        <w:t xml:space="preserve"> </w:t>
      </w:r>
      <w:bookmarkStart w:id="14" w:name="_Toc220428647"/>
    </w:p>
    <w:p w14:paraId="1C2055DF" w14:textId="0462F238" w:rsidR="00BC3DB1" w:rsidRPr="00B462CD" w:rsidRDefault="00BC3DB1" w:rsidP="00E6526D">
      <w:pPr>
        <w:spacing w:line="360" w:lineRule="auto"/>
        <w:rPr>
          <w:rFonts w:ascii="Arial" w:eastAsia="Times New Roman" w:hAnsi="Arial" w:cs="Arial"/>
          <w:b/>
          <w:bCs/>
        </w:rPr>
      </w:pPr>
      <w:r w:rsidRPr="00B462CD">
        <w:rPr>
          <w:rFonts w:ascii="Arial" w:eastAsia="Times New Roman" w:hAnsi="Arial" w:cs="Arial"/>
          <w:b/>
          <w:bCs/>
        </w:rPr>
        <w:t>1.6 Research Question, Aim, and Objectives</w:t>
      </w:r>
      <w:bookmarkEnd w:id="14"/>
    </w:p>
    <w:p w14:paraId="1F8B11C6"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Research Question:</w:t>
      </w:r>
      <w:r w:rsidRPr="00B462CD">
        <w:rPr>
          <w:rFonts w:ascii="Arial" w:eastAsia="Times New Roman" w:hAnsi="Arial" w:cs="Arial"/>
        </w:rPr>
        <w:br/>
        <w:t>How does immigration status affect the health and well-being of adult migrants from BAME backgrounds living in East London?</w:t>
      </w:r>
    </w:p>
    <w:p w14:paraId="35359087"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Aim:</w:t>
      </w:r>
      <w:r w:rsidRPr="00B462CD">
        <w:rPr>
          <w:rFonts w:ascii="Arial" w:eastAsia="Times New Roman" w:hAnsi="Arial" w:cs="Arial"/>
        </w:rPr>
        <w:br/>
        <w:t>To explore and interpret the lived experiences of BAME adult migrants in East London, focusing on how immigration status shapes health, well-being, and adaptive health capacity.</w:t>
      </w:r>
    </w:p>
    <w:p w14:paraId="62F65C57"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Objectives:</w:t>
      </w:r>
    </w:p>
    <w:p w14:paraId="20415285"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1. To examine how BAME adult migrants experience healthcare services, including issues of trust, entitlement, and discrimination.</w:t>
      </w:r>
    </w:p>
    <w:p w14:paraId="050774CA"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2. To identify psychosocial and structural determinants such as legal insecurity, housing instability, and discrimination that shape health and help-seeking behaviour.</w:t>
      </w:r>
    </w:p>
    <w:p w14:paraId="0A180CE7"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3. To produce theoretically grounded thematic interpretations explaining how immigration-related stressors erode adaptive health capacity.</w:t>
      </w:r>
    </w:p>
    <w:p w14:paraId="57B3B124"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4. To develop evidence-informed recommendations for NHS providers, public health teams, and local authorities to improve health equity for migrant communities.</w:t>
      </w:r>
    </w:p>
    <w:p w14:paraId="239F86E6" w14:textId="77777777" w:rsidR="00BC3DB1" w:rsidRPr="00B462CD" w:rsidRDefault="00BC3DB1" w:rsidP="00E6526D">
      <w:pPr>
        <w:spacing w:before="240" w:after="120" w:line="360" w:lineRule="auto"/>
        <w:outlineLvl w:val="2"/>
        <w:rPr>
          <w:rFonts w:ascii="Arial" w:eastAsia="Times New Roman" w:hAnsi="Arial" w:cs="Arial"/>
          <w:b/>
          <w:bCs/>
        </w:rPr>
      </w:pPr>
      <w:bookmarkStart w:id="15" w:name="_Toc220428648"/>
      <w:r w:rsidRPr="00B462CD">
        <w:rPr>
          <w:rFonts w:ascii="Arial" w:eastAsia="Times New Roman" w:hAnsi="Arial" w:cs="Arial"/>
          <w:b/>
          <w:bCs/>
        </w:rPr>
        <w:t>1.7 Structure of the Dissertation</w:t>
      </w:r>
      <w:bookmarkEnd w:id="15"/>
    </w:p>
    <w:p w14:paraId="3A06F0B5"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rPr>
        <w:t>The dissertation is organised as follows:</w:t>
      </w:r>
    </w:p>
    <w:p w14:paraId="374D30B6"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Chapter 2: Literature Review</w:t>
      </w:r>
      <w:r w:rsidRPr="00B462CD">
        <w:rPr>
          <w:rFonts w:ascii="Arial" w:eastAsia="Times New Roman" w:hAnsi="Arial" w:cs="Arial"/>
        </w:rPr>
        <w:br/>
        <w:t>Examines the body of research on migration, ethnicity, structural inequality, and health critically, with special attention to how immigration status functions as a social determinant.</w:t>
      </w:r>
    </w:p>
    <w:p w14:paraId="2752919B"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Chapter 3: Methodology</w:t>
      </w:r>
      <w:r w:rsidRPr="00B462CD">
        <w:rPr>
          <w:rFonts w:ascii="Arial" w:eastAsia="Times New Roman" w:hAnsi="Arial" w:cs="Arial"/>
        </w:rPr>
        <w:br/>
        <w:t>describes the research design, data collection, analytic techniques, methodological approach, ethical issues, and the function of reflexivity.</w:t>
      </w:r>
    </w:p>
    <w:p w14:paraId="25A8B8D5" w14:textId="77777777" w:rsidR="00BC3DB1" w:rsidRPr="00B462CD" w:rsidRDefault="00BC3DB1" w:rsidP="00E6526D">
      <w:pPr>
        <w:spacing w:line="360" w:lineRule="auto"/>
        <w:rPr>
          <w:rFonts w:ascii="Arial" w:eastAsia="Times New Roman" w:hAnsi="Arial" w:cs="Arial"/>
        </w:rPr>
      </w:pPr>
      <w:r w:rsidRPr="00B462CD">
        <w:rPr>
          <w:rFonts w:ascii="Arial" w:eastAsia="Times New Roman" w:hAnsi="Arial" w:cs="Arial"/>
          <w:b/>
          <w:bCs/>
        </w:rPr>
        <w:t>Chapter 4: Findings</w:t>
      </w:r>
      <w:r w:rsidRPr="00B462CD">
        <w:rPr>
          <w:rFonts w:ascii="Arial" w:eastAsia="Times New Roman" w:hAnsi="Arial" w:cs="Arial"/>
        </w:rPr>
        <w:br/>
        <w:t>Presents and highlights the key topics that emerged from qualitative interviews, showing how BAME adult migrants' everyday experiences, health outcomes, and coping mechanisms are influenced by their immigration status.</w:t>
      </w:r>
    </w:p>
    <w:p w14:paraId="3A3639B0" w14:textId="77777777" w:rsidR="00BE32FF" w:rsidRPr="00B462CD" w:rsidRDefault="00BC3DB1" w:rsidP="00E6526D">
      <w:pPr>
        <w:spacing w:line="360" w:lineRule="auto"/>
        <w:rPr>
          <w:rFonts w:ascii="Arial" w:eastAsia="Times New Roman" w:hAnsi="Arial" w:cs="Arial"/>
          <w:b/>
          <w:bCs/>
        </w:rPr>
      </w:pPr>
      <w:r w:rsidRPr="00B462CD">
        <w:rPr>
          <w:rFonts w:ascii="Arial" w:eastAsia="Times New Roman" w:hAnsi="Arial" w:cs="Arial"/>
          <w:b/>
          <w:bCs/>
        </w:rPr>
        <w:t>Chapter 5: Discussion</w:t>
      </w:r>
      <w:r w:rsidR="00A95C07" w:rsidRPr="00B462CD">
        <w:rPr>
          <w:rStyle w:val="Strong"/>
          <w:rFonts w:ascii="Arial" w:hAnsi="Arial" w:cs="Arial"/>
        </w:rPr>
        <w:t xml:space="preserve">: </w:t>
      </w:r>
      <w:r w:rsidR="00A95C07" w:rsidRPr="00B462CD">
        <w:rPr>
          <w:rFonts w:ascii="Arial" w:hAnsi="Arial" w:cs="Arial"/>
        </w:rPr>
        <w:t>Interprets and highlights the study’s contributions, limitations, methodological considerations, and implications for policy and practice, while situating the results within the relevant theoretical frameworks and the broader body of current literature.</w:t>
      </w:r>
      <w:r w:rsidRPr="00B462CD">
        <w:rPr>
          <w:rFonts w:ascii="Arial" w:eastAsia="Times New Roman" w:hAnsi="Arial" w:cs="Arial"/>
        </w:rPr>
        <w:br/>
      </w:r>
      <w:r w:rsidRPr="00B462CD">
        <w:rPr>
          <w:rFonts w:ascii="Arial" w:eastAsia="Times New Roman" w:hAnsi="Arial" w:cs="Arial"/>
          <w:b/>
          <w:bCs/>
        </w:rPr>
        <w:t>Chapter 6: Conclusion and Recommendations</w:t>
      </w:r>
      <w:r w:rsidRPr="00B462CD">
        <w:rPr>
          <w:rFonts w:ascii="Arial" w:eastAsia="Times New Roman" w:hAnsi="Arial" w:cs="Arial"/>
        </w:rPr>
        <w:br/>
      </w:r>
      <w:bookmarkStart w:id="16" w:name="_Toc220428649"/>
      <w:r w:rsidR="00B76AA6" w:rsidRPr="00B462CD">
        <w:rPr>
          <w:rFonts w:ascii="Arial" w:hAnsi="Arial" w:cs="Arial"/>
        </w:rPr>
        <w:t>Summarises and outlines the principal conclusions, highlights their significance for public health, discusses implications for policy and practice, and offers recommendations for further research, intervention, and framework.</w:t>
      </w:r>
    </w:p>
    <w:p w14:paraId="7599EAD5" w14:textId="0B1B87D2" w:rsidR="00BC3DB1" w:rsidRPr="00B462CD" w:rsidRDefault="00BC3DB1" w:rsidP="00E6526D">
      <w:pPr>
        <w:spacing w:line="360" w:lineRule="auto"/>
        <w:rPr>
          <w:rFonts w:ascii="Arial" w:eastAsia="Times New Roman" w:hAnsi="Arial" w:cs="Arial"/>
          <w:b/>
          <w:bCs/>
        </w:rPr>
      </w:pPr>
      <w:r w:rsidRPr="00B462CD">
        <w:rPr>
          <w:rFonts w:ascii="Arial" w:eastAsia="Times New Roman" w:hAnsi="Arial" w:cs="Arial"/>
          <w:b/>
          <w:bCs/>
        </w:rPr>
        <w:t xml:space="preserve">1.8 </w:t>
      </w:r>
      <w:bookmarkStart w:id="17" w:name="_Hlk220489740"/>
      <w:r w:rsidRPr="00B462CD">
        <w:rPr>
          <w:rFonts w:ascii="Arial" w:eastAsia="Times New Roman" w:hAnsi="Arial" w:cs="Arial"/>
          <w:b/>
          <w:bCs/>
        </w:rPr>
        <w:t>Chapter Summary</w:t>
      </w:r>
      <w:bookmarkEnd w:id="16"/>
    </w:p>
    <w:p w14:paraId="1690C9D0" w14:textId="77777777" w:rsidR="00BE32FF" w:rsidRPr="00B462CD" w:rsidRDefault="00812B38" w:rsidP="00E6526D">
      <w:pPr>
        <w:spacing w:before="120" w:after="120" w:line="360" w:lineRule="auto"/>
        <w:outlineLvl w:val="2"/>
        <w:rPr>
          <w:rFonts w:ascii="Arial" w:eastAsia="Times New Roman" w:hAnsi="Arial" w:cs="Arial"/>
          <w:b/>
          <w:bCs/>
        </w:rPr>
      </w:pPr>
      <w:bookmarkStart w:id="18" w:name="_Toc220428650"/>
      <w:bookmarkEnd w:id="17"/>
      <w:r w:rsidRPr="00B462CD">
        <w:rPr>
          <w:rFonts w:ascii="Arial" w:hAnsi="Arial" w:cs="Arial"/>
        </w:rPr>
        <w:t xml:space="preserve">Chapter 1 has thus established a comprehensive theoretical, conceptual, contextual, and methodological basis for the dissertation, providing the necessary framework for the subsequent study (Bryman, 2016; Marmot et al., 2020). It has also demonstrated the significance of the research and situated it within the broader social, economic, and policy environment of the United Kingdom by thoroughly examining the demographic landscape of East London, which is characterised by super-diversity, ongoing deprivation, high population density, and varied migration histories. </w:t>
      </w:r>
      <w:r w:rsidR="00BC3DB1" w:rsidRPr="00B462CD">
        <w:rPr>
          <w:rFonts w:ascii="Arial" w:eastAsia="Times New Roman" w:hAnsi="Arial" w:cs="Arial"/>
        </w:rPr>
        <w:t>(</w:t>
      </w:r>
      <w:proofErr w:type="spellStart"/>
      <w:r w:rsidR="00BC3DB1" w:rsidRPr="00B462CD">
        <w:rPr>
          <w:rFonts w:ascii="Arial" w:eastAsia="Times New Roman" w:hAnsi="Arial" w:cs="Arial"/>
        </w:rPr>
        <w:t>Vertovec</w:t>
      </w:r>
      <w:proofErr w:type="spellEnd"/>
      <w:r w:rsidR="00BC3DB1" w:rsidRPr="00B462CD">
        <w:rPr>
          <w:rFonts w:ascii="Arial" w:eastAsia="Times New Roman" w:hAnsi="Arial" w:cs="Arial"/>
        </w:rPr>
        <w:t>, 2007; ONS, 2021; MHCLG, 2019). By doing this, it has shown that immigrant status is a crucial Social Determinant of Health that profoundly and permanently influences people's well-being, rather than just an administrative or legal designation,</w:t>
      </w:r>
      <w:bookmarkEnd w:id="18"/>
      <w:r w:rsidRPr="00B462CD">
        <w:rPr>
          <w:rFonts w:ascii="Arial" w:eastAsia="Times New Roman" w:hAnsi="Arial" w:cs="Arial"/>
          <w:b/>
          <w:bCs/>
        </w:rPr>
        <w:t xml:space="preserve"> </w:t>
      </w:r>
      <w:r w:rsidR="00BC3DB1" w:rsidRPr="00B462CD">
        <w:rPr>
          <w:rFonts w:ascii="Arial" w:eastAsia="Times New Roman" w:hAnsi="Arial" w:cs="Arial"/>
        </w:rPr>
        <w:t xml:space="preserve">prospects, and life paths of Black, Asian, and Minority Ethnic (BAME) adult migrants residing in East London (WHO, 2021; </w:t>
      </w:r>
      <w:proofErr w:type="spellStart"/>
      <w:r w:rsidR="00BC3DB1" w:rsidRPr="00B462CD">
        <w:rPr>
          <w:rFonts w:ascii="Arial" w:eastAsia="Times New Roman" w:hAnsi="Arial" w:cs="Arial"/>
        </w:rPr>
        <w:t>Nazroo</w:t>
      </w:r>
      <w:proofErr w:type="spellEnd"/>
      <w:r w:rsidR="00BC3DB1" w:rsidRPr="00B462CD">
        <w:rPr>
          <w:rFonts w:ascii="Arial" w:eastAsia="Times New Roman" w:hAnsi="Arial" w:cs="Arial"/>
        </w:rPr>
        <w:t xml:space="preserve">, 2021; Hiam et al., 2018). The investigation has highlighted the fact that individual behaviours or lifestyle choices are not the only cause of the health disparities that these communities face. (World Physicians, 2017). Rather, they are intricately entwined with a web of institutional, structural, and economic factors, with special attention to the difficulties brought about </w:t>
      </w:r>
      <w:r w:rsidR="00510F18" w:rsidRPr="00B462CD">
        <w:rPr>
          <w:rFonts w:ascii="Arial" w:hAnsi="Arial" w:cs="Arial"/>
        </w:rPr>
        <w:t>by restrictive immigration laws, unstable and substandard housing, precarious employment opportunities, obstacles to fair access to healthcare, and limited social support</w:t>
      </w:r>
      <w:r w:rsidR="00510F18" w:rsidRPr="00B462CD">
        <w:rPr>
          <w:rFonts w:ascii="Arial" w:eastAsia="Times New Roman" w:hAnsi="Arial" w:cs="Arial"/>
        </w:rPr>
        <w:t xml:space="preserve"> (</w:t>
      </w:r>
      <w:r w:rsidR="00BC3DB1" w:rsidRPr="00B462CD">
        <w:rPr>
          <w:rFonts w:ascii="Arial" w:eastAsia="Times New Roman" w:hAnsi="Arial" w:cs="Arial"/>
        </w:rPr>
        <w:t>Public Health England, 2021). Th</w:t>
      </w:r>
      <w:r w:rsidR="008238F9" w:rsidRPr="00B462CD">
        <w:rPr>
          <w:rFonts w:ascii="Arial" w:eastAsia="Times New Roman" w:hAnsi="Arial" w:cs="Arial"/>
        </w:rPr>
        <w:t>is</w:t>
      </w:r>
      <w:r w:rsidR="00BC3DB1" w:rsidRPr="00B462CD">
        <w:rPr>
          <w:rFonts w:ascii="Arial" w:eastAsia="Times New Roman" w:hAnsi="Arial" w:cs="Arial"/>
        </w:rPr>
        <w:t xml:space="preserve"> chapter has shed light on the intricate and interconnected factors that sustain marginalisation and disadvantage for immigrant communities by critically examining these domains (Crenshaw, 1989; Farmer, 2004).</w:t>
      </w:r>
    </w:p>
    <w:p w14:paraId="2196C510" w14:textId="13A0B01B" w:rsidR="00BC3DB1" w:rsidRPr="00B462CD" w:rsidRDefault="00BC3DB1" w:rsidP="00E6526D">
      <w:pPr>
        <w:spacing w:before="120" w:after="120" w:line="360" w:lineRule="auto"/>
        <w:outlineLvl w:val="2"/>
        <w:rPr>
          <w:rFonts w:ascii="Arial" w:eastAsia="Times New Roman" w:hAnsi="Arial" w:cs="Arial"/>
          <w:b/>
          <w:bCs/>
        </w:rPr>
      </w:pPr>
      <w:r w:rsidRPr="00B462CD">
        <w:rPr>
          <w:rFonts w:ascii="Arial" w:eastAsia="Times New Roman" w:hAnsi="Arial" w:cs="Arial"/>
        </w:rPr>
        <w:t>The research is well-positioned to go beyond simply identifying health disparities by emphasising the Social Determinants of Health framework (Marmot et al., 2020; WHO, 2021) and incorporating interpretivist and social constructionist theoretical perspectives (Burr, 2015; Bryman, 2016). It enables a thorough examination of health disparities' existence and experienced mechanisms, illuminating how migrants themselves embody, negotiate, cope, and occasionally oppose them (Phillimore et al., 2020; Yuval-Davis et al., 2019). This multifaceted method is especially useful for examining how social structure and policies shape the everyday reality, coping mechanisms, and resilience of BAME migrants in the face of hardship.</w:t>
      </w:r>
    </w:p>
    <w:p w14:paraId="061B33C8" w14:textId="3012A9C4" w:rsidR="00BC3DB1" w:rsidRPr="00B462CD" w:rsidRDefault="00BC3DB1" w:rsidP="00E6526D">
      <w:pPr>
        <w:spacing w:before="120" w:after="120" w:line="360" w:lineRule="auto"/>
        <w:outlineLvl w:val="1"/>
        <w:rPr>
          <w:rFonts w:ascii="Arial" w:eastAsia="Times New Roman" w:hAnsi="Arial" w:cs="Arial"/>
        </w:rPr>
      </w:pPr>
      <w:bookmarkStart w:id="19" w:name="_Toc220428651"/>
      <w:r w:rsidRPr="00B462CD">
        <w:rPr>
          <w:rFonts w:ascii="Arial" w:eastAsia="Times New Roman" w:hAnsi="Arial" w:cs="Arial"/>
        </w:rPr>
        <w:t xml:space="preserve">In conclusion, this chapter provides a solid analytical framework for the entire dissertation in addition to demonstrating the importance and urgency of the research. Building on this foundation, the next chapter will provide a critical and synthesised literature review or overview of the body of research on immigration, ethnicity, structural inequality, and health, both in the UK and internationally (Salway et al., 2016; </w:t>
      </w:r>
      <w:proofErr w:type="spellStart"/>
      <w:r w:rsidRPr="00B462CD">
        <w:rPr>
          <w:rFonts w:ascii="Arial" w:eastAsia="Times New Roman" w:hAnsi="Arial" w:cs="Arial"/>
        </w:rPr>
        <w:t>Nazroo</w:t>
      </w:r>
      <w:proofErr w:type="spellEnd"/>
      <w:r w:rsidRPr="00B462CD">
        <w:rPr>
          <w:rFonts w:ascii="Arial" w:eastAsia="Times New Roman" w:hAnsi="Arial" w:cs="Arial"/>
        </w:rPr>
        <w:t>, 2021). This will further contextualise the current problems, pinpoint important knowledge gaps, to narrow the scope of empirical research.</w:t>
      </w:r>
      <w:bookmarkEnd w:id="19"/>
    </w:p>
    <w:p w14:paraId="0F1CF6B6" w14:textId="77777777" w:rsidR="00A15327" w:rsidRPr="00B462CD" w:rsidRDefault="00A15327" w:rsidP="00E6526D">
      <w:pPr>
        <w:spacing w:before="120" w:after="120" w:line="360" w:lineRule="auto"/>
        <w:outlineLvl w:val="1"/>
        <w:rPr>
          <w:rFonts w:ascii="Arial" w:eastAsia="Times New Roman" w:hAnsi="Arial" w:cs="Arial"/>
        </w:rPr>
      </w:pPr>
    </w:p>
    <w:p w14:paraId="59DDF3A4" w14:textId="3C6DA0F7" w:rsidR="00A15327" w:rsidRPr="00B462CD" w:rsidRDefault="00A15327" w:rsidP="00E6526D">
      <w:pPr>
        <w:spacing w:line="360" w:lineRule="auto"/>
        <w:rPr>
          <w:rFonts w:ascii="Arial" w:eastAsia="Times New Roman" w:hAnsi="Arial" w:cs="Arial"/>
          <w:b/>
          <w:bCs/>
        </w:rPr>
      </w:pPr>
      <w:r w:rsidRPr="00B462CD">
        <w:rPr>
          <w:rFonts w:ascii="Arial" w:eastAsia="Times New Roman" w:hAnsi="Arial" w:cs="Arial"/>
          <w:b/>
          <w:bCs/>
        </w:rPr>
        <w:br w:type="page"/>
        <w:t>Chapter 2: Literature Review</w:t>
      </w:r>
      <w:r w:rsidRPr="00B462CD">
        <w:rPr>
          <w:rFonts w:ascii="Arial" w:eastAsia="Times New Roman" w:hAnsi="Arial" w:cs="Arial"/>
        </w:rPr>
        <w:t>.</w:t>
      </w:r>
    </w:p>
    <w:p w14:paraId="32D8B1DF" w14:textId="77777777" w:rsidR="00A15327" w:rsidRPr="00B462CD" w:rsidRDefault="00A15327" w:rsidP="00E6526D">
      <w:pPr>
        <w:pStyle w:val="gds-typography"/>
        <w:spacing w:line="360" w:lineRule="auto"/>
        <w:rPr>
          <w:rFonts w:ascii="Arial" w:hAnsi="Arial" w:cs="Arial"/>
          <w:b/>
          <w:bCs/>
          <w:sz w:val="22"/>
          <w:szCs w:val="22"/>
          <w:lang w:val="en-GB"/>
        </w:rPr>
      </w:pPr>
      <w:r w:rsidRPr="00B462CD">
        <w:rPr>
          <w:rFonts w:ascii="Arial" w:hAnsi="Arial" w:cs="Arial"/>
          <w:b/>
          <w:bCs/>
          <w:sz w:val="22"/>
          <w:szCs w:val="22"/>
          <w:lang w:val="en-GB"/>
        </w:rPr>
        <w:t>2.1 Introduction</w:t>
      </w:r>
    </w:p>
    <w:p w14:paraId="4D03952F" w14:textId="77777777" w:rsidR="004F4F16" w:rsidRPr="00B462CD" w:rsidRDefault="00D332CF" w:rsidP="00E6526D">
      <w:pPr>
        <w:pStyle w:val="NormalWeb"/>
        <w:spacing w:line="360" w:lineRule="auto"/>
        <w:rPr>
          <w:rFonts w:ascii="Arial" w:hAnsi="Arial" w:cs="Arial"/>
          <w:sz w:val="22"/>
          <w:szCs w:val="22"/>
        </w:rPr>
      </w:pPr>
      <w:r w:rsidRPr="00B462CD">
        <w:rPr>
          <w:rFonts w:ascii="Arial" w:hAnsi="Arial" w:cs="Arial"/>
          <w:sz w:val="22"/>
          <w:szCs w:val="22"/>
        </w:rPr>
        <w:t>With a focus on the function of immigration status as a social determinant of health, this chapter offers a critical and current assessment of the literature on migration and ethnicity in relation to health disparities.</w:t>
      </w:r>
      <w:r w:rsidR="00AC555C" w:rsidRPr="00B462CD">
        <w:rPr>
          <w:rFonts w:ascii="Arial" w:hAnsi="Arial" w:cs="Arial"/>
          <w:sz w:val="22"/>
          <w:szCs w:val="22"/>
        </w:rPr>
        <w:t xml:space="preserve"> </w:t>
      </w:r>
      <w:r w:rsidRPr="00B462CD">
        <w:rPr>
          <w:rFonts w:ascii="Arial" w:hAnsi="Arial" w:cs="Arial"/>
          <w:sz w:val="22"/>
          <w:szCs w:val="22"/>
        </w:rPr>
        <w:t>I</w:t>
      </w:r>
      <w:r w:rsidR="00A15327" w:rsidRPr="00B462CD">
        <w:rPr>
          <w:rFonts w:ascii="Arial" w:hAnsi="Arial" w:cs="Arial"/>
          <w:sz w:val="22"/>
          <w:szCs w:val="22"/>
        </w:rPr>
        <w:t xml:space="preserve">t </w:t>
      </w:r>
      <w:proofErr w:type="spellStart"/>
      <w:r w:rsidR="00A15327" w:rsidRPr="00B462CD">
        <w:rPr>
          <w:rFonts w:ascii="Arial" w:hAnsi="Arial" w:cs="Arial"/>
          <w:sz w:val="22"/>
          <w:szCs w:val="22"/>
        </w:rPr>
        <w:t>synthesises</w:t>
      </w:r>
      <w:proofErr w:type="spellEnd"/>
      <w:r w:rsidR="00A15327" w:rsidRPr="00B462CD">
        <w:rPr>
          <w:rFonts w:ascii="Arial" w:hAnsi="Arial" w:cs="Arial"/>
          <w:sz w:val="22"/>
          <w:szCs w:val="22"/>
        </w:rPr>
        <w:t xml:space="preserve"> academic research with policy and public health evidence, drawing on both foundational and recent UK and worldwide reports. </w:t>
      </w:r>
      <w:r w:rsidR="00A15327" w:rsidRPr="00B462CD">
        <w:rPr>
          <w:rFonts w:ascii="Arial" w:hAnsi="Arial" w:cs="Arial"/>
          <w:sz w:val="22"/>
          <w:szCs w:val="22"/>
        </w:rPr>
        <w:br/>
        <w:t>Public Health England's 2023 report, "Health Inequalities in Londo</w:t>
      </w:r>
      <w:r w:rsidR="00793710" w:rsidRPr="00B462CD">
        <w:rPr>
          <w:rFonts w:ascii="Arial" w:hAnsi="Arial" w:cs="Arial"/>
          <w:sz w:val="22"/>
          <w:szCs w:val="22"/>
        </w:rPr>
        <w:t xml:space="preserve">n. </w:t>
      </w:r>
      <w:r w:rsidR="00A15327" w:rsidRPr="00B462CD">
        <w:rPr>
          <w:rFonts w:ascii="Arial" w:hAnsi="Arial" w:cs="Arial"/>
          <w:sz w:val="22"/>
          <w:szCs w:val="22"/>
        </w:rPr>
        <w:t xml:space="preserve">Update and Future Challenges," is one example of a recent analysis that shows continuing and growing discrepancies in health outcomes for migrant and minority ethnic communities. </w:t>
      </w:r>
      <w:r w:rsidR="00767528" w:rsidRPr="00B462CD">
        <w:rPr>
          <w:rFonts w:ascii="Arial" w:hAnsi="Arial" w:cs="Arial"/>
          <w:sz w:val="22"/>
          <w:szCs w:val="22"/>
        </w:rPr>
        <w:t>Migrants in London and the UK have been disproportionately impacted by post-Brexit policies and NHS entitlement limits, as well as by changes in the cost-of-living crisis, according to the Migration Observatory at Oxford (2024)</w:t>
      </w:r>
    </w:p>
    <w:p w14:paraId="696AB2CB" w14:textId="11BE4FAF" w:rsidR="00A15327" w:rsidRPr="00B462CD" w:rsidRDefault="004E65B4" w:rsidP="00E6526D">
      <w:pPr>
        <w:pStyle w:val="NormalWeb"/>
        <w:spacing w:line="360" w:lineRule="auto"/>
        <w:rPr>
          <w:rFonts w:ascii="Arial" w:hAnsi="Arial" w:cs="Arial"/>
          <w:sz w:val="22"/>
          <w:szCs w:val="22"/>
        </w:rPr>
      </w:pPr>
      <w:r w:rsidRPr="00B462CD">
        <w:rPr>
          <w:rFonts w:ascii="Arial" w:hAnsi="Arial" w:cs="Arial"/>
          <w:sz w:val="22"/>
          <w:szCs w:val="22"/>
        </w:rPr>
        <w:t>The London Health Equity Group (2023) highlights persistent challenges such as language barriers and digital exclusion, along with the absence of culturally sensitive services</w:t>
      </w:r>
      <w:r w:rsidR="00815F33" w:rsidRPr="00B462CD">
        <w:rPr>
          <w:rFonts w:ascii="Arial" w:hAnsi="Arial" w:cs="Arial"/>
          <w:sz w:val="22"/>
          <w:szCs w:val="22"/>
        </w:rPr>
        <w:t xml:space="preserve">, </w:t>
      </w:r>
      <w:r w:rsidR="00A15327" w:rsidRPr="00B462CD">
        <w:rPr>
          <w:rFonts w:ascii="Arial" w:hAnsi="Arial" w:cs="Arial"/>
          <w:sz w:val="22"/>
          <w:szCs w:val="22"/>
        </w:rPr>
        <w:t>while the King's Fund (2023) briefing on the cost-of-living crisis identifies food and housing insecurity as critical issues for migrant and BAME groups. These new results support previous findings and show that many long-standing disparities still exist and, in some cases, have gotten worse because of COVID-19 and changing immigration laws.</w:t>
      </w:r>
      <w:r w:rsidR="004F4F16" w:rsidRPr="00B462CD">
        <w:rPr>
          <w:rFonts w:ascii="Arial" w:hAnsi="Arial" w:cs="Arial"/>
          <w:sz w:val="22"/>
          <w:szCs w:val="22"/>
        </w:rPr>
        <w:t xml:space="preserve">                         </w:t>
      </w:r>
      <w:r w:rsidR="00A15327" w:rsidRPr="00B462CD">
        <w:rPr>
          <w:rFonts w:ascii="Arial" w:hAnsi="Arial" w:cs="Arial"/>
          <w:sz w:val="22"/>
          <w:szCs w:val="22"/>
        </w:rPr>
        <w:t xml:space="preserve">This chapter focuses on London, especially East London, where socioeconomic deprivation and migration-driven variety coexist. In this context, the literature review examines the structural, policy, and psychosocial determinants influencing health outcomes for BAME and migrant communities. </w:t>
      </w:r>
      <w:proofErr w:type="gramStart"/>
      <w:r w:rsidR="00A15327" w:rsidRPr="00B462CD">
        <w:rPr>
          <w:rFonts w:ascii="Arial" w:hAnsi="Arial" w:cs="Arial"/>
          <w:sz w:val="22"/>
          <w:szCs w:val="22"/>
        </w:rPr>
        <w:t>In order to</w:t>
      </w:r>
      <w:proofErr w:type="gramEnd"/>
      <w:r w:rsidR="00A15327" w:rsidRPr="00B462CD">
        <w:rPr>
          <w:rFonts w:ascii="Arial" w:hAnsi="Arial" w:cs="Arial"/>
          <w:sz w:val="22"/>
          <w:szCs w:val="22"/>
        </w:rPr>
        <w:t xml:space="preserve"> inform the justification for this research, the chapter ends by highlighting significant gaps and limitations in the existing body of information.</w:t>
      </w:r>
    </w:p>
    <w:p w14:paraId="3D5A0C82" w14:textId="77777777" w:rsidR="00A15327" w:rsidRPr="00B462CD" w:rsidRDefault="00A15327" w:rsidP="00E6526D">
      <w:pPr>
        <w:pStyle w:val="NormalWeb"/>
        <w:spacing w:line="360" w:lineRule="auto"/>
        <w:rPr>
          <w:rFonts w:ascii="Arial" w:hAnsi="Arial" w:cs="Arial"/>
          <w:sz w:val="22"/>
          <w:szCs w:val="22"/>
          <w:lang w:val="en-GB"/>
        </w:rPr>
      </w:pPr>
      <w:r w:rsidRPr="00B462CD">
        <w:rPr>
          <w:rFonts w:ascii="Arial" w:hAnsi="Arial" w:cs="Arial"/>
          <w:b/>
          <w:bCs/>
          <w:sz w:val="22"/>
          <w:szCs w:val="22"/>
          <w:lang w:val="en-GB"/>
        </w:rPr>
        <w:t xml:space="preserve">2.2 </w:t>
      </w:r>
      <w:bookmarkStart w:id="20" w:name="_Hlk220489129"/>
      <w:r w:rsidRPr="00B462CD">
        <w:rPr>
          <w:rFonts w:ascii="Arial" w:hAnsi="Arial" w:cs="Arial"/>
          <w:b/>
          <w:bCs/>
          <w:sz w:val="22"/>
          <w:szCs w:val="22"/>
          <w:lang w:val="en-GB"/>
        </w:rPr>
        <w:t>Migration, Demographic Change, and Super-diversity in London</w:t>
      </w:r>
      <w:bookmarkEnd w:id="20"/>
      <w:r w:rsidRPr="00B462CD">
        <w:rPr>
          <w:rFonts w:ascii="Arial" w:hAnsi="Arial" w:cs="Arial"/>
          <w:sz w:val="22"/>
          <w:szCs w:val="22"/>
          <w:lang w:val="en-GB"/>
        </w:rPr>
        <w:t xml:space="preserve">. </w:t>
      </w:r>
    </w:p>
    <w:p w14:paraId="429EAD3F"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The social makeup of urban Britain has been significantly shaped by population mobility, with its effects being concentrated in London. London, a long-standing global metropolis, has seen steady population growth that has changed daily social interactions, the makeup of neighbourhoods, and the need for improvement in public services. With over 300 languages spoken and a significant percentage of citizens speaking a primary language other than English, especially in East London boroughs, census data demonstrate the capital's remarkable linguistic and cultural pluralism (ONS, 2021). These trends demonstrate London's leading role in the current population shift.</w:t>
      </w:r>
    </w:p>
    <w:p w14:paraId="5C691171" w14:textId="75F9CD24"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East London is a prime example of this change. Some of the most complicated population profiles in the nation can be found in boroughs like Newham, Tower Hamlets, </w:t>
      </w:r>
      <w:r w:rsidR="004A4B69" w:rsidRPr="00B462CD">
        <w:rPr>
          <w:rFonts w:ascii="Arial" w:eastAsia="Times New Roman" w:hAnsi="Arial" w:cs="Arial"/>
        </w:rPr>
        <w:t xml:space="preserve">Waltham Forest </w:t>
      </w:r>
      <w:r w:rsidRPr="00B462CD">
        <w:rPr>
          <w:rFonts w:ascii="Arial" w:eastAsia="Times New Roman" w:hAnsi="Arial" w:cs="Arial"/>
        </w:rPr>
        <w:t>and Redbridge</w:t>
      </w:r>
      <w:r w:rsidR="00757EFB" w:rsidRPr="00B462CD">
        <w:rPr>
          <w:rFonts w:ascii="Arial" w:eastAsia="Times New Roman" w:hAnsi="Arial" w:cs="Arial"/>
        </w:rPr>
        <w:t>,</w:t>
      </w:r>
      <w:r w:rsidR="004A4B69" w:rsidRPr="00B462CD">
        <w:rPr>
          <w:rFonts w:ascii="Arial" w:eastAsia="Times New Roman" w:hAnsi="Arial" w:cs="Arial"/>
        </w:rPr>
        <w:t xml:space="preserve"> </w:t>
      </w:r>
      <w:r w:rsidR="00757EFB" w:rsidRPr="00B462CD">
        <w:rPr>
          <w:rFonts w:ascii="Arial" w:eastAsia="Times New Roman" w:hAnsi="Arial" w:cs="Arial"/>
        </w:rPr>
        <w:t>amongst others</w:t>
      </w:r>
      <w:r w:rsidRPr="00B462CD">
        <w:rPr>
          <w:rFonts w:ascii="Arial" w:eastAsia="Times New Roman" w:hAnsi="Arial" w:cs="Arial"/>
        </w:rPr>
        <w:t xml:space="preserve">, which have been moulded by ongoing international ties and multiple settlement processes. Diversity in these domains extends beyond ethnicity; it also manifests in household composition, employment trends, age distribution, and socioeconomic deprivation levels. The fact that </w:t>
      </w:r>
      <w:proofErr w:type="gramStart"/>
      <w:r w:rsidRPr="00B462CD">
        <w:rPr>
          <w:rFonts w:ascii="Arial" w:eastAsia="Times New Roman" w:hAnsi="Arial" w:cs="Arial"/>
        </w:rPr>
        <w:t>a number of</w:t>
      </w:r>
      <w:proofErr w:type="gramEnd"/>
      <w:r w:rsidRPr="00B462CD">
        <w:rPr>
          <w:rFonts w:ascii="Arial" w:eastAsia="Times New Roman" w:hAnsi="Arial" w:cs="Arial"/>
        </w:rPr>
        <w:t xml:space="preserve"> East London boroughs routinely rank among the most impoverished in England suggests that structural inequality and demographic diversity often coexist (Public Health England, 2023).</w:t>
      </w:r>
    </w:p>
    <w:p w14:paraId="45CF07CC" w14:textId="77777777" w:rsidR="00A15327" w:rsidRPr="00B462CD" w:rsidRDefault="00A15327" w:rsidP="00E6526D">
      <w:pPr>
        <w:spacing w:line="360" w:lineRule="auto"/>
        <w:rPr>
          <w:rFonts w:ascii="Arial" w:eastAsia="Times New Roman" w:hAnsi="Arial" w:cs="Arial"/>
        </w:rPr>
      </w:pPr>
      <w:proofErr w:type="spellStart"/>
      <w:r w:rsidRPr="00B462CD">
        <w:rPr>
          <w:rFonts w:ascii="Arial" w:eastAsia="Times New Roman" w:hAnsi="Arial" w:cs="Arial"/>
        </w:rPr>
        <w:t>Vertovec</w:t>
      </w:r>
      <w:proofErr w:type="spellEnd"/>
      <w:r w:rsidRPr="00B462CD">
        <w:rPr>
          <w:rFonts w:ascii="Arial" w:eastAsia="Times New Roman" w:hAnsi="Arial" w:cs="Arial"/>
        </w:rPr>
        <w:t xml:space="preserve"> (2007) established the idea of super-diversity, which offers a helpful framework for comprehending this complexity. Instead of concentrating only on ethnic classifications, super-diversity highlights variations in settlement histories, immigration and legal status, language use, religion, and socioeconomic level. East London has a very distinct social landscape </w:t>
      </w:r>
      <w:proofErr w:type="gramStart"/>
      <w:r w:rsidRPr="00B462CD">
        <w:rPr>
          <w:rFonts w:ascii="Arial" w:eastAsia="Times New Roman" w:hAnsi="Arial" w:cs="Arial"/>
        </w:rPr>
        <w:t>as a result of</w:t>
      </w:r>
      <w:proofErr w:type="gramEnd"/>
      <w:r w:rsidRPr="00B462CD">
        <w:rPr>
          <w:rFonts w:ascii="Arial" w:eastAsia="Times New Roman" w:hAnsi="Arial" w:cs="Arial"/>
        </w:rPr>
        <w:t xml:space="preserve"> layered population inflows, ranging from post-war Commonwealth communities to more recent European and international immigration. Social cohesion, public service delivery, and most importantly, health equity face both possibilities and problems </w:t>
      </w:r>
      <w:proofErr w:type="gramStart"/>
      <w:r w:rsidRPr="00B462CD">
        <w:rPr>
          <w:rFonts w:ascii="Arial" w:eastAsia="Times New Roman" w:hAnsi="Arial" w:cs="Arial"/>
        </w:rPr>
        <w:t>as a result of</w:t>
      </w:r>
      <w:proofErr w:type="gramEnd"/>
      <w:r w:rsidRPr="00B462CD">
        <w:rPr>
          <w:rFonts w:ascii="Arial" w:eastAsia="Times New Roman" w:hAnsi="Arial" w:cs="Arial"/>
        </w:rPr>
        <w:t xml:space="preserve"> this complexity, since institutions must address a wide range of demands in settings of ongoing poverty.</w:t>
      </w:r>
    </w:p>
    <w:p w14:paraId="4DB5CCC2" w14:textId="77777777" w:rsidR="00A15327" w:rsidRPr="00B462CD" w:rsidRDefault="00A15327" w:rsidP="00E6526D">
      <w:pPr>
        <w:spacing w:line="360" w:lineRule="auto"/>
        <w:rPr>
          <w:rFonts w:ascii="Arial" w:eastAsia="Times New Roman" w:hAnsi="Arial" w:cs="Arial"/>
          <w:b/>
          <w:bCs/>
        </w:rPr>
      </w:pPr>
      <w:r w:rsidRPr="00B462CD">
        <w:rPr>
          <w:rFonts w:ascii="Arial" w:eastAsia="Times New Roman" w:hAnsi="Arial" w:cs="Arial"/>
          <w:b/>
          <w:bCs/>
        </w:rPr>
        <w:t>2.3 Socioeconomic Deprivation and Structural Disadvantage.</w:t>
      </w:r>
    </w:p>
    <w:p w14:paraId="73AB9B0C" w14:textId="657E893B" w:rsidR="00821023" w:rsidRPr="00B462CD" w:rsidRDefault="00A15327" w:rsidP="00E6526D">
      <w:pPr>
        <w:spacing w:line="360" w:lineRule="auto"/>
        <w:rPr>
          <w:rFonts w:ascii="Arial" w:eastAsia="Times New Roman" w:hAnsi="Arial" w:cs="Arial"/>
        </w:rPr>
      </w:pPr>
      <w:r w:rsidRPr="00B462CD">
        <w:rPr>
          <w:rFonts w:ascii="Arial" w:hAnsi="Arial" w:cs="Arial"/>
        </w:rPr>
        <w:t xml:space="preserve">While diversity is a source of cultural strength, it could also bring about some disadvantages. </w:t>
      </w:r>
      <w:r w:rsidRPr="00B462CD">
        <w:rPr>
          <w:rFonts w:ascii="Arial" w:eastAsia="Times New Roman" w:hAnsi="Arial" w:cs="Arial"/>
        </w:rPr>
        <w:t xml:space="preserve">Systemic disadvantages limit opportunities and raise health risks rather than individual health behaviours or genetic diversity. Not every population in East London experiences structural disadvantage in the same way. Migrant populations and BAME groups are particularly vulnerable. </w:t>
      </w:r>
      <w:r w:rsidRPr="00B462CD">
        <w:rPr>
          <w:rFonts w:ascii="Arial" w:hAnsi="Arial" w:cs="Arial"/>
        </w:rPr>
        <w:t>An estimated 64,000 people in London are subject to NRPF conditions (Coventry Law Centre, 2021), creating a hidden population vulnerable to homelessness, malnutrition, and untreated illness.</w:t>
      </w:r>
      <w:r w:rsidRPr="00B462CD">
        <w:rPr>
          <w:rFonts w:ascii="Arial" w:eastAsia="Times New Roman" w:hAnsi="Arial" w:cs="Arial"/>
        </w:rPr>
        <w:br/>
        <w:t>According to research from the Institute for Fiscal Studies (2020), BAME households with children experience relative poverty and housing insecurity, compared to white British households. BAME households in London are 1.5 times more likely to be overcrowded (Shelter, 2023). Furthermore, communities of migrants and refugees in East London are more likely to be excluded from social support networks. Access to public services, such as housing support and health care, is systematically hampered for people with temporary or unstable immigration status, such as undocumented migrants,</w:t>
      </w:r>
      <w:r w:rsidR="00B70FE9" w:rsidRPr="00B462CD">
        <w:rPr>
          <w:rFonts w:ascii="Arial" w:eastAsia="Times New Roman" w:hAnsi="Arial" w:cs="Arial"/>
        </w:rPr>
        <w:t xml:space="preserve"> asylum seekers, </w:t>
      </w:r>
      <w:r w:rsidRPr="00B462CD">
        <w:rPr>
          <w:rFonts w:ascii="Arial" w:eastAsia="Times New Roman" w:hAnsi="Arial" w:cs="Arial"/>
        </w:rPr>
        <w:t xml:space="preserve"> those under visa restrictions, and those with uncertain leave to remain.</w:t>
      </w:r>
      <w:r w:rsidRPr="00B462CD">
        <w:rPr>
          <w:rFonts w:ascii="Arial" w:eastAsia="Times New Roman" w:hAnsi="Arial" w:cs="Arial"/>
        </w:rPr>
        <w:br/>
        <w:t>A position of extreme economic vulnerability is created by the No Recourse to Public Funds (NRPF) policy, which limits access to the majority of public welfare assistance for specific types of migrants, thus making a person extremely vulnerable to negative health outcomes. The frequency of low-wage work and unstable employment indicates deeper structural issues, even though unemployment is one indicator of disadvantage. 15.2% of working people in Newham experience in-work poverty, meaning that many are employed yet unable to meet their necessities (Trust for London, 2023).</w:t>
      </w:r>
      <w:r w:rsidR="00821023" w:rsidRPr="00B462CD">
        <w:rPr>
          <w:rFonts w:ascii="Arial" w:eastAsia="Times New Roman" w:hAnsi="Arial" w:cs="Arial"/>
        </w:rPr>
        <w:t xml:space="preserve"> </w:t>
      </w:r>
      <w:r w:rsidR="0025002C" w:rsidRPr="00B462CD">
        <w:rPr>
          <w:rFonts w:ascii="Arial" w:hAnsi="Arial" w:cs="Arial"/>
        </w:rPr>
        <w:t>Many jobs in Tower Hamlets and across London pay less than the London Real Living Wage, a voluntary benchmark set to reflect the actual cost of living, rather than the lower statutory minimum wage, illustrating how wage disparities contribute to financial strain for residents (Living Wage Foundation; ONS data on jobs paid below living wages).</w:t>
      </w:r>
      <w:r w:rsidR="0025002C" w:rsidRPr="00B462CD">
        <w:rPr>
          <w:rFonts w:ascii="Arial" w:eastAsia="Times New Roman" w:hAnsi="Arial" w:cs="Arial"/>
        </w:rPr>
        <w:t xml:space="preserve"> </w:t>
      </w:r>
      <w:r w:rsidRPr="00B462CD">
        <w:rPr>
          <w:rFonts w:ascii="Arial" w:eastAsia="Times New Roman" w:hAnsi="Arial" w:cs="Arial"/>
        </w:rPr>
        <w:t xml:space="preserve"> </w:t>
      </w:r>
    </w:p>
    <w:p w14:paraId="16F97FBA" w14:textId="7ADD273A" w:rsidR="00A15327" w:rsidRPr="00B462CD" w:rsidRDefault="00887004" w:rsidP="00E6526D">
      <w:pPr>
        <w:spacing w:line="360" w:lineRule="auto"/>
        <w:rPr>
          <w:rFonts w:ascii="Arial" w:eastAsia="Times New Roman" w:hAnsi="Arial" w:cs="Arial"/>
        </w:rPr>
      </w:pPr>
      <w:r w:rsidRPr="00B462CD">
        <w:rPr>
          <w:rFonts w:ascii="Arial" w:eastAsia="Times New Roman" w:hAnsi="Arial" w:cs="Arial"/>
        </w:rPr>
        <w:t>Most</w:t>
      </w:r>
      <w:r w:rsidR="00A15327" w:rsidRPr="00B462CD">
        <w:rPr>
          <w:rFonts w:ascii="Arial" w:eastAsia="Times New Roman" w:hAnsi="Arial" w:cs="Arial"/>
        </w:rPr>
        <w:t xml:space="preserve"> jobs in East London are in industries with low wages and unstable working conditions. These include retail, social services, housekeeping, and hospitality. According to the Living Wage Foundation (2023), 28% of retail employees and 31% of workers in the hotel industry in London make less than the London Living Wage, which is substantially more than those in the professional sectors. Approximately 45% of the social care workforce in East London is made up of migrant workers, who are overrepresented in these unstable industries and frequently have zero-hour contracts with little job security (Skills for Care, 2022). Precarious employment leads to stress, </w:t>
      </w:r>
      <w:r w:rsidR="00F915DF" w:rsidRPr="00B462CD">
        <w:rPr>
          <w:rFonts w:ascii="Arial" w:eastAsia="Times New Roman" w:hAnsi="Arial" w:cs="Arial"/>
        </w:rPr>
        <w:t xml:space="preserve">anxiety, </w:t>
      </w:r>
      <w:r w:rsidR="00A15327" w:rsidRPr="00B462CD">
        <w:rPr>
          <w:rFonts w:ascii="Arial" w:eastAsia="Times New Roman" w:hAnsi="Arial" w:cs="Arial"/>
        </w:rPr>
        <w:t>unstable income, and a diminished ability to manage health concerns, all of which contribute to poor health outcomes.</w:t>
      </w:r>
    </w:p>
    <w:p w14:paraId="7B6E25BA"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Measurable health disparities result from the systemic disadvantages mentioned above. Tower Hamlets' life expectancy is 81.2 years, while the national average is 81.4 years and London's average is 83.1 years (Public Health England, 2021). For certain causes of death, these differences are more noticeable. Tower Hamlets' age-standardised cardiovascular disease death rate is 115.2 per 100,000, while London's is 89.7 per 100,000 (PHE, 2021). Tower Hamlets has a 9.1% prevalence of type 2 diabetes, compared to 7.0% nationwide and 6.8% in London (Public Health England, 2021).</w:t>
      </w:r>
    </w:p>
    <w:p w14:paraId="4BAA5292"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There are notable differences in mental health as well. The psychological effects of financial strain and unstable housing are reflected in the 1.6-fold higher prevalence of depression and anxiety in Tower Hamlets (18.2% of adults) compared to London as a whole (11.4%) (NHS Mental Health Services Data, 2022). Children's mental health is also impacted; in Tower Hamlets, 14.7% of kids have clinically significant emotional or behavioural problems, compared to 10.2% in London (NHS, 2023). Chronic obstructive pulmonary disease (COPD) accounts for 45.3 deaths per 100,000 in Tower Hamlets compared to 35.1 nationally (PHE, 2021), indicating the effects of air pollution, crowded housing, and higher smoking prevalence in impoverished populations.</w:t>
      </w:r>
    </w:p>
    <w:p w14:paraId="602E8A92" w14:textId="77777777" w:rsidR="00A15327" w:rsidRPr="00B462CD" w:rsidRDefault="00A15327" w:rsidP="00E6526D">
      <w:pPr>
        <w:spacing w:before="240" w:after="120" w:line="360" w:lineRule="auto"/>
        <w:outlineLvl w:val="2"/>
        <w:rPr>
          <w:rFonts w:ascii="Arial" w:eastAsia="Times New Roman" w:hAnsi="Arial" w:cs="Arial"/>
          <w:b/>
          <w:bCs/>
        </w:rPr>
      </w:pPr>
      <w:bookmarkStart w:id="21" w:name="_Toc220428652"/>
      <w:r w:rsidRPr="00B462CD">
        <w:rPr>
          <w:rFonts w:ascii="Arial" w:eastAsia="Times New Roman" w:hAnsi="Arial" w:cs="Arial"/>
          <w:b/>
          <w:bCs/>
        </w:rPr>
        <w:t>2.4 Health Inequalities Among Migrants and BAME Communities</w:t>
      </w:r>
      <w:bookmarkEnd w:id="21"/>
    </w:p>
    <w:p w14:paraId="783B6E39" w14:textId="3D8D473A"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Research continuously shows that BAME and migrant populations in the UK, especially in London, have significant health disparities. Life expectancy in Tower Hamlets is among the lowest in the capital, and the gap in healthy life expectancy between the most and least deprived Londoners has been estimated at up to 15 years (PHE, 2021; GLA, 2022). Chronic diseases are unevenly distributed, and Black African and Caribbean communities </w:t>
      </w:r>
      <w:r w:rsidR="004E7195" w:rsidRPr="00B462CD">
        <w:rPr>
          <w:rFonts w:ascii="Arial" w:eastAsia="Times New Roman" w:hAnsi="Arial" w:cs="Arial"/>
        </w:rPr>
        <w:t>face</w:t>
      </w:r>
      <w:r w:rsidRPr="00B462CD">
        <w:rPr>
          <w:rFonts w:ascii="Arial" w:eastAsia="Times New Roman" w:hAnsi="Arial" w:cs="Arial"/>
        </w:rPr>
        <w:t xml:space="preserve"> elevated risks of hypertension and stroke (Diabetes UK, 2023; PHE, 2017). </w:t>
      </w:r>
      <w:r w:rsidRPr="00B462CD">
        <w:rPr>
          <w:rFonts w:ascii="Arial" w:eastAsia="Times New Roman" w:hAnsi="Arial" w:cs="Arial"/>
        </w:rPr>
        <w:br/>
        <w:t>Mental health inequalities are also pronounced. According to estimates, refugees and asylum seekers are five times more likely than the overall UK population to suffer from poor mental health, including high levels of anxiety, depression, and</w:t>
      </w:r>
      <w:r w:rsidR="00A240ED" w:rsidRPr="00B462CD">
        <w:rPr>
          <w:rFonts w:ascii="Arial" w:eastAsia="Times New Roman" w:hAnsi="Arial" w:cs="Arial"/>
        </w:rPr>
        <w:t xml:space="preserve"> </w:t>
      </w:r>
      <w:r w:rsidR="00A240ED" w:rsidRPr="00B462CD">
        <w:rPr>
          <w:rFonts w:ascii="Arial" w:hAnsi="Arial" w:cs="Arial"/>
        </w:rPr>
        <w:t>Post-Traumatic Stress Disorder</w:t>
      </w:r>
      <w:r w:rsidR="003E3750" w:rsidRPr="00B462CD">
        <w:rPr>
          <w:rFonts w:ascii="Arial" w:eastAsia="Times New Roman" w:hAnsi="Arial" w:cs="Arial"/>
        </w:rPr>
        <w:t xml:space="preserve">, </w:t>
      </w:r>
      <w:r w:rsidRPr="00B462CD">
        <w:rPr>
          <w:rFonts w:ascii="Arial" w:eastAsia="Times New Roman" w:hAnsi="Arial" w:cs="Arial"/>
        </w:rPr>
        <w:t xml:space="preserve">PTSD (Hiam et al., 2018). Additional pressures that migrants frequently encounter include the psychological strain of adjusting to a new environment while navigating intricate legal systems, separation from family, </w:t>
      </w:r>
      <w:r w:rsidR="00D94DAA" w:rsidRPr="00B462CD">
        <w:rPr>
          <w:rFonts w:ascii="Arial" w:eastAsia="Times New Roman" w:hAnsi="Arial" w:cs="Arial"/>
        </w:rPr>
        <w:t xml:space="preserve">adjusting to different climates </w:t>
      </w:r>
      <w:r w:rsidRPr="00B462CD">
        <w:rPr>
          <w:rFonts w:ascii="Arial" w:eastAsia="Times New Roman" w:hAnsi="Arial" w:cs="Arial"/>
        </w:rPr>
        <w:t xml:space="preserve">and trauma from pre-migration events. </w:t>
      </w:r>
      <w:r w:rsidRPr="00B462CD">
        <w:rPr>
          <w:rFonts w:ascii="Arial" w:eastAsia="Times New Roman" w:hAnsi="Arial" w:cs="Arial"/>
        </w:rPr>
        <w:br/>
        <w:t xml:space="preserve">The literature frequently discusses healthcare barriers. A 2017 Doctors of the World study found that 61% of migrants in London who were asked said they avoided medical care because they were afraid of immigration checks, data sharing, </w:t>
      </w:r>
      <w:r w:rsidR="00A52764" w:rsidRPr="00B462CD">
        <w:rPr>
          <w:rFonts w:ascii="Arial" w:eastAsia="Times New Roman" w:hAnsi="Arial" w:cs="Arial"/>
        </w:rPr>
        <w:t xml:space="preserve">deportation </w:t>
      </w:r>
      <w:r w:rsidRPr="00B462CD">
        <w:rPr>
          <w:rFonts w:ascii="Arial" w:eastAsia="Times New Roman" w:hAnsi="Arial" w:cs="Arial"/>
        </w:rPr>
        <w:t>or fees for NHS services.</w:t>
      </w:r>
    </w:p>
    <w:p w14:paraId="1B006B7C"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Due to their inability to register with a general practitioner (GP) or obtain secondary and speciality care, migrants under "No Recourse to Public Funds" (NRPF) conditions frequently have unmet health requirements and treatment delays (NHS England, 2022). The cumulative effect of these obstacles is also documented by research, since migrants may put off seeking medical attention until their problems worsen, which could lead to worse health outcomes and more demand on emergency services (Potter et al., 2020). </w:t>
      </w:r>
      <w:r w:rsidRPr="00B462CD">
        <w:rPr>
          <w:rFonts w:ascii="Arial" w:eastAsia="Times New Roman" w:hAnsi="Arial" w:cs="Arial"/>
        </w:rPr>
        <w:br/>
        <w:t>The COVID-19 pandemic exposed the disproportionate burden on BAME and immigrant communities, acting as a "stress test" for health institutions. Black African and Bangladeshi populations in London had COVID-19 mortality rates that were twice as high as those of white British populations (ONS, 2020). These discrepancies were exacerbated by public-facing jobs, overcrowding in housing, and restricted access to healthcare, highlighting the critical need to address the structural causes of health disparity.</w:t>
      </w:r>
    </w:p>
    <w:p w14:paraId="7A282160" w14:textId="77777777" w:rsidR="00A15327" w:rsidRPr="00B462CD" w:rsidRDefault="00A15327" w:rsidP="00E6526D">
      <w:pPr>
        <w:spacing w:before="240" w:after="120" w:line="360" w:lineRule="auto"/>
        <w:outlineLvl w:val="2"/>
        <w:rPr>
          <w:rFonts w:ascii="Arial" w:eastAsia="Times New Roman" w:hAnsi="Arial" w:cs="Arial"/>
          <w:b/>
          <w:bCs/>
        </w:rPr>
      </w:pPr>
      <w:bookmarkStart w:id="22" w:name="_Toc220428653"/>
      <w:r w:rsidRPr="00B462CD">
        <w:rPr>
          <w:rFonts w:ascii="Arial" w:eastAsia="Times New Roman" w:hAnsi="Arial" w:cs="Arial"/>
          <w:b/>
          <w:bCs/>
        </w:rPr>
        <w:t>2.5 Immigration Status as a Social Determinant of Health</w:t>
      </w:r>
      <w:bookmarkEnd w:id="22"/>
    </w:p>
    <w:p w14:paraId="70955BF4"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The Social Determinants of Health (SDH) framework is frequently employed to comprehend how an individual's birth, development, living, employment, and ageing circumstances influence their health (WHO, 2021; Marmot et al., 2020). According to this concept, immigration status is a crucial but frequently disregarded feature that interacts with other elements, including gender, age, ethnicity, and socioeconomic status, among others. </w:t>
      </w:r>
      <w:r w:rsidRPr="00B462CD">
        <w:rPr>
          <w:rFonts w:ascii="Arial" w:eastAsia="Times New Roman" w:hAnsi="Arial" w:cs="Arial"/>
        </w:rPr>
        <w:br/>
        <w:t>Immigration status determines legal rights and entitlements, including the right to work, claim benefits, access healthcare, and remain in the UK. These restrictions have far-reaching effects on many migrants, particularly those with temporary or insecure status.</w:t>
      </w:r>
    </w:p>
    <w:p w14:paraId="14DF572F" w14:textId="1D7F1726"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Housing: Migrants may be forced into cramped or inadequate housing due to visa restrictions that prohibit them from accessing social housing. Newham has some of the worst overcrowding in all of England (ONS, 2021). </w:t>
      </w:r>
      <w:r w:rsidRPr="00B462CD">
        <w:rPr>
          <w:rFonts w:ascii="Arial" w:eastAsia="Times New Roman" w:hAnsi="Arial" w:cs="Arial"/>
        </w:rPr>
        <w:br/>
        <w:t>Employment: Low-paying, unstable, or informal jobs with minimal job security and few protections are frequently assigned to migrants with uncertain status</w:t>
      </w:r>
      <w:r w:rsidR="00D02A0E" w:rsidRPr="00B462CD">
        <w:rPr>
          <w:rFonts w:ascii="Arial" w:eastAsia="Times New Roman" w:hAnsi="Arial" w:cs="Arial"/>
        </w:rPr>
        <w:t>,</w:t>
      </w:r>
      <w:r w:rsidRPr="00B462CD">
        <w:rPr>
          <w:rFonts w:ascii="Arial" w:eastAsia="Times New Roman" w:hAnsi="Arial" w:cs="Arial"/>
        </w:rPr>
        <w:t xml:space="preserve"> </w:t>
      </w:r>
      <w:r w:rsidR="00D02A0E" w:rsidRPr="00B462CD">
        <w:rPr>
          <w:rFonts w:ascii="Arial" w:eastAsia="Times New Roman" w:hAnsi="Arial" w:cs="Arial"/>
        </w:rPr>
        <w:t xml:space="preserve">of which BAME migrants are no exception </w:t>
      </w:r>
      <w:r w:rsidRPr="00B462CD">
        <w:rPr>
          <w:rFonts w:ascii="Arial" w:eastAsia="Times New Roman" w:hAnsi="Arial" w:cs="Arial"/>
        </w:rPr>
        <w:t>(Jayaweera, 2019).</w:t>
      </w:r>
      <w:r w:rsidRPr="00B462CD">
        <w:rPr>
          <w:rFonts w:ascii="Arial" w:eastAsia="Times New Roman" w:hAnsi="Arial" w:cs="Arial"/>
        </w:rPr>
        <w:br/>
        <w:t>Income</w:t>
      </w:r>
      <w:r w:rsidR="00FC0536" w:rsidRPr="00B462CD">
        <w:rPr>
          <w:rFonts w:ascii="Arial" w:eastAsia="Times New Roman" w:hAnsi="Arial" w:cs="Arial"/>
        </w:rPr>
        <w:t>:</w:t>
      </w:r>
      <w:r w:rsidR="009B6A43" w:rsidRPr="00B462CD">
        <w:rPr>
          <w:rFonts w:ascii="Arial" w:eastAsia="Times New Roman" w:hAnsi="Arial" w:cs="Arial"/>
        </w:rPr>
        <w:t xml:space="preserve"> </w:t>
      </w:r>
      <w:r w:rsidR="00FC0536" w:rsidRPr="00B462CD">
        <w:rPr>
          <w:rFonts w:ascii="Arial" w:eastAsia="Times New Roman" w:hAnsi="Arial" w:cs="Arial"/>
          <w:kern w:val="0"/>
          <w:lang w:val="en-US" w:eastAsia="en-US"/>
          <w14:ligatures w14:val="none"/>
        </w:rPr>
        <w:t>Significant financial pressures can arise from high visa application fees and associated legal costs in the UK; for example, the fee for indefinite leave to remain is £3,029 per applicant, and families often face multiple rounds of visa fees, health surcharge payments and adviser charges, which can contribute to debt and financial strain for migrant households (Home Office, 2025; Migration Observatory, 2024).</w:t>
      </w:r>
      <w:r w:rsidRPr="00B462CD">
        <w:rPr>
          <w:rFonts w:ascii="Arial" w:eastAsia="Times New Roman" w:hAnsi="Arial" w:cs="Arial"/>
        </w:rPr>
        <w:br/>
        <w:t>Healthcare Access:</w:t>
      </w:r>
      <w:r w:rsidR="00E564A6" w:rsidRPr="00B462CD">
        <w:rPr>
          <w:rFonts w:ascii="Arial" w:eastAsia="Times New Roman" w:hAnsi="Arial" w:cs="Arial"/>
        </w:rPr>
        <w:t xml:space="preserve"> </w:t>
      </w:r>
      <w:r w:rsidR="00E564A6" w:rsidRPr="00B462CD">
        <w:rPr>
          <w:rFonts w:ascii="Arial" w:eastAsia="Times New Roman" w:hAnsi="Arial" w:cs="Arial"/>
          <w:kern w:val="0"/>
          <w:lang w:val="en-US" w:eastAsia="en-US"/>
          <w14:ligatures w14:val="none"/>
        </w:rPr>
        <w:t>Fear of immigration enforcement and data-sharing policies further deters care-seeking, and eligibility limits and complicated registration processes restrict access to services, making it difficult for immigrants to receive healthcare. These hurdles can delay diagnosis, diminish continuity of care, and worsen existing health inequities, particularly for people with unstable immigrant status.</w:t>
      </w:r>
      <w:r w:rsidR="00FD3916" w:rsidRPr="00B462CD">
        <w:rPr>
          <w:rFonts w:ascii="Arial" w:eastAsia="Times New Roman" w:hAnsi="Arial" w:cs="Arial"/>
          <w:kern w:val="0"/>
          <w:lang w:val="en-US" w:eastAsia="en-US"/>
          <w14:ligatures w14:val="none"/>
        </w:rPr>
        <w:t xml:space="preserve"> </w:t>
      </w:r>
      <w:r w:rsidRPr="00B462CD">
        <w:rPr>
          <w:rFonts w:ascii="Arial" w:eastAsia="Times New Roman" w:hAnsi="Arial" w:cs="Arial"/>
        </w:rPr>
        <w:t xml:space="preserve">Poorer health outcomes and more unmet needs arise from migrants with NRPF frequently being unable to obtain free secondary care or specialised treatments (Doctors of the World, 2017). </w:t>
      </w:r>
      <w:r w:rsidRPr="00B462CD">
        <w:rPr>
          <w:rFonts w:ascii="Arial" w:eastAsia="Times New Roman" w:hAnsi="Arial" w:cs="Arial"/>
        </w:rPr>
        <w:br/>
        <w:t>Psychosocial Stress: Prolonged legal uncertainty, daily microaggressions, discrimination, and the possibility of deportation all add to chronic psychological stress and reduce adaptive capacity (Hansen, 2019).</w:t>
      </w:r>
      <w:r w:rsidRPr="00B462CD">
        <w:rPr>
          <w:rFonts w:ascii="Arial" w:eastAsia="Times New Roman" w:hAnsi="Arial" w:cs="Arial"/>
        </w:rPr>
        <w:br/>
        <w:t xml:space="preserve">Although these obstacles are well-established and have been made worse by restrictive laws like the "Hostile Environment," it's crucial to recognise that the government and NHS have also taken constructive steps to assist immigrant health and encourage inclusiveness. For example, the NHS Constitution states that clinical necessity, not financial capacity or immigration status, determines access to healthcare, and new guidelines have made it clearer that some immigrant groups, such as refugees, asylum seekers, and some illegal children, can register with a general practitioner (GP) without providing proof of residency or identity (NHS England, 2022). </w:t>
      </w:r>
      <w:r w:rsidRPr="00B462CD">
        <w:rPr>
          <w:rFonts w:ascii="Arial" w:eastAsia="Times New Roman" w:hAnsi="Arial" w:cs="Arial"/>
        </w:rPr>
        <w:br/>
        <w:t>Recognising the public health necessity of universal access, the UK government acted during the COVID-19 pandemic to guarantee that testing, treatment, and immunisation were accessible to everyone, regardless of immigration status. To increase awareness and lower barriers to care for vulnerable groups, the NHS commissioned outreach initiatives and "migrant health guides," which were created in collaboration with community organisations (PHE, 2021). London's local governments have also tested programs including increased interpretation services, culturally sensitive mental health care, and specialised health inclusion teams.</w:t>
      </w:r>
    </w:p>
    <w:p w14:paraId="12D29CF6"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Additionally, the government's "New Plan for Immigration" has certain promises to enhance refugee integration and mental health services; nevertheless, advocacy groups have expressed both support and disapproval for the extent and execution of these promises. Notwithstanding these encouraging instances, there are still difficulties in guaranteeing that policy is translated into fair practice "on the ground." Due to unfavourable experiences in the past, many migrants still struggle to understand their rights, encounter administrative and cultural obstacles, and maintain mistrust of institutions. To guarantee that rights are respected and that the advantages of inclusive policy are realised for all migrant populations, ongoing investments in staff training, community relationships, and monitoring are crucial.</w:t>
      </w:r>
    </w:p>
    <w:p w14:paraId="34DC4948" w14:textId="59B73B55"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In conclusion, there is evidence of government and NHS initiatives to support health equity and participation for migrants, even though immigra</w:t>
      </w:r>
      <w:r w:rsidR="00FD3916" w:rsidRPr="00B462CD">
        <w:rPr>
          <w:rFonts w:ascii="Arial" w:eastAsia="Times New Roman" w:hAnsi="Arial" w:cs="Arial"/>
        </w:rPr>
        <w:t>tion</w:t>
      </w:r>
      <w:r w:rsidRPr="00B462CD">
        <w:rPr>
          <w:rFonts w:ascii="Arial" w:eastAsia="Times New Roman" w:hAnsi="Arial" w:cs="Arial"/>
        </w:rPr>
        <w:t xml:space="preserve"> status is still a structural determinant of health that can produce and reinforce vulnerability. To bring about long-lasting change, a balanced approach acknowledges both the critical need for structural reform and the need to expand on current beneficial policies and practices.</w:t>
      </w:r>
    </w:p>
    <w:p w14:paraId="01F426AD" w14:textId="77777777" w:rsidR="00A15327" w:rsidRPr="00B462CD" w:rsidRDefault="00A15327" w:rsidP="00E6526D">
      <w:pPr>
        <w:spacing w:before="120" w:after="120" w:line="360" w:lineRule="auto"/>
        <w:outlineLvl w:val="2"/>
        <w:rPr>
          <w:rFonts w:ascii="Arial" w:eastAsia="Times New Roman" w:hAnsi="Arial" w:cs="Arial"/>
          <w:b/>
          <w:bCs/>
        </w:rPr>
      </w:pPr>
      <w:bookmarkStart w:id="23" w:name="_Toc220428654"/>
      <w:r w:rsidRPr="00B462CD">
        <w:rPr>
          <w:rFonts w:ascii="Arial" w:eastAsia="Times New Roman" w:hAnsi="Arial" w:cs="Arial"/>
          <w:b/>
          <w:bCs/>
        </w:rPr>
        <w:t>2.6 Theoretical and Conceptual Frameworks</w:t>
      </w:r>
      <w:bookmarkEnd w:id="23"/>
    </w:p>
    <w:p w14:paraId="0441D3C9" w14:textId="77777777" w:rsidR="000D6A8C" w:rsidRPr="00B462CD" w:rsidRDefault="00A15327" w:rsidP="00E6526D">
      <w:pPr>
        <w:spacing w:before="120" w:after="120" w:line="360" w:lineRule="auto"/>
        <w:outlineLvl w:val="2"/>
        <w:rPr>
          <w:rFonts w:ascii="Arial" w:eastAsia="Times New Roman" w:hAnsi="Arial" w:cs="Arial"/>
        </w:rPr>
      </w:pPr>
      <w:bookmarkStart w:id="24" w:name="_Toc220428655"/>
      <w:r w:rsidRPr="00B462CD">
        <w:rPr>
          <w:rFonts w:ascii="Arial" w:eastAsia="Times New Roman" w:hAnsi="Arial" w:cs="Arial"/>
        </w:rPr>
        <w:t xml:space="preserve">This review incorporates </w:t>
      </w:r>
      <w:proofErr w:type="gramStart"/>
      <w:r w:rsidRPr="00B462CD">
        <w:rPr>
          <w:rFonts w:ascii="Arial" w:eastAsia="Times New Roman" w:hAnsi="Arial" w:cs="Arial"/>
        </w:rPr>
        <w:t>a number of</w:t>
      </w:r>
      <w:proofErr w:type="gramEnd"/>
      <w:r w:rsidRPr="00B462CD">
        <w:rPr>
          <w:rFonts w:ascii="Arial" w:eastAsia="Times New Roman" w:hAnsi="Arial" w:cs="Arial"/>
        </w:rPr>
        <w:t xml:space="preserve"> similar theoretical stances: </w:t>
      </w:r>
      <w:r w:rsidRPr="00B462CD">
        <w:rPr>
          <w:rFonts w:ascii="Arial" w:eastAsia="Times New Roman" w:hAnsi="Arial" w:cs="Arial"/>
        </w:rPr>
        <w:br/>
        <w:t>SDH, or social determinants of health: The SDH model offers a thorough framework for comprehending how social policies and structural elements lead to health disparities.</w:t>
      </w:r>
      <w:r w:rsidR="00AB445B" w:rsidRPr="00B462CD">
        <w:rPr>
          <w:rFonts w:ascii="Arial" w:eastAsia="Times New Roman" w:hAnsi="Arial" w:cs="Arial"/>
        </w:rPr>
        <w:t xml:space="preserve"> </w:t>
      </w:r>
      <w:r w:rsidR="004D5033" w:rsidRPr="00B462CD">
        <w:rPr>
          <w:rFonts w:ascii="Arial" w:hAnsi="Arial" w:cs="Arial"/>
        </w:rPr>
        <w:t xml:space="preserve">It highlights how upstream structural factors, such as housing conditions and employment </w:t>
      </w:r>
      <w:r w:rsidR="00AB445B" w:rsidRPr="00B462CD">
        <w:rPr>
          <w:rFonts w:ascii="Arial" w:hAnsi="Arial" w:cs="Arial"/>
        </w:rPr>
        <w:t>influenced</w:t>
      </w:r>
      <w:r w:rsidR="004D5033" w:rsidRPr="00B462CD">
        <w:rPr>
          <w:rFonts w:ascii="Arial" w:hAnsi="Arial" w:cs="Arial"/>
        </w:rPr>
        <w:t xml:space="preserve"> by legal status, have a greater influence on health outcomes than individual behaviours.</w:t>
      </w:r>
      <w:r w:rsidRPr="00B462CD">
        <w:rPr>
          <w:rFonts w:ascii="Arial" w:eastAsia="Times New Roman" w:hAnsi="Arial" w:cs="Arial"/>
        </w:rPr>
        <w:t xml:space="preserve">  (Marmot et al., 2020).</w:t>
      </w:r>
      <w:r w:rsidRPr="00B462CD">
        <w:rPr>
          <w:rFonts w:ascii="Arial" w:eastAsia="Times New Roman" w:hAnsi="Arial" w:cs="Arial"/>
        </w:rPr>
        <w:br/>
      </w:r>
    </w:p>
    <w:p w14:paraId="7B4D1E5A" w14:textId="58926BE3" w:rsidR="000D6A8C" w:rsidRPr="00B462CD" w:rsidRDefault="00A15327" w:rsidP="00E6526D">
      <w:pPr>
        <w:spacing w:before="120" w:after="120" w:line="360" w:lineRule="auto"/>
        <w:outlineLvl w:val="2"/>
        <w:rPr>
          <w:rFonts w:ascii="Arial" w:eastAsia="Times New Roman" w:hAnsi="Arial" w:cs="Arial"/>
        </w:rPr>
      </w:pPr>
      <w:r w:rsidRPr="00B462CD">
        <w:rPr>
          <w:rFonts w:ascii="Arial" w:eastAsia="Times New Roman" w:hAnsi="Arial" w:cs="Arial"/>
        </w:rPr>
        <w:t>Interpretivism: This paradigm is concerned with how people understand and interpret their experiences. Interpretivist methods show how migrants subjectively feel and negotiate legal precarity, uncertainty, and marginalisation (Bryman, 2016).</w:t>
      </w:r>
      <w:bookmarkEnd w:id="24"/>
      <w:r w:rsidRPr="00B462CD">
        <w:rPr>
          <w:rFonts w:ascii="Arial" w:eastAsia="Times New Roman" w:hAnsi="Arial" w:cs="Arial"/>
        </w:rPr>
        <w:t xml:space="preserve"> </w:t>
      </w:r>
      <w:r w:rsidRPr="00B462CD">
        <w:rPr>
          <w:rFonts w:ascii="Arial" w:eastAsia="Times New Roman" w:hAnsi="Arial" w:cs="Arial"/>
        </w:rPr>
        <w:br/>
      </w:r>
      <w:bookmarkStart w:id="25" w:name="_Toc220428656"/>
    </w:p>
    <w:p w14:paraId="57872D7B" w14:textId="6E061B2A" w:rsidR="00A15327" w:rsidRPr="00B462CD" w:rsidRDefault="00A15327" w:rsidP="00E6526D">
      <w:pPr>
        <w:spacing w:before="120" w:after="120" w:line="360" w:lineRule="auto"/>
        <w:outlineLvl w:val="2"/>
        <w:rPr>
          <w:rFonts w:ascii="Arial" w:eastAsia="Times New Roman" w:hAnsi="Arial" w:cs="Arial"/>
        </w:rPr>
      </w:pPr>
      <w:r w:rsidRPr="00B462CD">
        <w:rPr>
          <w:rFonts w:ascii="Arial" w:eastAsia="Times New Roman" w:hAnsi="Arial" w:cs="Arial"/>
        </w:rPr>
        <w:t xml:space="preserve">Social Constructionism: According to Burr (2015), social constructionism highlights how institutional practices </w:t>
      </w:r>
      <w:r w:rsidR="00AC08FB" w:rsidRPr="00B462CD">
        <w:rPr>
          <w:rFonts w:ascii="Arial" w:eastAsia="Times New Roman" w:hAnsi="Arial" w:cs="Arial"/>
        </w:rPr>
        <w:t xml:space="preserve">and policies </w:t>
      </w:r>
      <w:r w:rsidRPr="00B462CD">
        <w:rPr>
          <w:rFonts w:ascii="Arial" w:eastAsia="Times New Roman" w:hAnsi="Arial" w:cs="Arial"/>
        </w:rPr>
        <w:t>are used to create and preserve categories like "migrant" or "BAME."</w:t>
      </w:r>
      <w:r w:rsidR="00AC08FB" w:rsidRPr="00B462CD">
        <w:rPr>
          <w:rFonts w:ascii="Arial" w:eastAsia="Times New Roman" w:hAnsi="Arial" w:cs="Arial"/>
        </w:rPr>
        <w:t xml:space="preserve"> </w:t>
      </w:r>
      <w:r w:rsidRPr="00B462CD">
        <w:rPr>
          <w:rFonts w:ascii="Arial" w:eastAsia="Times New Roman" w:hAnsi="Arial" w:cs="Arial"/>
        </w:rPr>
        <w:t xml:space="preserve">This viewpoint helps understand how policy affects lived experience and challenges essentialist ideas about ethnicity. </w:t>
      </w:r>
      <w:r w:rsidRPr="00B462CD">
        <w:rPr>
          <w:rFonts w:ascii="Arial" w:eastAsia="Times New Roman" w:hAnsi="Arial" w:cs="Arial"/>
        </w:rPr>
        <w:br/>
        <w:t>The term "intersectionality," which was first used by Crenshaw in 1989, examines how overlapping axes of oppression and identity, such as race, class, gender, and legal status, result in vulnerabilities. For instance, a lady of Bangladeshi descent living in Tower Hamlets with an unstable immigration status might have unique difficulties that other groups do not.</w:t>
      </w:r>
      <w:bookmarkEnd w:id="25"/>
      <w:r w:rsidRPr="00B462CD">
        <w:rPr>
          <w:rFonts w:ascii="Arial" w:eastAsia="Times New Roman" w:hAnsi="Arial" w:cs="Arial"/>
        </w:rPr>
        <w:br/>
      </w:r>
    </w:p>
    <w:p w14:paraId="77E8A14B"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Structural Violence: According to Farmer (2004), policies and societal structures that consistently deny some people access to resources and opportunities can cause harm. The exclusion of migrants from vital services and the normalisation of precarity are clear examples of structural violence in the context of UK immigration policy.</w:t>
      </w:r>
    </w:p>
    <w:p w14:paraId="3280C3BE"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When combined, these frameworks provide a comprehensive knowledge of how social, institutional, and policy elements interact to impact health in addition to personal decisions.</w:t>
      </w:r>
    </w:p>
    <w:p w14:paraId="10E20F7E" w14:textId="77777777" w:rsidR="00A15327" w:rsidRPr="00B462CD" w:rsidRDefault="00A15327" w:rsidP="00E6526D">
      <w:pPr>
        <w:spacing w:before="240" w:after="120" w:line="360" w:lineRule="auto"/>
        <w:outlineLvl w:val="2"/>
        <w:rPr>
          <w:rFonts w:ascii="Arial" w:eastAsia="Times New Roman" w:hAnsi="Arial" w:cs="Arial"/>
          <w:b/>
          <w:bCs/>
        </w:rPr>
      </w:pPr>
      <w:bookmarkStart w:id="26" w:name="_Toc220428657"/>
      <w:r w:rsidRPr="00B462CD">
        <w:rPr>
          <w:rFonts w:ascii="Arial" w:eastAsia="Times New Roman" w:hAnsi="Arial" w:cs="Arial"/>
          <w:b/>
          <w:bCs/>
        </w:rPr>
        <w:t>2.7 The Impact of UK Immigration Policy and the “Hostile Environment”</w:t>
      </w:r>
      <w:bookmarkEnd w:id="26"/>
    </w:p>
    <w:p w14:paraId="4B79027B"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Over the past ten years, the UK's immigration laws have gotten more stringent, primarily because of the implementation of the "hostile environment" policy framework. Introduced in 2012, this combination of policies restricts access to jobs, housing, healthcare, banking, and driver's licenses to make life as difficult as possible for individuals without regularised immigration status (Yuval-Davis et al., 2019). Additional obstacles to healthcare and social support have been brought about by policies, including the increase of NRPF conditions, data sharing between the NHS and the Home Office, and NHS pricing for foreign visitors.</w:t>
      </w:r>
    </w:p>
    <w:p w14:paraId="7C60FAE0"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Empirical studies document the chilling effect of these policies on health-seeking behaviour. Nowadays, a lot of immigrants steer clear of medical care because they worry that their information may be disclosed to immigration authorities, which could result in additional exclusion and treatment delays (Doctors of the World, 2017). Living in a hostile environment has also been connected to social isolation, feelings of exclusion, and long-term psychological stress (Potter et al., 2020). </w:t>
      </w:r>
      <w:r w:rsidRPr="00B462CD">
        <w:rPr>
          <w:rFonts w:ascii="Arial" w:eastAsia="Times New Roman" w:hAnsi="Arial" w:cs="Arial"/>
        </w:rPr>
        <w:br/>
        <w:t>In super-diverse, underprivileged communities like East London, where residents are dependent on public services and voluntary sector organisations for help, the effects of the hostile environment are especially severe. Many migrants were unable or unwilling to obtain healthcare, testing, or vaccination services out of fear of consequences (PHE, 2020).</w:t>
      </w:r>
    </w:p>
    <w:p w14:paraId="2F856D8B"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These results highlight the necessity of changing legislation to put everyone's rights and health equity first.</w:t>
      </w:r>
    </w:p>
    <w:p w14:paraId="2CC8453D" w14:textId="77777777" w:rsidR="00A15327" w:rsidRPr="00B462CD" w:rsidRDefault="00A15327" w:rsidP="00E6526D">
      <w:pPr>
        <w:spacing w:before="240" w:after="120" w:line="360" w:lineRule="auto"/>
        <w:outlineLvl w:val="2"/>
        <w:rPr>
          <w:rFonts w:ascii="Arial" w:eastAsia="Times New Roman" w:hAnsi="Arial" w:cs="Arial"/>
          <w:b/>
          <w:bCs/>
        </w:rPr>
      </w:pPr>
      <w:bookmarkStart w:id="27" w:name="_Toc220428658"/>
      <w:r w:rsidRPr="00B462CD">
        <w:rPr>
          <w:rFonts w:ascii="Arial" w:eastAsia="Times New Roman" w:hAnsi="Arial" w:cs="Arial"/>
          <w:b/>
          <w:bCs/>
        </w:rPr>
        <w:t>2.8 The Role of Community and Voluntary Sector Organisations</w:t>
      </w:r>
      <w:bookmarkEnd w:id="27"/>
    </w:p>
    <w:p w14:paraId="1A15038A" w14:textId="0BD5115A" w:rsidR="00A15327" w:rsidRPr="00B462CD" w:rsidRDefault="00A15327" w:rsidP="00E6526D">
      <w:pPr>
        <w:spacing w:line="360" w:lineRule="auto"/>
        <w:rPr>
          <w:rFonts w:ascii="Arial" w:eastAsia="Times New Roman" w:hAnsi="Arial" w:cs="Arial"/>
        </w:rPr>
      </w:pPr>
      <w:proofErr w:type="gramStart"/>
      <w:r w:rsidRPr="00B462CD">
        <w:rPr>
          <w:rFonts w:ascii="Arial" w:eastAsia="Times New Roman" w:hAnsi="Arial" w:cs="Arial"/>
        </w:rPr>
        <w:t>In an effort to</w:t>
      </w:r>
      <w:proofErr w:type="gramEnd"/>
      <w:r w:rsidRPr="00B462CD">
        <w:rPr>
          <w:rFonts w:ascii="Arial" w:eastAsia="Times New Roman" w:hAnsi="Arial" w:cs="Arial"/>
        </w:rPr>
        <w:t xml:space="preserve"> lessen some of the detrimental consequences of hostile policy environments and structural disadvantage, community and voluntary sector organisations (VSOs) are essential. VSOs frequently serve as intermediaries between established health and social care institutions and migrants. They assist migrants in navigating complicated legal and administrative systems by offering information, advocacy, language assistance, and culturally relevant services (Phillimore et al., 2020). </w:t>
      </w:r>
      <w:r w:rsidRPr="00B462CD">
        <w:rPr>
          <w:rFonts w:ascii="Arial" w:eastAsia="Times New Roman" w:hAnsi="Arial" w:cs="Arial"/>
        </w:rPr>
        <w:br/>
        <w:t xml:space="preserve">VSOs themselves, however, confront formidable obstacles. Their ability to assist the neediest </w:t>
      </w:r>
      <w:r w:rsidR="00542BDB" w:rsidRPr="00B462CD">
        <w:rPr>
          <w:rFonts w:ascii="Arial" w:eastAsia="Times New Roman" w:hAnsi="Arial" w:cs="Arial"/>
        </w:rPr>
        <w:t xml:space="preserve">in communities </w:t>
      </w:r>
      <w:r w:rsidRPr="00B462CD">
        <w:rPr>
          <w:rFonts w:ascii="Arial" w:eastAsia="Times New Roman" w:hAnsi="Arial" w:cs="Arial"/>
        </w:rPr>
        <w:t>has been limited by</w:t>
      </w:r>
      <w:r w:rsidR="00F80B4E" w:rsidRPr="00B462CD">
        <w:rPr>
          <w:rFonts w:ascii="Arial" w:eastAsia="Times New Roman" w:hAnsi="Arial" w:cs="Arial"/>
        </w:rPr>
        <w:t xml:space="preserve"> </w:t>
      </w:r>
      <w:r w:rsidR="0033155A" w:rsidRPr="00B462CD">
        <w:rPr>
          <w:rFonts w:ascii="Arial" w:eastAsia="Times New Roman" w:hAnsi="Arial" w:cs="Arial"/>
        </w:rPr>
        <w:t xml:space="preserve">a reduction in </w:t>
      </w:r>
      <w:r w:rsidR="00F80B4E" w:rsidRPr="00B462CD">
        <w:rPr>
          <w:rFonts w:ascii="Arial" w:hAnsi="Arial" w:cs="Arial"/>
        </w:rPr>
        <w:t xml:space="preserve">funding, combined with pressures from higher demand and political considerations, </w:t>
      </w:r>
      <w:r w:rsidR="0033155A" w:rsidRPr="00B462CD">
        <w:rPr>
          <w:rFonts w:ascii="Arial" w:hAnsi="Arial" w:cs="Arial"/>
        </w:rPr>
        <w:t xml:space="preserve">which </w:t>
      </w:r>
      <w:r w:rsidR="00F80B4E" w:rsidRPr="00B462CD">
        <w:rPr>
          <w:rFonts w:ascii="Arial" w:hAnsi="Arial" w:cs="Arial"/>
        </w:rPr>
        <w:t>are placing significant strain on services</w:t>
      </w:r>
      <w:r w:rsidRPr="00B462CD">
        <w:rPr>
          <w:rFonts w:ascii="Arial" w:eastAsia="Times New Roman" w:hAnsi="Arial" w:cs="Arial"/>
        </w:rPr>
        <w:t>. Despite these challenges, their work is nonetheless essential, especially in extremely diverse places like East London, where statutory services are sometimes overburdened or unavailable to migrants with precarious status (Dixon-Woods et al., 2018).</w:t>
      </w:r>
    </w:p>
    <w:p w14:paraId="33357876" w14:textId="77777777" w:rsidR="00A15327" w:rsidRPr="00B462CD" w:rsidRDefault="00A15327" w:rsidP="00E6526D">
      <w:pPr>
        <w:spacing w:before="240" w:after="120" w:line="360" w:lineRule="auto"/>
        <w:outlineLvl w:val="2"/>
        <w:rPr>
          <w:rFonts w:ascii="Arial" w:eastAsia="Times New Roman" w:hAnsi="Arial" w:cs="Arial"/>
          <w:b/>
          <w:bCs/>
        </w:rPr>
      </w:pPr>
      <w:bookmarkStart w:id="28" w:name="_Toc220428659"/>
      <w:r w:rsidRPr="00B462CD">
        <w:rPr>
          <w:rFonts w:ascii="Arial" w:eastAsia="Times New Roman" w:hAnsi="Arial" w:cs="Arial"/>
          <w:b/>
          <w:bCs/>
        </w:rPr>
        <w:t>2.9 Gaps and Limitations in the Literature</w:t>
      </w:r>
      <w:bookmarkEnd w:id="28"/>
    </w:p>
    <w:p w14:paraId="255B0A9B"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Despite the wealth of research on migration, ethnicity, and health in the UK, there are still a number of significant gaps: </w:t>
      </w:r>
      <w:r w:rsidRPr="00B462CD">
        <w:rPr>
          <w:rFonts w:ascii="Arial" w:eastAsia="Times New Roman" w:hAnsi="Arial" w:cs="Arial"/>
        </w:rPr>
        <w:br/>
        <w:t>Over-reliance on Quantitative Data: A substantial portion of current research is based on administrative data and extensive surveys, which are useful for identifying trends but frequently fall short of capturing the complexity of lived experience (Salway et al., 2016).</w:t>
      </w:r>
      <w:r w:rsidRPr="00B462CD">
        <w:rPr>
          <w:rFonts w:ascii="Arial" w:eastAsia="Times New Roman" w:hAnsi="Arial" w:cs="Arial"/>
        </w:rPr>
        <w:br/>
      </w:r>
    </w:p>
    <w:p w14:paraId="30B29794" w14:textId="3557471F"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 xml:space="preserve">Limited Focus on Lived Experience: In-depth qualitative research that centres the voices of migrants themselves is lacking, especially when it comes to how they deal with chronic stress, navigate health systems, </w:t>
      </w:r>
      <w:r w:rsidR="005C7A58" w:rsidRPr="00B462CD">
        <w:rPr>
          <w:rFonts w:ascii="Arial" w:eastAsia="Times New Roman" w:hAnsi="Arial" w:cs="Arial"/>
        </w:rPr>
        <w:t xml:space="preserve">cope </w:t>
      </w:r>
      <w:r w:rsidRPr="00B462CD">
        <w:rPr>
          <w:rFonts w:ascii="Arial" w:eastAsia="Times New Roman" w:hAnsi="Arial" w:cs="Arial"/>
        </w:rPr>
        <w:t xml:space="preserve">and encounter legal precarity (Crawshaw et al., 2021). </w:t>
      </w:r>
      <w:r w:rsidRPr="00B462CD">
        <w:rPr>
          <w:rFonts w:ascii="Arial" w:eastAsia="Times New Roman" w:hAnsi="Arial" w:cs="Arial"/>
        </w:rPr>
        <w:br/>
      </w:r>
    </w:p>
    <w:p w14:paraId="4E6DD63E" w14:textId="77777777" w:rsidR="00A15327" w:rsidRPr="00B462CD" w:rsidRDefault="00A15327" w:rsidP="00E6526D">
      <w:pPr>
        <w:spacing w:line="360" w:lineRule="auto"/>
        <w:rPr>
          <w:rFonts w:ascii="Arial" w:eastAsia="Times New Roman" w:hAnsi="Arial" w:cs="Arial"/>
        </w:rPr>
      </w:pPr>
      <w:r w:rsidRPr="00B462CD">
        <w:rPr>
          <w:rFonts w:ascii="Arial" w:eastAsia="Times New Roman" w:hAnsi="Arial" w:cs="Arial"/>
        </w:rPr>
        <w:t>Confusion of Ethnicity and Migration: Many studies do not differentiate between BAME people who were born in the UK and migrants who were not, which obscures the unique vulnerabilities related to immigration status (Virdee, 2020).</w:t>
      </w:r>
    </w:p>
    <w:p w14:paraId="01F1BD4B" w14:textId="2FA7D5F0" w:rsidR="003B3F0A" w:rsidRPr="00B462CD" w:rsidRDefault="00A15327" w:rsidP="00E6526D">
      <w:pPr>
        <w:spacing w:line="360" w:lineRule="auto"/>
        <w:rPr>
          <w:rFonts w:ascii="Arial" w:eastAsia="Times New Roman" w:hAnsi="Arial" w:cs="Arial"/>
        </w:rPr>
      </w:pPr>
      <w:r w:rsidRPr="00B462CD">
        <w:rPr>
          <w:rFonts w:ascii="Arial" w:eastAsia="Times New Roman" w:hAnsi="Arial" w:cs="Arial"/>
        </w:rPr>
        <w:t>Mechanistic Gaps:</w:t>
      </w:r>
      <w:r w:rsidR="00533D31" w:rsidRPr="00B462CD">
        <w:rPr>
          <w:rFonts w:ascii="Arial" w:eastAsia="Times New Roman" w:hAnsi="Arial" w:cs="Arial"/>
        </w:rPr>
        <w:t xml:space="preserve"> </w:t>
      </w:r>
      <w:r w:rsidR="00533D31" w:rsidRPr="00B462CD">
        <w:rPr>
          <w:rFonts w:ascii="Arial" w:hAnsi="Arial" w:cs="Arial"/>
        </w:rPr>
        <w:t>According to Hansen (2019), there is a dearth of research elucidating the mechanisms by which policy settings and discrimination, alongside legal insecurity, are embodied and translated into negative health effects. These mechanisms are complex, encompassing both the direct physiological and psychological impacts of stress and the indirect consequences of reduced access to healthcare, insecure housing, and financial instability.</w:t>
      </w:r>
      <w:r w:rsidRPr="00B462CD">
        <w:rPr>
          <w:rFonts w:ascii="Arial" w:eastAsia="Times New Roman" w:hAnsi="Arial" w:cs="Arial"/>
        </w:rPr>
        <w:t xml:space="preserve">  </w:t>
      </w:r>
      <w:r w:rsidRPr="00B462CD">
        <w:rPr>
          <w:rFonts w:ascii="Arial" w:eastAsia="Times New Roman" w:hAnsi="Arial" w:cs="Arial"/>
        </w:rPr>
        <w:br/>
        <w:t>Underrepresentation of Intersectionality: Research frequently ignores how various identities and forms of oppression intersect to influence health, resulting in insufficient analysis and perhaps deceptive findings (Crenshaw, 1989).</w:t>
      </w:r>
      <w:r w:rsidR="000C3B51" w:rsidRPr="00B462CD">
        <w:rPr>
          <w:rFonts w:ascii="Arial" w:eastAsia="Times New Roman" w:hAnsi="Arial" w:cs="Arial"/>
        </w:rPr>
        <w:t xml:space="preserve"> </w:t>
      </w:r>
      <w:r w:rsidR="000C3B51" w:rsidRPr="00B462CD">
        <w:rPr>
          <w:rFonts w:ascii="Arial" w:hAnsi="Arial" w:cs="Arial"/>
        </w:rPr>
        <w:t>Some of these gaps are beginning to be addressed by recent qualitative research, which demonstrates how fear of deportation and uncertainty, alongside experiences of discrimination, are intensely felt and embodied in day-to-day life (Phillimore et al., 2020). To fully understand the cumulative and intersecting effects of place, identity, and policy on health, further study is required.</w:t>
      </w:r>
      <w:bookmarkStart w:id="29" w:name="_Toc220428660"/>
    </w:p>
    <w:p w14:paraId="20ED0F2C" w14:textId="39E42F27" w:rsidR="00A15327" w:rsidRPr="00B462CD" w:rsidRDefault="00A15327" w:rsidP="00E6526D">
      <w:pPr>
        <w:spacing w:line="360" w:lineRule="auto"/>
        <w:rPr>
          <w:rFonts w:ascii="Arial" w:eastAsia="Times New Roman" w:hAnsi="Arial" w:cs="Arial"/>
          <w:b/>
          <w:bCs/>
        </w:rPr>
      </w:pPr>
      <w:r w:rsidRPr="00B462CD">
        <w:rPr>
          <w:rFonts w:ascii="Arial" w:eastAsia="Times New Roman" w:hAnsi="Arial" w:cs="Arial"/>
          <w:b/>
          <w:bCs/>
        </w:rPr>
        <w:t>2.10 Chapter Summary</w:t>
      </w:r>
      <w:bookmarkEnd w:id="29"/>
    </w:p>
    <w:p w14:paraId="61F172F0" w14:textId="74B537CE" w:rsidR="00A15327" w:rsidRPr="00B462CD" w:rsidRDefault="00A15327" w:rsidP="00E6526D">
      <w:pPr>
        <w:spacing w:before="100" w:beforeAutospacing="1" w:after="100" w:afterAutospacing="1" w:line="360" w:lineRule="auto"/>
        <w:outlineLvl w:val="2"/>
        <w:rPr>
          <w:rFonts w:ascii="Arial" w:eastAsia="Times New Roman" w:hAnsi="Arial" w:cs="Arial"/>
          <w:b/>
          <w:bCs/>
        </w:rPr>
      </w:pPr>
      <w:bookmarkStart w:id="30" w:name="_Toc220428661"/>
      <w:r w:rsidRPr="00B462CD">
        <w:rPr>
          <w:rFonts w:ascii="Arial" w:eastAsia="Times New Roman" w:hAnsi="Arial" w:cs="Arial"/>
        </w:rPr>
        <w:t xml:space="preserve">With an emphasis on how immigration status functions as a significant social determinant of health, this chapter offers a critical analysis of the research on migration, </w:t>
      </w:r>
      <w:r w:rsidR="00430E3B" w:rsidRPr="00B462CD">
        <w:rPr>
          <w:rFonts w:ascii="Arial" w:eastAsia="Times New Roman" w:hAnsi="Arial" w:cs="Arial"/>
        </w:rPr>
        <w:t xml:space="preserve">immigration </w:t>
      </w:r>
      <w:r w:rsidR="00A84259" w:rsidRPr="00B462CD">
        <w:rPr>
          <w:rFonts w:ascii="Arial" w:eastAsia="Times New Roman" w:hAnsi="Arial" w:cs="Arial"/>
        </w:rPr>
        <w:t xml:space="preserve">status, </w:t>
      </w:r>
      <w:r w:rsidRPr="00B462CD">
        <w:rPr>
          <w:rFonts w:ascii="Arial" w:eastAsia="Times New Roman" w:hAnsi="Arial" w:cs="Arial"/>
        </w:rPr>
        <w:t>ethnicity, and health disparities. The chapter summarised key findings and shed light on the intricate interactions between structural, policy, and psychosocial factors influencing health outcomes for migrant and BAME populations, building on research done both domestically and abroad. The distinctive demographic geography of East London, where high levels of diversity combine with ongoing socioeconomic disadvantage to create difficulties for public health, received special attention. This review found significant strengths in the scope of quantitative research and the expanding understanding of structural causes when evaluating the current level of scholarship.</w:t>
      </w:r>
      <w:bookmarkEnd w:id="30"/>
      <w:r w:rsidR="004F4F16" w:rsidRPr="00B462CD">
        <w:rPr>
          <w:rFonts w:ascii="Arial" w:eastAsia="Times New Roman" w:hAnsi="Arial" w:cs="Arial"/>
          <w:b/>
          <w:bCs/>
        </w:rPr>
        <w:t xml:space="preserve"> </w:t>
      </w:r>
      <w:r w:rsidRPr="00B462CD">
        <w:rPr>
          <w:rFonts w:ascii="Arial" w:eastAsia="Times New Roman" w:hAnsi="Arial" w:cs="Arial"/>
        </w:rPr>
        <w:t>It did, however, also draw attention to important shortcomings, including the underrepresentation of intersectional analyses that consider several, overlapping axes of disadvantage, the common confusion of ethnicity with migration, and the scant investigation of lived experience. The conceptual approach of this research was influenced by the discussion of theoretical frameworks, such as intersectionality, structural violence, and the Social Determinants of Health, which provide a basis for comprehending these difficulties.  This research aims to provide fresh perspectives on the mechanisms behind health disparities among BAME adult migrants in East London by filling these gaps. The methodology for documenting these complex experiences is described in the next chapter.</w:t>
      </w:r>
    </w:p>
    <w:p w14:paraId="06D33FE7" w14:textId="77777777" w:rsidR="00A15327" w:rsidRPr="00B462CD" w:rsidRDefault="00A15327" w:rsidP="00E6526D">
      <w:pPr>
        <w:spacing w:line="360" w:lineRule="auto"/>
        <w:rPr>
          <w:rFonts w:ascii="Arial" w:eastAsia="Times New Roman" w:hAnsi="Arial" w:cs="Arial"/>
          <w:b/>
          <w:bCs/>
        </w:rPr>
      </w:pPr>
    </w:p>
    <w:p w14:paraId="714724CE" w14:textId="77777777" w:rsidR="00A15327" w:rsidRPr="00B462CD" w:rsidRDefault="00A15327" w:rsidP="00E6526D">
      <w:pPr>
        <w:spacing w:line="360" w:lineRule="auto"/>
        <w:rPr>
          <w:rFonts w:ascii="Arial" w:eastAsia="Times New Roman" w:hAnsi="Arial" w:cs="Arial"/>
          <w:b/>
          <w:bCs/>
        </w:rPr>
      </w:pPr>
    </w:p>
    <w:p w14:paraId="515BF343" w14:textId="77777777" w:rsidR="00A15327" w:rsidRPr="00B462CD" w:rsidRDefault="00A15327" w:rsidP="00E6526D">
      <w:pPr>
        <w:spacing w:line="360" w:lineRule="auto"/>
        <w:rPr>
          <w:rFonts w:ascii="Arial" w:eastAsia="Times New Roman" w:hAnsi="Arial" w:cs="Arial"/>
          <w:b/>
          <w:bCs/>
        </w:rPr>
      </w:pPr>
      <w:r w:rsidRPr="00B462CD">
        <w:rPr>
          <w:rFonts w:ascii="Arial" w:eastAsia="Times New Roman" w:hAnsi="Arial" w:cs="Arial"/>
          <w:b/>
          <w:bCs/>
        </w:rPr>
        <w:br w:type="page"/>
      </w:r>
    </w:p>
    <w:p w14:paraId="76F0B456" w14:textId="3A8CAE3D" w:rsidR="00921B2A" w:rsidRPr="00B462CD" w:rsidRDefault="00921B2A" w:rsidP="00E6526D">
      <w:pPr>
        <w:spacing w:line="360" w:lineRule="auto"/>
        <w:rPr>
          <w:rFonts w:ascii="Arial" w:eastAsia="Times New Roman" w:hAnsi="Arial" w:cs="Arial"/>
          <w:b/>
          <w:bCs/>
        </w:rPr>
      </w:pPr>
      <w:r w:rsidRPr="00B462CD">
        <w:rPr>
          <w:rFonts w:ascii="Arial" w:eastAsia="Times New Roman" w:hAnsi="Arial" w:cs="Arial"/>
          <w:b/>
          <w:bCs/>
          <w:kern w:val="0"/>
          <w:lang w:eastAsia="en-US"/>
          <w14:ligatures w14:val="none"/>
        </w:rPr>
        <w:t>Chapter 3: Methodology</w:t>
      </w:r>
    </w:p>
    <w:p w14:paraId="0B43358A" w14:textId="77777777" w:rsidR="00921B2A" w:rsidRPr="00B462CD" w:rsidRDefault="00921B2A"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31" w:name="_Toc220428662"/>
      <w:r w:rsidRPr="00B462CD">
        <w:rPr>
          <w:rFonts w:ascii="Arial" w:eastAsia="Arial" w:hAnsi="Arial" w:cs="Arial"/>
          <w:b/>
          <w:bCs/>
          <w:kern w:val="0"/>
          <w:lang w:eastAsia="en-US"/>
          <w14:ligatures w14:val="none"/>
        </w:rPr>
        <w:t>3.1 Introduction</w:t>
      </w:r>
      <w:bookmarkEnd w:id="31"/>
    </w:p>
    <w:p w14:paraId="2C69B0FF" w14:textId="5CA3BAEB" w:rsidR="00921B2A" w:rsidRPr="00B462CD" w:rsidRDefault="00921B2A"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32" w:name="_Toc220428663"/>
      <w:r w:rsidRPr="00B462CD">
        <w:rPr>
          <w:rFonts w:ascii="Arial" w:eastAsia="Times New Roman" w:hAnsi="Arial" w:cs="Arial"/>
          <w:kern w:val="0"/>
          <w:lang w:eastAsia="en-US"/>
          <w14:ligatures w14:val="none"/>
        </w:rPr>
        <w:t xml:space="preserve">The methodology used to investigate the effects of immigration status on the health and well-being of adult migrants from Black, Asian, and Minority Ethnic (BAME) backgrounds in East London is described in this chapter. Since the goal is to comprehend lived experience rather than measure or generalise results quantitatively, a qualitative, interpretivist approach was selected since it works especially well for examining difficult, context-dependent, and delicate subjects. With this strategy, the researcher can record the subtle viewpoints, feelings, </w:t>
      </w:r>
      <w:r w:rsidR="00A84259" w:rsidRPr="00B462CD">
        <w:rPr>
          <w:rFonts w:ascii="Arial" w:eastAsia="Times New Roman" w:hAnsi="Arial" w:cs="Arial"/>
          <w:kern w:val="0"/>
          <w:lang w:eastAsia="en-US"/>
          <w14:ligatures w14:val="none"/>
        </w:rPr>
        <w:t xml:space="preserve">experiences, </w:t>
      </w:r>
      <w:r w:rsidRPr="00B462CD">
        <w:rPr>
          <w:rFonts w:ascii="Arial" w:eastAsia="Times New Roman" w:hAnsi="Arial" w:cs="Arial"/>
          <w:kern w:val="0"/>
          <w:lang w:eastAsia="en-US"/>
          <w14:ligatures w14:val="none"/>
        </w:rPr>
        <w:t>and tactics that quantitative approaches could miss. The research aims to produce a comprehensive, contextualised understanding of how legal status and broader social variables impact health and well-being by emphasising participant narratives. The chapter covers the research's philosophical foundations, the justification for a qualitative design, participant and research site selection, data collection and analysis methods, ethical issues, trustworthiness tactics, and the reflexivity and positionality of the researcher.</w:t>
      </w:r>
      <w:bookmarkEnd w:id="32"/>
    </w:p>
    <w:p w14:paraId="6DB7F383" w14:textId="77777777" w:rsidR="00921B2A" w:rsidRPr="00B462CD" w:rsidRDefault="00921B2A" w:rsidP="00E6526D">
      <w:pPr>
        <w:spacing w:before="100" w:beforeAutospacing="1" w:after="100" w:afterAutospacing="1" w:line="360" w:lineRule="auto"/>
        <w:outlineLvl w:val="1"/>
        <w:rPr>
          <w:rFonts w:ascii="Arial" w:eastAsia="Times New Roman" w:hAnsi="Arial" w:cs="Arial"/>
          <w:kern w:val="0"/>
          <w:lang w:eastAsia="en-US"/>
          <w14:ligatures w14:val="none"/>
        </w:rPr>
      </w:pPr>
      <w:bookmarkStart w:id="33" w:name="_Toc220428664"/>
      <w:r w:rsidRPr="00B462CD">
        <w:rPr>
          <w:rFonts w:ascii="Arial" w:eastAsia="Times New Roman" w:hAnsi="Arial" w:cs="Arial"/>
          <w:b/>
          <w:bCs/>
          <w:kern w:val="0"/>
          <w:lang w:eastAsia="en-US"/>
          <w14:ligatures w14:val="none"/>
        </w:rPr>
        <w:t>3.2 Research Design and Philosophical Underpinnings</w:t>
      </w:r>
      <w:bookmarkEnd w:id="33"/>
      <w:r w:rsidRPr="00B462CD">
        <w:rPr>
          <w:rFonts w:ascii="Arial" w:eastAsia="Times New Roman" w:hAnsi="Arial" w:cs="Arial"/>
          <w:kern w:val="0"/>
          <w:lang w:eastAsia="en-US"/>
          <w14:ligatures w14:val="none"/>
        </w:rPr>
        <w:t xml:space="preserve"> </w:t>
      </w:r>
    </w:p>
    <w:p w14:paraId="4505D05E" w14:textId="2CB6D0A6" w:rsidR="00921B2A" w:rsidRPr="00B462CD" w:rsidRDefault="00921B2A"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34" w:name="_Toc220428665"/>
      <w:r w:rsidRPr="00B462CD">
        <w:rPr>
          <w:rFonts w:ascii="Arial" w:eastAsia="Times New Roman" w:hAnsi="Arial" w:cs="Arial"/>
          <w:kern w:val="0"/>
          <w:lang w:eastAsia="en-US"/>
          <w14:ligatures w14:val="none"/>
        </w:rPr>
        <w:t xml:space="preserve">A qualitative research technique was chosen to address the study topic because it is especially well-suited to documenting the social realities and lived experiences of marginalised communities (Creswell &amp; </w:t>
      </w:r>
      <w:proofErr w:type="spellStart"/>
      <w:r w:rsidRPr="00B462CD">
        <w:rPr>
          <w:rFonts w:ascii="Arial" w:eastAsia="Times New Roman" w:hAnsi="Arial" w:cs="Arial"/>
          <w:kern w:val="0"/>
          <w:lang w:eastAsia="en-US"/>
          <w14:ligatures w14:val="none"/>
        </w:rPr>
        <w:t>Poth</w:t>
      </w:r>
      <w:proofErr w:type="spellEnd"/>
      <w:r w:rsidRPr="00B462CD">
        <w:rPr>
          <w:rFonts w:ascii="Arial" w:eastAsia="Times New Roman" w:hAnsi="Arial" w:cs="Arial"/>
          <w:kern w:val="0"/>
          <w:lang w:eastAsia="en-US"/>
          <w14:ligatures w14:val="none"/>
        </w:rPr>
        <w:t>, 2018; Braun &amp; Clarke, 2021). The study is based on an interpretivist paradigm, which acknowledges that people's realities are influenced by their social, cultural,</w:t>
      </w:r>
      <w:r w:rsidR="008931BE" w:rsidRPr="00B462CD">
        <w:rPr>
          <w:rFonts w:ascii="Arial" w:eastAsia="Times New Roman" w:hAnsi="Arial" w:cs="Arial"/>
          <w:kern w:val="0"/>
          <w:lang w:eastAsia="en-US"/>
          <w14:ligatures w14:val="none"/>
        </w:rPr>
        <w:t xml:space="preserve"> and </w:t>
      </w:r>
      <w:r w:rsidRPr="00B462CD">
        <w:rPr>
          <w:rFonts w:ascii="Arial" w:eastAsia="Times New Roman" w:hAnsi="Arial" w:cs="Arial"/>
          <w:kern w:val="0"/>
          <w:lang w:eastAsia="en-US"/>
          <w14:ligatures w14:val="none"/>
        </w:rPr>
        <w:t xml:space="preserve">historical positions </w:t>
      </w:r>
      <w:r w:rsidR="008931BE" w:rsidRPr="00B462CD">
        <w:rPr>
          <w:rFonts w:ascii="Arial" w:eastAsia="Times New Roman" w:hAnsi="Arial" w:cs="Arial"/>
          <w:kern w:val="0"/>
          <w:lang w:eastAsia="en-US"/>
          <w14:ligatures w14:val="none"/>
        </w:rPr>
        <w:t xml:space="preserve">and immigration status </w:t>
      </w:r>
      <w:r w:rsidRPr="00B462CD">
        <w:rPr>
          <w:rFonts w:ascii="Arial" w:eastAsia="Times New Roman" w:hAnsi="Arial" w:cs="Arial"/>
          <w:kern w:val="0"/>
          <w:lang w:eastAsia="en-US"/>
          <w14:ligatures w14:val="none"/>
        </w:rPr>
        <w:t xml:space="preserve">and that knowledge is created through interaction, language, </w:t>
      </w:r>
      <w:r w:rsidR="003E44E9" w:rsidRPr="00B462CD">
        <w:rPr>
          <w:rFonts w:ascii="Arial" w:eastAsia="Times New Roman" w:hAnsi="Arial" w:cs="Arial"/>
          <w:kern w:val="0"/>
          <w:lang w:eastAsia="en-US"/>
          <w14:ligatures w14:val="none"/>
        </w:rPr>
        <w:t xml:space="preserve">experience </w:t>
      </w:r>
      <w:r w:rsidRPr="00B462CD">
        <w:rPr>
          <w:rFonts w:ascii="Arial" w:eastAsia="Times New Roman" w:hAnsi="Arial" w:cs="Arial"/>
          <w:kern w:val="0"/>
          <w:lang w:eastAsia="en-US"/>
          <w14:ligatures w14:val="none"/>
        </w:rPr>
        <w:t>and context (Bryman, 2016). Constructivist epistemology complements this paradigm, allowing the researcher to delve deeply into participants' subjective interpretations of their experiences with migration, legal precariousness, and health (Burr, 2015). The topic's complexity and diversity influenced the choice of a qualitative research design. Although useful for spotting patterns and trends, quantitative methods frequently fall short of capturing the complexity and subtlety of everyday experiences, particularly when it comes to delicate topics like immigra</w:t>
      </w:r>
      <w:r w:rsidR="003E44E9" w:rsidRPr="00B462CD">
        <w:rPr>
          <w:rFonts w:ascii="Arial" w:eastAsia="Times New Roman" w:hAnsi="Arial" w:cs="Arial"/>
          <w:kern w:val="0"/>
          <w:lang w:eastAsia="en-US"/>
          <w14:ligatures w14:val="none"/>
        </w:rPr>
        <w:t>tion</w:t>
      </w:r>
      <w:r w:rsidRPr="00B462CD">
        <w:rPr>
          <w:rFonts w:ascii="Arial" w:eastAsia="Times New Roman" w:hAnsi="Arial" w:cs="Arial"/>
          <w:kern w:val="0"/>
          <w:lang w:eastAsia="en-US"/>
          <w14:ligatures w14:val="none"/>
        </w:rPr>
        <w:t xml:space="preserve"> status, prejudice, and health inequalities (Salway et al., 2016; </w:t>
      </w:r>
      <w:proofErr w:type="spellStart"/>
      <w:r w:rsidRPr="00B462CD">
        <w:rPr>
          <w:rFonts w:ascii="Arial" w:eastAsia="Times New Roman" w:hAnsi="Arial" w:cs="Arial"/>
          <w:kern w:val="0"/>
          <w:lang w:eastAsia="en-US"/>
          <w14:ligatures w14:val="none"/>
        </w:rPr>
        <w:t>Nazroo</w:t>
      </w:r>
      <w:proofErr w:type="spellEnd"/>
      <w:r w:rsidRPr="00B462CD">
        <w:rPr>
          <w:rFonts w:ascii="Arial" w:eastAsia="Times New Roman" w:hAnsi="Arial" w:cs="Arial"/>
          <w:kern w:val="0"/>
          <w:lang w:eastAsia="en-US"/>
          <w14:ligatures w14:val="none"/>
        </w:rPr>
        <w:t>, 2021). This paradigm enables a contextualised knowledge of the mechanisms via which structural determinants impact health and well-being by emphasising participant narratives.</w:t>
      </w:r>
      <w:bookmarkEnd w:id="34"/>
    </w:p>
    <w:p w14:paraId="0B176FA8" w14:textId="77777777" w:rsidR="00921B2A" w:rsidRPr="00B462CD" w:rsidRDefault="00921B2A" w:rsidP="00E6526D">
      <w:pPr>
        <w:spacing w:before="100" w:beforeAutospacing="1" w:after="100" w:afterAutospacing="1"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3.3 </w:t>
      </w:r>
      <w:bookmarkStart w:id="35" w:name="_Hlk220489040"/>
      <w:r w:rsidRPr="00B462CD">
        <w:rPr>
          <w:rFonts w:ascii="Arial" w:eastAsia="Times New Roman" w:hAnsi="Arial" w:cs="Arial"/>
          <w:b/>
          <w:bCs/>
          <w:kern w:val="0"/>
          <w:lang w:eastAsia="en-US"/>
          <w14:ligatures w14:val="none"/>
        </w:rPr>
        <w:t>Setting and Rationale</w:t>
      </w:r>
      <w:bookmarkEnd w:id="35"/>
    </w:p>
    <w:p w14:paraId="1D233AC7" w14:textId="77777777"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East London's exceptional levels of super-diversity and ingrained destitution led to its deliberate selection as the research site. An excellent setting for examining the relationship between migration, ethnicity, and health is boroughs like Newham and Tower Hamlets, which are home to some of the biggest and most diverse migrant populations in the UK (ONS, 2021; Trust for London, 2023). High rates of poverty, overcrowding, and health disparities are conditions that disproportionately impact migrants and people with uncertain immigration status, further defining the local setting (Public Health England, 2023). Access to participants and interaction with "hard-to-reach" groups are also made easier by the existence of a strong network of community and volunteer sector organisations (Phillimore et al., 2020).</w:t>
      </w:r>
    </w:p>
    <w:p w14:paraId="6B92A75A" w14:textId="77777777" w:rsidR="00921B2A" w:rsidRPr="00B462CD" w:rsidRDefault="00921B2A" w:rsidP="00E6526D">
      <w:pPr>
        <w:spacing w:before="100" w:beforeAutospacing="1" w:after="100" w:afterAutospacing="1"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3.4 Sampling and Recruitment. </w:t>
      </w:r>
    </w:p>
    <w:p w14:paraId="742B1756" w14:textId="55E2B714" w:rsidR="00921B2A" w:rsidRPr="00B462CD" w:rsidRDefault="00921B2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Convenience sampling was used for recruitment at the Christ Apostolic Church (CAC) in Hackney, a religious institution well-known for its assistance to immigrant communities. Faith groups are acknowledged as reliable places that encourage participation among immigrants, especially those who might be wary of official institutions or cut off from mainstream services (Hackett, 2014; Chevannes, 1997). With the help of important gatekeepers, announcements were </w:t>
      </w:r>
      <w:r w:rsidR="007F036B" w:rsidRPr="00B462CD">
        <w:rPr>
          <w:rFonts w:ascii="Arial" w:eastAsia="Times New Roman" w:hAnsi="Arial" w:cs="Arial"/>
          <w:kern w:val="0"/>
          <w:lang w:eastAsia="en-US"/>
          <w14:ligatures w14:val="none"/>
        </w:rPr>
        <w:t xml:space="preserve">made </w:t>
      </w:r>
      <w:r w:rsidRPr="00B462CD">
        <w:rPr>
          <w:rFonts w:ascii="Arial" w:eastAsia="Times New Roman" w:hAnsi="Arial" w:cs="Arial"/>
          <w:kern w:val="0"/>
          <w:lang w:eastAsia="en-US"/>
          <w14:ligatures w14:val="none"/>
        </w:rPr>
        <w:t xml:space="preserve">during church events </w:t>
      </w:r>
      <w:r w:rsidR="007D717C" w:rsidRPr="00B462CD">
        <w:rPr>
          <w:rFonts w:ascii="Arial" w:eastAsia="Times New Roman" w:hAnsi="Arial" w:cs="Arial"/>
          <w:kern w:val="0"/>
          <w:lang w:eastAsia="en-US"/>
          <w14:ligatures w14:val="none"/>
        </w:rPr>
        <w:t>and services</w:t>
      </w:r>
      <w:r w:rsidR="00100C0A" w:rsidRPr="00B462CD">
        <w:rPr>
          <w:rFonts w:ascii="Arial" w:eastAsia="Times New Roman" w:hAnsi="Arial" w:cs="Arial"/>
          <w:kern w:val="0"/>
          <w:lang w:eastAsia="en-US"/>
          <w14:ligatures w14:val="none"/>
        </w:rPr>
        <w:t>.</w:t>
      </w:r>
      <w:r w:rsidR="007D717C"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 xml:space="preserve">(Simich et al., 2005). </w:t>
      </w:r>
      <w:r w:rsidRPr="00B462CD">
        <w:rPr>
          <w:rFonts w:ascii="Arial" w:eastAsia="Times New Roman" w:hAnsi="Arial" w:cs="Arial"/>
          <w:kern w:val="0"/>
          <w:lang w:eastAsia="en-US"/>
          <w14:ligatures w14:val="none"/>
        </w:rPr>
        <w:br/>
        <w:t>Consent forms and informational sheets were given out in person, along with thorough descriptions of the study's</w:t>
      </w:r>
      <w:r w:rsidR="00CF0DB5" w:rsidRPr="00B462CD">
        <w:rPr>
          <w:rFonts w:ascii="Arial" w:eastAsia="Times New Roman" w:hAnsi="Arial" w:cs="Arial"/>
          <w:kern w:val="0"/>
          <w:lang w:eastAsia="en-US"/>
          <w14:ligatures w14:val="none"/>
        </w:rPr>
        <w:t xml:space="preserve"> aims,</w:t>
      </w:r>
      <w:r w:rsidRPr="00B462CD">
        <w:rPr>
          <w:rFonts w:ascii="Arial" w:eastAsia="Times New Roman" w:hAnsi="Arial" w:cs="Arial"/>
          <w:kern w:val="0"/>
          <w:lang w:eastAsia="en-US"/>
          <w14:ligatures w14:val="none"/>
        </w:rPr>
        <w:t xml:space="preserve"> objectives, methods, and ethical precautions. People were guaranteed the freedom to leave at any time without facing any consequences, and participation was completely voluntary (Flick, 2018). Following best practices for research involving vulnerable individuals, all informed consent, privacy, and confidentiality requirements were strictly adhered to (Block et al., 2013; British Psychological Society, 2021). Only two people</w:t>
      </w:r>
      <w:r w:rsidR="00C52065"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w:t>
      </w:r>
      <w:r w:rsidR="00C52065" w:rsidRPr="00B462CD">
        <w:rPr>
          <w:rFonts w:ascii="Arial" w:eastAsia="Times New Roman" w:hAnsi="Arial" w:cs="Arial"/>
          <w:kern w:val="0"/>
          <w:lang w:eastAsia="en-US"/>
          <w14:ligatures w14:val="none"/>
        </w:rPr>
        <w:t xml:space="preserve">according to university guidance, </w:t>
      </w:r>
      <w:r w:rsidRPr="00B462CD">
        <w:rPr>
          <w:rFonts w:ascii="Arial" w:eastAsia="Times New Roman" w:hAnsi="Arial" w:cs="Arial"/>
          <w:kern w:val="0"/>
          <w:lang w:eastAsia="en-US"/>
          <w14:ligatures w14:val="none"/>
        </w:rPr>
        <w:t>were eventually enlisted for the study, despite tremendous efforts (Liamputtong, 2010). The narratives collected were extensive and offered in-depth insights into the research issues, even though data saturation was not reached. In qualitative research, information-rich instances are acknowledged as beneficial, particularly in exploratory investigations with restricted participant access (Patton, 2015).</w:t>
      </w:r>
    </w:p>
    <w:p w14:paraId="342B30F5" w14:textId="77777777"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3.5 Data Collection </w:t>
      </w:r>
    </w:p>
    <w:p w14:paraId="78020470" w14:textId="0BA2A2DD"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In-depth semi-structured interviews were used to gather primary data, enabling participants to describe their experiences with </w:t>
      </w:r>
      <w:r w:rsidR="00FB5243" w:rsidRPr="00B462CD">
        <w:rPr>
          <w:rFonts w:ascii="Arial" w:eastAsia="Times New Roman" w:hAnsi="Arial" w:cs="Arial"/>
          <w:kern w:val="0"/>
          <w:lang w:eastAsia="en-US"/>
          <w14:ligatures w14:val="none"/>
        </w:rPr>
        <w:t xml:space="preserve">their immigration </w:t>
      </w:r>
      <w:r w:rsidR="00A07F8A" w:rsidRPr="00B462CD">
        <w:rPr>
          <w:rFonts w:ascii="Arial" w:eastAsia="Times New Roman" w:hAnsi="Arial" w:cs="Arial"/>
          <w:kern w:val="0"/>
          <w:lang w:eastAsia="en-US"/>
          <w14:ligatures w14:val="none"/>
        </w:rPr>
        <w:t>journey and status, health</w:t>
      </w:r>
      <w:r w:rsidRPr="00B462CD">
        <w:rPr>
          <w:rFonts w:ascii="Arial" w:eastAsia="Times New Roman" w:hAnsi="Arial" w:cs="Arial"/>
          <w:kern w:val="0"/>
          <w:lang w:eastAsia="en-US"/>
          <w14:ligatures w14:val="none"/>
        </w:rPr>
        <w:t xml:space="preserve"> and social services, housing and job circumstances, perceptions of prejudice, resilience, and support systems. This method ensured systematic coverage of important topics while offering flexibility to explore new themes (Braun &amp; Clarke, 2021; Kvale &amp; Brinkmann, 2015). </w:t>
      </w:r>
      <w:r w:rsidRPr="00B462CD">
        <w:rPr>
          <w:rFonts w:ascii="Arial" w:eastAsia="Times New Roman" w:hAnsi="Arial" w:cs="Arial"/>
          <w:kern w:val="0"/>
          <w:lang w:eastAsia="en-US"/>
          <w14:ligatures w14:val="none"/>
        </w:rPr>
        <w:br/>
        <w:t xml:space="preserve">Open-ended questions designed to </w:t>
      </w:r>
      <w:r w:rsidR="008B6803" w:rsidRPr="00B462CD">
        <w:rPr>
          <w:rFonts w:ascii="Arial" w:eastAsia="Times New Roman" w:hAnsi="Arial" w:cs="Arial"/>
          <w:kern w:val="0"/>
          <w:lang w:eastAsia="en-US"/>
          <w14:ligatures w14:val="none"/>
        </w:rPr>
        <w:t>gather</w:t>
      </w:r>
      <w:r w:rsidRPr="00B462CD">
        <w:rPr>
          <w:rFonts w:ascii="Arial" w:eastAsia="Times New Roman" w:hAnsi="Arial" w:cs="Arial"/>
          <w:kern w:val="0"/>
          <w:lang w:eastAsia="en-US"/>
          <w14:ligatures w14:val="none"/>
        </w:rPr>
        <w:t xml:space="preserve"> in-depth, context-rich stories were included in an interview guide that was created based on the theoretical framework and literature review. Migration trips, difficulties obtaining healthcare, experiences of legal precarity, coping mechanisms for hardship, and the importance of family, faith, and community were among the subjects discussed.</w:t>
      </w:r>
    </w:p>
    <w:p w14:paraId="007129F0" w14:textId="6992A318"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Depending on participant preferences and public health recommendations, interviews</w:t>
      </w:r>
      <w:r w:rsidR="007720D8" w:rsidRPr="00B462CD">
        <w:rPr>
          <w:rFonts w:ascii="Arial" w:eastAsia="Times New Roman" w:hAnsi="Arial" w:cs="Arial"/>
          <w:kern w:val="0"/>
          <w:lang w:eastAsia="en-US"/>
          <w14:ligatures w14:val="none"/>
        </w:rPr>
        <w:t xml:space="preserve"> were</w:t>
      </w:r>
      <w:r w:rsidRPr="00B462CD">
        <w:rPr>
          <w:rFonts w:ascii="Arial" w:eastAsia="Times New Roman" w:hAnsi="Arial" w:cs="Arial"/>
          <w:kern w:val="0"/>
          <w:lang w:eastAsia="en-US"/>
          <w14:ligatures w14:val="none"/>
        </w:rPr>
        <w:t xml:space="preserve"> </w:t>
      </w:r>
      <w:r w:rsidR="007720D8" w:rsidRPr="00B462CD">
        <w:rPr>
          <w:rFonts w:ascii="Arial" w:eastAsia="Times New Roman" w:hAnsi="Arial" w:cs="Arial"/>
          <w:kern w:val="0"/>
          <w:lang w:eastAsia="en-US"/>
          <w14:ligatures w14:val="none"/>
        </w:rPr>
        <w:t xml:space="preserve">conducted </w:t>
      </w:r>
      <w:r w:rsidRPr="00B462CD">
        <w:rPr>
          <w:rFonts w:ascii="Arial" w:eastAsia="Times New Roman" w:hAnsi="Arial" w:cs="Arial"/>
          <w:kern w:val="0"/>
          <w:lang w:eastAsia="en-US"/>
          <w14:ligatures w14:val="none"/>
        </w:rPr>
        <w:t>in person</w:t>
      </w:r>
      <w:r w:rsidR="00812655"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w:t>
      </w:r>
      <w:r w:rsidR="00812655" w:rsidRPr="00B462CD">
        <w:rPr>
          <w:rFonts w:ascii="Arial" w:eastAsia="Times New Roman" w:hAnsi="Arial" w:cs="Arial"/>
          <w:kern w:val="0"/>
          <w:lang w:eastAsia="en-US"/>
          <w14:ligatures w14:val="none"/>
        </w:rPr>
        <w:t>not</w:t>
      </w:r>
      <w:r w:rsidRPr="00B462CD">
        <w:rPr>
          <w:rFonts w:ascii="Arial" w:eastAsia="Times New Roman" w:hAnsi="Arial" w:cs="Arial"/>
          <w:kern w:val="0"/>
          <w:lang w:eastAsia="en-US"/>
          <w14:ligatures w14:val="none"/>
        </w:rPr>
        <w:t xml:space="preserve"> over secure video/audio calls. With the participants' express consent, each 45- to </w:t>
      </w:r>
      <w:r w:rsidR="00812655" w:rsidRPr="00B462CD">
        <w:rPr>
          <w:rFonts w:ascii="Arial" w:eastAsia="Times New Roman" w:hAnsi="Arial" w:cs="Arial"/>
          <w:kern w:val="0"/>
          <w:lang w:eastAsia="en-US"/>
          <w14:ligatures w14:val="none"/>
        </w:rPr>
        <w:t>6</w:t>
      </w:r>
      <w:r w:rsidRPr="00B462CD">
        <w:rPr>
          <w:rFonts w:ascii="Arial" w:eastAsia="Times New Roman" w:hAnsi="Arial" w:cs="Arial"/>
          <w:kern w:val="0"/>
          <w:lang w:eastAsia="en-US"/>
          <w14:ligatures w14:val="none"/>
        </w:rPr>
        <w:t xml:space="preserve">0-minute interview was audio recorded. (Temple &amp; Young, 2004). </w:t>
      </w:r>
      <w:r w:rsidRPr="00B462CD">
        <w:rPr>
          <w:rFonts w:ascii="Arial" w:eastAsia="Times New Roman" w:hAnsi="Arial" w:cs="Arial"/>
          <w:kern w:val="0"/>
          <w:lang w:eastAsia="en-US"/>
          <w14:ligatures w14:val="none"/>
        </w:rPr>
        <w:br/>
        <w:t>The researcher kept an eye out for any indications of distress during the data collection procedure and was prepared to halt the interview if needed. Due to the delicate nature of the research topic, ethical and emotional issues had to be carefully managed (Liamputtong, 2010).</w:t>
      </w:r>
    </w:p>
    <w:p w14:paraId="1062895F" w14:textId="77777777" w:rsidR="00921B2A" w:rsidRPr="00B462CD" w:rsidRDefault="00921B2A" w:rsidP="00E6526D">
      <w:pPr>
        <w:spacing w:after="0" w:line="360" w:lineRule="auto"/>
        <w:rPr>
          <w:rFonts w:ascii="Arial" w:eastAsia="Times New Roman" w:hAnsi="Arial" w:cs="Arial"/>
          <w:b/>
          <w:bCs/>
          <w:kern w:val="0"/>
          <w:lang w:eastAsia="en-US"/>
          <w14:ligatures w14:val="none"/>
        </w:rPr>
      </w:pPr>
    </w:p>
    <w:p w14:paraId="2F3CC94C" w14:textId="77777777"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3.6 Data Analysis </w:t>
      </w:r>
    </w:p>
    <w:p w14:paraId="4A032809" w14:textId="77777777"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Reflexive theme analysis, which is especially useful for examining intricate social processes and spotting patterns in qualitative data, was used to analyse interview data (Braun &amp; Clarke, 2006). An iterative process was used for the analysis: transcripts were read and reread to gain familiarity; initial codes were created inductively, capturing aspects of the data pertinent to the research questions; codes were then compiled into potential themes, which were continuously compared and discussed with research peers. </w:t>
      </w:r>
      <w:r w:rsidRPr="00B462CD">
        <w:rPr>
          <w:rFonts w:ascii="Arial" w:eastAsia="Times New Roman" w:hAnsi="Arial" w:cs="Arial"/>
          <w:kern w:val="0"/>
          <w:lang w:eastAsia="en-US"/>
          <w14:ligatures w14:val="none"/>
        </w:rPr>
        <w:br/>
        <w:t>The study's theoretical frameworks include the Social Determinants of Health, intersectionality, and structural violence. (Marmot et al., 2020; Crenshaw, 1989; Farmer, 2004)</w:t>
      </w:r>
    </w:p>
    <w:p w14:paraId="7623C509" w14:textId="77777777"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This made it possible to comprehend how both structural factors and personal agency influenced participants' experiences in a complex way. Throughout, reflective notes and analytical memos were kept, recording new discoveries, analytical choices, and any biases. </w:t>
      </w:r>
      <w:r w:rsidRPr="00B462CD">
        <w:rPr>
          <w:rFonts w:ascii="Arial" w:eastAsia="Times New Roman" w:hAnsi="Arial" w:cs="Arial"/>
          <w:kern w:val="0"/>
          <w:lang w:eastAsia="en-US"/>
          <w14:ligatures w14:val="none"/>
        </w:rPr>
        <w:br/>
        <w:t>To guarantee rigour, the study procedure included member verification, in which participants were asked to check the accuracy and resonance of summaries of their interviews (Lincoln &amp; Guba, 1985). To improve dependability and openness, an audit trail of research conclusions, analytical memoranda, and coding structures was kept.</w:t>
      </w:r>
    </w:p>
    <w:p w14:paraId="554AD1AB" w14:textId="77777777" w:rsidR="00921B2A" w:rsidRPr="00B462CD" w:rsidRDefault="00921B2A" w:rsidP="00E6526D">
      <w:pPr>
        <w:spacing w:after="0" w:line="360" w:lineRule="auto"/>
        <w:rPr>
          <w:rFonts w:ascii="Arial" w:eastAsia="Times New Roman" w:hAnsi="Arial" w:cs="Arial"/>
          <w:b/>
          <w:bCs/>
          <w:kern w:val="0"/>
          <w:lang w:eastAsia="en-US"/>
          <w14:ligatures w14:val="none"/>
        </w:rPr>
      </w:pPr>
    </w:p>
    <w:p w14:paraId="325A8070" w14:textId="77777777"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3.</w:t>
      </w:r>
      <w:bookmarkStart w:id="36" w:name="_Hlk220488822"/>
      <w:r w:rsidRPr="00B462CD">
        <w:rPr>
          <w:rFonts w:ascii="Arial" w:eastAsia="Times New Roman" w:hAnsi="Arial" w:cs="Arial"/>
          <w:b/>
          <w:bCs/>
          <w:kern w:val="0"/>
          <w:lang w:eastAsia="en-US"/>
          <w14:ligatures w14:val="none"/>
        </w:rPr>
        <w:t xml:space="preserve">7 Ethical Considerations. </w:t>
      </w:r>
      <w:bookmarkEnd w:id="36"/>
    </w:p>
    <w:p w14:paraId="54FE1111" w14:textId="48CA042A"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There were things to think about before fieldwork began; the project received ethical approval from the university's research ethics committee. Respect, confidentiality, voluntary participation</w:t>
      </w:r>
      <w:r w:rsidR="0022536F" w:rsidRPr="00B462CD">
        <w:rPr>
          <w:rFonts w:ascii="Arial" w:eastAsia="Times New Roman" w:hAnsi="Arial" w:cs="Arial"/>
          <w:kern w:val="0"/>
          <w:lang w:eastAsia="en-US"/>
          <w14:ligatures w14:val="none"/>
        </w:rPr>
        <w:t xml:space="preserve"> and freedom to </w:t>
      </w:r>
      <w:r w:rsidR="002837BA" w:rsidRPr="00B462CD">
        <w:rPr>
          <w:rFonts w:ascii="Arial" w:hAnsi="Arial" w:cs="Arial"/>
        </w:rPr>
        <w:t>and the freedom to withdraw were maintained throughout all stages of the study.</w:t>
      </w:r>
      <w:r w:rsidR="00A91D2C" w:rsidRPr="00B462CD">
        <w:rPr>
          <w:rFonts w:ascii="Arial" w:hAnsi="Arial" w:cs="Arial"/>
        </w:rPr>
        <w:t xml:space="preserve"> </w:t>
      </w:r>
      <w:r w:rsidRPr="00B462CD">
        <w:rPr>
          <w:rFonts w:ascii="Arial" w:eastAsia="Times New Roman" w:hAnsi="Arial" w:cs="Arial"/>
          <w:kern w:val="0"/>
          <w:lang w:eastAsia="en-US"/>
          <w14:ligatures w14:val="none"/>
        </w:rPr>
        <w:t xml:space="preserve">(British Psychological Society, 2021). To protect participant identities, pseudonyms were used in all transcripts and published findings, and all data were safely stored in encrypted files that only the researcher, supervisor and UWTSD could access (Flick, 2018). </w:t>
      </w:r>
      <w:r w:rsidRPr="00B462CD">
        <w:rPr>
          <w:rFonts w:ascii="Arial" w:eastAsia="Times New Roman" w:hAnsi="Arial" w:cs="Arial"/>
          <w:kern w:val="0"/>
          <w:lang w:eastAsia="en-US"/>
          <w14:ligatures w14:val="none"/>
        </w:rPr>
        <w:br/>
        <w:t>The delicate nature of immigration status and the possibility of emotional suffering were given consideration. Participants were made aware that they might leave the interview at any moment or skip any questions. Attention was paid to the delicate nature of immigration status and the potential for emotional distress. When challenging subjects came up, the researcher showed empathy, provided breaks, and made sure participants knew about the resources for support. Throughout their participation in the study, participants were reminded of their rights, and informed consent was viewed as a continuous process rather than a singular occurrence (Block et al., 2013).</w:t>
      </w:r>
    </w:p>
    <w:p w14:paraId="31E1A4D9" w14:textId="77777777" w:rsidR="00921B2A" w:rsidRPr="00B462CD" w:rsidRDefault="00921B2A"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37" w:name="_Toc220428666"/>
      <w:r w:rsidRPr="00B462CD">
        <w:rPr>
          <w:rFonts w:ascii="Arial" w:eastAsia="Times New Roman" w:hAnsi="Arial" w:cs="Arial"/>
          <w:b/>
          <w:bCs/>
          <w:kern w:val="0"/>
          <w:lang w:eastAsia="en-US"/>
          <w14:ligatures w14:val="none"/>
        </w:rPr>
        <w:t>3.8 Trustworthiness and Rigour</w:t>
      </w:r>
      <w:bookmarkEnd w:id="37"/>
    </w:p>
    <w:p w14:paraId="387DF359" w14:textId="3E08AB54" w:rsidR="00921B2A" w:rsidRPr="00B462CD" w:rsidRDefault="00921B2A"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38" w:name="_Toc220428667"/>
      <w:r w:rsidRPr="00B462CD">
        <w:rPr>
          <w:rFonts w:ascii="Arial" w:eastAsia="Times New Roman" w:hAnsi="Arial" w:cs="Arial"/>
          <w:kern w:val="0"/>
          <w:lang w:eastAsia="en-US"/>
          <w14:ligatures w14:val="none"/>
        </w:rPr>
        <w:t xml:space="preserve">In qualitative research, reliability is crucial for determining the validity and significance of results (Lincoln &amp; Guba, 1985). Long-term involvement, member checking, </w:t>
      </w:r>
      <w:r w:rsidR="000959FF" w:rsidRPr="00B462CD">
        <w:rPr>
          <w:rFonts w:ascii="Arial" w:eastAsia="Times New Roman" w:hAnsi="Arial" w:cs="Arial"/>
          <w:kern w:val="0"/>
          <w:lang w:eastAsia="en-US"/>
          <w14:ligatures w14:val="none"/>
        </w:rPr>
        <w:t xml:space="preserve">supervisor sessions </w:t>
      </w:r>
      <w:r w:rsidRPr="00B462CD">
        <w:rPr>
          <w:rFonts w:ascii="Arial" w:eastAsia="Times New Roman" w:hAnsi="Arial" w:cs="Arial"/>
          <w:kern w:val="0"/>
          <w:lang w:eastAsia="en-US"/>
          <w14:ligatures w14:val="none"/>
        </w:rPr>
        <w:t xml:space="preserve">and frequent contact with supervisory peers all improved trustworthiness in this research. To facilitate readers' evaluation of the findings' applicability in different contexts, the research background and participants were thoroughly described (Creswell &amp; </w:t>
      </w:r>
      <w:proofErr w:type="spellStart"/>
      <w:r w:rsidRPr="00B462CD">
        <w:rPr>
          <w:rFonts w:ascii="Arial" w:eastAsia="Times New Roman" w:hAnsi="Arial" w:cs="Arial"/>
          <w:kern w:val="0"/>
          <w:lang w:eastAsia="en-US"/>
          <w14:ligatures w14:val="none"/>
        </w:rPr>
        <w:t>Poth</w:t>
      </w:r>
      <w:proofErr w:type="spellEnd"/>
      <w:r w:rsidRPr="00B462CD">
        <w:rPr>
          <w:rFonts w:ascii="Arial" w:eastAsia="Times New Roman" w:hAnsi="Arial" w:cs="Arial"/>
          <w:kern w:val="0"/>
          <w:lang w:eastAsia="en-US"/>
          <w14:ligatures w14:val="none"/>
        </w:rPr>
        <w:t xml:space="preserve">, 2018). Maintaining thorough records of study choices, analytical procedures, </w:t>
      </w:r>
      <w:r w:rsidR="007B54E2" w:rsidRPr="00B462CD">
        <w:rPr>
          <w:rFonts w:ascii="Arial" w:eastAsia="Times New Roman" w:hAnsi="Arial" w:cs="Arial"/>
          <w:kern w:val="0"/>
          <w:lang w:eastAsia="en-US"/>
          <w14:ligatures w14:val="none"/>
        </w:rPr>
        <w:t xml:space="preserve">adherence to </w:t>
      </w:r>
      <w:r w:rsidR="00F70108" w:rsidRPr="00B462CD">
        <w:rPr>
          <w:rFonts w:ascii="Arial" w:eastAsia="Times New Roman" w:hAnsi="Arial" w:cs="Arial"/>
          <w:kern w:val="0"/>
          <w:lang w:eastAsia="en-US"/>
          <w14:ligatures w14:val="none"/>
        </w:rPr>
        <w:t>supervisors'</w:t>
      </w:r>
      <w:r w:rsidR="007B54E2" w:rsidRPr="00B462CD">
        <w:rPr>
          <w:rFonts w:ascii="Arial" w:eastAsia="Times New Roman" w:hAnsi="Arial" w:cs="Arial"/>
          <w:kern w:val="0"/>
          <w:lang w:eastAsia="en-US"/>
          <w14:ligatures w14:val="none"/>
        </w:rPr>
        <w:t xml:space="preserve"> </w:t>
      </w:r>
      <w:r w:rsidR="00F70108" w:rsidRPr="00B462CD">
        <w:rPr>
          <w:rFonts w:ascii="Arial" w:eastAsia="Times New Roman" w:hAnsi="Arial" w:cs="Arial"/>
          <w:kern w:val="0"/>
          <w:lang w:eastAsia="en-US"/>
          <w14:ligatures w14:val="none"/>
        </w:rPr>
        <w:t>advice</w:t>
      </w:r>
      <w:r w:rsidR="007B54E2"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and methodological modifications helped to ensure dependability.</w:t>
      </w:r>
      <w:r w:rsidRPr="00B462CD">
        <w:rPr>
          <w:rFonts w:ascii="Arial" w:eastAsia="Times New Roman" w:hAnsi="Arial" w:cs="Arial"/>
          <w:b/>
          <w:bCs/>
          <w:kern w:val="0"/>
          <w:lang w:eastAsia="en-US"/>
          <w14:ligatures w14:val="none"/>
        </w:rPr>
        <w:t xml:space="preserve"> </w:t>
      </w:r>
      <w:r w:rsidRPr="00B462CD">
        <w:rPr>
          <w:rFonts w:ascii="Arial" w:eastAsia="Times New Roman" w:hAnsi="Arial" w:cs="Arial"/>
          <w:kern w:val="0"/>
          <w:lang w:eastAsia="en-US"/>
          <w14:ligatures w14:val="none"/>
        </w:rPr>
        <w:t>Reflexive journaling, peer debriefing, and attempts to bracket personal biases were used to address confirmability. Although the small sample size is acknowledged as a disadvantage, efforts were made to maximise the data's quality and richness while openly acknowledging the limitations and difficulties faced (Patton, 2015).</w:t>
      </w:r>
      <w:bookmarkEnd w:id="38"/>
    </w:p>
    <w:p w14:paraId="52ED60FE" w14:textId="77777777"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3.9 Reflexivity and Researcher Positionality </w:t>
      </w:r>
    </w:p>
    <w:p w14:paraId="77AECAEF" w14:textId="3386D68A"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Every step of the study process required reflexivity. To record presumptions, feelings, and the changing comprehension of the facts, the researcher kept a reflective notebook (Braun &amp; Clarke, 2006). Particularly with reference to similar or different experiences of migration, ethnicity, and social status, the dual position as both an insider and an outsider in connection to participants was rigorously analysed. During supervision sessions, it was acknowledged and explored how the researcher's</w:t>
      </w:r>
      <w:r w:rsidR="00F70108" w:rsidRPr="00B462CD">
        <w:rPr>
          <w:rFonts w:ascii="Arial" w:eastAsia="Times New Roman" w:hAnsi="Arial" w:cs="Arial"/>
          <w:kern w:val="0"/>
          <w:lang w:eastAsia="en-US"/>
          <w14:ligatures w14:val="none"/>
        </w:rPr>
        <w:t xml:space="preserve"> experience,</w:t>
      </w:r>
      <w:r w:rsidRPr="00B462CD">
        <w:rPr>
          <w:rFonts w:ascii="Arial" w:eastAsia="Times New Roman" w:hAnsi="Arial" w:cs="Arial"/>
          <w:kern w:val="0"/>
          <w:lang w:eastAsia="en-US"/>
          <w14:ligatures w14:val="none"/>
        </w:rPr>
        <w:t xml:space="preserve"> history, language, and values could affect data collection and interpretation. </w:t>
      </w:r>
      <w:r w:rsidRPr="00B462CD">
        <w:rPr>
          <w:rFonts w:ascii="Arial" w:eastAsia="Times New Roman" w:hAnsi="Arial" w:cs="Arial"/>
          <w:kern w:val="0"/>
          <w:lang w:eastAsia="en-US"/>
          <w14:ligatures w14:val="none"/>
        </w:rPr>
        <w:br/>
        <w:t>Throughout the data gathering process, establishing rapport, honouring cultural diversity, and guaranteeing linguistic inclusion were given top priority. Additionally, reflexive awareness guided the analysis, ensuring that participant voices remained essential to the interpretation of results and assisting in the identification and examination of unconscious biases (Temple &amp; Young, 2004).</w:t>
      </w:r>
    </w:p>
    <w:p w14:paraId="07AC2ACA" w14:textId="77777777" w:rsidR="00921B2A" w:rsidRPr="00B462CD" w:rsidRDefault="00921B2A" w:rsidP="00E6526D">
      <w:pPr>
        <w:spacing w:after="0" w:line="360" w:lineRule="auto"/>
        <w:rPr>
          <w:rFonts w:ascii="Arial" w:eastAsia="Times New Roman" w:hAnsi="Arial" w:cs="Arial"/>
          <w:b/>
          <w:bCs/>
          <w:kern w:val="0"/>
          <w:lang w:eastAsia="en-US"/>
          <w14:ligatures w14:val="none"/>
        </w:rPr>
      </w:pPr>
    </w:p>
    <w:p w14:paraId="513865D8" w14:textId="04E8D12C"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3.1</w:t>
      </w:r>
      <w:r w:rsidR="00404BC2" w:rsidRPr="00B462CD">
        <w:rPr>
          <w:rFonts w:ascii="Arial" w:eastAsia="Times New Roman" w:hAnsi="Arial" w:cs="Arial"/>
          <w:b/>
          <w:bCs/>
          <w:kern w:val="0"/>
          <w:lang w:eastAsia="en-US"/>
          <w14:ligatures w14:val="none"/>
        </w:rPr>
        <w:t>0</w:t>
      </w:r>
      <w:r w:rsidRPr="00B462CD">
        <w:rPr>
          <w:rFonts w:ascii="Arial" w:eastAsia="Times New Roman" w:hAnsi="Arial" w:cs="Arial"/>
          <w:b/>
          <w:bCs/>
          <w:kern w:val="0"/>
          <w:lang w:eastAsia="en-US"/>
          <w14:ligatures w14:val="none"/>
        </w:rPr>
        <w:t xml:space="preserve"> Chapter Summary </w:t>
      </w:r>
    </w:p>
    <w:p w14:paraId="7BA7F897" w14:textId="77777777"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 conclusion, the methodological foundation supporting the research has been thoroughly explained in this chapter. The necessity to capture the intricate, context-dependent reality of BAME adult migrants in East London justified the use of a qualitative, interpretivist approach. To maximise access to cases with a wealth of information while maintaining ethical standards, the setting, sampling, and recruitment procedures were chosen. In-depth semi-structured interviews were used for data gathering, and reflective theme analysis was used to explain the results within solid theoretical frameworks. Throughout the research process, techniques to guarantee reliability were incorporated, such as credibility, transferability, dependability, and confirmability.</w:t>
      </w:r>
    </w:p>
    <w:p w14:paraId="75F8B2FC" w14:textId="77777777" w:rsidR="00921B2A" w:rsidRPr="00B462CD" w:rsidRDefault="00921B2A" w:rsidP="00E6526D">
      <w:pPr>
        <w:spacing w:after="0" w:line="360" w:lineRule="auto"/>
        <w:rPr>
          <w:rFonts w:ascii="Arial" w:eastAsia="Times New Roman" w:hAnsi="Arial" w:cs="Arial"/>
          <w:kern w:val="0"/>
          <w:lang w:eastAsia="en-US"/>
          <w14:ligatures w14:val="none"/>
        </w:rPr>
      </w:pPr>
    </w:p>
    <w:p w14:paraId="60F770BF" w14:textId="77777777" w:rsidR="00921B2A" w:rsidRPr="00B462CD" w:rsidRDefault="00921B2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To maintain ethical and analytical rigour, reflexivity and positionality were continuously addressed. The technique used offers a solid basis for investigating how immigration status affects health and well-being among BAME migrants in East London, notwithstanding the difficulties encountered. The results of participant narratives are presented in the following chapter, providing fresh perspectives on the obstacles, tactics, and lived realities that arise when migration, ethnicity, and structural disadvantage come together.</w:t>
      </w:r>
    </w:p>
    <w:p w14:paraId="0FAD2B54" w14:textId="77777777" w:rsidR="00921B2A" w:rsidRPr="00B462CD" w:rsidRDefault="00921B2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13667745" w14:textId="4EB34C1B" w:rsidR="00A06253" w:rsidRPr="00B462CD" w:rsidRDefault="00A06253" w:rsidP="00E6526D">
      <w:pPr>
        <w:spacing w:line="360" w:lineRule="auto"/>
        <w:rPr>
          <w:rFonts w:ascii="Arial" w:eastAsia="Times New Roman" w:hAnsi="Arial" w:cs="Arial"/>
          <w:b/>
          <w:bCs/>
        </w:rPr>
      </w:pPr>
      <w:r w:rsidRPr="00B462CD">
        <w:rPr>
          <w:rFonts w:ascii="Arial" w:eastAsia="Times New Roman" w:hAnsi="Arial" w:cs="Arial"/>
          <w:b/>
          <w:bCs/>
          <w:kern w:val="0"/>
          <w:lang w:eastAsia="en-US"/>
          <w14:ligatures w14:val="none"/>
        </w:rPr>
        <w:t>Chapter 4: Findings</w:t>
      </w:r>
    </w:p>
    <w:p w14:paraId="5CFA555A" w14:textId="77777777" w:rsidR="00A06253" w:rsidRPr="00B462CD" w:rsidRDefault="00A06253"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39" w:name="_Toc220428668"/>
      <w:r w:rsidRPr="00B462CD">
        <w:rPr>
          <w:rFonts w:ascii="Arial" w:eastAsia="Times New Roman" w:hAnsi="Arial" w:cs="Arial"/>
          <w:b/>
          <w:bCs/>
          <w:kern w:val="0"/>
          <w:lang w:eastAsia="en-US"/>
          <w14:ligatures w14:val="none"/>
        </w:rPr>
        <w:t>4.1 Introduction</w:t>
      </w:r>
      <w:bookmarkEnd w:id="39"/>
    </w:p>
    <w:p w14:paraId="0AA93BE2" w14:textId="2B67343A"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 results of a qualitative study examining how immigration status affects the health and well-being of BAME adult migrants in East London are presented in this chapter. In-depth interviews with two participants produced the data, wh</w:t>
      </w:r>
      <w:r w:rsidR="008D3F4B" w:rsidRPr="00B462CD">
        <w:rPr>
          <w:rFonts w:ascii="Arial" w:eastAsia="Times New Roman" w:hAnsi="Arial" w:cs="Arial"/>
          <w:kern w:val="0"/>
          <w:lang w:eastAsia="en-US"/>
          <w14:ligatures w14:val="none"/>
        </w:rPr>
        <w:t>o</w:t>
      </w:r>
      <w:r w:rsidRPr="00B462CD">
        <w:rPr>
          <w:rFonts w:ascii="Arial" w:eastAsia="Times New Roman" w:hAnsi="Arial" w:cs="Arial"/>
          <w:kern w:val="0"/>
          <w:lang w:eastAsia="en-US"/>
          <w14:ligatures w14:val="none"/>
        </w:rPr>
        <w:t xml:space="preserve"> were chosen in accordance with the ethical standards of the university and subjected to thematic analysis. The findings are arranged in accordance with the main topics that were found</w:t>
      </w:r>
      <w:r w:rsidR="00D21867"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obstacles to obtaining healthcare, unstable housing and work, encounters with prejudice and social exclusion, and coping and resilience techniques</w:t>
      </w:r>
      <w:r w:rsidR="00BE28E3" w:rsidRPr="00B462CD">
        <w:rPr>
          <w:rFonts w:ascii="Arial" w:eastAsia="Times New Roman" w:hAnsi="Arial" w:cs="Arial"/>
          <w:kern w:val="0"/>
          <w:lang w:eastAsia="en-US"/>
          <w14:ligatures w14:val="none"/>
        </w:rPr>
        <w:t>,</w:t>
      </w:r>
      <w:r w:rsidR="00541C68" w:rsidRPr="00B462CD">
        <w:rPr>
          <w:rFonts w:ascii="Arial" w:eastAsia="Times New Roman" w:hAnsi="Arial" w:cs="Arial"/>
          <w:kern w:val="0"/>
          <w:lang w:eastAsia="en-US"/>
          <w14:ligatures w14:val="none"/>
        </w:rPr>
        <w:t xml:space="preserve"> all </w:t>
      </w:r>
      <w:r w:rsidR="00BE28E3" w:rsidRPr="00B462CD">
        <w:rPr>
          <w:rFonts w:ascii="Arial" w:eastAsia="Times New Roman" w:hAnsi="Arial" w:cs="Arial"/>
          <w:kern w:val="0"/>
          <w:lang w:eastAsia="en-US"/>
          <w14:ligatures w14:val="none"/>
        </w:rPr>
        <w:t>arising from immigration status</w:t>
      </w:r>
      <w:r w:rsidRPr="00B462CD">
        <w:rPr>
          <w:rFonts w:ascii="Arial" w:eastAsia="Times New Roman" w:hAnsi="Arial" w:cs="Arial"/>
          <w:kern w:val="0"/>
          <w:lang w:eastAsia="en-US"/>
          <w14:ligatures w14:val="none"/>
        </w:rPr>
        <w:t xml:space="preserve">. To highlight participant voices, each theme is clearly related to the study's goals and backed up by exact quotes. For background, a participant profile and a summary of the themes are given. Chapter 5 </w:t>
      </w:r>
      <w:r w:rsidR="00023E18" w:rsidRPr="00B462CD">
        <w:rPr>
          <w:rFonts w:ascii="Arial" w:eastAsia="Times New Roman" w:hAnsi="Arial" w:cs="Arial"/>
          <w:kern w:val="0"/>
          <w:lang w:eastAsia="en-US"/>
          <w14:ligatures w14:val="none"/>
        </w:rPr>
        <w:t>will be</w:t>
      </w:r>
      <w:r w:rsidRPr="00B462CD">
        <w:rPr>
          <w:rFonts w:ascii="Arial" w:eastAsia="Times New Roman" w:hAnsi="Arial" w:cs="Arial"/>
          <w:kern w:val="0"/>
          <w:lang w:eastAsia="en-US"/>
          <w14:ligatures w14:val="none"/>
        </w:rPr>
        <w:t xml:space="preserve"> dedicated to theoretical analysis and interpretation.</w:t>
      </w:r>
    </w:p>
    <w:p w14:paraId="3ADC4A19" w14:textId="003A71E1"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To put the data in context and help readers navigate the chapter, a summary table of participant profiles (Table 1) and a thematic overview (Table 2) are provided below.</w:t>
      </w:r>
    </w:p>
    <w:p w14:paraId="2439A36F" w14:textId="77777777" w:rsidR="00307C70" w:rsidRPr="00B462CD" w:rsidRDefault="00307C70" w:rsidP="00E6526D">
      <w:pPr>
        <w:spacing w:after="0" w:line="360" w:lineRule="auto"/>
        <w:rPr>
          <w:rFonts w:ascii="Arial" w:eastAsia="Times New Roman" w:hAnsi="Arial" w:cs="Arial"/>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2"/>
        <w:gridCol w:w="476"/>
        <w:gridCol w:w="1005"/>
        <w:gridCol w:w="904"/>
        <w:gridCol w:w="2099"/>
        <w:gridCol w:w="1505"/>
        <w:gridCol w:w="1825"/>
      </w:tblGrid>
      <w:tr w:rsidR="00666AAE" w:rsidRPr="00B462CD" w14:paraId="49AC38EC" w14:textId="77777777" w:rsidTr="00BB1BE4">
        <w:trPr>
          <w:tblHeader/>
          <w:tblCellSpacing w:w="15" w:type="dxa"/>
        </w:trPr>
        <w:tc>
          <w:tcPr>
            <w:tcW w:w="0" w:type="auto"/>
            <w:tcBorders>
              <w:top w:val="single" w:sz="4" w:space="0" w:color="auto"/>
              <w:bottom w:val="single" w:sz="4" w:space="0" w:color="auto"/>
            </w:tcBorders>
            <w:vAlign w:val="center"/>
            <w:hideMark/>
          </w:tcPr>
          <w:p w14:paraId="3013850A"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Participant</w:t>
            </w:r>
          </w:p>
        </w:tc>
        <w:tc>
          <w:tcPr>
            <w:tcW w:w="0" w:type="auto"/>
            <w:tcBorders>
              <w:top w:val="single" w:sz="4" w:space="0" w:color="auto"/>
              <w:bottom w:val="single" w:sz="4" w:space="0" w:color="auto"/>
            </w:tcBorders>
            <w:vAlign w:val="center"/>
            <w:hideMark/>
          </w:tcPr>
          <w:p w14:paraId="77E38FF2"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Age</w:t>
            </w:r>
          </w:p>
        </w:tc>
        <w:tc>
          <w:tcPr>
            <w:tcW w:w="976" w:type="dxa"/>
            <w:tcBorders>
              <w:top w:val="single" w:sz="4" w:space="0" w:color="auto"/>
              <w:bottom w:val="single" w:sz="4" w:space="0" w:color="auto"/>
            </w:tcBorders>
            <w:vAlign w:val="center"/>
            <w:hideMark/>
          </w:tcPr>
          <w:p w14:paraId="70162368"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Gender</w:t>
            </w:r>
          </w:p>
        </w:tc>
        <w:tc>
          <w:tcPr>
            <w:tcW w:w="725" w:type="dxa"/>
            <w:tcBorders>
              <w:top w:val="single" w:sz="4" w:space="0" w:color="auto"/>
              <w:bottom w:val="single" w:sz="4" w:space="0" w:color="auto"/>
            </w:tcBorders>
            <w:vAlign w:val="center"/>
            <w:hideMark/>
          </w:tcPr>
          <w:p w14:paraId="29023043" w14:textId="71A57B8E"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Country</w:t>
            </w:r>
            <w:r w:rsidR="00BB1BE4" w:rsidRPr="00B462CD">
              <w:rPr>
                <w:rFonts w:ascii="Arial" w:eastAsia="Times New Roman" w:hAnsi="Arial" w:cs="Arial"/>
                <w:b/>
                <w:bCs/>
                <w:kern w:val="0"/>
                <w:lang w:eastAsia="en-US"/>
                <w14:ligatures w14:val="none"/>
              </w:rPr>
              <w:t xml:space="preserve"> </w:t>
            </w:r>
            <w:r w:rsidRPr="00B462CD">
              <w:rPr>
                <w:rFonts w:ascii="Arial" w:eastAsia="Times New Roman" w:hAnsi="Arial" w:cs="Arial"/>
                <w:b/>
                <w:bCs/>
                <w:kern w:val="0"/>
                <w:lang w:eastAsia="en-US"/>
                <w14:ligatures w14:val="none"/>
              </w:rPr>
              <w:t>of Origin</w:t>
            </w:r>
          </w:p>
        </w:tc>
        <w:tc>
          <w:tcPr>
            <w:tcW w:w="0" w:type="auto"/>
            <w:tcBorders>
              <w:top w:val="single" w:sz="4" w:space="0" w:color="auto"/>
              <w:bottom w:val="single" w:sz="4" w:space="0" w:color="auto"/>
            </w:tcBorders>
            <w:vAlign w:val="center"/>
            <w:hideMark/>
          </w:tcPr>
          <w:p w14:paraId="540239BA"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Length of Residence in the UK (years)</w:t>
            </w:r>
          </w:p>
        </w:tc>
        <w:tc>
          <w:tcPr>
            <w:tcW w:w="0" w:type="auto"/>
            <w:tcBorders>
              <w:top w:val="single" w:sz="4" w:space="0" w:color="auto"/>
              <w:bottom w:val="single" w:sz="4" w:space="0" w:color="auto"/>
            </w:tcBorders>
            <w:vAlign w:val="center"/>
            <w:hideMark/>
          </w:tcPr>
          <w:p w14:paraId="746D8808"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Family Situation</w:t>
            </w:r>
          </w:p>
        </w:tc>
        <w:tc>
          <w:tcPr>
            <w:tcW w:w="0" w:type="auto"/>
            <w:tcBorders>
              <w:top w:val="single" w:sz="4" w:space="0" w:color="auto"/>
              <w:bottom w:val="single" w:sz="4" w:space="0" w:color="auto"/>
            </w:tcBorders>
            <w:vAlign w:val="center"/>
            <w:hideMark/>
          </w:tcPr>
          <w:p w14:paraId="29089797"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Key Notes (e.g. visa/status)</w:t>
            </w:r>
          </w:p>
        </w:tc>
      </w:tr>
      <w:tr w:rsidR="00666AAE" w:rsidRPr="00B462CD" w14:paraId="41AA69E9" w14:textId="77777777" w:rsidTr="00BB1BE4">
        <w:trPr>
          <w:tblCellSpacing w:w="15" w:type="dxa"/>
        </w:trPr>
        <w:tc>
          <w:tcPr>
            <w:tcW w:w="0" w:type="auto"/>
            <w:vAlign w:val="center"/>
            <w:hideMark/>
          </w:tcPr>
          <w:p w14:paraId="6F1090FF"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1</w:t>
            </w:r>
          </w:p>
        </w:tc>
        <w:tc>
          <w:tcPr>
            <w:tcW w:w="0" w:type="auto"/>
            <w:vAlign w:val="center"/>
            <w:hideMark/>
          </w:tcPr>
          <w:p w14:paraId="6997699D"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37</w:t>
            </w:r>
          </w:p>
        </w:tc>
        <w:tc>
          <w:tcPr>
            <w:tcW w:w="976" w:type="dxa"/>
            <w:vAlign w:val="center"/>
            <w:hideMark/>
          </w:tcPr>
          <w:p w14:paraId="70BBAA49"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Male</w:t>
            </w:r>
          </w:p>
        </w:tc>
        <w:tc>
          <w:tcPr>
            <w:tcW w:w="725" w:type="dxa"/>
            <w:vAlign w:val="center"/>
            <w:hideMark/>
          </w:tcPr>
          <w:p w14:paraId="6A80B531" w14:textId="4657357E" w:rsidR="00A06253" w:rsidRPr="00B462CD" w:rsidRDefault="00D9618E"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Ghana</w:t>
            </w:r>
          </w:p>
        </w:tc>
        <w:tc>
          <w:tcPr>
            <w:tcW w:w="0" w:type="auto"/>
            <w:vAlign w:val="center"/>
            <w:hideMark/>
          </w:tcPr>
          <w:p w14:paraId="66B4109C"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14</w:t>
            </w:r>
          </w:p>
        </w:tc>
        <w:tc>
          <w:tcPr>
            <w:tcW w:w="0" w:type="auto"/>
            <w:vAlign w:val="center"/>
            <w:hideMark/>
          </w:tcPr>
          <w:p w14:paraId="24EE1B86"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Married, 2 children</w:t>
            </w:r>
          </w:p>
        </w:tc>
        <w:tc>
          <w:tcPr>
            <w:tcW w:w="0" w:type="auto"/>
            <w:vAlign w:val="center"/>
            <w:hideMark/>
          </w:tcPr>
          <w:p w14:paraId="5DA297E7"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Indefinite Leave to Remain</w:t>
            </w:r>
          </w:p>
        </w:tc>
      </w:tr>
      <w:tr w:rsidR="00666AAE" w:rsidRPr="00B462CD" w14:paraId="1B8FDFF7" w14:textId="77777777" w:rsidTr="00BB1BE4">
        <w:trPr>
          <w:trHeight w:val="41"/>
          <w:tblCellSpacing w:w="15" w:type="dxa"/>
        </w:trPr>
        <w:tc>
          <w:tcPr>
            <w:tcW w:w="0" w:type="auto"/>
            <w:tcBorders>
              <w:bottom w:val="single" w:sz="4" w:space="0" w:color="auto"/>
            </w:tcBorders>
            <w:vAlign w:val="center"/>
            <w:hideMark/>
          </w:tcPr>
          <w:p w14:paraId="41ADE630"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2</w:t>
            </w:r>
          </w:p>
        </w:tc>
        <w:tc>
          <w:tcPr>
            <w:tcW w:w="0" w:type="auto"/>
            <w:tcBorders>
              <w:bottom w:val="single" w:sz="4" w:space="0" w:color="auto"/>
            </w:tcBorders>
            <w:vAlign w:val="center"/>
            <w:hideMark/>
          </w:tcPr>
          <w:p w14:paraId="47649169"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41</w:t>
            </w:r>
          </w:p>
        </w:tc>
        <w:tc>
          <w:tcPr>
            <w:tcW w:w="976" w:type="dxa"/>
            <w:tcBorders>
              <w:bottom w:val="single" w:sz="4" w:space="0" w:color="auto"/>
            </w:tcBorders>
            <w:vAlign w:val="center"/>
            <w:hideMark/>
          </w:tcPr>
          <w:p w14:paraId="782B380A"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Female</w:t>
            </w:r>
          </w:p>
        </w:tc>
        <w:tc>
          <w:tcPr>
            <w:tcW w:w="725" w:type="dxa"/>
            <w:tcBorders>
              <w:bottom w:val="single" w:sz="4" w:space="0" w:color="auto"/>
            </w:tcBorders>
            <w:vAlign w:val="center"/>
            <w:hideMark/>
          </w:tcPr>
          <w:p w14:paraId="2D11E21A"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Ghana</w:t>
            </w:r>
          </w:p>
        </w:tc>
        <w:tc>
          <w:tcPr>
            <w:tcW w:w="0" w:type="auto"/>
            <w:tcBorders>
              <w:bottom w:val="single" w:sz="4" w:space="0" w:color="auto"/>
            </w:tcBorders>
            <w:vAlign w:val="center"/>
            <w:hideMark/>
          </w:tcPr>
          <w:p w14:paraId="221BCCB3"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10</w:t>
            </w:r>
          </w:p>
        </w:tc>
        <w:tc>
          <w:tcPr>
            <w:tcW w:w="0" w:type="auto"/>
            <w:tcBorders>
              <w:bottom w:val="single" w:sz="4" w:space="0" w:color="auto"/>
            </w:tcBorders>
            <w:vAlign w:val="center"/>
            <w:hideMark/>
          </w:tcPr>
          <w:p w14:paraId="1F88ACEC"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Single parent, one child</w:t>
            </w:r>
          </w:p>
        </w:tc>
        <w:tc>
          <w:tcPr>
            <w:tcW w:w="0" w:type="auto"/>
            <w:tcBorders>
              <w:bottom w:val="single" w:sz="4" w:space="0" w:color="auto"/>
            </w:tcBorders>
            <w:vAlign w:val="center"/>
            <w:hideMark/>
          </w:tcPr>
          <w:p w14:paraId="595E8E8F" w14:textId="77777777"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Limited Leave to Remain</w:t>
            </w:r>
          </w:p>
        </w:tc>
      </w:tr>
    </w:tbl>
    <w:p w14:paraId="798FBC4D" w14:textId="40359E64" w:rsidR="00A06253" w:rsidRPr="00B462CD" w:rsidRDefault="00307C70"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Table 1: Participant Profile.</w:t>
      </w:r>
      <w:r w:rsidRPr="00B462CD">
        <w:rPr>
          <w:rFonts w:ascii="Arial" w:eastAsia="Times New Roman" w:hAnsi="Arial" w:cs="Arial"/>
          <w:kern w:val="0"/>
          <w:lang w:eastAsia="en-US"/>
          <w14:ligatures w14:val="none"/>
        </w:rPr>
        <w:t xml:space="preserve"> </w:t>
      </w:r>
      <w:r w:rsidRPr="00B462CD">
        <w:rPr>
          <w:rFonts w:ascii="Arial" w:eastAsia="Times New Roman" w:hAnsi="Arial" w:cs="Arial"/>
          <w:b/>
          <w:bCs/>
          <w:kern w:val="0"/>
          <w:lang w:eastAsia="en-US"/>
          <w14:ligatures w14:val="none"/>
        </w:rPr>
        <w:t>Characteristics of Study Participants</w:t>
      </w:r>
    </w:p>
    <w:tbl>
      <w:tblPr>
        <w:tblW w:w="9434" w:type="dxa"/>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358"/>
        <w:gridCol w:w="3451"/>
        <w:gridCol w:w="3625"/>
      </w:tblGrid>
      <w:tr w:rsidR="00DF5D62" w:rsidRPr="00B462CD" w14:paraId="21DB0915" w14:textId="77777777" w:rsidTr="00185F9B">
        <w:trPr>
          <w:trHeight w:val="111"/>
          <w:tblHeader/>
          <w:tblCellSpacing w:w="15" w:type="dxa"/>
        </w:trPr>
        <w:tc>
          <w:tcPr>
            <w:tcW w:w="0" w:type="auto"/>
            <w:tcBorders>
              <w:top w:val="nil"/>
              <w:bottom w:val="single" w:sz="4" w:space="0" w:color="auto"/>
            </w:tcBorders>
            <w:vAlign w:val="center"/>
            <w:hideMark/>
          </w:tcPr>
          <w:p w14:paraId="1A37D14F"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Main Theme</w:t>
            </w:r>
          </w:p>
        </w:tc>
        <w:tc>
          <w:tcPr>
            <w:tcW w:w="0" w:type="auto"/>
            <w:tcBorders>
              <w:top w:val="nil"/>
              <w:left w:val="single" w:sz="4" w:space="0" w:color="auto"/>
              <w:bottom w:val="single" w:sz="4" w:space="0" w:color="auto"/>
              <w:right w:val="single" w:sz="4" w:space="0" w:color="auto"/>
            </w:tcBorders>
            <w:vAlign w:val="center"/>
            <w:hideMark/>
          </w:tcPr>
          <w:p w14:paraId="6A657693"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Description</w:t>
            </w:r>
          </w:p>
        </w:tc>
        <w:tc>
          <w:tcPr>
            <w:tcW w:w="0" w:type="auto"/>
            <w:tcBorders>
              <w:top w:val="nil"/>
              <w:bottom w:val="single" w:sz="4" w:space="0" w:color="auto"/>
            </w:tcBorders>
            <w:vAlign w:val="center"/>
            <w:hideMark/>
          </w:tcPr>
          <w:p w14:paraId="5182CC0E"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Sub-themes</w:t>
            </w:r>
          </w:p>
        </w:tc>
      </w:tr>
      <w:tr w:rsidR="00DF5D62" w:rsidRPr="00B462CD" w14:paraId="6E4E1A46" w14:textId="77777777" w:rsidTr="001E24B2">
        <w:trPr>
          <w:trHeight w:val="222"/>
          <w:tblCellSpacing w:w="15" w:type="dxa"/>
        </w:trPr>
        <w:tc>
          <w:tcPr>
            <w:tcW w:w="0" w:type="auto"/>
            <w:vAlign w:val="center"/>
            <w:hideMark/>
          </w:tcPr>
          <w:p w14:paraId="6AF835DB"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c>
          <w:tcPr>
            <w:tcW w:w="0" w:type="auto"/>
            <w:tcBorders>
              <w:left w:val="single" w:sz="4" w:space="0" w:color="auto"/>
              <w:right w:val="single" w:sz="4" w:space="0" w:color="auto"/>
            </w:tcBorders>
            <w:vAlign w:val="center"/>
            <w:hideMark/>
          </w:tcPr>
          <w:p w14:paraId="4F36FA7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Obstacles in accessing NHS and GP services.</w:t>
            </w:r>
          </w:p>
        </w:tc>
        <w:tc>
          <w:tcPr>
            <w:tcW w:w="0" w:type="auto"/>
            <w:vAlign w:val="center"/>
            <w:hideMark/>
          </w:tcPr>
          <w:p w14:paraId="0B343E7E"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Fear of reporting, lack of info, document requirements.</w:t>
            </w:r>
          </w:p>
        </w:tc>
      </w:tr>
      <w:tr w:rsidR="00DF5D62" w:rsidRPr="00B462CD" w14:paraId="3B2AC80B" w14:textId="77777777" w:rsidTr="001E24B2">
        <w:trPr>
          <w:trHeight w:val="222"/>
          <w:tblCellSpacing w:w="15" w:type="dxa"/>
        </w:trPr>
        <w:tc>
          <w:tcPr>
            <w:tcW w:w="0" w:type="auto"/>
            <w:vAlign w:val="center"/>
            <w:hideMark/>
          </w:tcPr>
          <w:p w14:paraId="4552D99A"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Housing &amp; Employment</w:t>
            </w:r>
          </w:p>
        </w:tc>
        <w:tc>
          <w:tcPr>
            <w:tcW w:w="0" w:type="auto"/>
            <w:tcBorders>
              <w:left w:val="single" w:sz="4" w:space="0" w:color="auto"/>
              <w:right w:val="single" w:sz="4" w:space="0" w:color="auto"/>
            </w:tcBorders>
            <w:vAlign w:val="center"/>
            <w:hideMark/>
          </w:tcPr>
          <w:p w14:paraId="1672D19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Insecure accommodation and informal employment.</w:t>
            </w:r>
          </w:p>
        </w:tc>
        <w:tc>
          <w:tcPr>
            <w:tcW w:w="0" w:type="auto"/>
            <w:vAlign w:val="center"/>
            <w:hideMark/>
          </w:tcPr>
          <w:p w14:paraId="4DE0911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Overcrowding, cash-in-hand jobs, and exploitation.</w:t>
            </w:r>
          </w:p>
        </w:tc>
      </w:tr>
      <w:tr w:rsidR="00DF5D62" w:rsidRPr="00B462CD" w14:paraId="2BC7DC54" w14:textId="77777777" w:rsidTr="001E24B2">
        <w:trPr>
          <w:trHeight w:val="218"/>
          <w:tblCellSpacing w:w="15" w:type="dxa"/>
        </w:trPr>
        <w:tc>
          <w:tcPr>
            <w:tcW w:w="0" w:type="auto"/>
            <w:vAlign w:val="center"/>
            <w:hideMark/>
          </w:tcPr>
          <w:p w14:paraId="734919A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&amp; Exclusion</w:t>
            </w:r>
          </w:p>
        </w:tc>
        <w:tc>
          <w:tcPr>
            <w:tcW w:w="0" w:type="auto"/>
            <w:tcBorders>
              <w:left w:val="single" w:sz="4" w:space="0" w:color="auto"/>
              <w:right w:val="single" w:sz="4" w:space="0" w:color="auto"/>
            </w:tcBorders>
            <w:vAlign w:val="center"/>
            <w:hideMark/>
          </w:tcPr>
          <w:p w14:paraId="566AC6DB"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Experiences of prejudice and social isolation.</w:t>
            </w:r>
          </w:p>
        </w:tc>
        <w:tc>
          <w:tcPr>
            <w:tcW w:w="0" w:type="auto"/>
            <w:vAlign w:val="center"/>
            <w:hideMark/>
          </w:tcPr>
          <w:p w14:paraId="595BA4A3"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Verbal abuse, feeling unwelcome, and workplace discrimination.</w:t>
            </w:r>
          </w:p>
        </w:tc>
      </w:tr>
      <w:tr w:rsidR="00DF5D62" w:rsidRPr="00B462CD" w14:paraId="710F1466" w14:textId="77777777" w:rsidTr="001E24B2">
        <w:trPr>
          <w:trHeight w:val="222"/>
          <w:tblCellSpacing w:w="15" w:type="dxa"/>
        </w:trPr>
        <w:tc>
          <w:tcPr>
            <w:tcW w:w="0" w:type="auto"/>
            <w:vAlign w:val="center"/>
            <w:hideMark/>
          </w:tcPr>
          <w:p w14:paraId="2D5C5790"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&amp; Resilience</w:t>
            </w:r>
          </w:p>
        </w:tc>
        <w:tc>
          <w:tcPr>
            <w:tcW w:w="0" w:type="auto"/>
            <w:tcBorders>
              <w:left w:val="single" w:sz="4" w:space="0" w:color="auto"/>
              <w:right w:val="single" w:sz="4" w:space="0" w:color="auto"/>
            </w:tcBorders>
            <w:vAlign w:val="center"/>
            <w:hideMark/>
          </w:tcPr>
          <w:p w14:paraId="4A97E902"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Strategies for managing adversity and stress.</w:t>
            </w:r>
          </w:p>
        </w:tc>
        <w:tc>
          <w:tcPr>
            <w:tcW w:w="0" w:type="auto"/>
            <w:vAlign w:val="center"/>
            <w:hideMark/>
          </w:tcPr>
          <w:p w14:paraId="40D2C652"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Faith, church support, informal networks, and self-motivation.</w:t>
            </w:r>
          </w:p>
        </w:tc>
      </w:tr>
      <w:tr w:rsidR="00DF5D62" w:rsidRPr="00B462CD" w14:paraId="7DDF04D4" w14:textId="77777777" w:rsidTr="001E24B2">
        <w:trPr>
          <w:trHeight w:val="222"/>
          <w:tblCellSpacing w:w="15" w:type="dxa"/>
        </w:trPr>
        <w:tc>
          <w:tcPr>
            <w:tcW w:w="0" w:type="auto"/>
            <w:vAlign w:val="center"/>
          </w:tcPr>
          <w:p w14:paraId="6A8E7A5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Climate Change Impacts</w:t>
            </w:r>
          </w:p>
        </w:tc>
        <w:tc>
          <w:tcPr>
            <w:tcW w:w="0" w:type="auto"/>
            <w:tcBorders>
              <w:left w:val="single" w:sz="4" w:space="0" w:color="auto"/>
              <w:right w:val="single" w:sz="4" w:space="0" w:color="auto"/>
            </w:tcBorders>
            <w:vAlign w:val="center"/>
          </w:tcPr>
          <w:p w14:paraId="76F98F4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Influence of weather/environment on well-being.</w:t>
            </w:r>
          </w:p>
        </w:tc>
        <w:tc>
          <w:tcPr>
            <w:tcW w:w="0" w:type="auto"/>
            <w:vAlign w:val="center"/>
          </w:tcPr>
          <w:p w14:paraId="5EFBD31E"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Cold, damp housing, seasonal stress.</w:t>
            </w:r>
          </w:p>
        </w:tc>
      </w:tr>
      <w:tr w:rsidR="00DF5D62" w:rsidRPr="00B462CD" w14:paraId="49B10BBE" w14:textId="77777777" w:rsidTr="00014572">
        <w:trPr>
          <w:trHeight w:val="222"/>
          <w:tblCellSpacing w:w="15" w:type="dxa"/>
        </w:trPr>
        <w:tc>
          <w:tcPr>
            <w:tcW w:w="0" w:type="auto"/>
            <w:tcBorders>
              <w:top w:val="nil"/>
              <w:bottom w:val="nil"/>
            </w:tcBorders>
            <w:vAlign w:val="center"/>
          </w:tcPr>
          <w:p w14:paraId="6FC93E89"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Cultural Change &amp; Adaptation</w:t>
            </w:r>
          </w:p>
        </w:tc>
        <w:tc>
          <w:tcPr>
            <w:tcW w:w="0" w:type="auto"/>
            <w:tcBorders>
              <w:top w:val="nil"/>
              <w:left w:val="single" w:sz="4" w:space="0" w:color="auto"/>
              <w:bottom w:val="nil"/>
              <w:right w:val="single" w:sz="4" w:space="0" w:color="auto"/>
            </w:tcBorders>
            <w:vAlign w:val="center"/>
          </w:tcPr>
          <w:p w14:paraId="167101F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Navigating new norms, values, and practices.</w:t>
            </w:r>
          </w:p>
        </w:tc>
        <w:tc>
          <w:tcPr>
            <w:tcW w:w="0" w:type="auto"/>
            <w:tcBorders>
              <w:top w:val="nil"/>
              <w:bottom w:val="nil"/>
            </w:tcBorders>
            <w:vAlign w:val="center"/>
          </w:tcPr>
          <w:p w14:paraId="0865EFE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Food, language, and social integration.</w:t>
            </w:r>
          </w:p>
        </w:tc>
      </w:tr>
    </w:tbl>
    <w:p w14:paraId="7981DA78" w14:textId="28964E68" w:rsidR="00307C70" w:rsidRPr="00B462CD" w:rsidRDefault="00307C70"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40" w:name="_Toc220428669"/>
      <w:r w:rsidRPr="00B462CD">
        <w:rPr>
          <w:rFonts w:ascii="Arial" w:eastAsia="Times New Roman" w:hAnsi="Arial" w:cs="Arial"/>
          <w:b/>
          <w:bCs/>
          <w:kern w:val="0"/>
          <w:lang w:eastAsia="en-US"/>
          <w14:ligatures w14:val="none"/>
        </w:rPr>
        <w:t>Table 2: Overview of Main Themes and Sub-themes</w:t>
      </w:r>
    </w:p>
    <w:p w14:paraId="61A59B25" w14:textId="640A483B" w:rsidR="00A06253" w:rsidRPr="00B462CD" w:rsidRDefault="00A06253" w:rsidP="00E6526D">
      <w:pPr>
        <w:spacing w:before="100" w:beforeAutospacing="1" w:after="100" w:afterAutospacing="1" w:line="360" w:lineRule="auto"/>
        <w:outlineLvl w:val="2"/>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4.2 Barriers to Healthcare Access.</w:t>
      </w:r>
      <w:bookmarkEnd w:id="40"/>
      <w:r w:rsidRPr="00B462CD">
        <w:rPr>
          <w:rFonts w:ascii="Arial" w:eastAsia="Times New Roman" w:hAnsi="Arial" w:cs="Arial"/>
          <w:b/>
          <w:bCs/>
          <w:kern w:val="0"/>
          <w:lang w:eastAsia="en-US"/>
          <w14:ligatures w14:val="none"/>
        </w:rPr>
        <w:t xml:space="preserve"> </w:t>
      </w:r>
    </w:p>
    <w:p w14:paraId="293DC6DD" w14:textId="0C9A7708" w:rsidR="00A06253" w:rsidRPr="00B462CD" w:rsidRDefault="00A06253" w:rsidP="00E6526D">
      <w:pPr>
        <w:spacing w:before="100" w:beforeAutospacing="1" w:after="100" w:afterAutospacing="1" w:line="360" w:lineRule="auto"/>
        <w:outlineLvl w:val="2"/>
        <w:rPr>
          <w:rFonts w:ascii="Arial" w:eastAsia="Times New Roman" w:hAnsi="Arial" w:cs="Arial"/>
          <w:kern w:val="0"/>
          <w:lang w:eastAsia="en-US"/>
          <w14:ligatures w14:val="none"/>
        </w:rPr>
      </w:pPr>
      <w:bookmarkStart w:id="41" w:name="_Toc220428670"/>
      <w:r w:rsidRPr="00B462CD">
        <w:rPr>
          <w:rFonts w:ascii="Arial" w:eastAsia="Times New Roman" w:hAnsi="Arial" w:cs="Arial"/>
          <w:kern w:val="0"/>
          <w:lang w:eastAsia="en-US"/>
          <w14:ligatures w14:val="none"/>
        </w:rPr>
        <w:t>Examining how immigration status affects BAME adult migrants' access to healthcare in East London was one of the main goals of this study. A variety of challenges that prevented them from receiving timely and effective care were mentioned by both individuals. Administrative obstacles were prevalent</w:t>
      </w:r>
      <w:r w:rsidR="00047EF9"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participants reported having trouble registering with a general practitioner (GP) because of documentation requirements and unclear rights.</w:t>
      </w:r>
      <w:bookmarkEnd w:id="41"/>
      <w:r w:rsidRPr="00B462CD">
        <w:rPr>
          <w:rFonts w:ascii="Arial" w:eastAsia="Times New Roman" w:hAnsi="Arial" w:cs="Arial"/>
          <w:kern w:val="0"/>
          <w:lang w:eastAsia="en-US"/>
          <w14:ligatures w14:val="none"/>
        </w:rPr>
        <w:t xml:space="preserve"> </w:t>
      </w:r>
    </w:p>
    <w:p w14:paraId="4202DFC1" w14:textId="6DB880B1" w:rsidR="00A06253" w:rsidRPr="00B462CD" w:rsidRDefault="00A06253" w:rsidP="00E6526D">
      <w:pPr>
        <w:spacing w:before="100" w:beforeAutospacing="1" w:after="100" w:afterAutospacing="1" w:line="360" w:lineRule="auto"/>
        <w:outlineLvl w:val="2"/>
        <w:rPr>
          <w:rFonts w:ascii="Arial" w:eastAsia="Times New Roman" w:hAnsi="Arial" w:cs="Arial"/>
          <w:kern w:val="0"/>
          <w:lang w:eastAsia="en-US"/>
          <w14:ligatures w14:val="none"/>
        </w:rPr>
      </w:pPr>
      <w:bookmarkStart w:id="42" w:name="_Toc220428671"/>
      <w:r w:rsidRPr="00B462CD">
        <w:rPr>
          <w:rFonts w:ascii="Arial" w:eastAsia="Times New Roman" w:hAnsi="Arial" w:cs="Arial"/>
          <w:kern w:val="0"/>
          <w:lang w:eastAsia="en-US"/>
          <w14:ligatures w14:val="none"/>
        </w:rPr>
        <w:t>"I tried to register but was told I needed documents</w:t>
      </w:r>
      <w:r w:rsidR="00CE1500" w:rsidRPr="00B462CD">
        <w:rPr>
          <w:rFonts w:ascii="Arial" w:eastAsia="Times New Roman" w:hAnsi="Arial" w:cs="Arial"/>
          <w:kern w:val="0"/>
          <w:lang w:eastAsia="en-US"/>
          <w14:ligatures w14:val="none"/>
        </w:rPr>
        <w:t xml:space="preserve"> </w:t>
      </w:r>
      <w:r w:rsidR="005820CB" w:rsidRPr="00B462CD">
        <w:rPr>
          <w:rFonts w:ascii="Arial" w:eastAsia="Times New Roman" w:hAnsi="Arial" w:cs="Arial"/>
          <w:kern w:val="0"/>
          <w:lang w:eastAsia="en-US"/>
          <w14:ligatures w14:val="none"/>
        </w:rPr>
        <w:t>like council tax a</w:t>
      </w:r>
      <w:r w:rsidR="00CE1500" w:rsidRPr="00B462CD">
        <w:rPr>
          <w:rFonts w:ascii="Arial" w:eastAsia="Times New Roman" w:hAnsi="Arial" w:cs="Arial"/>
          <w:kern w:val="0"/>
          <w:lang w:eastAsia="en-US"/>
          <w14:ligatures w14:val="none"/>
        </w:rPr>
        <w:t>nd photo ID</w:t>
      </w:r>
      <w:r w:rsidRPr="00B462CD">
        <w:rPr>
          <w:rFonts w:ascii="Arial" w:eastAsia="Times New Roman" w:hAnsi="Arial" w:cs="Arial"/>
          <w:kern w:val="0"/>
          <w:lang w:eastAsia="en-US"/>
          <w14:ligatures w14:val="none"/>
        </w:rPr>
        <w:t>."</w:t>
      </w:r>
      <w:bookmarkEnd w:id="42"/>
      <w:r w:rsidRPr="00B462CD">
        <w:rPr>
          <w:rFonts w:ascii="Arial" w:eastAsia="Times New Roman" w:hAnsi="Arial" w:cs="Arial"/>
          <w:kern w:val="0"/>
          <w:lang w:eastAsia="en-US"/>
          <w14:ligatures w14:val="none"/>
        </w:rPr>
        <w:t xml:space="preserve"> </w:t>
      </w:r>
    </w:p>
    <w:p w14:paraId="34EFC9A5" w14:textId="77777777" w:rsidR="00BB4E71" w:rsidRPr="00B462CD" w:rsidRDefault="00A06253" w:rsidP="00E6526D">
      <w:pPr>
        <w:spacing w:before="100" w:beforeAutospacing="1" w:after="100" w:afterAutospacing="1" w:line="360" w:lineRule="auto"/>
        <w:outlineLvl w:val="2"/>
        <w:rPr>
          <w:rFonts w:ascii="Arial" w:eastAsia="Times New Roman" w:hAnsi="Arial" w:cs="Arial"/>
          <w:kern w:val="0"/>
          <w:lang w:eastAsia="en-US"/>
          <w14:ligatures w14:val="none"/>
        </w:rPr>
      </w:pPr>
      <w:bookmarkStart w:id="43" w:name="_Toc220428672"/>
      <w:r w:rsidRPr="00B462CD">
        <w:rPr>
          <w:rFonts w:ascii="Arial" w:eastAsia="Times New Roman" w:hAnsi="Arial" w:cs="Arial"/>
          <w:kern w:val="0"/>
          <w:lang w:eastAsia="en-US"/>
          <w14:ligatures w14:val="none"/>
        </w:rPr>
        <w:t xml:space="preserve">P2 described her experience. </w:t>
      </w:r>
    </w:p>
    <w:p w14:paraId="0D777FDF" w14:textId="77777777" w:rsidR="006963BE" w:rsidRPr="00B462CD" w:rsidRDefault="006963BE" w:rsidP="00E6526D">
      <w:pPr>
        <w:spacing w:before="100" w:beforeAutospacing="1" w:after="100" w:afterAutospacing="1" w:line="360" w:lineRule="auto"/>
        <w:outlineLvl w:val="2"/>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I was afraid they would report me if I asked again</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61423F7E" w14:textId="77777777" w:rsidR="004F4F16" w:rsidRPr="00B462CD" w:rsidRDefault="00A06253" w:rsidP="00E6526D">
      <w:pPr>
        <w:spacing w:before="100" w:beforeAutospacing="1" w:after="100" w:afterAutospacing="1" w:line="360" w:lineRule="auto"/>
        <w:outlineLvl w:val="2"/>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 common theme was the fear of being reported to immigration authorities, which made people reluctant to seek medical attention and, in certain situations, caused serious treatment delays.</w:t>
      </w:r>
      <w:bookmarkEnd w:id="43"/>
    </w:p>
    <w:p w14:paraId="027FB34C" w14:textId="6F386331" w:rsidR="00A06253" w:rsidRPr="00B462CD" w:rsidRDefault="00A06253" w:rsidP="00E6526D">
      <w:pPr>
        <w:spacing w:before="100" w:beforeAutospacing="1" w:after="100" w:afterAutospacing="1" w:line="360" w:lineRule="auto"/>
        <w:outlineLvl w:val="2"/>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P1 reiterated these worries, stating that he was reluctant to contact medical professionals because he was unsure of his rights as an </w:t>
      </w:r>
      <w:r w:rsidR="00D528C9" w:rsidRPr="00B462CD">
        <w:rPr>
          <w:rFonts w:ascii="Arial" w:eastAsia="Times New Roman" w:hAnsi="Arial" w:cs="Arial"/>
          <w:kern w:val="0"/>
          <w:lang w:eastAsia="en-US"/>
          <w14:ligatures w14:val="none"/>
        </w:rPr>
        <w:t>immigrant with limited access to health care</w:t>
      </w:r>
      <w:r w:rsidRPr="00B462CD">
        <w:rPr>
          <w:rFonts w:ascii="Arial" w:eastAsia="Times New Roman" w:hAnsi="Arial" w:cs="Arial"/>
          <w:kern w:val="0"/>
          <w:lang w:eastAsia="en-US"/>
          <w14:ligatures w14:val="none"/>
        </w:rPr>
        <w:t xml:space="preserve">. </w:t>
      </w:r>
    </w:p>
    <w:p w14:paraId="780E18FD"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"When I felt sick, I waited until it was really bad because I didn't know if I could go to the hospital without getting into trouble," he revealed. </w:t>
      </w:r>
    </w:p>
    <w:p w14:paraId="68C5893C" w14:textId="54356BD5" w:rsidR="003B5C8E" w:rsidRPr="00B462CD" w:rsidRDefault="00A06253" w:rsidP="00E6526D">
      <w:pPr>
        <w:spacing w:line="360" w:lineRule="auto"/>
        <w:rPr>
          <w:rFonts w:ascii="Arial" w:eastAsia="Times New Roman" w:hAnsi="Arial" w:cs="Arial"/>
          <w:b/>
          <w:bCs/>
        </w:rPr>
      </w:pPr>
      <w:r w:rsidRPr="00B462CD">
        <w:rPr>
          <w:rFonts w:ascii="Arial" w:eastAsia="Times New Roman" w:hAnsi="Arial" w:cs="Arial"/>
          <w:kern w:val="0"/>
          <w:lang w:eastAsia="en-US"/>
          <w14:ligatures w14:val="none"/>
        </w:rPr>
        <w:t xml:space="preserve">Both participants expressed widespread worry about using health services, which was made worse by conflicting information from community contacts and service providers. These results are in line with earlier studies showing that migrants with unstable status frequently put off or refrain from obtaining medical attention out of concern about potential legal ramifications or rejection (Doctors of the World, 2017; Potter et al., 2020). Access was further impeded by the lack of culturally relevant information and language limitations. Despite the occasional availability of translators, both participants described instances in which they felt misinterpreted by medical personnel or had difficulty successfully communicating their health concerns. Feelings of alienation and annoyance were exacerbated by this discrepancy between the requirements of the patients and the services provided. As a result of these obstacles, people felt more vulnerable and had less faith in the healthcare system, which was consistent with larger issues reported in UK public health literature (Feldman, 2018; Sime, 2021). </w:t>
      </w:r>
      <w:r w:rsidR="00AE02D1" w:rsidRPr="00B462CD">
        <w:rPr>
          <w:rFonts w:ascii="Arial" w:eastAsia="Times New Roman" w:hAnsi="Arial" w:cs="Arial"/>
          <w:noProof/>
          <w:kern w:val="0"/>
          <w:lang w:eastAsia="en-US"/>
          <w14:ligatures w14:val="none"/>
        </w:rPr>
        <w:drawing>
          <wp:inline distT="0" distB="0" distL="0" distR="0" wp14:anchorId="5862C233" wp14:editId="17BA40AC">
            <wp:extent cx="6767195" cy="4486910"/>
            <wp:effectExtent l="0" t="0" r="0" b="8890"/>
            <wp:docPr id="111928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67195" cy="4486910"/>
                    </a:xfrm>
                    <a:prstGeom prst="rect">
                      <a:avLst/>
                    </a:prstGeom>
                    <a:noFill/>
                  </pic:spPr>
                </pic:pic>
              </a:graphicData>
            </a:graphic>
          </wp:inline>
        </w:drawing>
      </w:r>
      <w:r w:rsidRPr="00B462CD">
        <w:rPr>
          <w:rFonts w:ascii="Arial" w:eastAsia="Times New Roman" w:hAnsi="Arial" w:cs="Arial"/>
          <w:kern w:val="0"/>
          <w:lang w:eastAsia="en-US"/>
          <w14:ligatures w14:val="none"/>
        </w:rPr>
        <w:br/>
      </w:r>
      <w:r w:rsidR="005A47C5" w:rsidRPr="00B462CD">
        <w:rPr>
          <w:rFonts w:ascii="Arial" w:eastAsia="Times New Roman" w:hAnsi="Arial" w:cs="Arial"/>
          <w:b/>
          <w:bCs/>
        </w:rPr>
        <w:t>Fig.1 Social Determinants and Social Needs: Moving beyond Midstream.</w:t>
      </w:r>
      <w:r w:rsidR="00A85418" w:rsidRPr="00B462CD">
        <w:rPr>
          <w:rFonts w:ascii="Arial" w:eastAsia="Times New Roman" w:hAnsi="Arial" w:cs="Arial"/>
          <w:b/>
          <w:bCs/>
        </w:rPr>
        <w:t xml:space="preserve"> </w:t>
      </w:r>
      <w:proofErr w:type="gramStart"/>
      <w:r w:rsidR="005A47C5" w:rsidRPr="00B462CD">
        <w:rPr>
          <w:rFonts w:ascii="Arial" w:eastAsia="Times New Roman" w:hAnsi="Arial" w:cs="Arial"/>
          <w:b/>
          <w:bCs/>
        </w:rPr>
        <w:t>( Castrucci</w:t>
      </w:r>
      <w:proofErr w:type="gramEnd"/>
      <w:r w:rsidR="00D528C9" w:rsidRPr="00B462CD">
        <w:rPr>
          <w:rFonts w:ascii="Arial" w:eastAsia="Times New Roman" w:hAnsi="Arial" w:cs="Arial"/>
          <w:b/>
          <w:bCs/>
        </w:rPr>
        <w:t xml:space="preserve"> </w:t>
      </w:r>
      <w:r w:rsidR="005A47C5" w:rsidRPr="00B462CD">
        <w:rPr>
          <w:rFonts w:ascii="Arial" w:eastAsia="Times New Roman" w:hAnsi="Arial" w:cs="Arial"/>
          <w:b/>
          <w:bCs/>
        </w:rPr>
        <w:t>and Auebach, 2019)</w:t>
      </w:r>
    </w:p>
    <w:p w14:paraId="22B0B055" w14:textId="6667D4FB" w:rsidR="003B5C8E" w:rsidRPr="00B462CD" w:rsidRDefault="003B5C8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Three layers of action are needed to improve health, according to Castrucci and Auerbach: upstream (addressing broad social factors including policy and structural conditions), midstream (addressing specific social needs), and downstream (clinical care).</w:t>
      </w:r>
      <w:r w:rsidR="00D528C9"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They stress that while addressing acute social needs can be beneficial in the near term, addressing the underlying causes and achieving long-lasting, equitable health gains can only be accomplished through upstream action through structural reform and policy change.</w:t>
      </w:r>
    </w:p>
    <w:p w14:paraId="02C77139" w14:textId="6F69696B" w:rsidR="005A47C5" w:rsidRPr="00B462CD" w:rsidRDefault="005A47C5" w:rsidP="00E6526D">
      <w:pPr>
        <w:spacing w:line="360" w:lineRule="auto"/>
        <w:rPr>
          <w:rFonts w:ascii="Arial" w:eastAsia="Times New Roman" w:hAnsi="Arial" w:cs="Arial"/>
          <w:b/>
          <w:bCs/>
        </w:rPr>
      </w:pPr>
    </w:p>
    <w:p w14:paraId="3B17C59F" w14:textId="77777777" w:rsidR="003B5C8E" w:rsidRPr="00B462CD" w:rsidRDefault="003B5C8E" w:rsidP="00E6526D">
      <w:pPr>
        <w:spacing w:line="360" w:lineRule="auto"/>
        <w:rPr>
          <w:rFonts w:ascii="Arial" w:eastAsia="Times New Roman" w:hAnsi="Arial" w:cs="Arial"/>
          <w:b/>
          <w:bCs/>
        </w:rPr>
      </w:pPr>
    </w:p>
    <w:p w14:paraId="05640CF0" w14:textId="4B923FFF" w:rsidR="00080668" w:rsidRPr="00B462CD" w:rsidRDefault="00A06253"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noProof/>
          <w:kern w:val="0"/>
          <w:lang w:eastAsia="en-US"/>
          <w14:ligatures w14:val="none"/>
        </w:rPr>
        <w:drawing>
          <wp:inline distT="0" distB="0" distL="0" distR="0" wp14:anchorId="5A03D2C4" wp14:editId="5FB97D32">
            <wp:extent cx="6437971" cy="3784600"/>
            <wp:effectExtent l="0" t="0" r="0" b="0"/>
            <wp:docPr id="1770541495" name="Picture 3" descr="Conceptual pathway of barriers to healthcare access for migrant participants arranged in a clockwise circular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Conceptual pathway of barriers to healthcare access for migrant participants arranged in a clockwise circular flo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442302" cy="3787146"/>
                    </a:xfrm>
                    <a:prstGeom prst="rect">
                      <a:avLst/>
                    </a:prstGeom>
                    <a:noFill/>
                    <a:ln>
                      <a:noFill/>
                    </a:ln>
                  </pic:spPr>
                </pic:pic>
              </a:graphicData>
            </a:graphic>
          </wp:inline>
        </w:drawing>
      </w:r>
      <w:r w:rsidRPr="00B462CD">
        <w:rPr>
          <w:rFonts w:ascii="Arial" w:eastAsia="Arial" w:hAnsi="Arial" w:cs="Arial"/>
          <w:b/>
          <w:bCs/>
          <w:kern w:val="0"/>
          <w:lang w:eastAsia="en-US"/>
          <w14:ligatures w14:val="none"/>
        </w:rPr>
        <w:t>Figure 2.</w:t>
      </w:r>
      <w:r w:rsidRPr="00B462CD">
        <w:rPr>
          <w:rFonts w:ascii="Arial" w:eastAsia="Times New Roman" w:hAnsi="Arial" w:cs="Arial"/>
          <w:b/>
          <w:bCs/>
          <w:kern w:val="0"/>
          <w:lang w:eastAsia="en-US"/>
          <w14:ligatures w14:val="none"/>
        </w:rPr>
        <w:t xml:space="preserve"> Flowchart showing how immigration status affects documentation needs, reporting anxiety, language challenges, and eventually delayed access to healthcare</w:t>
      </w:r>
      <w:r w:rsidRPr="00B462CD">
        <w:rPr>
          <w:rFonts w:ascii="Arial" w:eastAsia="Times New Roman" w:hAnsi="Arial" w:cs="Arial"/>
          <w:kern w:val="0"/>
          <w:lang w:eastAsia="en-US"/>
          <w14:ligatures w14:val="none"/>
        </w:rPr>
        <w:t>. (McBean &amp; Smith, 2022)</w:t>
      </w:r>
      <w:r w:rsidR="00080668" w:rsidRPr="00B462CD">
        <w:rPr>
          <w:rFonts w:ascii="Arial" w:eastAsia="Times New Roman" w:hAnsi="Arial" w:cs="Arial"/>
          <w:kern w:val="0"/>
          <w:lang w:val="en-US" w:eastAsia="en-US"/>
          <w14:ligatures w14:val="none"/>
        </w:rPr>
        <w:br/>
        <w:t xml:space="preserve">People only seek emergency care when it is absolutely required </w:t>
      </w:r>
      <w:proofErr w:type="gramStart"/>
      <w:r w:rsidR="00080668" w:rsidRPr="00B462CD">
        <w:rPr>
          <w:rFonts w:ascii="Arial" w:eastAsia="Times New Roman" w:hAnsi="Arial" w:cs="Arial"/>
          <w:kern w:val="0"/>
          <w:lang w:val="en-US" w:eastAsia="en-US"/>
          <w14:ligatures w14:val="none"/>
        </w:rPr>
        <w:t>as a result of</w:t>
      </w:r>
      <w:proofErr w:type="gramEnd"/>
      <w:r w:rsidR="00080668" w:rsidRPr="00B462CD">
        <w:rPr>
          <w:rFonts w:ascii="Arial" w:eastAsia="Times New Roman" w:hAnsi="Arial" w:cs="Arial"/>
          <w:kern w:val="0"/>
          <w:lang w:val="en-US" w:eastAsia="en-US"/>
          <w14:ligatures w14:val="none"/>
        </w:rPr>
        <w:t xml:space="preserve"> delayed care. </w:t>
      </w:r>
      <w:r w:rsidR="00080668" w:rsidRPr="00B462CD">
        <w:rPr>
          <w:rFonts w:ascii="Arial" w:eastAsia="Times New Roman" w:hAnsi="Arial" w:cs="Arial"/>
          <w:kern w:val="0"/>
          <w:lang w:val="en-US" w:eastAsia="en-US"/>
          <w14:ligatures w14:val="none"/>
        </w:rPr>
        <w:br/>
        <w:t xml:space="preserve">The </w:t>
      </w:r>
      <w:r w:rsidR="005B4549" w:rsidRPr="00B462CD">
        <w:rPr>
          <w:rFonts w:ascii="Arial" w:eastAsia="Times New Roman" w:hAnsi="Arial" w:cs="Arial"/>
          <w:kern w:val="0"/>
          <w:lang w:val="en-US" w:eastAsia="en-US"/>
          <w14:ligatures w14:val="none"/>
        </w:rPr>
        <w:t>diagram</w:t>
      </w:r>
      <w:r w:rsidR="00080668" w:rsidRPr="00B462CD">
        <w:rPr>
          <w:rFonts w:ascii="Arial" w:eastAsia="Times New Roman" w:hAnsi="Arial" w:cs="Arial"/>
          <w:kern w:val="0"/>
          <w:lang w:val="en-US" w:eastAsia="en-US"/>
          <w14:ligatures w14:val="none"/>
        </w:rPr>
        <w:t xml:space="preserve"> illustrates how each obstacle builds on the one before it, eventually driving individuals away from preventive healthcare and into emergency-only care as situations worsen.</w:t>
      </w:r>
    </w:p>
    <w:p w14:paraId="4A6376B8"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Arial" w:hAnsi="Arial" w:cs="Arial"/>
          <w:kern w:val="0"/>
          <w:lang w:eastAsia="en-US"/>
          <w14:ligatures w14:val="none"/>
        </w:rPr>
        <w:t xml:space="preserve"> </w:t>
      </w:r>
      <w:r w:rsidRPr="00B462CD">
        <w:rPr>
          <w:rFonts w:ascii="Arial" w:eastAsia="Times New Roman" w:hAnsi="Arial" w:cs="Arial"/>
          <w:b/>
          <w:bCs/>
          <w:kern w:val="0"/>
          <w:lang w:eastAsia="en-US"/>
          <w14:ligatures w14:val="none"/>
        </w:rPr>
        <w:t xml:space="preserve">4.3 Precarious Housing and Employment </w:t>
      </w:r>
    </w:p>
    <w:p w14:paraId="64CE473C" w14:textId="5088C0D5"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Participants' well-being was found to be significantly influenced by the intersections of unstable immigration status with housing and employment</w:t>
      </w:r>
      <w:r w:rsidR="008E1D83" w:rsidRPr="00B462CD">
        <w:rPr>
          <w:rFonts w:ascii="Arial" w:eastAsia="Times New Roman" w:hAnsi="Arial" w:cs="Arial"/>
          <w:kern w:val="0"/>
          <w:lang w:eastAsia="en-US"/>
          <w14:ligatures w14:val="none"/>
        </w:rPr>
        <w:t xml:space="preserve"> issues</w:t>
      </w:r>
      <w:r w:rsidRPr="00B462CD">
        <w:rPr>
          <w:rFonts w:ascii="Arial" w:eastAsia="Times New Roman" w:hAnsi="Arial" w:cs="Arial"/>
          <w:kern w:val="0"/>
          <w:lang w:eastAsia="en-US"/>
          <w14:ligatures w14:val="none"/>
        </w:rPr>
        <w:t>. P2 and P1 both talked about living in precarious and occasionally exploitative circumstances</w:t>
      </w:r>
      <w:r w:rsidR="00D528C9" w:rsidRPr="00B462CD">
        <w:rPr>
          <w:rFonts w:ascii="Arial" w:eastAsia="Times New Roman" w:hAnsi="Arial" w:cs="Arial"/>
          <w:kern w:val="0"/>
          <w:lang w:eastAsia="en-US"/>
          <w14:ligatures w14:val="none"/>
        </w:rPr>
        <w:t xml:space="preserve"> due to their immigration status at the time</w:t>
      </w:r>
      <w:r w:rsidRPr="00B462CD">
        <w:rPr>
          <w:rFonts w:ascii="Arial" w:eastAsia="Times New Roman" w:hAnsi="Arial" w:cs="Arial"/>
          <w:kern w:val="0"/>
          <w:lang w:eastAsia="en-US"/>
          <w14:ligatures w14:val="none"/>
        </w:rPr>
        <w:t xml:space="preserve">. </w:t>
      </w:r>
    </w:p>
    <w:p w14:paraId="588FB332" w14:textId="7658822B"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567EB" w:rsidRPr="00B462CD">
        <w:rPr>
          <w:rFonts w:ascii="Arial" w:eastAsia="Times New Roman" w:hAnsi="Arial" w:cs="Arial"/>
          <w:kern w:val="0"/>
          <w:lang w:eastAsia="en-US"/>
          <w14:ligatures w14:val="none"/>
        </w:rPr>
        <w:t>There</w:t>
      </w:r>
      <w:r w:rsidRPr="00B462CD">
        <w:rPr>
          <w:rFonts w:ascii="Arial" w:eastAsia="Times New Roman" w:hAnsi="Arial" w:cs="Arial"/>
          <w:kern w:val="0"/>
          <w:lang w:eastAsia="en-US"/>
          <w14:ligatures w14:val="none"/>
        </w:rPr>
        <w:t xml:space="preserve"> </w:t>
      </w:r>
      <w:r w:rsidR="00A567EB" w:rsidRPr="00B462CD">
        <w:rPr>
          <w:rFonts w:ascii="Arial" w:eastAsia="Times New Roman" w:hAnsi="Arial" w:cs="Arial"/>
          <w:kern w:val="0"/>
          <w:lang w:eastAsia="en-US"/>
          <w14:ligatures w14:val="none"/>
        </w:rPr>
        <w:t>was no</w:t>
      </w:r>
      <w:r w:rsidRPr="00B462CD">
        <w:rPr>
          <w:rFonts w:ascii="Arial" w:eastAsia="Times New Roman" w:hAnsi="Arial" w:cs="Arial"/>
          <w:kern w:val="0"/>
          <w:lang w:eastAsia="en-US"/>
          <w14:ligatures w14:val="none"/>
        </w:rPr>
        <w:t xml:space="preserve"> privacy, and sometimes I </w:t>
      </w:r>
      <w:r w:rsidR="00A567EB" w:rsidRPr="00B462CD">
        <w:rPr>
          <w:rFonts w:ascii="Arial" w:eastAsia="Times New Roman" w:hAnsi="Arial" w:cs="Arial"/>
          <w:kern w:val="0"/>
          <w:lang w:eastAsia="en-US"/>
          <w14:ligatures w14:val="none"/>
        </w:rPr>
        <w:t>could</w:t>
      </w:r>
      <w:r w:rsidRPr="00B462CD">
        <w:rPr>
          <w:rFonts w:ascii="Arial" w:eastAsia="Times New Roman" w:hAnsi="Arial" w:cs="Arial"/>
          <w:kern w:val="0"/>
          <w:lang w:eastAsia="en-US"/>
          <w14:ligatures w14:val="none"/>
        </w:rPr>
        <w:t xml:space="preserve">n't sleep because of the noise." </w:t>
      </w:r>
    </w:p>
    <w:p w14:paraId="0C747D78" w14:textId="77777777" w:rsidR="008E1D8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P2, who lived in shared housing, clarified. </w:t>
      </w:r>
    </w:p>
    <w:p w14:paraId="63A990D9" w14:textId="77777777" w:rsidR="008E1D83" w:rsidRPr="00B462CD" w:rsidRDefault="008E1D8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w:t>
      </w:r>
      <w:r w:rsidR="00A06253" w:rsidRPr="00B462CD">
        <w:rPr>
          <w:rFonts w:ascii="Arial" w:eastAsia="Times New Roman" w:hAnsi="Arial" w:cs="Arial"/>
          <w:kern w:val="0"/>
          <w:lang w:eastAsia="en-US"/>
          <w14:ligatures w14:val="none"/>
        </w:rPr>
        <w:t>ince I ha</w:t>
      </w:r>
      <w:r w:rsidR="00B768EC" w:rsidRPr="00B462CD">
        <w:rPr>
          <w:rFonts w:ascii="Arial" w:eastAsia="Times New Roman" w:hAnsi="Arial" w:cs="Arial"/>
          <w:kern w:val="0"/>
          <w:lang w:eastAsia="en-US"/>
          <w14:ligatures w14:val="none"/>
        </w:rPr>
        <w:t>d</w:t>
      </w:r>
      <w:r w:rsidR="00A06253" w:rsidRPr="00B462CD">
        <w:rPr>
          <w:rFonts w:ascii="Arial" w:eastAsia="Times New Roman" w:hAnsi="Arial" w:cs="Arial"/>
          <w:kern w:val="0"/>
          <w:lang w:eastAsia="en-US"/>
          <w14:ligatures w14:val="none"/>
        </w:rPr>
        <w:t xml:space="preserve"> nowhere else to go, I </w:t>
      </w:r>
      <w:r w:rsidR="00B768EC" w:rsidRPr="00B462CD">
        <w:rPr>
          <w:rFonts w:ascii="Arial" w:eastAsia="Times New Roman" w:hAnsi="Arial" w:cs="Arial"/>
          <w:kern w:val="0"/>
          <w:lang w:eastAsia="en-US"/>
          <w14:ligatures w14:val="none"/>
        </w:rPr>
        <w:t>was</w:t>
      </w:r>
      <w:r w:rsidR="00A06253" w:rsidRPr="00B462CD">
        <w:rPr>
          <w:rFonts w:ascii="Arial" w:eastAsia="Times New Roman" w:hAnsi="Arial" w:cs="Arial"/>
          <w:kern w:val="0"/>
          <w:lang w:eastAsia="en-US"/>
          <w14:ligatures w14:val="none"/>
        </w:rPr>
        <w:t xml:space="preserve"> unable to complain</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1BDA5C4F" w14:textId="1BF6BC7C"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This congested setting, which is typical of low-income urban migrants, presented difficulties for her mental and physical health.</w:t>
      </w:r>
    </w:p>
    <w:p w14:paraId="2313FFB1"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P1's housing situation was similarly precarious, as he alternated between friends' sofas and makeshift hostel rooms, never knowing how long he could stay in one location. </w:t>
      </w:r>
    </w:p>
    <w:p w14:paraId="5144FD98" w14:textId="5AE69ACF"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stay</w:t>
      </w:r>
      <w:r w:rsidR="00B768EC" w:rsidRPr="00B462CD">
        <w:rPr>
          <w:rFonts w:ascii="Arial" w:eastAsia="Times New Roman" w:hAnsi="Arial" w:cs="Arial"/>
          <w:kern w:val="0"/>
          <w:lang w:eastAsia="en-US"/>
          <w14:ligatures w14:val="none"/>
        </w:rPr>
        <w:t>ed</w:t>
      </w:r>
      <w:r w:rsidRPr="00B462CD">
        <w:rPr>
          <w:rFonts w:ascii="Arial" w:eastAsia="Times New Roman" w:hAnsi="Arial" w:cs="Arial"/>
          <w:kern w:val="0"/>
          <w:lang w:eastAsia="en-US"/>
          <w14:ligatures w14:val="none"/>
        </w:rPr>
        <w:t xml:space="preserve"> where I </w:t>
      </w:r>
      <w:r w:rsidR="00B768EC" w:rsidRPr="00B462CD">
        <w:rPr>
          <w:rFonts w:ascii="Arial" w:eastAsia="Times New Roman" w:hAnsi="Arial" w:cs="Arial"/>
          <w:kern w:val="0"/>
          <w:lang w:eastAsia="en-US"/>
          <w14:ligatures w14:val="none"/>
        </w:rPr>
        <w:t>could</w:t>
      </w:r>
      <w:r w:rsidRPr="00B462CD">
        <w:rPr>
          <w:rFonts w:ascii="Arial" w:eastAsia="Times New Roman" w:hAnsi="Arial" w:cs="Arial"/>
          <w:kern w:val="0"/>
          <w:lang w:eastAsia="en-US"/>
          <w14:ligatures w14:val="none"/>
        </w:rPr>
        <w:t xml:space="preserve">," he recalled. </w:t>
      </w:r>
    </w:p>
    <w:p w14:paraId="5EC19752"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occasionally must depart quickly. It is never easy. These unstable living conditions and the ongoing fear of eviction created chronic stress and insecurity, which have been demonstrated to have detrimental effects on mental and physical health (Marmot et al., 2020; Power et al., 2017).</w:t>
      </w:r>
    </w:p>
    <w:p w14:paraId="43D6FC3B"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For both participants, employment was similarly precarious. P2 was paid cash in hand, had a part-time job as a cleaner, and had neither legal protection nor employment security.</w:t>
      </w:r>
    </w:p>
    <w:p w14:paraId="29973C4D" w14:textId="359A91F1"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"There's nothing I c</w:t>
      </w:r>
      <w:r w:rsidR="00B768EC" w:rsidRPr="00B462CD">
        <w:rPr>
          <w:rFonts w:ascii="Arial" w:eastAsia="Times New Roman" w:hAnsi="Arial" w:cs="Arial"/>
          <w:kern w:val="0"/>
          <w:lang w:eastAsia="en-US"/>
          <w14:ligatures w14:val="none"/>
        </w:rPr>
        <w:t>ould</w:t>
      </w:r>
      <w:r w:rsidRPr="00B462CD">
        <w:rPr>
          <w:rFonts w:ascii="Arial" w:eastAsia="Times New Roman" w:hAnsi="Arial" w:cs="Arial"/>
          <w:kern w:val="0"/>
          <w:lang w:eastAsia="en-US"/>
          <w14:ligatures w14:val="none"/>
        </w:rPr>
        <w:t xml:space="preserve"> do if they don't pay me</w:t>
      </w:r>
      <w:r w:rsidR="007255A4" w:rsidRPr="00B462CD">
        <w:rPr>
          <w:rFonts w:ascii="Arial" w:eastAsia="Times New Roman" w:hAnsi="Arial" w:cs="Arial"/>
          <w:kern w:val="0"/>
          <w:lang w:eastAsia="en-US"/>
          <w14:ligatures w14:val="none"/>
        </w:rPr>
        <w:t xml:space="preserve"> and I am unable to tell anyone</w:t>
      </w:r>
      <w:r w:rsidRPr="00B462CD">
        <w:rPr>
          <w:rFonts w:ascii="Arial" w:eastAsia="Times New Roman" w:hAnsi="Arial" w:cs="Arial"/>
          <w:kern w:val="0"/>
          <w:lang w:eastAsia="en-US"/>
          <w14:ligatures w14:val="none"/>
        </w:rPr>
        <w:t>"</w:t>
      </w:r>
      <w:r w:rsidR="007255A4"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she said. </w:t>
      </w:r>
    </w:p>
    <w:p w14:paraId="29F119C9" w14:textId="1B20D372"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P1 was dependent on odd jobs and casual labour, which were frequently organised through unofficial networks. </w:t>
      </w:r>
    </w:p>
    <w:p w14:paraId="63D0409A" w14:textId="77777777" w:rsidR="008E1D8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"Sometimes they promise work, but when you finish, they don't pay," he said, describing a similar vulnerability to abuse. </w:t>
      </w:r>
    </w:p>
    <w:p w14:paraId="5ED7F7E1" w14:textId="77777777" w:rsidR="008E1D83" w:rsidRPr="00B462CD" w:rsidRDefault="008E1D8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All you need to do is accept it.</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2176F642" w14:textId="5BC2E4FF"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Their immigration status was directly related to their lack of remedies for unjust treatment since they both believed that filing a complaint would compromise their limited rights or future opportunities </w:t>
      </w:r>
      <w:r w:rsidR="00A7063A" w:rsidRPr="00B462CD">
        <w:rPr>
          <w:rFonts w:ascii="Arial" w:eastAsia="Times New Roman" w:hAnsi="Arial" w:cs="Arial"/>
          <w:kern w:val="0"/>
          <w:lang w:eastAsia="en-US"/>
          <w14:ligatures w14:val="none"/>
        </w:rPr>
        <w:t xml:space="preserve">to work </w:t>
      </w:r>
      <w:r w:rsidRPr="00B462CD">
        <w:rPr>
          <w:rFonts w:ascii="Arial" w:eastAsia="Times New Roman" w:hAnsi="Arial" w:cs="Arial"/>
          <w:kern w:val="0"/>
          <w:lang w:eastAsia="en-US"/>
          <w14:ligatures w14:val="none"/>
        </w:rPr>
        <w:t>in the UK. These experiences are consistent with an increasing amount of data showing the structural disadvantages that migrants in the UK, especially those with precarious status, endure (Sumption &amp; Kone, 2018; Jayaweera, 2014). Both participants' narratives demonstrated how housing and employment precarity are inextricably linked to more general social determinants of health.</w:t>
      </w:r>
    </w:p>
    <w:p w14:paraId="27E1AD2E" w14:textId="77777777" w:rsidR="003D7DDD" w:rsidRPr="00B462CD" w:rsidRDefault="003D7DDD" w:rsidP="00E6526D">
      <w:pPr>
        <w:spacing w:after="0" w:line="360" w:lineRule="auto"/>
        <w:rPr>
          <w:rFonts w:ascii="Arial" w:eastAsia="Times New Roman" w:hAnsi="Arial" w:cs="Arial"/>
          <w:b/>
          <w:bCs/>
          <w:kern w:val="0"/>
          <w:lang w:eastAsia="en-US"/>
          <w14:ligatures w14:val="none"/>
        </w:rPr>
      </w:pPr>
    </w:p>
    <w:p w14:paraId="6BD20B54"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4.4 </w:t>
      </w:r>
      <w:bookmarkStart w:id="44" w:name="_Hlk220488419"/>
      <w:r w:rsidRPr="00B462CD">
        <w:rPr>
          <w:rFonts w:ascii="Arial" w:eastAsia="Times New Roman" w:hAnsi="Arial" w:cs="Arial"/>
          <w:b/>
          <w:bCs/>
          <w:kern w:val="0"/>
          <w:lang w:eastAsia="en-US"/>
          <w14:ligatures w14:val="none"/>
        </w:rPr>
        <w:t xml:space="preserve">Experiences of Discrimination and Social Exclusion. </w:t>
      </w:r>
      <w:bookmarkEnd w:id="44"/>
    </w:p>
    <w:p w14:paraId="74098F0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Examining the degree and type of discrimination experienced by BAME migrants in East London was another goal of the study. Both individuals gave unmistakable proof of feeling excluded and unwanted in a range of contexts. </w:t>
      </w:r>
    </w:p>
    <w:p w14:paraId="2DC1B12D" w14:textId="77777777" w:rsidR="00A06253" w:rsidRPr="00B462CD" w:rsidRDefault="00A06253" w:rsidP="00E6526D">
      <w:pPr>
        <w:spacing w:after="0" w:line="360" w:lineRule="auto"/>
        <w:rPr>
          <w:rFonts w:ascii="Arial" w:eastAsia="Times New Roman" w:hAnsi="Arial" w:cs="Arial"/>
          <w:kern w:val="0"/>
          <w:lang w:eastAsia="en-US"/>
          <w14:ligatures w14:val="none"/>
        </w:rPr>
      </w:pPr>
      <w:bookmarkStart w:id="45" w:name="_Hlk220692942"/>
      <w:r w:rsidRPr="00B462CD">
        <w:rPr>
          <w:rFonts w:ascii="Arial" w:eastAsia="Times New Roman" w:hAnsi="Arial" w:cs="Arial"/>
          <w:kern w:val="0"/>
          <w:lang w:eastAsia="en-US"/>
          <w14:ligatures w14:val="none"/>
        </w:rPr>
        <w:t>"</w:t>
      </w:r>
      <w:bookmarkEnd w:id="45"/>
      <w:r w:rsidRPr="00B462CD">
        <w:rPr>
          <w:rFonts w:ascii="Arial" w:eastAsia="Times New Roman" w:hAnsi="Arial" w:cs="Arial"/>
          <w:kern w:val="0"/>
          <w:lang w:eastAsia="en-US"/>
          <w14:ligatures w14:val="none"/>
        </w:rPr>
        <w:t>Sometimes I hear people say, 'Go back to your country,' or they make comments about my accent,</w:t>
      </w:r>
      <w:bookmarkStart w:id="46" w:name="_Hlk220692912"/>
      <w:r w:rsidRPr="00B462CD">
        <w:rPr>
          <w:rFonts w:ascii="Arial" w:eastAsia="Times New Roman" w:hAnsi="Arial" w:cs="Arial"/>
          <w:kern w:val="0"/>
          <w:lang w:eastAsia="en-US"/>
          <w14:ligatures w14:val="none"/>
        </w:rPr>
        <w:t xml:space="preserve">" </w:t>
      </w:r>
      <w:bookmarkEnd w:id="46"/>
    </w:p>
    <w:p w14:paraId="30ACCDFA" w14:textId="77777777" w:rsidR="007262DF"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P2 said, describing overt acts of racism and xenophobia. </w:t>
      </w:r>
    </w:p>
    <w:p w14:paraId="091CEC41" w14:textId="35A029F1" w:rsidR="00F908D2" w:rsidRPr="00B462CD" w:rsidRDefault="007262DF"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I feel like I do not belong because of it</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7AB6E1E3" w14:textId="22895209"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These encounters took place in public areas, on public transportation, and even during routine exchanges at work or at stores. </w:t>
      </w:r>
      <w:r w:rsidRPr="00B462CD">
        <w:rPr>
          <w:rFonts w:ascii="Arial" w:eastAsia="Times New Roman" w:hAnsi="Arial" w:cs="Arial"/>
          <w:kern w:val="0"/>
          <w:lang w:eastAsia="en-US"/>
          <w14:ligatures w14:val="none"/>
        </w:rPr>
        <w:br/>
        <w:t xml:space="preserve">P1's story also emphasised social exclusion because of more covert kinds of othering in addition to overt prejudice. </w:t>
      </w:r>
    </w:p>
    <w:p w14:paraId="5504B9C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"People look at you differently," he said.</w:t>
      </w:r>
    </w:p>
    <w:p w14:paraId="75545256" w14:textId="77777777" w:rsidR="00365F8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When they talk to you, you get the impression that you do not matter. Both individuals admitted that these encounters had a cumulative impact on their confidence, sense of self-worth, and mental health and frequently caused them to avoid social situations. </w:t>
      </w:r>
      <w:r w:rsidRPr="00B462CD">
        <w:rPr>
          <w:rFonts w:ascii="Arial" w:eastAsia="Times New Roman" w:hAnsi="Arial" w:cs="Arial"/>
          <w:kern w:val="0"/>
          <w:lang w:eastAsia="en-US"/>
          <w14:ligatures w14:val="none"/>
        </w:rPr>
        <w:br/>
        <w:t xml:space="preserve">Discrimination at work was another persistent problem. In comparison to their British-born coworkers, both participants reported being denied opportunities or receiving unjust treatment. </w:t>
      </w:r>
    </w:p>
    <w:p w14:paraId="34452C5C" w14:textId="7DF32EB8"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"I've been passed over for jobs even though I have the skills." </w:t>
      </w:r>
    </w:p>
    <w:p w14:paraId="5CC38A6E"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P2 recalls. They always produce an explanation. These results support previous research on how racism and xenophobia affect immigrant integration and health (</w:t>
      </w:r>
      <w:proofErr w:type="spellStart"/>
      <w:r w:rsidRPr="00B462CD">
        <w:rPr>
          <w:rFonts w:ascii="Arial" w:eastAsia="Times New Roman" w:hAnsi="Arial" w:cs="Arial"/>
          <w:kern w:val="0"/>
          <w:lang w:eastAsia="en-US"/>
          <w14:ligatures w14:val="none"/>
        </w:rPr>
        <w:t>Nazroo</w:t>
      </w:r>
      <w:proofErr w:type="spellEnd"/>
      <w:r w:rsidRPr="00B462CD">
        <w:rPr>
          <w:rFonts w:ascii="Arial" w:eastAsia="Times New Roman" w:hAnsi="Arial" w:cs="Arial"/>
          <w:kern w:val="0"/>
          <w:lang w:eastAsia="en-US"/>
          <w14:ligatures w14:val="none"/>
        </w:rPr>
        <w:t>, 2021; Salway et al., 2016).</w:t>
      </w:r>
    </w:p>
    <w:p w14:paraId="54A282F7" w14:textId="77777777" w:rsidR="00A06253" w:rsidRPr="00B462CD" w:rsidRDefault="00A06253"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4.5 Coping Strategies and Resilience</w:t>
      </w:r>
      <w:r w:rsidRPr="00B462CD">
        <w:rPr>
          <w:rFonts w:ascii="Arial" w:eastAsia="Times New Roman" w:hAnsi="Arial" w:cs="Arial"/>
          <w:kern w:val="0"/>
          <w:lang w:eastAsia="en-US"/>
          <w14:ligatures w14:val="none"/>
        </w:rPr>
        <w:t xml:space="preserve">. </w:t>
      </w:r>
    </w:p>
    <w:p w14:paraId="798711DF" w14:textId="77777777" w:rsidR="00A06253" w:rsidRPr="00B462CD" w:rsidRDefault="00A06253"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Both subjects showed remarkable endurance and acquired a variety of coping mechanisms to deal with hardship despite the many obstacles they encountered. For both P2 and P1, faith and the religious community became important sources of support.</w:t>
      </w:r>
    </w:p>
    <w:p w14:paraId="4DC5978A" w14:textId="77777777" w:rsidR="00A06253" w:rsidRPr="00B462CD" w:rsidRDefault="00A06253"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 P2 referred to her church as a second family, offering both practical and spiritual support. "Here, church is like family," she said. </w:t>
      </w:r>
    </w:p>
    <w:p w14:paraId="305368F8" w14:textId="3C0D7B7F" w:rsidR="00A06253" w:rsidRPr="00B462CD" w:rsidRDefault="005E2402"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I chat to friends or the pastor when I am feeling lost</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They support me continuously. Additionally, the church community provided access to services and information, such as job openings or housing leads. </w:t>
      </w:r>
    </w:p>
    <w:p w14:paraId="0AEEB1C9" w14:textId="77777777" w:rsidR="00A06253" w:rsidRPr="00B462CD" w:rsidRDefault="00A06253"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P1 also emphasised the value of faith, pointing out that engagement in religious activities and prayer offered inspiration and hope during trying times. Sharing information about jobs, services, and navigating governmental procedures was made possible by informal social networks, which included friends and acquaintances from similar backgrounds. These relationships provided both participants with practical guidance and emotional support.</w:t>
      </w:r>
    </w:p>
    <w:p w14:paraId="02272EA3"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 recurrent thread in their stories was personal resilience.</w:t>
      </w:r>
    </w:p>
    <w:p w14:paraId="3434C2B0"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have learned to be strong, even when things are hard," P2 thought.</w:t>
      </w:r>
    </w:p>
    <w:p w14:paraId="671D9881"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"Keep going, things will get better," I tell myself.</w:t>
      </w:r>
    </w:p>
    <w:p w14:paraId="6A57F083" w14:textId="77777777" w:rsidR="00FE5C9E"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"You have to be tough, otherwise you can't survive here," said P1, expressing the same opinion.</w:t>
      </w:r>
    </w:p>
    <w:p w14:paraId="1665BCAB" w14:textId="77777777" w:rsidR="00FE5C9E" w:rsidRPr="00B462CD" w:rsidRDefault="00FE5C9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I do not give up easily</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7570710A" w14:textId="4070E161" w:rsidR="00A06253" w:rsidRPr="00B462CD" w:rsidRDefault="005A3629" w:rsidP="00E6526D">
      <w:pPr>
        <w:spacing w:after="0" w:line="360" w:lineRule="auto"/>
        <w:rPr>
          <w:rFonts w:ascii="Arial" w:eastAsia="Times New Roman" w:hAnsi="Arial" w:cs="Arial"/>
          <w:kern w:val="0"/>
          <w:lang w:eastAsia="en-US"/>
          <w14:ligatures w14:val="none"/>
        </w:rPr>
      </w:pPr>
      <w:r w:rsidRPr="00B462CD">
        <w:rPr>
          <w:rFonts w:ascii="Arial" w:hAnsi="Arial" w:cs="Arial"/>
        </w:rPr>
        <w:t xml:space="preserve">These results align with studies showing that coping involves drawing on internal strength as well as external or spiritual sources of support, particularly among immigrants facing hardship. </w:t>
      </w:r>
      <w:r w:rsidR="00A06253" w:rsidRPr="00B462CD">
        <w:rPr>
          <w:rFonts w:ascii="Arial" w:eastAsia="Times New Roman" w:hAnsi="Arial" w:cs="Arial"/>
          <w:kern w:val="0"/>
          <w:lang w:eastAsia="en-US"/>
          <w14:ligatures w14:val="none"/>
        </w:rPr>
        <w:t xml:space="preserve">(Cheung &amp; Phillimore, 2014; Simich et al., 2005). </w:t>
      </w:r>
      <w:r w:rsidR="00A06253" w:rsidRPr="00B462CD">
        <w:rPr>
          <w:rFonts w:ascii="Arial" w:eastAsia="Times New Roman" w:hAnsi="Arial" w:cs="Arial"/>
          <w:kern w:val="0"/>
          <w:lang w:eastAsia="en-US"/>
          <w14:ligatures w14:val="none"/>
        </w:rPr>
        <w:br/>
      </w:r>
    </w:p>
    <w:p w14:paraId="1D29291E" w14:textId="10634C7D"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Table 3 presents a comparative review of coping techniques</w:t>
      </w:r>
      <w:r w:rsidR="005A3629" w:rsidRPr="00B462CD">
        <w:rPr>
          <w:rFonts w:ascii="Arial" w:eastAsia="Times New Roman" w:hAnsi="Arial" w:cs="Arial"/>
          <w:kern w:val="0"/>
          <w:lang w:eastAsia="en-US"/>
          <w14:ligatures w14:val="none"/>
        </w:rPr>
        <w:t>, highlighting both</w:t>
      </w:r>
      <w:r w:rsidRPr="00B462CD">
        <w:rPr>
          <w:rFonts w:ascii="Arial" w:eastAsia="Times New Roman" w:hAnsi="Arial" w:cs="Arial"/>
          <w:kern w:val="0"/>
          <w:lang w:eastAsia="en-US"/>
          <w14:ligatures w14:val="none"/>
        </w:rPr>
        <w:t xml:space="preserve"> individual differences and commonalities.</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1222"/>
        <w:gridCol w:w="1437"/>
        <w:gridCol w:w="1353"/>
        <w:gridCol w:w="1310"/>
        <w:gridCol w:w="1455"/>
        <w:gridCol w:w="2239"/>
      </w:tblGrid>
      <w:tr w:rsidR="00C8697F" w:rsidRPr="00B462CD" w14:paraId="17485455" w14:textId="77777777" w:rsidTr="00E34585">
        <w:trPr>
          <w:tblHeader/>
          <w:tblCellSpacing w:w="15" w:type="dxa"/>
        </w:trPr>
        <w:tc>
          <w:tcPr>
            <w:tcW w:w="0" w:type="auto"/>
            <w:tcBorders>
              <w:top w:val="nil"/>
              <w:bottom w:val="single" w:sz="4" w:space="0" w:color="auto"/>
            </w:tcBorders>
            <w:vAlign w:val="center"/>
            <w:hideMark/>
          </w:tcPr>
          <w:p w14:paraId="4F1B192C"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Participant</w:t>
            </w:r>
          </w:p>
        </w:tc>
        <w:tc>
          <w:tcPr>
            <w:tcW w:w="0" w:type="auto"/>
            <w:tcBorders>
              <w:top w:val="nil"/>
              <w:left w:val="single" w:sz="4" w:space="0" w:color="auto"/>
              <w:bottom w:val="single" w:sz="4" w:space="0" w:color="auto"/>
              <w:right w:val="single" w:sz="4" w:space="0" w:color="auto"/>
            </w:tcBorders>
            <w:vAlign w:val="center"/>
            <w:hideMark/>
          </w:tcPr>
          <w:p w14:paraId="5DA18C71"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Faith/Church</w:t>
            </w:r>
          </w:p>
        </w:tc>
        <w:tc>
          <w:tcPr>
            <w:tcW w:w="0" w:type="auto"/>
            <w:tcBorders>
              <w:top w:val="nil"/>
              <w:bottom w:val="single" w:sz="4" w:space="0" w:color="auto"/>
            </w:tcBorders>
            <w:vAlign w:val="center"/>
            <w:hideMark/>
          </w:tcPr>
          <w:p w14:paraId="1995B4A1"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Family Support</w:t>
            </w:r>
          </w:p>
        </w:tc>
        <w:tc>
          <w:tcPr>
            <w:tcW w:w="0" w:type="auto"/>
            <w:tcBorders>
              <w:top w:val="nil"/>
              <w:left w:val="single" w:sz="4" w:space="0" w:color="auto"/>
              <w:bottom w:val="single" w:sz="4" w:space="0" w:color="auto"/>
              <w:right w:val="single" w:sz="4" w:space="0" w:color="auto"/>
            </w:tcBorders>
            <w:vAlign w:val="center"/>
            <w:hideMark/>
          </w:tcPr>
          <w:p w14:paraId="1F3F3558"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Informal Work</w:t>
            </w:r>
          </w:p>
        </w:tc>
        <w:tc>
          <w:tcPr>
            <w:tcW w:w="0" w:type="auto"/>
            <w:tcBorders>
              <w:top w:val="nil"/>
              <w:bottom w:val="single" w:sz="4" w:space="0" w:color="auto"/>
            </w:tcBorders>
            <w:vAlign w:val="center"/>
            <w:hideMark/>
          </w:tcPr>
          <w:p w14:paraId="56EE34ED"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Self-motivation</w:t>
            </w:r>
          </w:p>
        </w:tc>
        <w:tc>
          <w:tcPr>
            <w:tcW w:w="0" w:type="auto"/>
            <w:tcBorders>
              <w:top w:val="nil"/>
              <w:left w:val="single" w:sz="4" w:space="0" w:color="auto"/>
              <w:bottom w:val="single" w:sz="4" w:space="0" w:color="auto"/>
            </w:tcBorders>
            <w:vAlign w:val="center"/>
            <w:hideMark/>
          </w:tcPr>
          <w:p w14:paraId="0B715EA3"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Use of Community Groups</w:t>
            </w:r>
          </w:p>
        </w:tc>
      </w:tr>
      <w:tr w:rsidR="00C8697F" w:rsidRPr="00B462CD" w14:paraId="1F538902" w14:textId="77777777" w:rsidTr="001E24B2">
        <w:trPr>
          <w:tblCellSpacing w:w="15" w:type="dxa"/>
        </w:trPr>
        <w:tc>
          <w:tcPr>
            <w:tcW w:w="0" w:type="auto"/>
            <w:vAlign w:val="center"/>
            <w:hideMark/>
          </w:tcPr>
          <w:p w14:paraId="4CD7EE6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2</w:t>
            </w:r>
          </w:p>
        </w:tc>
        <w:tc>
          <w:tcPr>
            <w:tcW w:w="0" w:type="auto"/>
            <w:tcBorders>
              <w:top w:val="nil"/>
              <w:left w:val="single" w:sz="4" w:space="0" w:color="auto"/>
              <w:bottom w:val="nil"/>
              <w:right w:val="single" w:sz="4" w:space="0" w:color="auto"/>
            </w:tcBorders>
            <w:vAlign w:val="center"/>
            <w:hideMark/>
          </w:tcPr>
          <w:p w14:paraId="12E302F3"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vAlign w:val="center"/>
            <w:hideMark/>
          </w:tcPr>
          <w:p w14:paraId="29F4E9F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Some</w:t>
            </w:r>
          </w:p>
        </w:tc>
        <w:tc>
          <w:tcPr>
            <w:tcW w:w="0" w:type="auto"/>
            <w:tcBorders>
              <w:top w:val="nil"/>
              <w:left w:val="single" w:sz="4" w:space="0" w:color="auto"/>
              <w:bottom w:val="nil"/>
              <w:right w:val="single" w:sz="4" w:space="0" w:color="auto"/>
            </w:tcBorders>
            <w:vAlign w:val="center"/>
            <w:hideMark/>
          </w:tcPr>
          <w:p w14:paraId="33C0595C"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vAlign w:val="center"/>
            <w:hideMark/>
          </w:tcPr>
          <w:p w14:paraId="7530F3D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tcBorders>
              <w:top w:val="nil"/>
              <w:left w:val="single" w:sz="4" w:space="0" w:color="auto"/>
              <w:bottom w:val="nil"/>
            </w:tcBorders>
            <w:vAlign w:val="center"/>
            <w:hideMark/>
          </w:tcPr>
          <w:p w14:paraId="72075BA4"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r>
      <w:tr w:rsidR="00C8697F" w:rsidRPr="00B462CD" w14:paraId="450F825D" w14:textId="77777777" w:rsidTr="00E34585">
        <w:trPr>
          <w:tblCellSpacing w:w="15" w:type="dxa"/>
        </w:trPr>
        <w:tc>
          <w:tcPr>
            <w:tcW w:w="0" w:type="auto"/>
            <w:tcBorders>
              <w:top w:val="nil"/>
              <w:bottom w:val="nil"/>
            </w:tcBorders>
            <w:vAlign w:val="center"/>
            <w:hideMark/>
          </w:tcPr>
          <w:p w14:paraId="62BBD0E4"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1</w:t>
            </w:r>
          </w:p>
        </w:tc>
        <w:tc>
          <w:tcPr>
            <w:tcW w:w="0" w:type="auto"/>
            <w:tcBorders>
              <w:top w:val="nil"/>
              <w:left w:val="single" w:sz="4" w:space="0" w:color="auto"/>
              <w:bottom w:val="nil"/>
              <w:right w:val="single" w:sz="4" w:space="0" w:color="auto"/>
            </w:tcBorders>
            <w:vAlign w:val="center"/>
            <w:hideMark/>
          </w:tcPr>
          <w:p w14:paraId="5A499963"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tcBorders>
              <w:top w:val="nil"/>
              <w:bottom w:val="nil"/>
            </w:tcBorders>
            <w:vAlign w:val="center"/>
            <w:hideMark/>
          </w:tcPr>
          <w:p w14:paraId="548E4DA5"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Little</w:t>
            </w:r>
          </w:p>
        </w:tc>
        <w:tc>
          <w:tcPr>
            <w:tcW w:w="0" w:type="auto"/>
            <w:tcBorders>
              <w:top w:val="nil"/>
              <w:left w:val="single" w:sz="4" w:space="0" w:color="auto"/>
              <w:bottom w:val="nil"/>
              <w:right w:val="single" w:sz="4" w:space="0" w:color="auto"/>
            </w:tcBorders>
            <w:vAlign w:val="center"/>
            <w:hideMark/>
          </w:tcPr>
          <w:p w14:paraId="7245953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tcBorders>
              <w:top w:val="nil"/>
              <w:bottom w:val="nil"/>
            </w:tcBorders>
            <w:vAlign w:val="center"/>
            <w:hideMark/>
          </w:tcPr>
          <w:p w14:paraId="727B77B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Yes</w:t>
            </w:r>
          </w:p>
        </w:tc>
        <w:tc>
          <w:tcPr>
            <w:tcW w:w="0" w:type="auto"/>
            <w:tcBorders>
              <w:top w:val="nil"/>
              <w:left w:val="single" w:sz="4" w:space="0" w:color="auto"/>
              <w:bottom w:val="nil"/>
            </w:tcBorders>
            <w:vAlign w:val="center"/>
            <w:hideMark/>
          </w:tcPr>
          <w:p w14:paraId="05AC7BA1"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Limited</w:t>
            </w:r>
          </w:p>
        </w:tc>
      </w:tr>
    </w:tbl>
    <w:p w14:paraId="02A9E500" w14:textId="11EE6B49" w:rsidR="00307C70" w:rsidRPr="00B462CD" w:rsidRDefault="00307C70"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Table 3: Coping Strategies and Sources of Support</w:t>
      </w:r>
    </w:p>
    <w:p w14:paraId="7F09106F" w14:textId="4C7A15FA" w:rsidR="00A06253" w:rsidRPr="00B462CD" w:rsidRDefault="00A06253" w:rsidP="00E6526D">
      <w:pPr>
        <w:spacing w:before="100" w:beforeAutospacing="1" w:after="100" w:afterAutospacing="1" w:line="360" w:lineRule="auto"/>
        <w:outlineLvl w:val="3"/>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4.</w:t>
      </w:r>
      <w:bookmarkStart w:id="47" w:name="_Hlk220488539"/>
      <w:r w:rsidRPr="00B462CD">
        <w:rPr>
          <w:rFonts w:ascii="Arial" w:eastAsia="Times New Roman" w:hAnsi="Arial" w:cs="Arial"/>
          <w:b/>
          <w:bCs/>
          <w:kern w:val="0"/>
          <w:lang w:eastAsia="en-US"/>
          <w14:ligatures w14:val="none"/>
        </w:rPr>
        <w:t>6 Climate Change Impacts</w:t>
      </w:r>
      <w:bookmarkEnd w:id="47"/>
      <w:r w:rsidRPr="00B462CD">
        <w:rPr>
          <w:rFonts w:ascii="Arial" w:eastAsia="Times New Roman" w:hAnsi="Arial" w:cs="Arial"/>
          <w:b/>
          <w:bCs/>
          <w:kern w:val="0"/>
          <w:lang w:eastAsia="en-US"/>
          <w14:ligatures w14:val="none"/>
        </w:rPr>
        <w:t xml:space="preserve">. </w:t>
      </w:r>
    </w:p>
    <w:p w14:paraId="19C86CAF" w14:textId="77777777" w:rsidR="00A06253"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Both participants discussed how their health and well-being were impacted by acclimating to the UK environment. </w:t>
      </w:r>
    </w:p>
    <w:p w14:paraId="38FE40E1" w14:textId="77777777" w:rsidR="00A06253"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cold here is different from what I knew," P2 remarked. </w:t>
      </w:r>
    </w:p>
    <w:p w14:paraId="0D0BC046" w14:textId="1F75D117" w:rsidR="00A06253" w:rsidRPr="00B462CD" w:rsidRDefault="001B4C0A"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When it rains a lot, and the house is always wet, I sometimes feel exhausted and ill</w:t>
      </w:r>
      <w:r w:rsidR="00C75DF1"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w:t>
      </w:r>
      <w:bookmarkStart w:id="48" w:name="_Hlk219983665"/>
    </w:p>
    <w:p w14:paraId="16DBEA51" w14:textId="3495CDB3" w:rsidR="00A06253"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bookmarkEnd w:id="48"/>
      <w:r w:rsidRPr="00B462CD">
        <w:rPr>
          <w:rFonts w:ascii="Arial" w:eastAsia="Times New Roman" w:hAnsi="Arial" w:cs="Arial"/>
          <w:kern w:val="0"/>
          <w:lang w:eastAsia="en-US"/>
          <w14:ligatures w14:val="none"/>
        </w:rPr>
        <w:t xml:space="preserve">Back home, I was used to warmth, but here, the winters are </w:t>
      </w:r>
      <w:r w:rsidR="00C75DF1" w:rsidRPr="00B462CD">
        <w:rPr>
          <w:rFonts w:ascii="Arial" w:eastAsia="Times New Roman" w:hAnsi="Arial" w:cs="Arial"/>
          <w:kern w:val="0"/>
          <w:lang w:eastAsia="en-US"/>
          <w14:ligatures w14:val="none"/>
        </w:rPr>
        <w:t>bitterly</w:t>
      </w:r>
      <w:r w:rsidR="00F67C0D" w:rsidRPr="00B462CD">
        <w:rPr>
          <w:rFonts w:ascii="Arial" w:eastAsia="Times New Roman" w:hAnsi="Arial" w:cs="Arial"/>
          <w:kern w:val="0"/>
          <w:lang w:eastAsia="en-US"/>
          <w14:ligatures w14:val="none"/>
        </w:rPr>
        <w:t xml:space="preserve"> cold</w:t>
      </w:r>
      <w:r w:rsidRPr="00B462CD">
        <w:rPr>
          <w:rFonts w:ascii="Arial" w:eastAsia="Times New Roman" w:hAnsi="Arial" w:cs="Arial"/>
          <w:kern w:val="0"/>
          <w:lang w:eastAsia="en-US"/>
          <w14:ligatures w14:val="none"/>
        </w:rPr>
        <w:t>," said P1.</w:t>
      </w:r>
    </w:p>
    <w:p w14:paraId="2FB9CA9A" w14:textId="77777777" w:rsidR="00F67C0D"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do not want to go outside when I am depressed".</w:t>
      </w:r>
    </w:p>
    <w:p w14:paraId="0DB8D156" w14:textId="0774B2FE" w:rsidR="00A06253"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Poor home conditions, such as insufficient heating and ventilation, made these experiences worse by aggravating discomfort and respiratory issues. Both physical and mental health issues were exacerbated by the UK's temperature and housing insecurity, which is consistent with research showing that environmental factors influence migrant well-being in temperate nations (Smith &amp; McBean, 2022).</w:t>
      </w:r>
    </w:p>
    <w:p w14:paraId="064394A8"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4.7 </w:t>
      </w:r>
      <w:bookmarkStart w:id="49" w:name="_Hlk220488551"/>
      <w:r w:rsidRPr="00B462CD">
        <w:rPr>
          <w:rFonts w:ascii="Arial" w:eastAsia="Times New Roman" w:hAnsi="Arial" w:cs="Arial"/>
          <w:b/>
          <w:bCs/>
          <w:kern w:val="0"/>
          <w:lang w:eastAsia="en-US"/>
          <w14:ligatures w14:val="none"/>
        </w:rPr>
        <w:t>Cultural Change and Adaptation</w:t>
      </w:r>
      <w:bookmarkEnd w:id="49"/>
      <w:r w:rsidRPr="00B462CD">
        <w:rPr>
          <w:rFonts w:ascii="Arial" w:eastAsia="Times New Roman" w:hAnsi="Arial" w:cs="Arial"/>
          <w:b/>
          <w:bCs/>
          <w:kern w:val="0"/>
          <w:lang w:eastAsia="en-US"/>
          <w14:ligatures w14:val="none"/>
        </w:rPr>
        <w:t xml:space="preserve">. </w:t>
      </w:r>
    </w:p>
    <w:p w14:paraId="69AA9E49"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Both participants noted that acclimating to UK cultural standards was a major issue. </w:t>
      </w:r>
    </w:p>
    <w:p w14:paraId="541501C0" w14:textId="77777777" w:rsidR="005B6E66"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"Everything is different, including the way people talk, the food, and the way neighbours behave," P2 said. </w:t>
      </w:r>
    </w:p>
    <w:p w14:paraId="51874BA2" w14:textId="1605593F" w:rsidR="00A06253" w:rsidRPr="00B462CD" w:rsidRDefault="00C75DF1"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There are moments when I long for the way things used to be.</w:t>
      </w:r>
      <w:r w:rsidRPr="00B462CD">
        <w:rPr>
          <w:rFonts w:ascii="Arial" w:eastAsia="Times New Roman" w:hAnsi="Arial" w:cs="Arial"/>
          <w:kern w:val="0"/>
          <w:lang w:eastAsia="en-US"/>
          <w14:ligatures w14:val="none"/>
        </w:rPr>
        <w:t>"</w:t>
      </w:r>
      <w:r w:rsidR="00A06253" w:rsidRPr="00B462CD">
        <w:rPr>
          <w:rFonts w:ascii="Arial" w:eastAsia="Times New Roman" w:hAnsi="Arial" w:cs="Arial"/>
          <w:kern w:val="0"/>
          <w:lang w:eastAsia="en-US"/>
          <w14:ligatures w14:val="none"/>
        </w:rPr>
        <w:t xml:space="preserve"> </w:t>
      </w:r>
    </w:p>
    <w:p w14:paraId="4E6D5C05"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"In my country, people are always visiting and helping each other." </w:t>
      </w:r>
    </w:p>
    <w:p w14:paraId="05B6E635" w14:textId="77777777" w:rsidR="00E106BE"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P1 said, echoing these sentiments and emphasising the challenges of forming social bonds. </w:t>
      </w:r>
      <w:r w:rsidR="00E106BE"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It is difficult to make friends here because everyone is so busy.</w:t>
      </w:r>
      <w:r w:rsidR="00E106BE"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w:t>
      </w:r>
    </w:p>
    <w:p w14:paraId="5470014F" w14:textId="7FC2FB56"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Stressors, including dietary changes, strange habits, </w:t>
      </w:r>
      <w:r w:rsidR="00A67952" w:rsidRPr="00B462CD">
        <w:rPr>
          <w:rFonts w:ascii="Arial" w:eastAsia="Times New Roman" w:hAnsi="Arial" w:cs="Arial"/>
          <w:kern w:val="0"/>
          <w:lang w:eastAsia="en-US"/>
          <w14:ligatures w14:val="none"/>
        </w:rPr>
        <w:t xml:space="preserve">weather conditions </w:t>
      </w:r>
      <w:r w:rsidRPr="00B462CD">
        <w:rPr>
          <w:rFonts w:ascii="Arial" w:eastAsia="Times New Roman" w:hAnsi="Arial" w:cs="Arial"/>
          <w:kern w:val="0"/>
          <w:lang w:eastAsia="en-US"/>
          <w14:ligatures w14:val="none"/>
        </w:rPr>
        <w:t xml:space="preserve">and </w:t>
      </w:r>
      <w:r w:rsidR="00C223A4" w:rsidRPr="00B462CD">
        <w:rPr>
          <w:rFonts w:ascii="Arial" w:eastAsia="Times New Roman" w:hAnsi="Arial" w:cs="Arial"/>
          <w:kern w:val="0"/>
          <w:lang w:eastAsia="en-US"/>
          <w14:ligatures w14:val="none"/>
        </w:rPr>
        <w:t xml:space="preserve">cultural and </w:t>
      </w:r>
      <w:r w:rsidRPr="00B462CD">
        <w:rPr>
          <w:rFonts w:ascii="Arial" w:eastAsia="Times New Roman" w:hAnsi="Arial" w:cs="Arial"/>
          <w:kern w:val="0"/>
          <w:lang w:eastAsia="en-US"/>
          <w14:ligatures w14:val="none"/>
        </w:rPr>
        <w:t>language hurdles, were common, although both individuals also talked about learning and adapting gradually. These observations are consistent with acculturation theory, which emphasises the social and psychological adaptations immigrants must make when they enter a new cultural setting. Berry (2005)</w:t>
      </w:r>
    </w:p>
    <w:p w14:paraId="67EF1734" w14:textId="57DF623A" w:rsidR="00A06253" w:rsidRPr="00B462CD" w:rsidRDefault="00A06253" w:rsidP="00E6526D">
      <w:pPr>
        <w:spacing w:before="100" w:beforeAutospacing="1" w:after="100" w:afterAutospacing="1" w:line="360" w:lineRule="auto"/>
        <w:outlineLvl w:val="3"/>
        <w:rPr>
          <w:rFonts w:ascii="Arial" w:eastAsia="Arial" w:hAnsi="Arial" w:cs="Arial"/>
          <w:b/>
          <w:bCs/>
          <w:kern w:val="0"/>
          <w:lang w:eastAsia="en-US"/>
          <w14:ligatures w14:val="none"/>
        </w:rPr>
      </w:pPr>
      <w:r w:rsidRPr="00B462CD">
        <w:rPr>
          <w:rFonts w:ascii="Arial" w:eastAsia="Arial" w:hAnsi="Arial" w:cs="Arial"/>
          <w:b/>
          <w:bCs/>
          <w:kern w:val="0"/>
          <w:lang w:eastAsia="en-US"/>
          <w14:ligatures w14:val="none"/>
        </w:rPr>
        <w:t xml:space="preserve">4.8 Thematic Interconnections. </w:t>
      </w:r>
    </w:p>
    <w:p w14:paraId="4AF66C1F" w14:textId="356176F8" w:rsidR="00A06253" w:rsidRPr="00B462CD" w:rsidRDefault="00A06253" w:rsidP="00E6526D">
      <w:pPr>
        <w:spacing w:before="100" w:beforeAutospacing="1" w:after="100" w:afterAutospacing="1" w:line="360" w:lineRule="auto"/>
        <w:outlineLvl w:val="3"/>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Analysis showed that the main themes, healthcare restrictions, unstable housing</w:t>
      </w:r>
      <w:r w:rsidR="00C223A4"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employment, and discrimination experiences, were not distinct occurrences but rather intricately linked, frequently exacerbating and reinforcing one another in participants' daily lives. </w:t>
      </w:r>
      <w:r w:rsidR="008D7EDD" w:rsidRPr="00B462CD">
        <w:rPr>
          <w:rFonts w:ascii="Arial" w:hAnsi="Arial" w:cs="Arial"/>
        </w:rPr>
        <w:t xml:space="preserve">The primary structuring element that shaped and connected these difficulties for both people was their immigration status, which also determined their access to resources, risk exposure, general well-being, </w:t>
      </w:r>
      <w:r w:rsidR="008D7EDD" w:rsidRPr="00B462CD">
        <w:rPr>
          <w:rStyle w:val="Strong"/>
          <w:rFonts w:ascii="Arial" w:hAnsi="Arial" w:cs="Arial"/>
          <w:b w:val="0"/>
          <w:bCs w:val="0"/>
        </w:rPr>
        <w:t>and related outcomes</w:t>
      </w:r>
      <w:r w:rsidR="008D7EDD" w:rsidRPr="00B462CD">
        <w:rPr>
          <w:rFonts w:ascii="Arial" w:hAnsi="Arial" w:cs="Arial"/>
          <w:b/>
          <w:bCs/>
        </w:rPr>
        <w:t>.</w:t>
      </w:r>
      <w:r w:rsidRPr="00B462CD">
        <w:rPr>
          <w:rFonts w:ascii="Arial" w:eastAsia="Times New Roman" w:hAnsi="Arial" w:cs="Arial"/>
          <w:b/>
          <w:bCs/>
          <w:kern w:val="0"/>
          <w:lang w:eastAsia="en-US"/>
          <w14:ligatures w14:val="none"/>
        </w:rPr>
        <w:t xml:space="preserve"> </w:t>
      </w:r>
      <w:r w:rsidR="0095723C" w:rsidRPr="00B462CD">
        <w:rPr>
          <w:rFonts w:ascii="Arial" w:hAnsi="Arial" w:cs="Arial"/>
        </w:rPr>
        <w:t xml:space="preserve">For instance, unstable immigration status limited career opportunities, created administrative obstacles in the healthcare system, and made it challenging to find stable housing, </w:t>
      </w:r>
      <w:r w:rsidR="0095723C" w:rsidRPr="00B462CD">
        <w:rPr>
          <w:rStyle w:val="Strong"/>
          <w:rFonts w:ascii="Arial" w:hAnsi="Arial" w:cs="Arial"/>
          <w:b w:val="0"/>
          <w:bCs w:val="0"/>
        </w:rPr>
        <w:t>among other constraints</w:t>
      </w:r>
      <w:r w:rsidR="0095723C" w:rsidRPr="00B462CD">
        <w:rPr>
          <w:rFonts w:ascii="Arial" w:hAnsi="Arial" w:cs="Arial"/>
        </w:rPr>
        <w:t>. In addition to making individuals more susceptible to prejudice and exploitation, the ensuing precarity heightened their feelings of social marginalisation and exclusion.</w:t>
      </w:r>
      <w:r w:rsidRPr="00B462CD">
        <w:rPr>
          <w:rFonts w:ascii="Arial" w:eastAsia="Times New Roman" w:hAnsi="Arial" w:cs="Arial"/>
          <w:kern w:val="0"/>
          <w:lang w:eastAsia="en-US"/>
          <w14:ligatures w14:val="none"/>
        </w:rPr>
        <w:br/>
        <w:t>These experiences often reinforced one another</w:t>
      </w:r>
      <w:r w:rsidR="00AC7446" w:rsidRPr="00B462CD">
        <w:rPr>
          <w:rFonts w:ascii="Arial" w:eastAsia="Times New Roman" w:hAnsi="Arial" w:cs="Arial"/>
          <w:kern w:val="0"/>
          <w:lang w:eastAsia="en-US"/>
          <w14:ligatures w14:val="none"/>
        </w:rPr>
        <w:t>; the</w:t>
      </w:r>
      <w:r w:rsidRPr="00B462CD">
        <w:rPr>
          <w:rFonts w:ascii="Arial" w:eastAsia="Times New Roman" w:hAnsi="Arial" w:cs="Arial"/>
          <w:kern w:val="0"/>
          <w:lang w:eastAsia="en-US"/>
          <w14:ligatures w14:val="none"/>
        </w:rPr>
        <w:t xml:space="preserve"> inability to obtain steady work resulted in unstable housing, which increased stress and made it more difficult to access health care or form supportive social networks. </w:t>
      </w:r>
      <w:r w:rsidRPr="00B462CD">
        <w:rPr>
          <w:rFonts w:ascii="Arial" w:eastAsia="Times New Roman" w:hAnsi="Arial" w:cs="Arial"/>
          <w:kern w:val="0"/>
          <w:lang w:eastAsia="en-US"/>
          <w14:ligatures w14:val="none"/>
        </w:rPr>
        <w:br/>
        <w:t xml:space="preserve">In this web of hardship, coping mechanisms and resilience sources like faith, community involvement, and personal resolve served as crucial barriers. Participants did, however, highlight how the cumulative effects of several intersecting obstacles occasionally compromised even these supports. </w:t>
      </w:r>
      <w:r w:rsidR="007040D6" w:rsidRPr="00B462CD">
        <w:rPr>
          <w:rFonts w:ascii="Arial" w:hAnsi="Arial" w:cs="Arial"/>
        </w:rPr>
        <w:t xml:space="preserve">For example, in situations where restricted access to </w:t>
      </w:r>
      <w:r w:rsidR="00BC7435" w:rsidRPr="00B462CD">
        <w:rPr>
          <w:rFonts w:ascii="Arial" w:hAnsi="Arial" w:cs="Arial"/>
        </w:rPr>
        <w:t xml:space="preserve">healthcare services, </w:t>
      </w:r>
      <w:r w:rsidR="007040D6" w:rsidRPr="00B462CD">
        <w:rPr>
          <w:rFonts w:ascii="Arial" w:hAnsi="Arial" w:cs="Arial"/>
        </w:rPr>
        <w:t xml:space="preserve">public services, economic instability, and language </w:t>
      </w:r>
      <w:r w:rsidR="00D5383C" w:rsidRPr="00B462CD">
        <w:rPr>
          <w:rFonts w:ascii="Arial" w:hAnsi="Arial" w:cs="Arial"/>
        </w:rPr>
        <w:t>barrier</w:t>
      </w:r>
      <w:r w:rsidR="007040D6" w:rsidRPr="00B462CD">
        <w:rPr>
          <w:rFonts w:ascii="Arial" w:hAnsi="Arial" w:cs="Arial"/>
        </w:rPr>
        <w:t xml:space="preserve">s coexisted, </w:t>
      </w:r>
      <w:r w:rsidR="007040D6" w:rsidRPr="00B462CD">
        <w:rPr>
          <w:rStyle w:val="Strong"/>
          <w:rFonts w:ascii="Arial" w:hAnsi="Arial" w:cs="Arial"/>
          <w:b w:val="0"/>
          <w:bCs w:val="0"/>
        </w:rPr>
        <w:t>among other challenges</w:t>
      </w:r>
      <w:r w:rsidR="007040D6" w:rsidRPr="00B462CD">
        <w:rPr>
          <w:rFonts w:ascii="Arial" w:hAnsi="Arial" w:cs="Arial"/>
        </w:rPr>
        <w:t>, the lack of conventional community institutions was felt more keenly.</w:t>
      </w:r>
    </w:p>
    <w:p w14:paraId="5CF08CB1" w14:textId="508A520C"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Figure 3 provides a conceptual framework that maps the relationships between immigration status, socioeconomic determinants, and health outcomes found in this study, providing a visual summary of this intricate interaction. With coping and resilience characteristics regulating these effects, the figure shows how immigration status is at the centre, impacting barriers in healthcare, housing, work, and experiences of discrimination, </w:t>
      </w:r>
      <w:proofErr w:type="gramStart"/>
      <w:r w:rsidRPr="00B462CD">
        <w:rPr>
          <w:rFonts w:ascii="Arial" w:eastAsia="Times New Roman" w:hAnsi="Arial" w:cs="Arial"/>
          <w:kern w:val="0"/>
          <w:lang w:eastAsia="en-US"/>
          <w14:ligatures w14:val="none"/>
        </w:rPr>
        <w:t>all of</w:t>
      </w:r>
      <w:proofErr w:type="gramEnd"/>
      <w:r w:rsidRPr="00B462CD">
        <w:rPr>
          <w:rFonts w:ascii="Arial" w:eastAsia="Times New Roman" w:hAnsi="Arial" w:cs="Arial"/>
          <w:kern w:val="0"/>
          <w:lang w:eastAsia="en-US"/>
          <w14:ligatures w14:val="none"/>
        </w:rPr>
        <w:t xml:space="preserve"> which shape health and well-being outcomes. </w:t>
      </w:r>
      <w:r w:rsidRPr="00B462CD">
        <w:rPr>
          <w:rFonts w:ascii="Arial" w:eastAsia="Times New Roman" w:hAnsi="Arial" w:cs="Arial"/>
          <w:kern w:val="0"/>
          <w:lang w:eastAsia="en-US"/>
          <w14:ligatures w14:val="none"/>
        </w:rPr>
        <w:br/>
        <w:t>The analysis emphasises the significance of taking a comprehensive, intersectional approach to comprehending migrant health disparities by highlighting these relationships. Additionally, rather than addressing each issue separately, it emphasises the necessity of integrated policy and practice responses that address the entire range of social, economic, and cultural causes</w:t>
      </w:r>
    </w:p>
    <w:p w14:paraId="13524EA6" w14:textId="6DC6BF92" w:rsidR="00A06253" w:rsidRPr="00B462CD" w:rsidRDefault="00602F68"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noProof/>
          <w:kern w:val="0"/>
          <w:lang w:eastAsia="en-US"/>
          <w14:ligatures w14:val="none"/>
        </w:rPr>
        <w:drawing>
          <wp:inline distT="0" distB="0" distL="0" distR="0" wp14:anchorId="4EB20784" wp14:editId="31C5A3DD">
            <wp:extent cx="5834380" cy="3481070"/>
            <wp:effectExtent l="0" t="0" r="0" b="5080"/>
            <wp:docPr id="768238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34380" cy="3481070"/>
                    </a:xfrm>
                    <a:prstGeom prst="rect">
                      <a:avLst/>
                    </a:prstGeom>
                    <a:noFill/>
                  </pic:spPr>
                </pic:pic>
              </a:graphicData>
            </a:graphic>
          </wp:inline>
        </w:drawing>
      </w:r>
    </w:p>
    <w:p w14:paraId="748111C8" w14:textId="1BF76D39" w:rsidR="001E1306" w:rsidRPr="00B462CD" w:rsidRDefault="001E1306"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Fig.</w:t>
      </w:r>
      <w:r w:rsidR="00285DF7" w:rsidRPr="00B462CD">
        <w:rPr>
          <w:rFonts w:ascii="Arial" w:eastAsia="Times New Roman" w:hAnsi="Arial" w:cs="Arial"/>
          <w:b/>
          <w:bCs/>
          <w:kern w:val="0"/>
          <w:lang w:eastAsia="en-US"/>
          <w14:ligatures w14:val="none"/>
        </w:rPr>
        <w:t xml:space="preserve"> 3</w:t>
      </w:r>
      <w:r w:rsidRPr="00B462CD">
        <w:rPr>
          <w:rFonts w:ascii="Arial" w:eastAsia="Times New Roman" w:hAnsi="Arial" w:cs="Arial"/>
          <w:b/>
          <w:bCs/>
          <w:kern w:val="0"/>
          <w:lang w:eastAsia="en-US"/>
          <w14:ligatures w14:val="none"/>
        </w:rPr>
        <w:t xml:space="preserve"> </w:t>
      </w:r>
      <w:r w:rsidR="00974701" w:rsidRPr="00B462CD">
        <w:rPr>
          <w:rFonts w:ascii="Arial" w:eastAsia="Times New Roman" w:hAnsi="Arial" w:cs="Arial"/>
          <w:b/>
          <w:bCs/>
          <w:kern w:val="0"/>
          <w:lang w:eastAsia="en-US"/>
          <w14:ligatures w14:val="none"/>
        </w:rPr>
        <w:t>Immigration Status as a Structuring Factor</w:t>
      </w:r>
      <w:r w:rsidR="00470DE1" w:rsidRPr="00B462CD">
        <w:rPr>
          <w:rFonts w:ascii="Arial" w:eastAsia="Times New Roman" w:hAnsi="Arial" w:cs="Arial"/>
          <w:kern w:val="0"/>
          <w:lang w:eastAsia="en-US"/>
          <w14:ligatures w14:val="none"/>
        </w:rPr>
        <w:t>.</w:t>
      </w:r>
    </w:p>
    <w:p w14:paraId="751FBA86" w14:textId="77777777" w:rsidR="001C5CF6" w:rsidRPr="00B462CD" w:rsidRDefault="001C5CF6" w:rsidP="00E6526D">
      <w:pPr>
        <w:spacing w:after="0" w:line="360" w:lineRule="auto"/>
        <w:rPr>
          <w:rFonts w:ascii="Arial" w:eastAsia="Arial" w:hAnsi="Arial" w:cs="Arial"/>
          <w:kern w:val="0"/>
          <w:lang w:eastAsia="en-US"/>
          <w14:ligatures w14:val="none"/>
        </w:rPr>
      </w:pPr>
    </w:p>
    <w:p w14:paraId="57A002CE" w14:textId="23F124DB"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 xml:space="preserve">4.9 </w:t>
      </w:r>
      <w:bookmarkStart w:id="50" w:name="_Hlk220488659"/>
      <w:r w:rsidRPr="00B462CD">
        <w:rPr>
          <w:rFonts w:ascii="Arial" w:eastAsia="Times New Roman" w:hAnsi="Arial" w:cs="Arial"/>
          <w:b/>
          <w:bCs/>
          <w:kern w:val="0"/>
          <w:lang w:eastAsia="en-US"/>
          <w14:ligatures w14:val="none"/>
        </w:rPr>
        <w:t>Summary of Key Findings</w:t>
      </w:r>
      <w:bookmarkEnd w:id="50"/>
    </w:p>
    <w:p w14:paraId="6611EA62" w14:textId="5FD6B0EF"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Table 4 presents a summary matrix that links research objectives to important findings and representative quotes from participants.</w:t>
      </w:r>
      <w:r w:rsidR="00B85F42" w:rsidRPr="00B462CD">
        <w:rPr>
          <w:rFonts w:ascii="Arial" w:eastAsia="Times New Roman" w:hAnsi="Arial" w:cs="Arial"/>
          <w:kern w:val="0"/>
          <w:lang w:eastAsia="en-US"/>
          <w14:ligatures w14:val="none"/>
        </w:rPr>
        <w:t xml:space="preserve"> </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804"/>
        <w:gridCol w:w="2730"/>
        <w:gridCol w:w="3482"/>
      </w:tblGrid>
      <w:tr w:rsidR="00DF5D62" w:rsidRPr="00B462CD" w14:paraId="125E105E" w14:textId="77777777" w:rsidTr="00014572">
        <w:trPr>
          <w:tblHeader/>
          <w:tblCellSpacing w:w="15" w:type="dxa"/>
        </w:trPr>
        <w:tc>
          <w:tcPr>
            <w:tcW w:w="0" w:type="auto"/>
            <w:tcBorders>
              <w:top w:val="nil"/>
              <w:bottom w:val="single" w:sz="4" w:space="0" w:color="auto"/>
            </w:tcBorders>
            <w:vAlign w:val="center"/>
            <w:hideMark/>
          </w:tcPr>
          <w:p w14:paraId="5859B03B"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Research Objective</w:t>
            </w:r>
          </w:p>
        </w:tc>
        <w:tc>
          <w:tcPr>
            <w:tcW w:w="0" w:type="auto"/>
            <w:tcBorders>
              <w:top w:val="nil"/>
              <w:bottom w:val="single" w:sz="4" w:space="0" w:color="auto"/>
            </w:tcBorders>
            <w:vAlign w:val="center"/>
            <w:hideMark/>
          </w:tcPr>
          <w:p w14:paraId="03CAA03A"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Theme Addressed</w:t>
            </w:r>
          </w:p>
        </w:tc>
        <w:tc>
          <w:tcPr>
            <w:tcW w:w="0" w:type="auto"/>
            <w:tcBorders>
              <w:top w:val="nil"/>
              <w:bottom w:val="single" w:sz="4" w:space="0" w:color="auto"/>
            </w:tcBorders>
            <w:vAlign w:val="center"/>
            <w:hideMark/>
          </w:tcPr>
          <w:p w14:paraId="0F718DEA"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Illustrative Quote</w:t>
            </w:r>
          </w:p>
        </w:tc>
      </w:tr>
      <w:tr w:rsidR="00DF5D62" w:rsidRPr="00B462CD" w14:paraId="03E125EC" w14:textId="77777777" w:rsidTr="001E24B2">
        <w:trPr>
          <w:tblCellSpacing w:w="15" w:type="dxa"/>
        </w:trPr>
        <w:tc>
          <w:tcPr>
            <w:tcW w:w="0" w:type="auto"/>
            <w:vAlign w:val="center"/>
            <w:hideMark/>
          </w:tcPr>
          <w:p w14:paraId="3DA6AF21"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Access to healthcare</w:t>
            </w:r>
          </w:p>
        </w:tc>
        <w:tc>
          <w:tcPr>
            <w:tcW w:w="0" w:type="auto"/>
            <w:vAlign w:val="center"/>
            <w:hideMark/>
          </w:tcPr>
          <w:p w14:paraId="3E995BAE"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c>
          <w:tcPr>
            <w:tcW w:w="0" w:type="auto"/>
            <w:vAlign w:val="center"/>
            <w:hideMark/>
          </w:tcPr>
          <w:p w14:paraId="1C5F021F"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tried to register… I was scared to ask again.”</w:t>
            </w:r>
          </w:p>
        </w:tc>
      </w:tr>
      <w:tr w:rsidR="00DF5D62" w:rsidRPr="00B462CD" w14:paraId="6898E468" w14:textId="77777777" w:rsidTr="001E24B2">
        <w:trPr>
          <w:tblCellSpacing w:w="15" w:type="dxa"/>
        </w:trPr>
        <w:tc>
          <w:tcPr>
            <w:tcW w:w="0" w:type="auto"/>
            <w:vAlign w:val="center"/>
            <w:hideMark/>
          </w:tcPr>
          <w:p w14:paraId="6F788D39"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Impact of immigration status on well-being</w:t>
            </w:r>
          </w:p>
        </w:tc>
        <w:tc>
          <w:tcPr>
            <w:tcW w:w="0" w:type="auto"/>
            <w:vAlign w:val="center"/>
            <w:hideMark/>
          </w:tcPr>
          <w:p w14:paraId="7ECEB04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Housing &amp; Employment, Discrimination</w:t>
            </w:r>
          </w:p>
        </w:tc>
        <w:tc>
          <w:tcPr>
            <w:tcW w:w="0" w:type="auto"/>
            <w:vAlign w:val="center"/>
            <w:hideMark/>
          </w:tcPr>
          <w:p w14:paraId="5A4D754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“If they don’t pay me, there’s nothing I can do.”</w:t>
            </w:r>
          </w:p>
        </w:tc>
      </w:tr>
      <w:tr w:rsidR="00DF5D62" w:rsidRPr="00B462CD" w14:paraId="5908EBCE" w14:textId="77777777" w:rsidTr="001E24B2">
        <w:trPr>
          <w:tblCellSpacing w:w="15" w:type="dxa"/>
        </w:trPr>
        <w:tc>
          <w:tcPr>
            <w:tcW w:w="0" w:type="auto"/>
            <w:vAlign w:val="center"/>
            <w:hideMark/>
          </w:tcPr>
          <w:p w14:paraId="4C7F4BC9"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and resilience</w:t>
            </w:r>
          </w:p>
        </w:tc>
        <w:tc>
          <w:tcPr>
            <w:tcW w:w="0" w:type="auto"/>
            <w:vAlign w:val="center"/>
            <w:hideMark/>
          </w:tcPr>
          <w:p w14:paraId="4A8B4E56"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&amp; Resilience</w:t>
            </w:r>
          </w:p>
        </w:tc>
        <w:tc>
          <w:tcPr>
            <w:tcW w:w="0" w:type="auto"/>
            <w:vAlign w:val="center"/>
            <w:hideMark/>
          </w:tcPr>
          <w:p w14:paraId="5D491DCB" w14:textId="77777777" w:rsidR="00A06253" w:rsidRPr="00B462CD" w:rsidRDefault="00A06253"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“Church is like family here… They help me keep going.”</w:t>
            </w:r>
          </w:p>
        </w:tc>
      </w:tr>
    </w:tbl>
    <w:p w14:paraId="464B2FBA" w14:textId="40C4EE6E" w:rsidR="00A06253" w:rsidRPr="00B462CD" w:rsidRDefault="00307C70"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Table 4: Alignment of Research Objectives, Themes, and Evidence</w:t>
      </w:r>
    </w:p>
    <w:p w14:paraId="49BA81F1" w14:textId="77777777" w:rsidR="00307C70" w:rsidRPr="00B462CD" w:rsidRDefault="00307C70" w:rsidP="00E6526D">
      <w:pPr>
        <w:spacing w:after="0" w:line="360" w:lineRule="auto"/>
        <w:rPr>
          <w:rFonts w:ascii="Arial" w:eastAsia="Times New Roman" w:hAnsi="Arial" w:cs="Arial"/>
          <w:b/>
          <w:bCs/>
          <w:kern w:val="0"/>
          <w:lang w:eastAsia="en-US"/>
          <w14:ligatures w14:val="none"/>
        </w:rPr>
      </w:pPr>
    </w:p>
    <w:p w14:paraId="6AB1DC71" w14:textId="4A4EBD21" w:rsidR="00D01254"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4.10 </w:t>
      </w:r>
      <w:bookmarkStart w:id="51" w:name="_Hlk220488698"/>
      <w:r w:rsidRPr="00B462CD">
        <w:rPr>
          <w:rFonts w:ascii="Arial" w:eastAsia="Times New Roman" w:hAnsi="Arial" w:cs="Arial"/>
          <w:b/>
          <w:bCs/>
          <w:kern w:val="0"/>
          <w:lang w:eastAsia="en-US"/>
          <w14:ligatures w14:val="none"/>
        </w:rPr>
        <w:t xml:space="preserve">Chapter Summary. </w:t>
      </w:r>
      <w:bookmarkEnd w:id="51"/>
    </w:p>
    <w:p w14:paraId="48A2A39C" w14:textId="197626F9"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kern w:val="0"/>
          <w:lang w:eastAsia="en-US"/>
          <w14:ligatures w14:val="none"/>
        </w:rPr>
        <w:t xml:space="preserve">The results of in-depth interviews with two BAME adult migrants in East London are methodically presented in this chapter, arranged according to key themes that support the study's goals. Significant hurdles to healthcare access were reported by participants, including administrative challenges, disclosure concerns, </w:t>
      </w:r>
      <w:r w:rsidR="007F3C9A" w:rsidRPr="00B462CD">
        <w:rPr>
          <w:rFonts w:ascii="Arial" w:eastAsia="Times New Roman" w:hAnsi="Arial" w:cs="Arial"/>
          <w:kern w:val="0"/>
          <w:lang w:eastAsia="en-US"/>
          <w14:ligatures w14:val="none"/>
        </w:rPr>
        <w:t xml:space="preserve">cultural and </w:t>
      </w:r>
      <w:r w:rsidR="004F77AE" w:rsidRPr="00B462CD">
        <w:rPr>
          <w:rFonts w:ascii="Arial" w:eastAsia="Times New Roman" w:hAnsi="Arial" w:cs="Arial"/>
          <w:kern w:val="0"/>
          <w:lang w:eastAsia="en-US"/>
          <w14:ligatures w14:val="none"/>
        </w:rPr>
        <w:t xml:space="preserve">climate challenges </w:t>
      </w:r>
      <w:r w:rsidRPr="00B462CD">
        <w:rPr>
          <w:rFonts w:ascii="Arial" w:eastAsia="Times New Roman" w:hAnsi="Arial" w:cs="Arial"/>
          <w:kern w:val="0"/>
          <w:lang w:eastAsia="en-US"/>
          <w14:ligatures w14:val="none"/>
        </w:rPr>
        <w:t xml:space="preserve">and language limitations. Insecurity, exploitation, </w:t>
      </w:r>
      <w:r w:rsidR="007B13AC" w:rsidRPr="00B462CD">
        <w:rPr>
          <w:rFonts w:ascii="Arial" w:eastAsia="Times New Roman" w:hAnsi="Arial" w:cs="Arial"/>
          <w:kern w:val="0"/>
          <w:lang w:eastAsia="en-US"/>
          <w14:ligatures w14:val="none"/>
        </w:rPr>
        <w:t xml:space="preserve">coping strategies </w:t>
      </w:r>
      <w:r w:rsidRPr="00B462CD">
        <w:rPr>
          <w:rFonts w:ascii="Arial" w:eastAsia="Times New Roman" w:hAnsi="Arial" w:cs="Arial"/>
          <w:kern w:val="0"/>
          <w:lang w:eastAsia="en-US"/>
          <w14:ligatures w14:val="none"/>
        </w:rPr>
        <w:t xml:space="preserve">and persistent ambiguity were prevalent in housing and job circumstances, all of which were strongly associated with immigration status. Both participants talked about their experiences with social exclusion and discrimination in public areas, at work, and when using services, which led to a feeling of marginalisation and a decline in well-being. Both participants showed resilience in the face of these difficulties, finding strength in their personal resolve, faith, </w:t>
      </w:r>
      <w:r w:rsidR="007B13AC" w:rsidRPr="00B462CD">
        <w:rPr>
          <w:rFonts w:ascii="Arial" w:eastAsia="Times New Roman" w:hAnsi="Arial" w:cs="Arial"/>
          <w:kern w:val="0"/>
          <w:lang w:eastAsia="en-US"/>
          <w14:ligatures w14:val="none"/>
        </w:rPr>
        <w:t xml:space="preserve">family </w:t>
      </w:r>
      <w:r w:rsidRPr="00B462CD">
        <w:rPr>
          <w:rFonts w:ascii="Arial" w:eastAsia="Times New Roman" w:hAnsi="Arial" w:cs="Arial"/>
          <w:kern w:val="0"/>
          <w:lang w:eastAsia="en-US"/>
          <w14:ligatures w14:val="none"/>
        </w:rPr>
        <w:t>and social networks. These topics' links highlight how intricate and varied migrant health disparities are. Participants emphasised the difficulties presented by the UK climate and the process of cultural transition, in addition to obstacles pertaining to healthcare, housing, work, and prejudice. Their health and well-being were further impacted by the physical effects of cold, wet weather as well as the psychological stress of acclimating to new social customs, languages, and conventions. These results highlight the complexity of migration experiences and the significance of taking cultural and environmental elements into account in addition to more widely researched social concerns. The results shown here serve as a basis for the discussion and analytical interpretation that follow in Chapter 5.</w:t>
      </w:r>
    </w:p>
    <w:p w14:paraId="70B6F80D" w14:textId="2CBB7F38" w:rsidR="00462AE6" w:rsidRPr="00B462CD" w:rsidRDefault="001432A2" w:rsidP="00E6526D">
      <w:pPr>
        <w:spacing w:before="100" w:beforeAutospacing="1" w:after="100" w:afterAutospacing="1" w:line="360" w:lineRule="auto"/>
        <w:outlineLvl w:val="2"/>
        <w:rPr>
          <w:rFonts w:ascii="Arial" w:eastAsia="Times New Roman" w:hAnsi="Arial" w:cs="Arial"/>
          <w:b/>
          <w:bCs/>
          <w:kern w:val="0"/>
          <w:lang w:eastAsia="en-US"/>
          <w14:ligatures w14:val="none"/>
        </w:rPr>
      </w:pPr>
      <w:r w:rsidRPr="00B462CD">
        <w:rPr>
          <w:rFonts w:ascii="Arial" w:eastAsia="Times New Roman" w:hAnsi="Arial" w:cs="Arial"/>
          <w:b/>
          <w:bCs/>
          <w:noProof/>
          <w:kern w:val="0"/>
          <w:lang w:eastAsia="en-US"/>
          <w14:ligatures w14:val="none"/>
        </w:rPr>
        <w:drawing>
          <wp:inline distT="0" distB="0" distL="0" distR="0" wp14:anchorId="13BA566D" wp14:editId="0BD9E8CF">
            <wp:extent cx="5394595" cy="3906053"/>
            <wp:effectExtent l="0" t="0" r="0" b="0"/>
            <wp:docPr id="15276415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99220" cy="3909402"/>
                    </a:xfrm>
                    <a:prstGeom prst="rect">
                      <a:avLst/>
                    </a:prstGeom>
                    <a:noFill/>
                  </pic:spPr>
                </pic:pic>
              </a:graphicData>
            </a:graphic>
          </wp:inline>
        </w:drawing>
      </w:r>
      <w:r w:rsidR="00E14776" w:rsidRPr="00B462CD">
        <w:rPr>
          <w:rFonts w:ascii="Arial" w:eastAsia="Arial" w:hAnsi="Arial" w:cs="Arial"/>
          <w:b/>
          <w:bCs/>
          <w:kern w:val="0"/>
          <w:lang w:eastAsia="en-US"/>
          <w14:ligatures w14:val="none"/>
        </w:rPr>
        <w:t xml:space="preserve">Figure 4. </w:t>
      </w:r>
      <w:r w:rsidR="00E14776" w:rsidRPr="00B462CD">
        <w:rPr>
          <w:rFonts w:ascii="Arial" w:eastAsia="Times New Roman" w:hAnsi="Arial" w:cs="Arial"/>
          <w:b/>
          <w:bCs/>
          <w:kern w:val="0"/>
          <w:lang w:eastAsia="en-US"/>
          <w14:ligatures w14:val="none"/>
        </w:rPr>
        <w:t>A conceptual framework</w:t>
      </w:r>
      <w:r w:rsidR="00E14776" w:rsidRPr="00B462CD">
        <w:rPr>
          <w:rFonts w:ascii="Arial" w:eastAsia="Times New Roman" w:hAnsi="Arial" w:cs="Arial"/>
          <w:kern w:val="0"/>
          <w:lang w:eastAsia="en-US"/>
          <w14:ligatures w14:val="none"/>
        </w:rPr>
        <w:t xml:space="preserve"> </w:t>
      </w:r>
    </w:p>
    <w:p w14:paraId="16619733" w14:textId="2DF035BA" w:rsidR="004043CA" w:rsidRPr="00B462CD" w:rsidRDefault="00462AE6" w:rsidP="00E6526D">
      <w:pPr>
        <w:spacing w:line="360" w:lineRule="auto"/>
        <w:rPr>
          <w:rFonts w:ascii="Arial" w:eastAsia="Times New Roman" w:hAnsi="Arial" w:cs="Arial"/>
          <w:kern w:val="0"/>
          <w:lang w:val="en-US" w:eastAsia="en-US"/>
          <w14:ligatures w14:val="none"/>
        </w:rPr>
      </w:pPr>
      <w:r w:rsidRPr="00B462CD">
        <w:rPr>
          <w:rFonts w:ascii="Arial" w:eastAsia="Times New Roman" w:hAnsi="Arial" w:cs="Arial"/>
          <w:kern w:val="0"/>
          <w:lang w:eastAsia="en-US"/>
          <w14:ligatures w14:val="none"/>
        </w:rPr>
        <w:t>T</w:t>
      </w:r>
      <w:r w:rsidR="008228A2" w:rsidRPr="00B462CD">
        <w:rPr>
          <w:rFonts w:ascii="Arial" w:eastAsia="Times New Roman" w:hAnsi="Arial" w:cs="Arial"/>
          <w:kern w:val="0"/>
          <w:lang w:eastAsia="en-US"/>
          <w14:ligatures w14:val="none"/>
        </w:rPr>
        <w:t>his</w:t>
      </w:r>
      <w:r w:rsidR="00E14776"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 xml:space="preserve">framework </w:t>
      </w:r>
      <w:r w:rsidR="00E14776" w:rsidRPr="00B462CD">
        <w:rPr>
          <w:rFonts w:ascii="Arial" w:eastAsia="Times New Roman" w:hAnsi="Arial" w:cs="Arial"/>
          <w:kern w:val="0"/>
          <w:lang w:eastAsia="en-US"/>
          <w14:ligatures w14:val="none"/>
        </w:rPr>
        <w:t xml:space="preserve">synthesises social, environmental, and cultural factors to assess health and well-being among BAME migrants in East London (modified from Marmot et al., 2020). </w:t>
      </w:r>
      <w:r w:rsidR="00E14776" w:rsidRPr="00B462CD">
        <w:rPr>
          <w:rFonts w:ascii="Arial" w:eastAsia="Times New Roman" w:hAnsi="Arial" w:cs="Arial"/>
          <w:kern w:val="0"/>
          <w:lang w:eastAsia="en-US"/>
          <w14:ligatures w14:val="none"/>
        </w:rPr>
        <w:br/>
      </w:r>
      <w:r w:rsidR="004043CA" w:rsidRPr="00B462CD">
        <w:rPr>
          <w:rFonts w:ascii="Arial" w:eastAsia="Times New Roman" w:hAnsi="Arial" w:cs="Arial"/>
          <w:kern w:val="0"/>
          <w:lang w:val="en-US" w:eastAsia="en-US"/>
          <w14:ligatures w14:val="none"/>
        </w:rPr>
        <w:t>The</w:t>
      </w:r>
      <w:r w:rsidR="009D7757" w:rsidRPr="00B462CD">
        <w:rPr>
          <w:rFonts w:ascii="Arial" w:eastAsia="Times New Roman" w:hAnsi="Arial" w:cs="Arial"/>
          <w:kern w:val="0"/>
          <w:lang w:val="en-US" w:eastAsia="en-US"/>
          <w14:ligatures w14:val="none"/>
        </w:rPr>
        <w:t xml:space="preserve"> diagram</w:t>
      </w:r>
      <w:r w:rsidR="004043CA" w:rsidRPr="00B462CD">
        <w:rPr>
          <w:rFonts w:ascii="Arial" w:eastAsia="Times New Roman" w:hAnsi="Arial" w:cs="Arial"/>
          <w:kern w:val="0"/>
          <w:lang w:val="en-US" w:eastAsia="en-US"/>
          <w14:ligatures w14:val="none"/>
        </w:rPr>
        <w:t xml:space="preserve"> illustrates how humans are impacted by environmental change in different ways based on their exposure and sensitivity. People's experiences are shaped by the intersections of development circumstances like socioeconomic position, governance, and service access with climate elements like natural variability and human-driven change. These pressures can lead to immobility, where individuals are “trapped” and face health risks like stress, food insecurity, and limited services, or mobility, where people relocate or migrate but encounter new challenges at their destination. Human mobility is both a survival strategy and a source of additional risk, as evidenced by the ways in which personal attributes like age, health, or social networks affect how people survive and adapt.</w:t>
      </w:r>
    </w:p>
    <w:p w14:paraId="748F55E9" w14:textId="38F230FB" w:rsidR="00A06253" w:rsidRPr="00B462CD" w:rsidRDefault="00A06253" w:rsidP="00E6526D">
      <w:pPr>
        <w:spacing w:after="0" w:line="360" w:lineRule="auto"/>
        <w:rPr>
          <w:rFonts w:ascii="Arial" w:eastAsia="Times New Roman" w:hAnsi="Arial" w:cs="Arial"/>
          <w:b/>
          <w:bCs/>
          <w:kern w:val="0"/>
          <w:lang w:eastAsia="en-US"/>
          <w14:ligatures w14:val="none"/>
        </w:rPr>
      </w:pPr>
    </w:p>
    <w:p w14:paraId="58A200C1" w14:textId="77777777" w:rsidR="00A06253" w:rsidRPr="00B462CD" w:rsidRDefault="00A06253"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34F48D26" w14:textId="77777777" w:rsidR="00B2712A" w:rsidRPr="00B462CD" w:rsidRDefault="00B2712A" w:rsidP="00E6526D">
      <w:pPr>
        <w:spacing w:before="100" w:beforeAutospacing="1" w:after="100" w:afterAutospacing="1" w:line="360" w:lineRule="auto"/>
        <w:outlineLvl w:val="1"/>
        <w:rPr>
          <w:rFonts w:ascii="Arial" w:eastAsia="Times New Roman" w:hAnsi="Arial" w:cs="Arial"/>
          <w:b/>
          <w:bCs/>
        </w:rPr>
      </w:pPr>
      <w:bookmarkStart w:id="52" w:name="_Toc220428673"/>
      <w:r w:rsidRPr="00B462CD">
        <w:rPr>
          <w:rFonts w:ascii="Arial" w:eastAsia="Times New Roman" w:hAnsi="Arial" w:cs="Arial"/>
          <w:b/>
          <w:bCs/>
        </w:rPr>
        <w:t>Chapter 5: Discussion</w:t>
      </w:r>
      <w:bookmarkEnd w:id="52"/>
    </w:p>
    <w:p w14:paraId="24D7A879" w14:textId="77777777" w:rsidR="00B2712A" w:rsidRPr="00B462CD" w:rsidRDefault="00B2712A" w:rsidP="00E6526D">
      <w:pPr>
        <w:spacing w:line="360" w:lineRule="auto"/>
        <w:rPr>
          <w:rFonts w:ascii="Arial" w:eastAsia="Times New Roman" w:hAnsi="Arial" w:cs="Arial"/>
          <w:b/>
          <w:bCs/>
        </w:rPr>
      </w:pPr>
      <w:r w:rsidRPr="00B462CD">
        <w:rPr>
          <w:rFonts w:ascii="Arial" w:eastAsia="Times New Roman" w:hAnsi="Arial" w:cs="Arial"/>
          <w:b/>
          <w:bCs/>
        </w:rPr>
        <w:t>5.1 Introduction</w:t>
      </w:r>
    </w:p>
    <w:p w14:paraId="0066F03E"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The main conclusions from in-depth interviews with the two BAME adult migrants in East London, which were given in Chapter 4, are critically interpreted and analysed in this chapter. </w:t>
      </w:r>
      <w:proofErr w:type="gramStart"/>
      <w:r w:rsidRPr="00B462CD">
        <w:rPr>
          <w:rFonts w:ascii="Arial" w:eastAsia="Times New Roman" w:hAnsi="Arial" w:cs="Arial"/>
        </w:rPr>
        <w:t>In order to</w:t>
      </w:r>
      <w:proofErr w:type="gramEnd"/>
      <w:r w:rsidRPr="00B462CD">
        <w:rPr>
          <w:rFonts w:ascii="Arial" w:eastAsia="Times New Roman" w:hAnsi="Arial" w:cs="Arial"/>
        </w:rPr>
        <w:t xml:space="preserve"> place findings within the broader context of migrant health research, the discussion engages with recent literature while drawing on established theoretical frameworks, most notably the Social Determinants of Health (Marmot et al., 2020), intersectionality (Crenshaw, 1989), and acculturation theory (Berry, 2005). In each part, a primary study goal is reviewed, the importance and meaning of the results are examined, and the implications for public health practice, policy, and future research are considered.</w:t>
      </w:r>
    </w:p>
    <w:p w14:paraId="081B3C8A" w14:textId="77777777" w:rsidR="00B2712A" w:rsidRPr="00B462CD" w:rsidRDefault="00B2712A" w:rsidP="00E6526D">
      <w:pPr>
        <w:spacing w:before="100" w:beforeAutospacing="1" w:after="100" w:afterAutospacing="1" w:line="360" w:lineRule="auto"/>
        <w:outlineLvl w:val="2"/>
        <w:rPr>
          <w:rFonts w:ascii="Arial" w:eastAsia="Times New Roman" w:hAnsi="Arial" w:cs="Arial"/>
          <w:b/>
          <w:bCs/>
        </w:rPr>
      </w:pPr>
      <w:bookmarkStart w:id="53" w:name="_Toc220428674"/>
      <w:r w:rsidRPr="00B462CD">
        <w:rPr>
          <w:rFonts w:ascii="Arial" w:eastAsia="Times New Roman" w:hAnsi="Arial" w:cs="Arial"/>
          <w:b/>
          <w:bCs/>
        </w:rPr>
        <w:t>5.2 Barriers to Healthcare Access: Interpretation and Implications</w:t>
      </w:r>
      <w:bookmarkEnd w:id="53"/>
    </w:p>
    <w:p w14:paraId="17EE2E96"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The results of this research support the findings of Doctors of the World (2017) and Feldman (2018) by showing that immigration status continues to be a major factor in determining in BAME adult migrants' access to health services. Administrative barriers to timely care included documentation requirements and the widespread fear of being reported to immigration officials. Inconsistent information and a lack of cultural sensitivity in health care exacerbate these obstacles and cause therapy to be postponed or abandoned. These findings are consistent with previous studies showing that migrants' right to health is consistently compromised by institutional exclusion and legal precarity (Potter et al., 2020; Sime, 2021). By demonstrating how these obstacles are perceived as both bureaucratic roadblocks and chronic psychological stressors that exacerbate anxiety and mistrust in the healthcare system, this research advances knowledge. The results show how structural and individual vulnerabilities intertwine, bolstering the claim that immigration status is a crucial social factor with wide-ranging effects rather than merely an administrative classification (Marmot et al., 2020).</w:t>
      </w:r>
    </w:p>
    <w:p w14:paraId="277DF80B" w14:textId="77777777" w:rsidR="00B2712A" w:rsidRPr="00B462CD" w:rsidRDefault="00B2712A" w:rsidP="00E6526D">
      <w:pPr>
        <w:spacing w:line="360" w:lineRule="auto"/>
        <w:rPr>
          <w:rFonts w:ascii="Arial" w:eastAsia="Times New Roman" w:hAnsi="Arial" w:cs="Arial"/>
        </w:rPr>
      </w:pPr>
    </w:p>
    <w:p w14:paraId="26A17422"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Precarious housing and exploitative employment are directly linked to uncertain immigration status, according to the findings. In line with the larger body of research on migrant precarity in urban Britain, participants described living in cramped quarters, transitory housing, and informal, unprotected employment (Jayaweera, 2014; Power et al., 2017). According to Sumption and Kone (2018), both interviewees described circumstances characterised by persistent uncertainty, a lack of privacy, and insufficient protection against exploitation, all of which are known to contribute to poor physical and mental health.</w:t>
      </w:r>
    </w:p>
    <w:p w14:paraId="1AF10C0A" w14:textId="77777777" w:rsidR="00B2712A" w:rsidRPr="00B462CD" w:rsidRDefault="00B2712A" w:rsidP="00E6526D">
      <w:pPr>
        <w:spacing w:before="100" w:beforeAutospacing="1" w:after="100" w:afterAutospacing="1" w:line="360" w:lineRule="auto"/>
        <w:outlineLvl w:val="2"/>
        <w:rPr>
          <w:rFonts w:ascii="Arial" w:eastAsia="Times New Roman" w:hAnsi="Arial" w:cs="Arial"/>
          <w:b/>
          <w:bCs/>
        </w:rPr>
      </w:pPr>
      <w:bookmarkStart w:id="54" w:name="_Toc220428675"/>
      <w:r w:rsidRPr="00B462CD">
        <w:rPr>
          <w:rFonts w:ascii="Arial" w:eastAsia="Times New Roman" w:hAnsi="Arial" w:cs="Arial"/>
          <w:b/>
          <w:bCs/>
        </w:rPr>
        <w:t>5.3 Precarious Housing and Employment: Analytical Insights</w:t>
      </w:r>
      <w:bookmarkEnd w:id="54"/>
    </w:p>
    <w:p w14:paraId="2C67A8FF"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By directly connecting these social variables to the lived experiences of BAME migrants in East London, our study adds additional empirical detail. It illustrates how a widespread sense of instability is created and prospects for upward mobility are reduced by the compounding impacts of housing and work uncertainty, which are frequently moulded by legal constraints. This is consistent with the conceptual framework established in Chapter 2, which presents social exclusion and structural violence as interdependent factors affecting the welfare of migrants (Farmer, 2004; </w:t>
      </w:r>
      <w:proofErr w:type="spellStart"/>
      <w:r w:rsidRPr="00B462CD">
        <w:rPr>
          <w:rFonts w:ascii="Arial" w:eastAsia="Times New Roman" w:hAnsi="Arial" w:cs="Arial"/>
        </w:rPr>
        <w:t>Nazroo</w:t>
      </w:r>
      <w:proofErr w:type="spellEnd"/>
      <w:r w:rsidRPr="00B462CD">
        <w:rPr>
          <w:rFonts w:ascii="Arial" w:eastAsia="Times New Roman" w:hAnsi="Arial" w:cs="Arial"/>
        </w:rPr>
        <w:t>, 2021).</w:t>
      </w:r>
    </w:p>
    <w:p w14:paraId="1FCB1A2A" w14:textId="77777777" w:rsidR="00B2712A" w:rsidRPr="00B462CD" w:rsidRDefault="00B2712A" w:rsidP="00E6526D">
      <w:pPr>
        <w:spacing w:before="100" w:beforeAutospacing="1" w:after="100" w:afterAutospacing="1" w:line="360" w:lineRule="auto"/>
        <w:outlineLvl w:val="2"/>
        <w:rPr>
          <w:rFonts w:ascii="Arial" w:eastAsia="Times New Roman" w:hAnsi="Arial" w:cs="Arial"/>
          <w:b/>
          <w:bCs/>
        </w:rPr>
      </w:pPr>
      <w:bookmarkStart w:id="55" w:name="_Toc220428676"/>
      <w:r w:rsidRPr="00B462CD">
        <w:rPr>
          <w:rFonts w:ascii="Arial" w:eastAsia="Times New Roman" w:hAnsi="Arial" w:cs="Arial"/>
          <w:b/>
          <w:bCs/>
        </w:rPr>
        <w:t>5.4 Discrimination and Social Exclusion: Critical Reflections</w:t>
      </w:r>
      <w:bookmarkEnd w:id="55"/>
    </w:p>
    <w:p w14:paraId="4DB77F15"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A recurring feature in participant reports was the ongoing experience of prejudice, whether it was overt, like racist abuse in public places or covert, like being passed over for jobs. These results support the substantial body of research on health disparities among immigrants and ethnic groups in the UK (Salway et al., 2016; </w:t>
      </w:r>
      <w:proofErr w:type="spellStart"/>
      <w:r w:rsidRPr="00B462CD">
        <w:rPr>
          <w:rFonts w:ascii="Arial" w:eastAsia="Times New Roman" w:hAnsi="Arial" w:cs="Arial"/>
        </w:rPr>
        <w:t>Nazroo</w:t>
      </w:r>
      <w:proofErr w:type="spellEnd"/>
      <w:r w:rsidRPr="00B462CD">
        <w:rPr>
          <w:rFonts w:ascii="Arial" w:eastAsia="Times New Roman" w:hAnsi="Arial" w:cs="Arial"/>
        </w:rPr>
        <w:t>, 2021). The information demonstrates the multifaceted nature of prejudice, which takes place not just in interpersonal relationships but also in institutions like public services and businesses. Significantly, this research adds complexity by describing the identity-related and emotional effects of social exclusion, such as low self-esteem and an unwillingness to ask for help. Given that participants' experiences were influenced by the overlapping factors of race, migratory status, language, and socioeconomic status, the intersectionality perspective is especially relevant in this case (Crenshaw, 1989). The study increases knowledge of how exclusion functions at the junction of several axes of disadvantage, exacerbating health risks and impeding integration, by elevating the voices of BAME adult migrants.</w:t>
      </w:r>
    </w:p>
    <w:p w14:paraId="0F071283" w14:textId="77777777" w:rsidR="00B2712A" w:rsidRPr="00B462CD" w:rsidRDefault="00B2712A" w:rsidP="00E6526D">
      <w:pPr>
        <w:spacing w:line="360" w:lineRule="auto"/>
        <w:rPr>
          <w:rFonts w:ascii="Arial" w:eastAsia="Times New Roman" w:hAnsi="Arial" w:cs="Arial"/>
          <w:b/>
          <w:bCs/>
        </w:rPr>
      </w:pPr>
      <w:r w:rsidRPr="00B462CD">
        <w:rPr>
          <w:rFonts w:ascii="Arial" w:eastAsia="Times New Roman" w:hAnsi="Arial" w:cs="Arial"/>
          <w:b/>
          <w:bCs/>
        </w:rPr>
        <w:t xml:space="preserve">5.5 Coping Strategies and Resilience: The Role of Community and Faith </w:t>
      </w:r>
    </w:p>
    <w:p w14:paraId="1D5DDE2B" w14:textId="32623E39"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Both participants showed resiliency and resourcefulness in the face of major obstacles. According to studies that emphasise the protective effect of social capital and religious participation among migrants, faith-based communities and unofficial social networks served as vital sources of emotional and practical support (Cheung &amp; Phillimore, 2014; Simich et al., 2005). The church was characterised as a vital anchor that promotes mental wellness, information availability, and a sense of connection. </w:t>
      </w:r>
      <w:r w:rsidRPr="00B462CD">
        <w:rPr>
          <w:rFonts w:ascii="Arial" w:eastAsia="Times New Roman" w:hAnsi="Arial" w:cs="Arial"/>
        </w:rPr>
        <w:br/>
        <w:t xml:space="preserve">Important coping strategies also included self-motivation and personal initiative. These results highlight the need </w:t>
      </w:r>
      <w:r w:rsidR="009C4C99" w:rsidRPr="00B462CD">
        <w:rPr>
          <w:rFonts w:ascii="Arial" w:eastAsia="Times New Roman" w:hAnsi="Arial" w:cs="Arial"/>
        </w:rPr>
        <w:t>to acknowledge</w:t>
      </w:r>
      <w:r w:rsidRPr="00B462CD">
        <w:rPr>
          <w:rFonts w:ascii="Arial" w:eastAsia="Times New Roman" w:hAnsi="Arial" w:cs="Arial"/>
        </w:rPr>
        <w:t xml:space="preserve"> migrants as active agents who use a variety of techniques to overcome adversity rather than just as passive victims of hardship</w:t>
      </w:r>
      <w:r w:rsidR="00753123" w:rsidRPr="00B462CD">
        <w:rPr>
          <w:rFonts w:ascii="Arial" w:eastAsia="Times New Roman" w:hAnsi="Arial" w:cs="Arial"/>
        </w:rPr>
        <w:t xml:space="preserve"> </w:t>
      </w:r>
      <w:r w:rsidRPr="00B462CD">
        <w:rPr>
          <w:rFonts w:ascii="Arial" w:eastAsia="Times New Roman" w:hAnsi="Arial" w:cs="Arial"/>
        </w:rPr>
        <w:t>(Berry,2005). The conceptual framework's emphasis on resilience as a moderating factor on the detrimental impacts of structural disadvantage is directly related to this issue.</w:t>
      </w:r>
    </w:p>
    <w:p w14:paraId="499A4789" w14:textId="77777777" w:rsidR="00B2712A" w:rsidRPr="00B462CD" w:rsidRDefault="00B2712A" w:rsidP="00E6526D">
      <w:pPr>
        <w:spacing w:line="360" w:lineRule="auto"/>
        <w:rPr>
          <w:rFonts w:ascii="Arial" w:eastAsia="Times New Roman" w:hAnsi="Arial" w:cs="Arial"/>
          <w:b/>
          <w:bCs/>
        </w:rPr>
      </w:pPr>
      <w:r w:rsidRPr="00B462CD">
        <w:rPr>
          <w:rFonts w:ascii="Arial" w:eastAsia="Times New Roman" w:hAnsi="Arial" w:cs="Arial"/>
          <w:b/>
          <w:bCs/>
        </w:rPr>
        <w:t xml:space="preserve">5.6 Climate Change Impacts: Environmental Adaptation and Health. </w:t>
      </w:r>
    </w:p>
    <w:p w14:paraId="3EB71C80"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The current study, which focuses on how the UK climate affects migrant health and well-being, is a unique addition. Both individuals mentioned discomfort, an elevated risk of sickness, and emotional strain as difficulties brought on by colder, wetter weather. Poor housing conditions, such as insufficient heating and ventilation, made these problems worse. The results are consistent with new research showing that environmental adaptation is an important but little-studied factor influencing migrant health in temperate nations (Smith &amp; McBean, 2022). The study emphasises the need for more comprehensive, ecologically conscious public health interventions by drawing attention to the relationship between housing precarity and climate change.</w:t>
      </w:r>
    </w:p>
    <w:p w14:paraId="11CD2A27" w14:textId="64EF453B" w:rsidR="00B2712A" w:rsidRPr="00B462CD" w:rsidRDefault="00B2712A" w:rsidP="00E6526D">
      <w:pPr>
        <w:spacing w:before="100" w:beforeAutospacing="1" w:after="100" w:afterAutospacing="1" w:line="360" w:lineRule="auto"/>
        <w:outlineLvl w:val="2"/>
        <w:rPr>
          <w:rFonts w:ascii="Arial" w:hAnsi="Arial" w:cs="Arial"/>
          <w:b/>
          <w:bCs/>
        </w:rPr>
      </w:pPr>
      <w:bookmarkStart w:id="56" w:name="_Toc220428677"/>
      <w:r w:rsidRPr="00B462CD">
        <w:rPr>
          <w:rFonts w:ascii="Arial" w:hAnsi="Arial" w:cs="Arial"/>
          <w:b/>
          <w:bCs/>
        </w:rPr>
        <w:t xml:space="preserve">5.7 Cultural Change and Adaptation: Navigating New </w:t>
      </w:r>
      <w:bookmarkEnd w:id="56"/>
      <w:r w:rsidR="004570D2" w:rsidRPr="00B462CD">
        <w:rPr>
          <w:rFonts w:ascii="Arial" w:hAnsi="Arial" w:cs="Arial"/>
          <w:b/>
          <w:bCs/>
        </w:rPr>
        <w:t>Cultures</w:t>
      </w:r>
    </w:p>
    <w:p w14:paraId="06D6D0DF" w14:textId="6359BB90"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Participants faced both practical and emotional difficulties adjusting to UK cultural standards. According to Berry's (2005) acculturation theory, which contends that immigrants must adapt to the dominant culture while preserving their heritage culture, the process of acculturation includes renegotiating identity, adopting new social behaviours,</w:t>
      </w:r>
      <w:r w:rsidR="005974A0" w:rsidRPr="00B462CD">
        <w:rPr>
          <w:rFonts w:ascii="Arial" w:eastAsia="Times New Roman" w:hAnsi="Arial" w:cs="Arial"/>
        </w:rPr>
        <w:t xml:space="preserve"> adjusting</w:t>
      </w:r>
      <w:r w:rsidRPr="00B462CD">
        <w:rPr>
          <w:rFonts w:ascii="Arial" w:eastAsia="Times New Roman" w:hAnsi="Arial" w:cs="Arial"/>
        </w:rPr>
        <w:t xml:space="preserve"> and navigating unfamiliar systems. In line with Sime's (2021) results, which point out that linguistic and cultural discontinuities might increase vulnerability, especially for recently arrived migrants, both participants expressed feelings of loneliness, </w:t>
      </w:r>
      <w:r w:rsidR="00B73E63" w:rsidRPr="00B462CD">
        <w:rPr>
          <w:rFonts w:ascii="Arial" w:eastAsia="Times New Roman" w:hAnsi="Arial" w:cs="Arial"/>
        </w:rPr>
        <w:t>insecurity</w:t>
      </w:r>
      <w:r w:rsidR="00765397" w:rsidRPr="00B462CD">
        <w:rPr>
          <w:rFonts w:ascii="Arial" w:eastAsia="Times New Roman" w:hAnsi="Arial" w:cs="Arial"/>
        </w:rPr>
        <w:t xml:space="preserve">, </w:t>
      </w:r>
      <w:r w:rsidRPr="00B462CD">
        <w:rPr>
          <w:rFonts w:ascii="Arial" w:eastAsia="Times New Roman" w:hAnsi="Arial" w:cs="Arial"/>
        </w:rPr>
        <w:t xml:space="preserve">cultural loss, and detachment from familiar support networks. </w:t>
      </w:r>
      <w:r w:rsidRPr="00B462CD">
        <w:rPr>
          <w:rFonts w:ascii="Arial" w:eastAsia="Times New Roman" w:hAnsi="Arial" w:cs="Arial"/>
        </w:rPr>
        <w:br/>
        <w:t xml:space="preserve">Participants frequently expressed frustration at not being able to adequately articulate their needs or establish relationships due to language limitations. This is consistent with the findings of Phillimore et al. (2020), who discovered that poor English proficiency might hinder access to necessary services, such as work and healthcare, and is a recurring source of stress. Dietary adjustments also became a problem, as noted by Pemberton and Stevens (2019), who noted that migrants frequently find it difficult to stick to customary eating habits due to financial limitations and the unavailability of familiar ingredients, which exacerbates dietary acculturative stress. </w:t>
      </w:r>
      <w:r w:rsidRPr="00B462CD">
        <w:rPr>
          <w:rFonts w:ascii="Arial" w:eastAsia="Times New Roman" w:hAnsi="Arial" w:cs="Arial"/>
        </w:rPr>
        <w:br/>
        <w:t xml:space="preserve">Participants felt more vulnerable because there were no established community support systems. This result is consistent with the findings of Crawshaw et al. (2022), who contend that disturbances to established social networks can worsen adjustment challenges and jeopardise well-being. But several participants also talked about how they gradually adapted and became more culturally competent over time, which illustrates how acculturation is dynamic and unique (Berry, 2005). </w:t>
      </w:r>
      <w:r w:rsidRPr="00B462CD">
        <w:rPr>
          <w:rFonts w:ascii="Arial" w:eastAsia="Times New Roman" w:hAnsi="Arial" w:cs="Arial"/>
        </w:rPr>
        <w:br/>
        <w:t>According to Berry (2005), Sime (2021), Crawshaw et al. (2022), Phillimore et al. (2020), and others, this subject supports the increasing understanding that cultural adaptation is a complicated and continuous process that involves both hazards and opportunities for migrant well-being.</w:t>
      </w:r>
    </w:p>
    <w:p w14:paraId="773D9DB8" w14:textId="25FD2A53"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 </w:t>
      </w:r>
      <w:r w:rsidRPr="00B462CD">
        <w:rPr>
          <w:rFonts w:ascii="Arial" w:eastAsia="Times New Roman" w:hAnsi="Arial" w:cs="Arial"/>
          <w:b/>
          <w:bCs/>
        </w:rPr>
        <w:t>5.8 Integration with Conceptual Framework</w:t>
      </w:r>
      <w:r w:rsidRPr="00B462CD">
        <w:rPr>
          <w:rFonts w:ascii="Arial" w:eastAsia="Times New Roman" w:hAnsi="Arial" w:cs="Arial"/>
        </w:rPr>
        <w:t xml:space="preserve"> </w:t>
      </w:r>
    </w:p>
    <w:p w14:paraId="11D8A08B" w14:textId="2FD9BB4D"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The conceptual framework presented in Chapter </w:t>
      </w:r>
      <w:r w:rsidR="00C426DF" w:rsidRPr="00B462CD">
        <w:rPr>
          <w:rFonts w:ascii="Arial" w:eastAsia="Times New Roman" w:hAnsi="Arial" w:cs="Arial"/>
        </w:rPr>
        <w:t>4</w:t>
      </w:r>
      <w:r w:rsidRPr="00B462CD">
        <w:rPr>
          <w:rFonts w:ascii="Arial" w:eastAsia="Times New Roman" w:hAnsi="Arial" w:cs="Arial"/>
        </w:rPr>
        <w:t>, which proposed that immigration status interacts with social, environmental, and cultural influences to affect health outcomes for BAME migrants, is validated and expanded upon by the study's findings. The empirical data demonstrate that these factors are intricately linked, with immigration status at the core of a network of social, administrative, and environmental obstacles. The paradigm is enhanced by the inclusion of climatic adaptation and cultural change, which highlight the complexity of migrant health disparities. The study offers concrete illustrations of how theoretical concepts like structural violence and intersectionality appear in the lived reality of migrants in East London (Crenshaw, 1989; Farmer, 2004).</w:t>
      </w:r>
    </w:p>
    <w:p w14:paraId="45939F9B" w14:textId="328AD72E" w:rsidR="00B2712A" w:rsidRPr="00B462CD" w:rsidRDefault="00B2712A" w:rsidP="00E6526D">
      <w:pPr>
        <w:spacing w:line="360" w:lineRule="auto"/>
        <w:rPr>
          <w:rFonts w:ascii="Arial" w:eastAsia="Times New Roman" w:hAnsi="Arial" w:cs="Arial"/>
          <w:b/>
          <w:bCs/>
        </w:rPr>
      </w:pPr>
      <w:r w:rsidRPr="00B462CD">
        <w:rPr>
          <w:rFonts w:ascii="Arial" w:eastAsia="Times New Roman" w:hAnsi="Arial" w:cs="Arial"/>
          <w:b/>
          <w:bCs/>
        </w:rPr>
        <w:t xml:space="preserve">5.9 Strengths and Limitations </w:t>
      </w:r>
    </w:p>
    <w:p w14:paraId="4B5EDDE4" w14:textId="77777777"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The current study's qualitative design, which allowed for a comprehensive, in-depth examination of delicate and complicated experiences that are frequently unreachable through quantitative questionnaires, is one of its main advantages. Semi-structured interviews encouraged participants to reveal complex personal tales that shed light on the lived reality underlying statistical patterns by fostering genuine rapport and trust (Braun &amp; Clarke, 2006). The research offers a level of contextual understanding rarely attained in larger-scale studies by emphasising participant voices and providing detailed insights into the mechanisms by which immigration status, social determinants, and adaptation processes shape health outcomes among BAME migrants (Patton, 2015). </w:t>
      </w:r>
    </w:p>
    <w:p w14:paraId="117352D7" w14:textId="36D4BB80" w:rsidR="00B2712A" w:rsidRPr="00B462CD" w:rsidRDefault="00B2712A" w:rsidP="00E6526D">
      <w:pPr>
        <w:spacing w:line="360" w:lineRule="auto"/>
        <w:rPr>
          <w:rFonts w:ascii="Arial" w:eastAsia="Times New Roman" w:hAnsi="Arial" w:cs="Arial"/>
        </w:rPr>
      </w:pPr>
      <w:r w:rsidRPr="00B462CD">
        <w:rPr>
          <w:rFonts w:ascii="Arial" w:eastAsia="Times New Roman" w:hAnsi="Arial" w:cs="Arial"/>
        </w:rPr>
        <w:t xml:space="preserve">A multifaceted interpretation of the data that is sensitive to the interaction of structural, cultural, and environmental elements was made possible by the integration of several theoretical frameworks, intersectionality, acculturation, and social determinants of health. Regular supervisory input and analytical note writing reinforced the rigour and dependability of the findings, and reflexivity was integrated throughout the study process to increase credibility and transparency (Lincoln &amp; Guba, 1985). However, it is important to recognise some limits. The results' scope and applicability are constrained by the </w:t>
      </w:r>
      <w:r w:rsidR="007F2BF7" w:rsidRPr="00B462CD">
        <w:rPr>
          <w:rFonts w:ascii="Arial" w:eastAsia="Times New Roman" w:hAnsi="Arial" w:cs="Arial"/>
        </w:rPr>
        <w:t>small</w:t>
      </w:r>
      <w:r w:rsidRPr="00B462CD">
        <w:rPr>
          <w:rFonts w:ascii="Arial" w:eastAsia="Times New Roman" w:hAnsi="Arial" w:cs="Arial"/>
        </w:rPr>
        <w:t xml:space="preserve">, purposefully chosen sample required by university ethics regulations. Those who </w:t>
      </w:r>
      <w:r w:rsidR="00E64117" w:rsidRPr="00B462CD">
        <w:rPr>
          <w:rFonts w:ascii="Arial" w:eastAsia="Times New Roman" w:hAnsi="Arial" w:cs="Arial"/>
        </w:rPr>
        <w:t>agreed</w:t>
      </w:r>
      <w:r w:rsidRPr="00B462CD">
        <w:rPr>
          <w:rFonts w:ascii="Arial" w:eastAsia="Times New Roman" w:hAnsi="Arial" w:cs="Arial"/>
        </w:rPr>
        <w:t xml:space="preserve"> to take part might have had unique experiences or traits that are not typical of all BAME immigrants in East London. Notwithstanding these limitations, the complexity and depth of the data offer insightful, useful information and point out areas that require in-depth future study. The results support the usefulness of qualitative approaches in deciphering intricate social and health phenomena and provide a solid basis for further research with larger sample sizes.</w:t>
      </w:r>
    </w:p>
    <w:p w14:paraId="54793341" w14:textId="77777777" w:rsidR="00E64117" w:rsidRPr="00B462CD" w:rsidRDefault="00B2712A" w:rsidP="00E6526D">
      <w:pPr>
        <w:spacing w:before="100" w:beforeAutospacing="1" w:after="100" w:afterAutospacing="1" w:line="360" w:lineRule="auto"/>
        <w:rPr>
          <w:rFonts w:ascii="Arial" w:eastAsia="Times New Roman" w:hAnsi="Arial" w:cs="Arial"/>
          <w:b/>
          <w:bCs/>
        </w:rPr>
      </w:pPr>
      <w:r w:rsidRPr="00B462CD">
        <w:rPr>
          <w:rFonts w:ascii="Arial" w:eastAsia="Times New Roman" w:hAnsi="Arial" w:cs="Arial"/>
          <w:b/>
          <w:bCs/>
        </w:rPr>
        <w:t>5.10 Implications for Policy, Practice, and Research</w:t>
      </w:r>
    </w:p>
    <w:p w14:paraId="2D9DF5EF" w14:textId="17AA9117" w:rsidR="00B2712A" w:rsidRPr="00B462CD" w:rsidRDefault="00B2712A" w:rsidP="00E6526D">
      <w:pPr>
        <w:spacing w:before="100" w:beforeAutospacing="1" w:after="100" w:afterAutospacing="1" w:line="360" w:lineRule="auto"/>
        <w:rPr>
          <w:rFonts w:ascii="Arial" w:eastAsia="Times New Roman" w:hAnsi="Arial" w:cs="Arial"/>
          <w:b/>
          <w:bCs/>
        </w:rPr>
      </w:pPr>
      <w:r w:rsidRPr="00B462CD">
        <w:rPr>
          <w:rFonts w:ascii="Arial" w:eastAsia="Times New Roman" w:hAnsi="Arial" w:cs="Arial"/>
        </w:rPr>
        <w:t xml:space="preserve">There are </w:t>
      </w:r>
      <w:proofErr w:type="gramStart"/>
      <w:r w:rsidRPr="00B462CD">
        <w:rPr>
          <w:rFonts w:ascii="Arial" w:eastAsia="Times New Roman" w:hAnsi="Arial" w:cs="Arial"/>
        </w:rPr>
        <w:t>a number of</w:t>
      </w:r>
      <w:proofErr w:type="gramEnd"/>
      <w:r w:rsidRPr="00B462CD">
        <w:rPr>
          <w:rFonts w:ascii="Arial" w:eastAsia="Times New Roman" w:hAnsi="Arial" w:cs="Arial"/>
        </w:rPr>
        <w:t xml:space="preserve"> significant ramifications in the conclusions from th</w:t>
      </w:r>
      <w:r w:rsidR="00E64117" w:rsidRPr="00B462CD">
        <w:rPr>
          <w:rFonts w:ascii="Arial" w:eastAsia="Times New Roman" w:hAnsi="Arial" w:cs="Arial"/>
        </w:rPr>
        <w:t>is</w:t>
      </w:r>
      <w:r w:rsidRPr="00B462CD">
        <w:rPr>
          <w:rFonts w:ascii="Arial" w:eastAsia="Times New Roman" w:hAnsi="Arial" w:cs="Arial"/>
        </w:rPr>
        <w:t xml:space="preserve"> present study. The elimination of administrative obstacles to immigrant healthcare, the clarification of entitlement information, and the funding of services that are sensitive to linguistic and cultural differences should be top priorities for policymakers (Doctors of the World, 2017; Feldman, 2018). Precarity and related health hazards may be decreased with better regulation and assistance for migrant housing and employment. It is important to acknowledge and assist faith-based and community organisations as vital collaborators in providing outreach, assistance, </w:t>
      </w:r>
      <w:r w:rsidR="00C2023C" w:rsidRPr="00B462CD">
        <w:rPr>
          <w:rFonts w:ascii="Arial" w:eastAsia="Times New Roman" w:hAnsi="Arial" w:cs="Arial"/>
        </w:rPr>
        <w:t>information for policy mak</w:t>
      </w:r>
      <w:r w:rsidR="00FD3E44" w:rsidRPr="00B462CD">
        <w:rPr>
          <w:rFonts w:ascii="Arial" w:eastAsia="Times New Roman" w:hAnsi="Arial" w:cs="Arial"/>
        </w:rPr>
        <w:t>ers, and</w:t>
      </w:r>
      <w:r w:rsidRPr="00B462CD">
        <w:rPr>
          <w:rFonts w:ascii="Arial" w:eastAsia="Times New Roman" w:hAnsi="Arial" w:cs="Arial"/>
        </w:rPr>
        <w:t xml:space="preserve"> information to immigrant communities (Cheung &amp; Phillimore, 2014). </w:t>
      </w:r>
      <w:r w:rsidRPr="00B462CD">
        <w:rPr>
          <w:rFonts w:ascii="Arial" w:eastAsia="Times New Roman" w:hAnsi="Arial" w:cs="Arial"/>
        </w:rPr>
        <w:br/>
        <w:t>Future studies should examine the relationship between social and environmental factors in more detail, ideally using bigger, more varied sample sizes. To meet the comprehensive needs of migrant communities, public health interventions and policy planning should take climate adaptation and cultural transformation into account (Smith &amp; McBean, 2022).</w:t>
      </w:r>
    </w:p>
    <w:p w14:paraId="7AE3AE02" w14:textId="77777777" w:rsidR="00E64117" w:rsidRPr="00B462CD" w:rsidRDefault="00B2712A" w:rsidP="00E6526D">
      <w:pPr>
        <w:spacing w:before="100" w:beforeAutospacing="1" w:after="100" w:afterAutospacing="1" w:line="360" w:lineRule="auto"/>
        <w:outlineLvl w:val="2"/>
        <w:rPr>
          <w:rFonts w:ascii="Arial" w:eastAsia="Times New Roman" w:hAnsi="Arial" w:cs="Arial"/>
          <w:b/>
          <w:bCs/>
        </w:rPr>
      </w:pPr>
      <w:bookmarkStart w:id="57" w:name="_Toc220428678"/>
      <w:r w:rsidRPr="00B462CD">
        <w:rPr>
          <w:rFonts w:ascii="Arial" w:eastAsia="Times New Roman" w:hAnsi="Arial" w:cs="Arial"/>
          <w:b/>
          <w:bCs/>
        </w:rPr>
        <w:t>5.11 Conclusion</w:t>
      </w:r>
      <w:bookmarkEnd w:id="57"/>
    </w:p>
    <w:p w14:paraId="5116ED47" w14:textId="2B8808FA" w:rsidR="00B2712A" w:rsidRPr="00B462CD" w:rsidRDefault="00B2712A" w:rsidP="00E6526D">
      <w:pPr>
        <w:spacing w:before="100" w:beforeAutospacing="1" w:after="100" w:afterAutospacing="1" w:line="360" w:lineRule="auto"/>
        <w:outlineLvl w:val="2"/>
        <w:rPr>
          <w:rFonts w:ascii="Arial" w:eastAsia="Times New Roman" w:hAnsi="Arial" w:cs="Arial"/>
          <w:b/>
          <w:bCs/>
        </w:rPr>
      </w:pPr>
      <w:r w:rsidRPr="00B462CD">
        <w:rPr>
          <w:rFonts w:ascii="Arial" w:eastAsia="Times New Roman" w:hAnsi="Arial" w:cs="Arial"/>
        </w:rPr>
        <w:t xml:space="preserve">To provide a nuanced understanding of how various structural and contextual factors interact to influence the health trajectories of BAME migrants in East London, the debate in this chapter has progressed beyond the simple relaying of participant experiences. This analysis, which draws on theoretical frameworks and </w:t>
      </w:r>
      <w:proofErr w:type="gramStart"/>
      <w:r w:rsidRPr="00B462CD">
        <w:rPr>
          <w:rFonts w:ascii="Arial" w:eastAsia="Times New Roman" w:hAnsi="Arial" w:cs="Arial"/>
        </w:rPr>
        <w:t>participants'</w:t>
      </w:r>
      <w:proofErr w:type="gramEnd"/>
      <w:r w:rsidRPr="00B462CD">
        <w:rPr>
          <w:rFonts w:ascii="Arial" w:eastAsia="Times New Roman" w:hAnsi="Arial" w:cs="Arial"/>
        </w:rPr>
        <w:t xml:space="preserve"> lived realities, sheds light on the adaptive strategies that enable survival and, occasionally, well-being in difficult situations while also offering a deeper understanding of the enduring and complex obstacles faced by migrants. </w:t>
      </w:r>
      <w:r w:rsidRPr="00B462CD">
        <w:rPr>
          <w:rFonts w:ascii="Arial" w:eastAsia="Times New Roman" w:hAnsi="Arial" w:cs="Arial"/>
        </w:rPr>
        <w:br/>
        <w:t>This chapter illustrates how social exclusion, environmental adaptability, and precarious immigration status all influence migrants' sense of agency and belonging as well as their access to resources by placing the findings within larger public health discussions.</w:t>
      </w:r>
      <w:r w:rsidR="00301BF8" w:rsidRPr="00B462CD">
        <w:rPr>
          <w:rFonts w:ascii="Arial" w:eastAsia="Times New Roman" w:hAnsi="Arial" w:cs="Arial"/>
          <w:b/>
          <w:bCs/>
        </w:rPr>
        <w:t xml:space="preserve">  </w:t>
      </w:r>
      <w:r w:rsidRPr="00B462CD">
        <w:rPr>
          <w:rFonts w:ascii="Arial" w:eastAsia="Times New Roman" w:hAnsi="Arial" w:cs="Arial"/>
        </w:rPr>
        <w:t xml:space="preserve">The inclusion of climatic and cultural adaptation as health determinants gives the conversation a fresh perspective and implies that public health interventions need to be sensitive to the changing realities of urban diversity and global mobility. </w:t>
      </w:r>
      <w:r w:rsidRPr="00B462CD">
        <w:rPr>
          <w:rFonts w:ascii="Arial" w:eastAsia="Times New Roman" w:hAnsi="Arial" w:cs="Arial"/>
        </w:rPr>
        <w:br/>
        <w:t>Crucially, the study's conclusions encourage a re-evaluation of current governmental strategies. The research suggests that systemic reforms that act across the legal, social, and environmental domains are necessary rather than treating health disparities among migrants as isolated or static. This entails simplifying administrative procedures, promoting equitable employment and secure housing, and acknowledging the protective significance of community institutions and cultural competency in the provision of services.</w:t>
      </w:r>
    </w:p>
    <w:p w14:paraId="59ECB9C1" w14:textId="0E541692" w:rsidR="00B2712A" w:rsidRPr="00B462CD" w:rsidRDefault="00B2712A" w:rsidP="00E6526D">
      <w:pPr>
        <w:spacing w:line="360" w:lineRule="auto"/>
        <w:rPr>
          <w:rFonts w:ascii="Arial" w:eastAsia="Times New Roman" w:hAnsi="Arial" w:cs="Arial"/>
          <w:b/>
          <w:bCs/>
        </w:rPr>
      </w:pPr>
      <w:r w:rsidRPr="00B462CD">
        <w:rPr>
          <w:rFonts w:ascii="Arial" w:eastAsia="Times New Roman" w:hAnsi="Arial" w:cs="Arial"/>
        </w:rPr>
        <w:t>The complexity of the qualitative investigation has produced a nuanced understanding that can guide both local and national policy, even while methodological limitations like a small sample size are acknowledged. The need for intersectional, context-sensitive research in tackling complex health disparities is emphasised in the chapter's conclusion.</w:t>
      </w:r>
      <w:r w:rsidR="00EA1CD7" w:rsidRPr="00B462CD">
        <w:rPr>
          <w:rFonts w:ascii="Arial" w:eastAsia="Times New Roman" w:hAnsi="Arial" w:cs="Arial"/>
        </w:rPr>
        <w:t xml:space="preserve"> </w:t>
      </w:r>
      <w:r w:rsidR="00EA1CD7" w:rsidRPr="00B462CD">
        <w:rPr>
          <w:rFonts w:ascii="Arial" w:hAnsi="Arial" w:cs="Arial"/>
        </w:rPr>
        <w:t>The final chapter (Chapter 6) synthesises the principal conclusions and contributions of the dissertation and discusses implications for professional practice, policy development, methodological considerations, and directions for future research.</w:t>
      </w:r>
      <w:r w:rsidRPr="00B462CD">
        <w:rPr>
          <w:rFonts w:ascii="Arial" w:eastAsia="Times New Roman" w:hAnsi="Arial" w:cs="Arial"/>
        </w:rPr>
        <w:t xml:space="preserve"> </w:t>
      </w:r>
      <w:r w:rsidRPr="00B462CD">
        <w:rPr>
          <w:rFonts w:ascii="Arial" w:eastAsia="Times New Roman" w:hAnsi="Arial" w:cs="Arial"/>
          <w:b/>
          <w:bCs/>
        </w:rPr>
        <w:br w:type="page"/>
      </w:r>
    </w:p>
    <w:p w14:paraId="36A5B084" w14:textId="77777777" w:rsidR="00AD772E" w:rsidRPr="00B462CD" w:rsidRDefault="00AD772E"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58" w:name="_Toc220428679"/>
      <w:r w:rsidRPr="00B462CD">
        <w:rPr>
          <w:rFonts w:ascii="Arial" w:eastAsia="Times New Roman" w:hAnsi="Arial" w:cs="Arial"/>
          <w:b/>
          <w:bCs/>
          <w:kern w:val="0"/>
          <w:lang w:eastAsia="en-US"/>
          <w14:ligatures w14:val="none"/>
        </w:rPr>
        <w:t>Chapter 6: Conclusion and Recommendations</w:t>
      </w:r>
      <w:bookmarkEnd w:id="58"/>
    </w:p>
    <w:p w14:paraId="52EAAEA5" w14:textId="77777777" w:rsidR="007766AA" w:rsidRPr="00B462CD" w:rsidRDefault="00AD772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59" w:name="_Toc220428680"/>
      <w:r w:rsidRPr="00B462CD">
        <w:rPr>
          <w:rFonts w:ascii="Arial" w:eastAsia="Times New Roman" w:hAnsi="Arial" w:cs="Arial"/>
          <w:b/>
          <w:bCs/>
          <w:kern w:val="0"/>
          <w:lang w:eastAsia="en-US"/>
          <w14:ligatures w14:val="none"/>
        </w:rPr>
        <w:t>6.1 Introduction</w:t>
      </w:r>
      <w:bookmarkEnd w:id="59"/>
    </w:p>
    <w:p w14:paraId="5A713937" w14:textId="40FB5451" w:rsidR="00AD772E" w:rsidRPr="00B462CD" w:rsidRDefault="00AD772E" w:rsidP="00E6526D">
      <w:pPr>
        <w:spacing w:before="100" w:beforeAutospacing="1" w:after="100" w:afterAutospacing="1" w:line="360" w:lineRule="auto"/>
        <w:outlineLvl w:val="2"/>
        <w:rPr>
          <w:rFonts w:ascii="Arial" w:eastAsia="Times New Roman" w:hAnsi="Arial" w:cs="Arial"/>
          <w:b/>
          <w:bCs/>
          <w:kern w:val="0"/>
          <w:lang w:eastAsia="en-US"/>
          <w14:ligatures w14:val="none"/>
        </w:rPr>
      </w:pPr>
      <w:r w:rsidRPr="00B462CD">
        <w:rPr>
          <w:rFonts w:ascii="Arial" w:eastAsia="Times New Roman" w:hAnsi="Arial" w:cs="Arial"/>
          <w:kern w:val="0"/>
          <w:lang w:eastAsia="en-US"/>
          <w14:ligatures w14:val="none"/>
        </w:rPr>
        <w:t xml:space="preserve">From the introduction chapter 1.6, </w:t>
      </w:r>
      <w:r w:rsidR="008C3A1D" w:rsidRPr="00B462CD">
        <w:rPr>
          <w:rFonts w:ascii="Arial" w:eastAsia="Times New Roman" w:hAnsi="Arial" w:cs="Arial"/>
          <w:kern w:val="0"/>
          <w:lang w:eastAsia="en-US"/>
          <w14:ligatures w14:val="none"/>
        </w:rPr>
        <w:t>the research question</w:t>
      </w:r>
      <w:r w:rsidR="00465FF0" w:rsidRPr="00B462CD">
        <w:rPr>
          <w:rFonts w:ascii="Arial" w:eastAsia="Times New Roman" w:hAnsi="Arial" w:cs="Arial"/>
          <w:kern w:val="0"/>
          <w:lang w:eastAsia="en-US"/>
          <w14:ligatures w14:val="none"/>
        </w:rPr>
        <w:t xml:space="preserve"> is asked</w:t>
      </w:r>
      <w:r w:rsidR="00E1425A" w:rsidRPr="00B462CD">
        <w:rPr>
          <w:rFonts w:ascii="Arial" w:eastAsia="Times New Roman" w:hAnsi="Arial" w:cs="Arial"/>
          <w:kern w:val="0"/>
          <w:lang w:eastAsia="en-US"/>
          <w14:ligatures w14:val="none"/>
        </w:rPr>
        <w:t>:</w:t>
      </w:r>
      <w:r w:rsidR="00465FF0"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"How does immigration status affect the health and well-being of adult migrants from BAME backgrounds living in East London</w:t>
      </w:r>
      <w:r w:rsidR="00465FF0"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 xml:space="preserve">" </w:t>
      </w:r>
      <w:r w:rsidR="00465FF0" w:rsidRPr="00B462CD">
        <w:rPr>
          <w:rFonts w:ascii="Arial" w:eastAsia="Times New Roman" w:hAnsi="Arial" w:cs="Arial"/>
          <w:kern w:val="0"/>
          <w:lang w:eastAsia="en-US"/>
          <w14:ligatures w14:val="none"/>
        </w:rPr>
        <w:t>This</w:t>
      </w:r>
      <w:r w:rsidRPr="00B462CD">
        <w:rPr>
          <w:rFonts w:ascii="Arial" w:eastAsia="Times New Roman" w:hAnsi="Arial" w:cs="Arial"/>
          <w:kern w:val="0"/>
          <w:lang w:eastAsia="en-US"/>
          <w14:ligatures w14:val="none"/>
        </w:rPr>
        <w:t xml:space="preserve"> dissertation aimed to address a critical subject for public health in super-diverse urban Britain. In other words, it inquires what effects immigration status has on the health and well-being of BAME migrants in East London when combined with social, cultural, and environmental factors.  This research has revealed the enduring obstacles and vulnerabilities imposed by legal precarity as well as the extraordinary adaptation and resilience shown in the face of systemic disadvantage through the words of participants negotiating the realities of migration.</w:t>
      </w:r>
    </w:p>
    <w:p w14:paraId="44ACE7B8"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 research provides a fresh perspective on the lived experience of health disparity and identifies opportunities for more equitable and successful solutions by examining the intersections of policy, location, and identity. This last chapter summarises the answers to the research questions, highlights the study's main contributions, and discusses the intellectual and practical ramifications for public health's future in a culture that is changing quickly.</w:t>
      </w:r>
    </w:p>
    <w:p w14:paraId="38425789" w14:textId="77777777" w:rsidR="00AD772E" w:rsidRPr="00B462CD" w:rsidRDefault="00AD772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60" w:name="_Toc220428681"/>
      <w:r w:rsidRPr="00B462CD">
        <w:rPr>
          <w:rFonts w:ascii="Arial" w:eastAsia="Times New Roman" w:hAnsi="Arial" w:cs="Arial"/>
          <w:b/>
          <w:bCs/>
          <w:kern w:val="0"/>
          <w:lang w:eastAsia="en-US"/>
          <w14:ligatures w14:val="none"/>
        </w:rPr>
        <w:t>6.2 Synthesis of Findings and Achievement of Objectives</w:t>
      </w:r>
      <w:bookmarkEnd w:id="60"/>
      <w:r w:rsidRPr="00B462CD">
        <w:rPr>
          <w:rFonts w:ascii="Arial" w:eastAsia="Times New Roman" w:hAnsi="Arial" w:cs="Arial"/>
          <w:b/>
          <w:bCs/>
          <w:kern w:val="0"/>
          <w:lang w:eastAsia="en-US"/>
          <w14:ligatures w14:val="none"/>
        </w:rPr>
        <w:t xml:space="preserve"> </w:t>
      </w:r>
    </w:p>
    <w:p w14:paraId="6424E681"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research's main goal was to investigate how immigration status interacts with social, cultural, and environmental factors to influence BAME adult migrants' health and well-being in East London. The study used qualitative inquiry to accomplish the following goals: </w:t>
      </w:r>
    </w:p>
    <w:p w14:paraId="76ABC47E" w14:textId="475E2462"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Firstly, the study clarified the major impediments to healthcare that migrants with uncertain status confront, such as a lack of culturally competent providers, fear of being reported, </w:t>
      </w:r>
      <w:r w:rsidR="0052731A" w:rsidRPr="00B462CD">
        <w:rPr>
          <w:rFonts w:ascii="Arial" w:eastAsia="Times New Roman" w:hAnsi="Arial" w:cs="Arial"/>
          <w:kern w:val="0"/>
          <w:lang w:eastAsia="en-US"/>
          <w14:ligatures w14:val="none"/>
        </w:rPr>
        <w:t xml:space="preserve">fear of deportation </w:t>
      </w:r>
      <w:r w:rsidRPr="00B462CD">
        <w:rPr>
          <w:rFonts w:ascii="Arial" w:eastAsia="Times New Roman" w:hAnsi="Arial" w:cs="Arial"/>
          <w:kern w:val="0"/>
          <w:lang w:eastAsia="en-US"/>
          <w14:ligatures w14:val="none"/>
        </w:rPr>
        <w:t>and administrative challenges. These results support and add to the body of evidence showing that legal precarity continues to be a persistent barrier to health equity</w:t>
      </w:r>
      <w:r w:rsidR="00A200B8"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among adult BAME migrants (Doctors of the World, 2017; Potter et al., 2020).</w:t>
      </w:r>
    </w:p>
    <w:p w14:paraId="369E099D" w14:textId="77777777" w:rsidR="00AD772E" w:rsidRPr="00B462CD" w:rsidRDefault="00AD772E" w:rsidP="00E6526D">
      <w:pPr>
        <w:spacing w:after="0" w:line="360" w:lineRule="auto"/>
        <w:rPr>
          <w:rFonts w:ascii="Arial" w:eastAsia="Times New Roman" w:hAnsi="Arial" w:cs="Arial"/>
          <w:kern w:val="0"/>
          <w:lang w:eastAsia="en-US"/>
          <w14:ligatures w14:val="none"/>
        </w:rPr>
      </w:pPr>
    </w:p>
    <w:p w14:paraId="67E39EFB"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Secondly, the study shed light on how exploitative employment and unstable housing have a compounding effect on people's health and well-being. This research is consistent with the larger body of research on migrant precarity in urban Britain (Jayaweera, 2014; Power et al., 2017), as both participants acknowledged persistent instability and vulnerability to exploitation.</w:t>
      </w:r>
    </w:p>
    <w:p w14:paraId="2256DFF2"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Thirdly, by highlighting the cumulative and intersectional effects of racism and socioeconomic marginalisation, the research offered fresh perspectives on the everyday realities of discrimination and social exclusion (</w:t>
      </w:r>
      <w:proofErr w:type="spellStart"/>
      <w:r w:rsidRPr="00B462CD">
        <w:rPr>
          <w:rFonts w:ascii="Arial" w:eastAsia="Times New Roman" w:hAnsi="Arial" w:cs="Arial"/>
          <w:kern w:val="0"/>
          <w:lang w:eastAsia="en-US"/>
          <w14:ligatures w14:val="none"/>
        </w:rPr>
        <w:t>Nazroo</w:t>
      </w:r>
      <w:proofErr w:type="spellEnd"/>
      <w:r w:rsidRPr="00B462CD">
        <w:rPr>
          <w:rFonts w:ascii="Arial" w:eastAsia="Times New Roman" w:hAnsi="Arial" w:cs="Arial"/>
          <w:kern w:val="0"/>
          <w:lang w:eastAsia="en-US"/>
          <w14:ligatures w14:val="none"/>
        </w:rPr>
        <w:t>, 2021; Salway et al., 2016).</w:t>
      </w:r>
    </w:p>
    <w:p w14:paraId="79DA1BCE" w14:textId="77777777" w:rsidR="00AD772E" w:rsidRPr="00B462CD" w:rsidRDefault="00AD772E" w:rsidP="00E6526D">
      <w:pPr>
        <w:spacing w:after="0" w:line="360" w:lineRule="auto"/>
        <w:rPr>
          <w:rFonts w:ascii="Arial" w:eastAsia="Times New Roman" w:hAnsi="Arial" w:cs="Arial"/>
          <w:kern w:val="0"/>
          <w:lang w:eastAsia="en-US"/>
          <w14:ligatures w14:val="none"/>
        </w:rPr>
      </w:pPr>
    </w:p>
    <w:p w14:paraId="3F69A652"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Fourthly, the results revealed a variety of coping mechanisms and sources of resilience, including personal agency and the crucial role of faith-based and community organisations. These findings support the increasing understanding of the protective benefits of community involvement and social capital for immigrant groups (Cheung &amp; Phillimore, 2014; Simich et al., 2005). </w:t>
      </w:r>
      <w:r w:rsidRPr="00B462CD">
        <w:rPr>
          <w:rFonts w:ascii="Arial" w:eastAsia="Times New Roman" w:hAnsi="Arial" w:cs="Arial"/>
          <w:kern w:val="0"/>
          <w:lang w:eastAsia="en-US"/>
          <w14:ligatures w14:val="none"/>
        </w:rPr>
        <w:br/>
      </w:r>
    </w:p>
    <w:p w14:paraId="531E74A0"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Lastly, the study demonstrated that environmental stresses and the acculturation process are important but little-studied predictors of migrant health in the UK setting by incorporating themes of climatic adaptation and cultural change in a novel way (Smith &amp; McBean, 2022; Berry, 2005).</w:t>
      </w:r>
    </w:p>
    <w:p w14:paraId="526CF9FC" w14:textId="77777777" w:rsidR="00AD772E" w:rsidRPr="00B462CD" w:rsidRDefault="00AD772E" w:rsidP="00E6526D">
      <w:pPr>
        <w:spacing w:after="0" w:line="360" w:lineRule="auto"/>
        <w:rPr>
          <w:rFonts w:ascii="Arial" w:eastAsia="Times New Roman" w:hAnsi="Arial" w:cs="Arial"/>
          <w:b/>
          <w:bCs/>
          <w:kern w:val="0"/>
          <w:lang w:eastAsia="en-US"/>
          <w14:ligatures w14:val="none"/>
        </w:rPr>
      </w:pPr>
    </w:p>
    <w:p w14:paraId="39BF2CE9"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6.3 New Findings and Emerging Questions</w:t>
      </w:r>
    </w:p>
    <w:p w14:paraId="762AC3DA"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This research makes a unique contribution by focusing on factors that have not received enough attention, particularly how cultural change and climate adaptation interact with social and legal injustices to influence health outcomes (Smith &amp; McBean, 2022; Berry, 2005). These results imply that understanding migrant health requires considering both traditional social variables and cultural and environmental context. New concerns are also raised by the research, such as how resilience and adaptability may be impacted by factors like age, gender, or length of stay, and what approaches could be most effective in assisting migrants who are confronted with a variety of intersecting obstacles. These topics' emergence demonstrates the importance of adaptable, participant-led qualitative inquiry in identifying fresh research directions.</w:t>
      </w:r>
    </w:p>
    <w:p w14:paraId="61A880E6" w14:textId="77777777" w:rsidR="00AD772E" w:rsidRPr="00B462CD" w:rsidRDefault="00AD772E" w:rsidP="00E6526D">
      <w:pPr>
        <w:keepNext/>
        <w:keepLines/>
        <w:spacing w:before="320" w:after="80" w:line="360" w:lineRule="auto"/>
        <w:outlineLvl w:val="2"/>
        <w:rPr>
          <w:rFonts w:ascii="Arial" w:eastAsia="Times New Roman" w:hAnsi="Arial" w:cs="Arial"/>
          <w:b/>
          <w:bCs/>
          <w:kern w:val="0"/>
          <w:lang w:eastAsia="en-US"/>
          <w14:ligatures w14:val="none"/>
        </w:rPr>
      </w:pPr>
      <w:bookmarkStart w:id="61" w:name="_Toc220428682"/>
      <w:r w:rsidRPr="00B462CD">
        <w:rPr>
          <w:rFonts w:ascii="Arial" w:eastAsia="Times New Roman" w:hAnsi="Arial" w:cs="Arial"/>
          <w:b/>
          <w:bCs/>
          <w:kern w:val="0"/>
          <w:lang w:eastAsia="en-US"/>
          <w14:ligatures w14:val="none"/>
        </w:rPr>
        <w:t>6.4 Effectiveness of the Methodological Approach</w:t>
      </w:r>
      <w:bookmarkEnd w:id="61"/>
    </w:p>
    <w:p w14:paraId="1865D764" w14:textId="7C0A4768"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research's qualitative, interpretivist design has worked effectively for examining the complex and context-dependent experiences of BAME migrants in East London. The study was able to capture the complexity, sensitivity, and uniqueness of participants' narrative insights through in-depth, semi-structured interviews, which are sometimes overlooked by routine data or quantitative surveys (Braun &amp; Clarke, 2006; Patton, 2015). This method allowed for the emergence of unanticipated topics, like the effects of climate adaptation, and allowed for a deeper understanding of how legal status, social determinants, </w:t>
      </w:r>
      <w:r w:rsidR="005B14BF" w:rsidRPr="00B462CD">
        <w:rPr>
          <w:rFonts w:ascii="Arial" w:eastAsia="Times New Roman" w:hAnsi="Arial" w:cs="Arial"/>
          <w:kern w:val="0"/>
          <w:lang w:eastAsia="en-US"/>
          <w14:ligatures w14:val="none"/>
        </w:rPr>
        <w:t>coping mechanis</w:t>
      </w:r>
      <w:r w:rsidR="00370234" w:rsidRPr="00B462CD">
        <w:rPr>
          <w:rFonts w:ascii="Arial" w:eastAsia="Times New Roman" w:hAnsi="Arial" w:cs="Arial"/>
          <w:kern w:val="0"/>
          <w:lang w:eastAsia="en-US"/>
          <w14:ligatures w14:val="none"/>
        </w:rPr>
        <w:t xml:space="preserve">ms </w:t>
      </w:r>
      <w:r w:rsidRPr="00B462CD">
        <w:rPr>
          <w:rFonts w:ascii="Arial" w:eastAsia="Times New Roman" w:hAnsi="Arial" w:cs="Arial"/>
          <w:kern w:val="0"/>
          <w:lang w:eastAsia="en-US"/>
          <w14:ligatures w14:val="none"/>
        </w:rPr>
        <w:t>and adaptation processes alter health and well-being in daily life.</w:t>
      </w:r>
    </w:p>
    <w:p w14:paraId="1604D705"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By allowing for a multifaceted interpretation and placing individual tales within larger social, cultural, and environmental dynamics, the integration of several theoretical frameworks, intersectionality, acculturation, and social determinants of health enriched the analysis. The rigour and legitimacy of the research process were bolstered by reflexivity and frequent supervision.</w:t>
      </w:r>
    </w:p>
    <w:p w14:paraId="1DFF7100" w14:textId="77777777" w:rsidR="0058731B"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study's depth and focus on lived experience make up for the purposeful and morally restricted sample size, which limits the findings' generalisability. </w:t>
      </w:r>
      <w:bookmarkStart w:id="62" w:name="_Toc220428683"/>
    </w:p>
    <w:p w14:paraId="43CF3F8E" w14:textId="77777777" w:rsidR="0058731B" w:rsidRPr="00B462CD" w:rsidRDefault="0058731B" w:rsidP="00E6526D">
      <w:pPr>
        <w:spacing w:after="0" w:line="360" w:lineRule="auto"/>
        <w:rPr>
          <w:rFonts w:ascii="Arial" w:eastAsia="Times New Roman" w:hAnsi="Arial" w:cs="Arial"/>
          <w:kern w:val="0"/>
          <w:lang w:eastAsia="en-US"/>
          <w14:ligatures w14:val="none"/>
        </w:rPr>
      </w:pPr>
    </w:p>
    <w:p w14:paraId="35D94ACC" w14:textId="6B9EBD40" w:rsidR="00AD772E" w:rsidRPr="00B462CD" w:rsidRDefault="00AD772E"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6.5 Reflections on Strengths and Limitations</w:t>
      </w:r>
      <w:bookmarkEnd w:id="62"/>
    </w:p>
    <w:p w14:paraId="6C1732AC"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This dissertation's qualitative method, which made it possible to gather rich, detailed data that shed light on the lived realities underlying statistical trends, is one of its main strengths (Braun &amp; Clarke, 2006). Participants were able to divulge private information that might not be recorded in surveys or administrative data because semi-structured interviews promoted openness and trust. A multifaceted viewpoint that places individual experiences within larger structural and cultural settings was provided by the integration of several theoretical frameworks, which improved the analytical rigour. The study approach was infused with reflexivity, paying close attention to positionality, potential bias, and the ethical challenges of dealing with disadvantaged communities. The findings' credibility and dependability were reinforced by regular supervision and analytical memo writing.</w:t>
      </w:r>
    </w:p>
    <w:p w14:paraId="50FFE406" w14:textId="04340A89"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Even with these advantages, there are still drawbacks. The findings' generalisability is limited by the small sample size. Additionally, there is a chance that participants may not accurately reflect the variety of BAME migrant experiences in East London. However, these drawbacks are outweighed by the study's depth and contextual richness, which provide insightful information for practitioners, academics, and policymakers trying to comprehend and alleviate the health disparities experienced by migrants.</w:t>
      </w:r>
    </w:p>
    <w:p w14:paraId="03DB979F"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 results highlight the significance of intersectional, participative, and context-sensitive methods in further public health studies.</w:t>
      </w:r>
    </w:p>
    <w:p w14:paraId="1A544F49" w14:textId="77777777" w:rsidR="00AD772E" w:rsidRPr="00B462CD" w:rsidRDefault="00AD772E" w:rsidP="00E6526D">
      <w:pPr>
        <w:spacing w:after="0" w:line="360" w:lineRule="auto"/>
        <w:rPr>
          <w:rFonts w:ascii="Arial" w:eastAsia="Times New Roman" w:hAnsi="Arial" w:cs="Arial"/>
          <w:b/>
          <w:bCs/>
          <w:kern w:val="0"/>
          <w:lang w:eastAsia="en-US"/>
          <w14:ligatures w14:val="none"/>
        </w:rPr>
      </w:pPr>
    </w:p>
    <w:p w14:paraId="2F72508E"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 xml:space="preserve">6.6 Recommendations for Policy and Practice. </w:t>
      </w:r>
    </w:p>
    <w:p w14:paraId="586E8B7E" w14:textId="13C4D8F7" w:rsidR="00AD772E" w:rsidRPr="00B462CD" w:rsidRDefault="00586EA3" w:rsidP="00E6526D">
      <w:pPr>
        <w:spacing w:after="0" w:line="360" w:lineRule="auto"/>
        <w:rPr>
          <w:rFonts w:ascii="Arial" w:eastAsia="Times New Roman" w:hAnsi="Arial" w:cs="Arial"/>
          <w:kern w:val="0"/>
          <w:lang w:eastAsia="en-US"/>
          <w14:ligatures w14:val="none"/>
        </w:rPr>
      </w:pPr>
      <w:r w:rsidRPr="00B462CD">
        <w:rPr>
          <w:rFonts w:ascii="Arial" w:hAnsi="Arial" w:cs="Arial"/>
        </w:rPr>
        <w:t>These recommendations are meant to be constructive rather than prescriptive, drawing upon both the lived experiences of the participants and the broader body of data. It is acknowledged that the intricacy of migration policy and practice, variations in local contexts, socio-economic constraints, and resource limitations must all be taken into consideration throughout implementation. This research seeks to encourage the development of more equitable and long-lasting public health interventions by fostering ongoing discussion, promoting cooperative action among legislators, practitioners, and migrant communities, supporting culturally sensitive approaches, and advocating for adaptable strategies responsive to emerging challenges and changing community needs</w:t>
      </w:r>
    </w:p>
    <w:p w14:paraId="2C821726" w14:textId="77777777" w:rsidR="00586EA3"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Legislators should consider examining and streamlining administrative procedures related to immigrants' access to healthcare. </w:t>
      </w:r>
    </w:p>
    <w:p w14:paraId="29A74901" w14:textId="77777777" w:rsidR="00E51F00"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This might involve making entitlements clearer, reducing the burden of documentation, and ensuring that regulations do not unintentionally exclude individuals with uncertain legal status. The anxiety and confusion that currently prevent many migrants from receiving timely care could be alleviated through greater transparency in policy and practice (Doctors of the World, 2017; Feldman, 2018). </w:t>
      </w:r>
    </w:p>
    <w:p w14:paraId="2B7192DD" w14:textId="77777777" w:rsidR="00A427A7"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Health services should invest more in culturally and linguistically competent care. Examples of this approach include ongoing cultural sensitivity training for staff, multilingual health information, and regular access to qualified interpreters. In addition to fostering trust and improving communication between healthcare providers and immigrant patients, these initiatives may also empower individuals and boost their confidence when navigating the healthcare system (Sime, 2021). </w:t>
      </w:r>
    </w:p>
    <w:p w14:paraId="2E6B0FBE" w14:textId="77777777" w:rsidR="00A427A7" w:rsidRPr="00B462CD" w:rsidRDefault="00A427A7" w:rsidP="00E6526D">
      <w:pPr>
        <w:spacing w:after="0" w:line="360" w:lineRule="auto"/>
        <w:rPr>
          <w:rFonts w:ascii="Arial" w:eastAsia="Times New Roman" w:hAnsi="Arial" w:cs="Arial"/>
          <w:kern w:val="0"/>
          <w:lang w:eastAsia="en-US"/>
          <w14:ligatures w14:val="none"/>
        </w:rPr>
      </w:pPr>
    </w:p>
    <w:p w14:paraId="50114920" w14:textId="3D49D7AB"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Furthermore, there is scope to enhance the legal frameworks governing employment and housing. Increased regulation and stricter enforcement could ensure fair employment opportunities for migrants, regardless of their legal status, prevent exploitation, and improve the quality and safety of housing.</w:t>
      </w:r>
      <w:r w:rsidR="00D603CB" w:rsidRPr="00B462CD">
        <w:rPr>
          <w:rFonts w:ascii="Arial" w:eastAsia="Times New Roman" w:hAnsi="Arial" w:cs="Arial"/>
          <w:kern w:val="0"/>
          <w:lang w:eastAsia="en-US"/>
          <w14:ligatures w14:val="none"/>
        </w:rPr>
        <w:t xml:space="preserve"> </w:t>
      </w:r>
      <w:r w:rsidRPr="00B462CD">
        <w:rPr>
          <w:rFonts w:ascii="Arial" w:eastAsia="Times New Roman" w:hAnsi="Arial" w:cs="Arial"/>
          <w:kern w:val="0"/>
          <w:lang w:eastAsia="en-US"/>
          <w14:ligatures w14:val="none"/>
        </w:rPr>
        <w:t xml:space="preserve">Policymakers may lessen the ongoing vulnerability and insecurity that many migrants currently experience by addressing these social variables (Jayaweera, 2014; Power et al., 2017). </w:t>
      </w:r>
      <w:r w:rsidRPr="00B462CD">
        <w:rPr>
          <w:rFonts w:ascii="Arial" w:eastAsia="Times New Roman" w:hAnsi="Arial" w:cs="Arial"/>
          <w:kern w:val="0"/>
          <w:lang w:eastAsia="en-US"/>
          <w14:ligatures w14:val="none"/>
        </w:rPr>
        <w:br/>
        <w:t>More resources and recognition should be given to community and religious organisations as vital collaborators in the health and welfare of migrants.</w:t>
      </w:r>
      <w:r w:rsidR="000003F2" w:rsidRPr="00B462CD">
        <w:rPr>
          <w:rFonts w:ascii="Arial" w:hAnsi="Arial" w:cs="Arial"/>
        </w:rPr>
        <w:t xml:space="preserve"> These organisations frequently fill gaps in the formal service delivery system by acting as dependable sources of outreach, advocacy, and emotional support. Strengthening their capacity to provide community-building initiatives, health promotion, guidance, educational support, and signposting services could enhance the resilience, social integration, and overall well-being of immigrant populations. </w:t>
      </w:r>
      <w:r w:rsidRPr="00B462CD">
        <w:rPr>
          <w:rFonts w:ascii="Arial" w:eastAsia="Times New Roman" w:hAnsi="Arial" w:cs="Arial"/>
          <w:kern w:val="0"/>
          <w:lang w:eastAsia="en-US"/>
          <w14:ligatures w14:val="none"/>
        </w:rPr>
        <w:t>(Cheung &amp; Phillimore, 2014).</w:t>
      </w:r>
    </w:p>
    <w:p w14:paraId="2665E9F0"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Lastly, when designing and implementing health interventions for migrants, public health organisations and local authorities may consider environmental and climate adaptation. This could include integrating environmental health literacy into community outreach programmes and providing targeted support for individuals unfamiliar with the UK climate or living in substandard housing. As part of a comprehensive strategy, identifying and addressing these factors can help reduce new health risks and promote overall wellness in immigrant communities (Smith &amp; McBean, 2022). Effective service management and the utilisation of digital healthcare technologies are vital to achieving this within the UK healthcare system. Examples such as electronic health records, teleconsultations, and analytical tools for public healthcare present significant opportunities for improved accessibility and continuity of care, as well as for early diagnosis of chronic illnesses common among immigrants and underprivileged groups. </w:t>
      </w:r>
    </w:p>
    <w:p w14:paraId="2ECC702F"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Regardless of immigration status, early diagnosis and preventative care can lower unnecessary hospital admissions, slow the progression of chronic conditions, and ease the burden on emergency and secondary services. From a policy perspective, investing in early intervention is both a cost-effective strategy that saves government resources and an issue of equity.</w:t>
      </w:r>
    </w:p>
    <w:p w14:paraId="645D245E" w14:textId="77777777" w:rsidR="00DF7E73" w:rsidRPr="00B462CD" w:rsidRDefault="00AD772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63" w:name="_Toc220428684"/>
      <w:r w:rsidRPr="00B462CD">
        <w:rPr>
          <w:rFonts w:ascii="Arial" w:eastAsia="Times New Roman" w:hAnsi="Arial" w:cs="Arial"/>
          <w:b/>
          <w:bCs/>
          <w:kern w:val="0"/>
          <w:lang w:eastAsia="en-US"/>
          <w14:ligatures w14:val="none"/>
        </w:rPr>
        <w:t>6.7 Recommendations for Future Research</w:t>
      </w:r>
      <w:bookmarkEnd w:id="63"/>
    </w:p>
    <w:p w14:paraId="5E3E8D60" w14:textId="77777777" w:rsidR="00A813DB" w:rsidRPr="00B462CD" w:rsidRDefault="00A813DB" w:rsidP="00E6526D">
      <w:pPr>
        <w:spacing w:before="100" w:beforeAutospacing="1" w:after="100" w:afterAutospacing="1" w:line="360" w:lineRule="auto"/>
        <w:rPr>
          <w:rFonts w:ascii="Arial" w:hAnsi="Arial" w:cs="Arial"/>
        </w:rPr>
      </w:pPr>
      <w:r w:rsidRPr="00B462CD">
        <w:rPr>
          <w:rFonts w:ascii="Arial" w:hAnsi="Arial" w:cs="Arial"/>
        </w:rPr>
        <w:t xml:space="preserve">To investigate the diversity of migration experiences, future research should build on this study by employing larger and more varied participant groups. Longitudinal and comparative studies are also required to track the evolving effects of migration, climate change, and cultural adaptation across time and in different contexts. Employing a </w:t>
      </w:r>
      <w:r w:rsidRPr="00B462CD">
        <w:rPr>
          <w:rStyle w:val="Strong"/>
          <w:rFonts w:ascii="Arial" w:hAnsi="Arial" w:cs="Arial"/>
          <w:b w:val="0"/>
          <w:bCs w:val="0"/>
        </w:rPr>
        <w:t>mixed-methods approach</w:t>
      </w:r>
      <w:r w:rsidRPr="00B462CD">
        <w:rPr>
          <w:rFonts w:ascii="Arial" w:hAnsi="Arial" w:cs="Arial"/>
          <w:b/>
          <w:bCs/>
        </w:rPr>
        <w:t xml:space="preserve">, </w:t>
      </w:r>
      <w:r w:rsidRPr="00B462CD">
        <w:rPr>
          <w:rFonts w:ascii="Arial" w:hAnsi="Arial" w:cs="Arial"/>
        </w:rPr>
        <w:t>combining quantitative and qualitative techniques, would allow for a more comprehensive understanding of these complex phenomena. Further research examining variations in migratory pathways, age, duration of residence, gender, and other demographic or socio-cultural factors would enhance knowledge and inform the development of tailored interventions and policy responses. To ensure that future studies remain sensitive to community priorities and lived experiences, it is also essential to engage in participatory research approaches, involving migrants as co-researchers throughout the research process.</w:t>
      </w:r>
    </w:p>
    <w:p w14:paraId="16E59200" w14:textId="3CDF514B" w:rsidR="00AD772E" w:rsidRPr="00B462CD" w:rsidRDefault="00AD772E" w:rsidP="00E6526D">
      <w:pPr>
        <w:spacing w:before="100" w:beforeAutospacing="1" w:after="100" w:afterAutospacing="1" w:line="360" w:lineRule="auto"/>
        <w:rPr>
          <w:rFonts w:ascii="Arial" w:eastAsia="Times New Roman" w:hAnsi="Arial" w:cs="Arial"/>
          <w:color w:val="EE0000"/>
          <w:kern w:val="0"/>
          <w:lang w:eastAsia="en-US"/>
          <w14:ligatures w14:val="none"/>
        </w:rPr>
      </w:pPr>
      <w:r w:rsidRPr="00B462CD">
        <w:rPr>
          <w:rFonts w:ascii="Arial" w:eastAsia="Times New Roman" w:hAnsi="Arial" w:cs="Arial"/>
          <w:b/>
          <w:bCs/>
          <w:kern w:val="0"/>
          <w:lang w:eastAsia="en-US"/>
          <w14:ligatures w14:val="none"/>
        </w:rPr>
        <w:t>6.8 Original Knowledge and Significance</w:t>
      </w:r>
    </w:p>
    <w:p w14:paraId="464D0316" w14:textId="54D9C82D"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By improving conceptual knowledge and practical insight into the health and well-being of BAME migrants in urban Britain, this research advances the area of public health. The study is unique in that it incorporates cultural transformation and climate adaptation as health determinants, a viewpoint that is rarely highlighted in UK-based migrant health studies (Smith &amp; McBean, 2022; Berry, 2005). This dissertation provides an expanded framework for understanding migrant vulnerability and adaptation by highlighting the ways in which environmental discomfort, such as persistent cold and damp, and the psychological difficulties of navigating unfamiliar cultural norms, interact with more widely recognised social determinants.</w:t>
      </w:r>
      <w:r w:rsidRPr="00B462CD">
        <w:rPr>
          <w:rFonts w:ascii="Arial" w:eastAsia="Times New Roman" w:hAnsi="Arial" w:cs="Arial"/>
          <w:kern w:val="0"/>
          <w:lang w:eastAsia="en-US"/>
          <w14:ligatures w14:val="none"/>
        </w:rPr>
        <w:br/>
        <w:t>Most importantly, the study elevates the voices of BAME migrants themselves, offering rich qualitative data that sheds light on agency, resourcefulness, and resilience rather than deficit-based narratives (Cheung &amp; Phillimore, 2014; Simich et al., 2005).</w:t>
      </w:r>
    </w:p>
    <w:p w14:paraId="137C3ABC" w14:textId="69213C8C" w:rsidR="00AD772E" w:rsidRPr="00B462CD" w:rsidRDefault="00AD772E" w:rsidP="00E6526D">
      <w:pPr>
        <w:spacing w:after="0" w:line="360" w:lineRule="auto"/>
        <w:rPr>
          <w:rFonts w:ascii="Arial" w:eastAsia="Times New Roman" w:hAnsi="Arial" w:cs="Arial"/>
          <w:kern w:val="0"/>
          <w:lang w:eastAsia="en-US"/>
          <w14:ligatures w14:val="none"/>
        </w:rPr>
      </w:pPr>
      <w:proofErr w:type="gramStart"/>
      <w:r w:rsidRPr="00B462CD">
        <w:rPr>
          <w:rFonts w:ascii="Arial" w:eastAsia="Times New Roman" w:hAnsi="Arial" w:cs="Arial"/>
          <w:kern w:val="0"/>
          <w:lang w:eastAsia="en-US"/>
          <w14:ligatures w14:val="none"/>
        </w:rPr>
        <w:t>In order for</w:t>
      </w:r>
      <w:proofErr w:type="gramEnd"/>
      <w:r w:rsidRPr="00B462CD">
        <w:rPr>
          <w:rFonts w:ascii="Arial" w:eastAsia="Times New Roman" w:hAnsi="Arial" w:cs="Arial"/>
          <w:kern w:val="0"/>
          <w:lang w:eastAsia="en-US"/>
          <w14:ligatures w14:val="none"/>
        </w:rPr>
        <w:t xml:space="preserve"> interventions to more successfully address the entire range of difficulties and resources influencing well</w:t>
      </w:r>
      <w:r w:rsidR="00C33E18" w:rsidRPr="00B462CD">
        <w:rPr>
          <w:rFonts w:ascii="Arial" w:eastAsia="Times New Roman" w:hAnsi="Arial" w:cs="Arial"/>
          <w:kern w:val="0"/>
          <w:lang w:eastAsia="en-US"/>
          <w14:ligatures w14:val="none"/>
        </w:rPr>
        <w:t>-</w:t>
      </w:r>
      <w:r w:rsidRPr="00B462CD">
        <w:rPr>
          <w:rFonts w:ascii="Arial" w:eastAsia="Times New Roman" w:hAnsi="Arial" w:cs="Arial"/>
          <w:kern w:val="0"/>
          <w:lang w:eastAsia="en-US"/>
          <w14:ligatures w14:val="none"/>
        </w:rPr>
        <w:t>being, this research emphasises the need for a holistic approach to migrant health, one that acknowledges the dynamic interplay between physical, mental, social, environmental, and cultural factors (Marmot et al., 2020). The study lays the groundwork for greater equity-focused, context-sensitive public health initiatives by showcasing these lived realities.</w:t>
      </w:r>
    </w:p>
    <w:p w14:paraId="1FE60CAD" w14:textId="77777777" w:rsidR="00AD772E" w:rsidRPr="00B462CD" w:rsidRDefault="00AD772E" w:rsidP="00E6526D">
      <w:pPr>
        <w:spacing w:before="100" w:beforeAutospacing="1" w:after="100" w:afterAutospacing="1"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6.9 Closing Reflections</w:t>
      </w:r>
    </w:p>
    <w:p w14:paraId="5780FC2C"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This dissertation's statistics and research demonstrate the pressing need for advanced, all-encompassing public health measures that take into consideration the complexity of migrant experiences. By highlighting the interrelated consequences of immigration status, socioeconomic variables, environmental adaptability, and cultural transformation, this research challenges oversimplified paradigms and advocates for practices and policies that are sensitive to the reality of contemporary migration. </w:t>
      </w:r>
      <w:r w:rsidRPr="00B462CD">
        <w:rPr>
          <w:rFonts w:ascii="Arial" w:eastAsia="Times New Roman" w:hAnsi="Arial" w:cs="Arial"/>
          <w:kern w:val="0"/>
          <w:lang w:eastAsia="en-US"/>
          <w14:ligatures w14:val="none"/>
        </w:rPr>
        <w:br/>
        <w:t>Importantly, the study demonstrates that rather than being passive victims of institutional disadvantage, adult BAME migrants in East London are active agents who employ cultural resources, community networks, and personal fortitude to navigate daily life. Their viewpoints, which are frequently disregarded in popular discourse, offer insightful information on what is required for public services and health systems to be truly inclusive and successful.</w:t>
      </w:r>
    </w:p>
    <w:p w14:paraId="0A570E16" w14:textId="202A4072"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Policymakers, practitioners, and researchers must make sure that, rather than only addressing deficiencies or crises, approaches to health challenges take advantage of the </w:t>
      </w:r>
      <w:r w:rsidR="00DD0C14" w:rsidRPr="00B462CD">
        <w:rPr>
          <w:rFonts w:ascii="Arial" w:hAnsi="Arial" w:cs="Arial"/>
        </w:rPr>
        <w:t xml:space="preserve">resilience, aspirations, competencies, coping strategies, adaptive capacities, and social resources </w:t>
      </w:r>
      <w:r w:rsidRPr="00B462CD">
        <w:rPr>
          <w:rFonts w:ascii="Arial" w:eastAsia="Times New Roman" w:hAnsi="Arial" w:cs="Arial"/>
          <w:kern w:val="0"/>
          <w:lang w:eastAsia="en-US"/>
          <w14:ligatures w14:val="none"/>
        </w:rPr>
        <w:t xml:space="preserve">of migrant communities in this incredibly diverse context. To do this, services must be continuously assessed and improved </w:t>
      </w:r>
      <w:proofErr w:type="gramStart"/>
      <w:r w:rsidRPr="00B462CD">
        <w:rPr>
          <w:rFonts w:ascii="Arial" w:eastAsia="Times New Roman" w:hAnsi="Arial" w:cs="Arial"/>
          <w:kern w:val="0"/>
          <w:lang w:eastAsia="en-US"/>
          <w14:ligatures w14:val="none"/>
        </w:rPr>
        <w:t>in an effort to</w:t>
      </w:r>
      <w:proofErr w:type="gramEnd"/>
      <w:r w:rsidRPr="00B462CD">
        <w:rPr>
          <w:rFonts w:ascii="Arial" w:eastAsia="Times New Roman" w:hAnsi="Arial" w:cs="Arial"/>
          <w:kern w:val="0"/>
          <w:lang w:eastAsia="en-US"/>
          <w14:ligatures w14:val="none"/>
        </w:rPr>
        <w:t xml:space="preserve"> preserve their relevance and quality. </w:t>
      </w:r>
      <w:r w:rsidRPr="00B462CD">
        <w:rPr>
          <w:rFonts w:ascii="Arial" w:eastAsia="Times New Roman" w:hAnsi="Arial" w:cs="Arial"/>
          <w:kern w:val="0"/>
          <w:lang w:eastAsia="en-US"/>
          <w14:ligatures w14:val="none"/>
        </w:rPr>
        <w:br/>
        <w:t>To keep up with East London's changing urban and migration context, this study emphasises the significance of future longitudinal, participatory research. It will take persistent collaboration, creativity, and an unshakable dedication to equity to reduce health disparities and enable everyone, regardless of background or status, to realise their potential in health and well-being.</w:t>
      </w:r>
    </w:p>
    <w:p w14:paraId="48C41D43" w14:textId="77777777" w:rsidR="00AD772E" w:rsidRPr="00B462CD" w:rsidRDefault="00AD772E"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By emphasising cooperation, digital innovation, quality assurance, and self-management assistance, public health systems can reduce health disparities, enhance the treatment of chronic conditions, and create settings where everyone can realise their full health potential. </w:t>
      </w:r>
      <w:r w:rsidRPr="00B462CD">
        <w:rPr>
          <w:rFonts w:ascii="Arial" w:eastAsia="Times New Roman" w:hAnsi="Arial" w:cs="Arial"/>
          <w:kern w:val="0"/>
          <w:lang w:eastAsia="en-US"/>
          <w14:ligatures w14:val="none"/>
        </w:rPr>
        <w:br/>
        <w:t xml:space="preserve">This dissertation concludes that among adult BAME migrants in East London, immigration status is a critical driver of health. Health disparities will continue to exist </w:t>
      </w:r>
      <w:proofErr w:type="gramStart"/>
      <w:r w:rsidRPr="00B462CD">
        <w:rPr>
          <w:rFonts w:ascii="Arial" w:eastAsia="Times New Roman" w:hAnsi="Arial" w:cs="Arial"/>
          <w:kern w:val="0"/>
          <w:lang w:eastAsia="en-US"/>
          <w14:ligatures w14:val="none"/>
        </w:rPr>
        <w:t>as long as</w:t>
      </w:r>
      <w:proofErr w:type="gramEnd"/>
      <w:r w:rsidRPr="00B462CD">
        <w:rPr>
          <w:rFonts w:ascii="Arial" w:eastAsia="Times New Roman" w:hAnsi="Arial" w:cs="Arial"/>
          <w:kern w:val="0"/>
          <w:lang w:eastAsia="en-US"/>
          <w14:ligatures w14:val="none"/>
        </w:rPr>
        <w:t xml:space="preserve"> systemic injustices and legal obstacles exist. As such, all parties involved must acknowledge and deal with the significant effects of immigrant status, cooperating to remove these obstacles. Then and only then will all communities have the chance to attain optimal health and well-being, irrespective of their status or place of origin.</w:t>
      </w:r>
    </w:p>
    <w:p w14:paraId="76573314" w14:textId="26A360D1" w:rsidR="00AD772E" w:rsidRPr="00B462CD" w:rsidRDefault="00AD772E" w:rsidP="00E6526D">
      <w:pPr>
        <w:spacing w:before="100" w:beforeAutospacing="1" w:after="100" w:afterAutospacing="1" w:line="360" w:lineRule="auto"/>
        <w:outlineLvl w:val="1"/>
        <w:rPr>
          <w:rFonts w:ascii="Arial" w:eastAsia="Times New Roman" w:hAnsi="Arial" w:cs="Arial"/>
          <w:b/>
          <w:bCs/>
          <w:kern w:val="0"/>
          <w:lang w:eastAsia="en-US"/>
          <w14:ligatures w14:val="none"/>
        </w:rPr>
      </w:pPr>
      <w:r w:rsidRPr="00B462CD">
        <w:rPr>
          <w:rFonts w:ascii="Arial" w:eastAsia="Arial" w:hAnsi="Arial" w:cs="Arial"/>
          <w:b/>
          <w:bCs/>
          <w:kern w:val="0"/>
          <w:lang w:eastAsia="en-US"/>
          <w14:ligatures w14:val="none"/>
        </w:rPr>
        <w:br w:type="page"/>
      </w:r>
    </w:p>
    <w:p w14:paraId="6D157155" w14:textId="439CEDAF" w:rsidR="00CB3DCA" w:rsidRPr="00B462CD" w:rsidRDefault="00CB3DCA"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64" w:name="_Toc220428685"/>
      <w:r w:rsidRPr="00B462CD">
        <w:rPr>
          <w:rFonts w:ascii="Arial" w:eastAsia="Times New Roman" w:hAnsi="Arial" w:cs="Arial"/>
          <w:b/>
          <w:bCs/>
          <w:kern w:val="0"/>
          <w:lang w:eastAsia="en-US"/>
          <w14:ligatures w14:val="none"/>
        </w:rPr>
        <w:t>Reference List</w:t>
      </w:r>
      <w:bookmarkEnd w:id="64"/>
    </w:p>
    <w:p w14:paraId="37A0F7C7"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Block, K.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(2013) ‘Addressing ethical and methodological challenges in research with refugee-background young people: Reflections from the field’, </w:t>
      </w:r>
      <w:r w:rsidRPr="00B462CD">
        <w:rPr>
          <w:rFonts w:ascii="Arial" w:eastAsia="Times New Roman" w:hAnsi="Arial" w:cs="Arial"/>
          <w:i/>
          <w:iCs/>
          <w:kern w:val="0"/>
          <w:lang w:eastAsia="en-US"/>
          <w14:ligatures w14:val="none"/>
        </w:rPr>
        <w:t>Journal of Refugee Studies</w:t>
      </w:r>
      <w:r w:rsidRPr="00B462CD">
        <w:rPr>
          <w:rFonts w:ascii="Arial" w:eastAsia="Times New Roman" w:hAnsi="Arial" w:cs="Arial"/>
          <w:kern w:val="0"/>
          <w:lang w:eastAsia="en-US"/>
          <w14:ligatures w14:val="none"/>
        </w:rPr>
        <w:t>, 26(1), pp. 69–87.</w:t>
      </w:r>
    </w:p>
    <w:p w14:paraId="354E652F"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Braun, V. and Clarke, V. (2006) ‘Using thematic analysis in psychology’, </w:t>
      </w:r>
      <w:r w:rsidRPr="00B462CD">
        <w:rPr>
          <w:rFonts w:ascii="Arial" w:eastAsia="Times New Roman" w:hAnsi="Arial" w:cs="Arial"/>
          <w:i/>
          <w:iCs/>
          <w:kern w:val="0"/>
          <w:lang w:eastAsia="en-US"/>
          <w14:ligatures w14:val="none"/>
        </w:rPr>
        <w:t>Qualitative Research in Psychology</w:t>
      </w:r>
      <w:r w:rsidRPr="00B462CD">
        <w:rPr>
          <w:rFonts w:ascii="Arial" w:eastAsia="Times New Roman" w:hAnsi="Arial" w:cs="Arial"/>
          <w:kern w:val="0"/>
          <w:lang w:eastAsia="en-US"/>
          <w14:ligatures w14:val="none"/>
        </w:rPr>
        <w:t>, 3(2), pp. 77–101.</w:t>
      </w:r>
    </w:p>
    <w:p w14:paraId="1B8C9863"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Braun, V. and Clarke, V. (2021) </w:t>
      </w:r>
      <w:r w:rsidRPr="00B462CD">
        <w:rPr>
          <w:rFonts w:ascii="Arial" w:eastAsia="Times New Roman" w:hAnsi="Arial" w:cs="Arial"/>
          <w:i/>
          <w:iCs/>
          <w:kern w:val="0"/>
          <w:lang w:eastAsia="en-US"/>
          <w14:ligatures w14:val="none"/>
        </w:rPr>
        <w:t>Thematic analysis: A practical guide</w:t>
      </w:r>
      <w:r w:rsidRPr="00B462CD">
        <w:rPr>
          <w:rFonts w:ascii="Arial" w:eastAsia="Times New Roman" w:hAnsi="Arial" w:cs="Arial"/>
          <w:kern w:val="0"/>
          <w:lang w:eastAsia="en-US"/>
          <w14:ligatures w14:val="none"/>
        </w:rPr>
        <w:t>. London: Sage.</w:t>
      </w:r>
    </w:p>
    <w:p w14:paraId="7BBEDF69" w14:textId="7982BC6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British Psychological Society (2021) </w:t>
      </w:r>
      <w:r w:rsidRPr="00B462CD">
        <w:rPr>
          <w:rFonts w:ascii="Arial" w:eastAsia="Times New Roman" w:hAnsi="Arial" w:cs="Arial"/>
          <w:i/>
          <w:iCs/>
          <w:kern w:val="0"/>
          <w:lang w:eastAsia="en-US"/>
          <w14:ligatures w14:val="none"/>
        </w:rPr>
        <w:t>Code of human research ethics</w:t>
      </w:r>
      <w:r w:rsidRPr="00B462CD">
        <w:rPr>
          <w:rFonts w:ascii="Arial" w:eastAsia="Times New Roman" w:hAnsi="Arial" w:cs="Arial"/>
          <w:kern w:val="0"/>
          <w:lang w:eastAsia="en-US"/>
          <w14:ligatures w14:val="none"/>
        </w:rPr>
        <w:t xml:space="preserve">. Available at: </w:t>
      </w:r>
      <w:hyperlink r:id="rId24" w:tgtFrame="_new" w:history="1">
        <w:r w:rsidRPr="00B462CD">
          <w:rPr>
            <w:rFonts w:ascii="Arial" w:eastAsia="Times New Roman" w:hAnsi="Arial" w:cs="Arial"/>
            <w:color w:val="0000FF"/>
            <w:kern w:val="0"/>
            <w:u w:val="single"/>
            <w:lang w:eastAsia="en-US"/>
            <w14:ligatures w14:val="none"/>
          </w:rPr>
          <w:t>https://www.bps.org.uk/news-and-policy/bps-code-human-research-ethics-2nd-edition-2014</w:t>
        </w:r>
      </w:hyperlink>
      <w:r w:rsidRPr="00B462CD">
        <w:rPr>
          <w:rFonts w:ascii="Arial" w:eastAsia="Times New Roman" w:hAnsi="Arial" w:cs="Arial"/>
          <w:kern w:val="0"/>
          <w:lang w:eastAsia="en-US"/>
          <w14:ligatures w14:val="none"/>
        </w:rPr>
        <w:t xml:space="preserve"> (Accessed: 10 October 202</w:t>
      </w:r>
      <w:r w:rsidR="00D21BDE" w:rsidRPr="00B462CD">
        <w:rPr>
          <w:rFonts w:ascii="Arial" w:eastAsia="Times New Roman" w:hAnsi="Arial" w:cs="Arial"/>
          <w:kern w:val="0"/>
          <w:lang w:eastAsia="en-US"/>
          <w14:ligatures w14:val="none"/>
        </w:rPr>
        <w:t>5</w:t>
      </w:r>
      <w:r w:rsidRPr="00B462CD">
        <w:rPr>
          <w:rFonts w:ascii="Arial" w:eastAsia="Times New Roman" w:hAnsi="Arial" w:cs="Arial"/>
          <w:kern w:val="0"/>
          <w:lang w:eastAsia="en-US"/>
          <w14:ligatures w14:val="none"/>
        </w:rPr>
        <w:t>).</w:t>
      </w:r>
    </w:p>
    <w:p w14:paraId="648DA9F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Bryman, A. (2016) </w:t>
      </w:r>
      <w:r w:rsidRPr="00B462CD">
        <w:rPr>
          <w:rFonts w:ascii="Arial" w:eastAsia="Times New Roman" w:hAnsi="Arial" w:cs="Arial"/>
          <w:i/>
          <w:iCs/>
          <w:kern w:val="0"/>
          <w:lang w:eastAsia="en-US"/>
          <w14:ligatures w14:val="none"/>
        </w:rPr>
        <w:t>Social research methods</w:t>
      </w:r>
      <w:r w:rsidRPr="00B462CD">
        <w:rPr>
          <w:rFonts w:ascii="Arial" w:eastAsia="Times New Roman" w:hAnsi="Arial" w:cs="Arial"/>
          <w:kern w:val="0"/>
          <w:lang w:eastAsia="en-US"/>
          <w14:ligatures w14:val="none"/>
        </w:rPr>
        <w:t xml:space="preserve">. 5th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Oxford: Oxford University Press.</w:t>
      </w:r>
    </w:p>
    <w:p w14:paraId="29BF5003"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Burr, V. (2015) </w:t>
      </w:r>
      <w:r w:rsidRPr="00B462CD">
        <w:rPr>
          <w:rFonts w:ascii="Arial" w:eastAsia="Times New Roman" w:hAnsi="Arial" w:cs="Arial"/>
          <w:i/>
          <w:iCs/>
          <w:kern w:val="0"/>
          <w:lang w:eastAsia="en-US"/>
          <w14:ligatures w14:val="none"/>
        </w:rPr>
        <w:t>Social constructionism</w:t>
      </w:r>
      <w:r w:rsidRPr="00B462CD">
        <w:rPr>
          <w:rFonts w:ascii="Arial" w:eastAsia="Times New Roman" w:hAnsi="Arial" w:cs="Arial"/>
          <w:kern w:val="0"/>
          <w:lang w:eastAsia="en-US"/>
          <w14:ligatures w14:val="none"/>
        </w:rPr>
        <w:t xml:space="preserve">. 3rd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London: Routledge.</w:t>
      </w:r>
    </w:p>
    <w:p w14:paraId="2B6D5BA8"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Castles, S.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(2019) </w:t>
      </w:r>
      <w:r w:rsidRPr="00B462CD">
        <w:rPr>
          <w:rFonts w:ascii="Arial" w:eastAsia="Times New Roman" w:hAnsi="Arial" w:cs="Arial"/>
          <w:i/>
          <w:iCs/>
          <w:kern w:val="0"/>
          <w:lang w:eastAsia="en-US"/>
          <w14:ligatures w14:val="none"/>
        </w:rPr>
        <w:t>The age of migration: International population movements in the modern world</w:t>
      </w:r>
      <w:r w:rsidRPr="00B462CD">
        <w:rPr>
          <w:rFonts w:ascii="Arial" w:eastAsia="Times New Roman" w:hAnsi="Arial" w:cs="Arial"/>
          <w:kern w:val="0"/>
          <w:lang w:eastAsia="en-US"/>
          <w14:ligatures w14:val="none"/>
        </w:rPr>
        <w:t xml:space="preserve">. 6th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Basingstoke: Palgrave Macmillan.</w:t>
      </w:r>
    </w:p>
    <w:p w14:paraId="1D620A55"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Cheung, S.Y. and Phillimore, J. (2014) ‘Refugees, social capital, and labour market integration in the UK’, </w:t>
      </w:r>
      <w:r w:rsidRPr="00B462CD">
        <w:rPr>
          <w:rFonts w:ascii="Arial" w:eastAsia="Times New Roman" w:hAnsi="Arial" w:cs="Arial"/>
          <w:i/>
          <w:iCs/>
          <w:kern w:val="0"/>
          <w:lang w:eastAsia="en-US"/>
          <w14:ligatures w14:val="none"/>
        </w:rPr>
        <w:t>Sociology</w:t>
      </w:r>
      <w:r w:rsidRPr="00B462CD">
        <w:rPr>
          <w:rFonts w:ascii="Arial" w:eastAsia="Times New Roman" w:hAnsi="Arial" w:cs="Arial"/>
          <w:kern w:val="0"/>
          <w:lang w:eastAsia="en-US"/>
          <w14:ligatures w14:val="none"/>
        </w:rPr>
        <w:t>, 48(3), pp. 518–536.</w:t>
      </w:r>
    </w:p>
    <w:p w14:paraId="55333199"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Creswell, J.W. and </w:t>
      </w:r>
      <w:proofErr w:type="spellStart"/>
      <w:r w:rsidRPr="00B462CD">
        <w:rPr>
          <w:rFonts w:ascii="Arial" w:eastAsia="Times New Roman" w:hAnsi="Arial" w:cs="Arial"/>
          <w:kern w:val="0"/>
          <w:lang w:eastAsia="en-US"/>
          <w14:ligatures w14:val="none"/>
        </w:rPr>
        <w:t>Poth</w:t>
      </w:r>
      <w:proofErr w:type="spellEnd"/>
      <w:r w:rsidRPr="00B462CD">
        <w:rPr>
          <w:rFonts w:ascii="Arial" w:eastAsia="Times New Roman" w:hAnsi="Arial" w:cs="Arial"/>
          <w:kern w:val="0"/>
          <w:lang w:eastAsia="en-US"/>
          <w14:ligatures w14:val="none"/>
        </w:rPr>
        <w:t xml:space="preserve">, C.N. (2018) </w:t>
      </w:r>
      <w:r w:rsidRPr="00B462CD">
        <w:rPr>
          <w:rFonts w:ascii="Arial" w:eastAsia="Times New Roman" w:hAnsi="Arial" w:cs="Arial"/>
          <w:i/>
          <w:iCs/>
          <w:kern w:val="0"/>
          <w:lang w:eastAsia="en-US"/>
          <w14:ligatures w14:val="none"/>
        </w:rPr>
        <w:t>Qualitative inquiry and research design: Choosing among five approaches</w:t>
      </w:r>
      <w:r w:rsidRPr="00B462CD">
        <w:rPr>
          <w:rFonts w:ascii="Arial" w:eastAsia="Times New Roman" w:hAnsi="Arial" w:cs="Arial"/>
          <w:kern w:val="0"/>
          <w:lang w:eastAsia="en-US"/>
          <w14:ligatures w14:val="none"/>
        </w:rPr>
        <w:t xml:space="preserve">. 4th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Los Angeles: Sage.</w:t>
      </w:r>
    </w:p>
    <w:p w14:paraId="2802A8C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Creswell, J.W. and Plano Clark, V.L. (2018) </w:t>
      </w:r>
      <w:r w:rsidRPr="00B462CD">
        <w:rPr>
          <w:rFonts w:ascii="Arial" w:eastAsia="Times New Roman" w:hAnsi="Arial" w:cs="Arial"/>
          <w:i/>
          <w:iCs/>
          <w:kern w:val="0"/>
          <w:lang w:eastAsia="en-US"/>
          <w14:ligatures w14:val="none"/>
        </w:rPr>
        <w:t>Designing and conducting mixed methods research</w:t>
      </w:r>
      <w:r w:rsidRPr="00B462CD">
        <w:rPr>
          <w:rFonts w:ascii="Arial" w:eastAsia="Times New Roman" w:hAnsi="Arial" w:cs="Arial"/>
          <w:kern w:val="0"/>
          <w:lang w:eastAsia="en-US"/>
          <w14:ligatures w14:val="none"/>
        </w:rPr>
        <w:t xml:space="preserve">. 3rd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Los Angeles: Sage.</w:t>
      </w:r>
    </w:p>
    <w:p w14:paraId="0912A1B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Crenshaw, K. (1989) ‘Demarginalizing the intersection of race and sex: A Black feminist critique of antidiscrimination doctrine, feminist theory and antiracist politics’, </w:t>
      </w:r>
      <w:r w:rsidRPr="00B462CD">
        <w:rPr>
          <w:rFonts w:ascii="Arial" w:eastAsia="Times New Roman" w:hAnsi="Arial" w:cs="Arial"/>
          <w:i/>
          <w:iCs/>
          <w:kern w:val="0"/>
          <w:lang w:eastAsia="en-US"/>
          <w14:ligatures w14:val="none"/>
        </w:rPr>
        <w:t>University of Chicago Legal Forum</w:t>
      </w:r>
      <w:r w:rsidRPr="00B462CD">
        <w:rPr>
          <w:rFonts w:ascii="Arial" w:eastAsia="Times New Roman" w:hAnsi="Arial" w:cs="Arial"/>
          <w:kern w:val="0"/>
          <w:lang w:eastAsia="en-US"/>
          <w14:ligatures w14:val="none"/>
        </w:rPr>
        <w:t>, 1989(1), pp. 139–167.</w:t>
      </w:r>
    </w:p>
    <w:p w14:paraId="2AD353EF"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Crawshaw, A.F.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(2022) ‘What must be done to tackle health inequities for migrants in the UK?’, </w:t>
      </w:r>
      <w:r w:rsidRPr="00B462CD">
        <w:rPr>
          <w:rFonts w:ascii="Arial" w:eastAsia="Times New Roman" w:hAnsi="Arial" w:cs="Arial"/>
          <w:i/>
          <w:iCs/>
          <w:kern w:val="0"/>
          <w:lang w:eastAsia="en-US"/>
          <w14:ligatures w14:val="none"/>
        </w:rPr>
        <w:t>The Lancet Public Health</w:t>
      </w:r>
      <w:r w:rsidRPr="00B462CD">
        <w:rPr>
          <w:rFonts w:ascii="Arial" w:eastAsia="Times New Roman" w:hAnsi="Arial" w:cs="Arial"/>
          <w:kern w:val="0"/>
          <w:lang w:eastAsia="en-US"/>
          <w14:ligatures w14:val="none"/>
        </w:rPr>
        <w:t>, 7(4), pp. e366–e368.</w:t>
      </w:r>
    </w:p>
    <w:p w14:paraId="0847B8D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Diabetes UK (2023) </w:t>
      </w:r>
      <w:r w:rsidRPr="00B462CD">
        <w:rPr>
          <w:rFonts w:ascii="Arial" w:eastAsia="Times New Roman" w:hAnsi="Arial" w:cs="Arial"/>
          <w:i/>
          <w:iCs/>
          <w:kern w:val="0"/>
          <w:lang w:eastAsia="en-US"/>
          <w14:ligatures w14:val="none"/>
        </w:rPr>
        <w:t>Diabetes prevalence 2023</w:t>
      </w:r>
      <w:r w:rsidRPr="00B462CD">
        <w:rPr>
          <w:rFonts w:ascii="Arial" w:eastAsia="Times New Roman" w:hAnsi="Arial" w:cs="Arial"/>
          <w:kern w:val="0"/>
          <w:lang w:eastAsia="en-US"/>
          <w14:ligatures w14:val="none"/>
        </w:rPr>
        <w:t xml:space="preserve">. Available at: </w:t>
      </w:r>
      <w:hyperlink r:id="rId25" w:tgtFrame="_new" w:history="1">
        <w:r w:rsidRPr="00B462CD">
          <w:rPr>
            <w:rFonts w:ascii="Arial" w:eastAsia="Times New Roman" w:hAnsi="Arial" w:cs="Arial"/>
            <w:color w:val="0000FF"/>
            <w:kern w:val="0"/>
            <w:u w:val="single"/>
            <w:lang w:eastAsia="en-US"/>
            <w14:ligatures w14:val="none"/>
          </w:rPr>
          <w:t>https://www.diabetes.org.uk/professionals/position-statements-reports/statistics/diabetes-prevalence-2023</w:t>
        </w:r>
      </w:hyperlink>
      <w:r w:rsidRPr="00B462CD">
        <w:rPr>
          <w:rFonts w:ascii="Arial" w:eastAsia="Times New Roman" w:hAnsi="Arial" w:cs="Arial"/>
          <w:kern w:val="0"/>
          <w:lang w:eastAsia="en-US"/>
          <w14:ligatures w14:val="none"/>
        </w:rPr>
        <w:t xml:space="preserve"> (Accessed: 11 November 2025).</w:t>
      </w:r>
    </w:p>
    <w:p w14:paraId="428BC33D"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Dixon-Woods, M.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(2006) ‘Conducting a critical interpretive synthesis of the literature on access to healthcare by vulnerable groups’, </w:t>
      </w:r>
      <w:r w:rsidRPr="00B462CD">
        <w:rPr>
          <w:rFonts w:ascii="Arial" w:eastAsia="Times New Roman" w:hAnsi="Arial" w:cs="Arial"/>
          <w:i/>
          <w:iCs/>
          <w:kern w:val="0"/>
          <w:lang w:eastAsia="en-US"/>
          <w14:ligatures w14:val="none"/>
        </w:rPr>
        <w:t>BMC Medical Research Methodology</w:t>
      </w:r>
      <w:r w:rsidRPr="00B462CD">
        <w:rPr>
          <w:rFonts w:ascii="Arial" w:eastAsia="Times New Roman" w:hAnsi="Arial" w:cs="Arial"/>
          <w:kern w:val="0"/>
          <w:lang w:eastAsia="en-US"/>
          <w14:ligatures w14:val="none"/>
        </w:rPr>
        <w:t>, 6, 35.</w:t>
      </w:r>
    </w:p>
    <w:p w14:paraId="06CDC38B"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Doctors of the World (2017) </w:t>
      </w:r>
      <w:r w:rsidRPr="00B462CD">
        <w:rPr>
          <w:rFonts w:ascii="Arial" w:eastAsia="Times New Roman" w:hAnsi="Arial" w:cs="Arial"/>
          <w:i/>
          <w:iCs/>
          <w:kern w:val="0"/>
          <w:lang w:eastAsia="en-US"/>
          <w14:ligatures w14:val="none"/>
        </w:rPr>
        <w:t>Delays and destitution: Barriers to healthcare for people seeking asylum in the UK</w:t>
      </w:r>
      <w:r w:rsidRPr="00B462CD">
        <w:rPr>
          <w:rFonts w:ascii="Arial" w:eastAsia="Times New Roman" w:hAnsi="Arial" w:cs="Arial"/>
          <w:kern w:val="0"/>
          <w:lang w:eastAsia="en-US"/>
          <w14:ligatures w14:val="none"/>
        </w:rPr>
        <w:t>. London: Doctors of the World.</w:t>
      </w:r>
    </w:p>
    <w:p w14:paraId="1ED370CF"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Farmer, P. (2004) ‘An anthropology of structural violence’, </w:t>
      </w:r>
      <w:r w:rsidRPr="00B462CD">
        <w:rPr>
          <w:rFonts w:ascii="Arial" w:eastAsia="Times New Roman" w:hAnsi="Arial" w:cs="Arial"/>
          <w:i/>
          <w:iCs/>
          <w:kern w:val="0"/>
          <w:lang w:eastAsia="en-US"/>
          <w14:ligatures w14:val="none"/>
        </w:rPr>
        <w:t>Current Anthropology</w:t>
      </w:r>
      <w:r w:rsidRPr="00B462CD">
        <w:rPr>
          <w:rFonts w:ascii="Arial" w:eastAsia="Times New Roman" w:hAnsi="Arial" w:cs="Arial"/>
          <w:kern w:val="0"/>
          <w:lang w:eastAsia="en-US"/>
          <w14:ligatures w14:val="none"/>
        </w:rPr>
        <w:t>, 45(3), pp. 305–325.</w:t>
      </w:r>
    </w:p>
    <w:p w14:paraId="309B695A"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Feldman, R. (2018) ‘Primary healthcare for migrants: A qualitative study of service users and practitioners in London’, </w:t>
      </w:r>
      <w:r w:rsidRPr="00B462CD">
        <w:rPr>
          <w:rFonts w:ascii="Arial" w:eastAsia="Times New Roman" w:hAnsi="Arial" w:cs="Arial"/>
          <w:i/>
          <w:iCs/>
          <w:kern w:val="0"/>
          <w:lang w:eastAsia="en-US"/>
          <w14:ligatures w14:val="none"/>
        </w:rPr>
        <w:t>Social Science &amp; Medicine</w:t>
      </w:r>
      <w:r w:rsidRPr="00B462CD">
        <w:rPr>
          <w:rFonts w:ascii="Arial" w:eastAsia="Times New Roman" w:hAnsi="Arial" w:cs="Arial"/>
          <w:kern w:val="0"/>
          <w:lang w:eastAsia="en-US"/>
          <w14:ligatures w14:val="none"/>
        </w:rPr>
        <w:t>, 211, pp. 1–8.</w:t>
      </w:r>
    </w:p>
    <w:p w14:paraId="5525655B"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Flick, U. (2018) </w:t>
      </w:r>
      <w:r w:rsidRPr="00B462CD">
        <w:rPr>
          <w:rFonts w:ascii="Arial" w:eastAsia="Times New Roman" w:hAnsi="Arial" w:cs="Arial"/>
          <w:i/>
          <w:iCs/>
          <w:kern w:val="0"/>
          <w:lang w:eastAsia="en-US"/>
          <w14:ligatures w14:val="none"/>
        </w:rPr>
        <w:t>An introduction to qualitative research</w:t>
      </w:r>
      <w:r w:rsidRPr="00B462CD">
        <w:rPr>
          <w:rFonts w:ascii="Arial" w:eastAsia="Times New Roman" w:hAnsi="Arial" w:cs="Arial"/>
          <w:kern w:val="0"/>
          <w:lang w:eastAsia="en-US"/>
          <w14:ligatures w14:val="none"/>
        </w:rPr>
        <w:t xml:space="preserve">. 6th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London: Sage.</w:t>
      </w:r>
    </w:p>
    <w:p w14:paraId="16AE2EBA"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Greater London Authority (2022) </w:t>
      </w:r>
      <w:r w:rsidRPr="00B462CD">
        <w:rPr>
          <w:rFonts w:ascii="Arial" w:eastAsia="Times New Roman" w:hAnsi="Arial" w:cs="Arial"/>
          <w:i/>
          <w:iCs/>
          <w:kern w:val="0"/>
          <w:lang w:eastAsia="en-US"/>
          <w14:ligatures w14:val="none"/>
        </w:rPr>
        <w:t>Healthy Londoners: Life expectancy and health inequalities in the capital</w:t>
      </w:r>
      <w:r w:rsidRPr="00B462CD">
        <w:rPr>
          <w:rFonts w:ascii="Arial" w:eastAsia="Times New Roman" w:hAnsi="Arial" w:cs="Arial"/>
          <w:kern w:val="0"/>
          <w:lang w:eastAsia="en-US"/>
          <w14:ligatures w14:val="none"/>
        </w:rPr>
        <w:t>. London: GLA.</w:t>
      </w:r>
    </w:p>
    <w:p w14:paraId="334340C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Guest, G.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(2006) ‘How many interviews are enough?’, </w:t>
      </w:r>
      <w:r w:rsidRPr="00B462CD">
        <w:rPr>
          <w:rFonts w:ascii="Arial" w:eastAsia="Times New Roman" w:hAnsi="Arial" w:cs="Arial"/>
          <w:i/>
          <w:iCs/>
          <w:kern w:val="0"/>
          <w:lang w:eastAsia="en-US"/>
          <w14:ligatures w14:val="none"/>
        </w:rPr>
        <w:t>Field Methods</w:t>
      </w:r>
      <w:r w:rsidRPr="00B462CD">
        <w:rPr>
          <w:rFonts w:ascii="Arial" w:eastAsia="Times New Roman" w:hAnsi="Arial" w:cs="Arial"/>
          <w:kern w:val="0"/>
          <w:lang w:eastAsia="en-US"/>
          <w14:ligatures w14:val="none"/>
        </w:rPr>
        <w:t>, 18(1), pp. 59–82.</w:t>
      </w:r>
    </w:p>
    <w:p w14:paraId="3619F142"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Hackett, R.I.J. (2014) ‘Diasporas and new religious movements’, in Clarke, P.B. (ed.) </w:t>
      </w:r>
      <w:r w:rsidRPr="00B462CD">
        <w:rPr>
          <w:rFonts w:ascii="Arial" w:eastAsia="Times New Roman" w:hAnsi="Arial" w:cs="Arial"/>
          <w:i/>
          <w:iCs/>
          <w:kern w:val="0"/>
          <w:lang w:eastAsia="en-US"/>
          <w14:ligatures w14:val="none"/>
        </w:rPr>
        <w:t>The Oxford handbook of the sociology of religion</w:t>
      </w:r>
      <w:r w:rsidRPr="00B462CD">
        <w:rPr>
          <w:rFonts w:ascii="Arial" w:eastAsia="Times New Roman" w:hAnsi="Arial" w:cs="Arial"/>
          <w:kern w:val="0"/>
          <w:lang w:eastAsia="en-US"/>
          <w14:ligatures w14:val="none"/>
        </w:rPr>
        <w:t>. Oxford: Oxford University Press, pp. 367–386.</w:t>
      </w:r>
    </w:p>
    <w:p w14:paraId="1C494353"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Hansen, E. (2019) ‘Chronic stress and the embodiment of legal precarity’, </w:t>
      </w:r>
      <w:r w:rsidRPr="00B462CD">
        <w:rPr>
          <w:rFonts w:ascii="Arial" w:eastAsia="Times New Roman" w:hAnsi="Arial" w:cs="Arial"/>
          <w:i/>
          <w:iCs/>
          <w:kern w:val="0"/>
          <w:lang w:eastAsia="en-US"/>
          <w14:ligatures w14:val="none"/>
        </w:rPr>
        <w:t>Social Science &amp; Medicine</w:t>
      </w:r>
      <w:r w:rsidRPr="00B462CD">
        <w:rPr>
          <w:rFonts w:ascii="Arial" w:eastAsia="Times New Roman" w:hAnsi="Arial" w:cs="Arial"/>
          <w:kern w:val="0"/>
          <w:lang w:eastAsia="en-US"/>
          <w14:ligatures w14:val="none"/>
        </w:rPr>
        <w:t>, 230, pp. 33–41.</w:t>
      </w:r>
    </w:p>
    <w:p w14:paraId="41A89288"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Hiam, L.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(2018) ‘Creating a “hostile environment for migrants”’, </w:t>
      </w:r>
      <w:r w:rsidRPr="00B462CD">
        <w:rPr>
          <w:rFonts w:ascii="Arial" w:eastAsia="Times New Roman" w:hAnsi="Arial" w:cs="Arial"/>
          <w:i/>
          <w:iCs/>
          <w:kern w:val="0"/>
          <w:lang w:eastAsia="en-US"/>
          <w14:ligatures w14:val="none"/>
        </w:rPr>
        <w:t>European Journal of Public Health</w:t>
      </w:r>
      <w:r w:rsidRPr="00B462CD">
        <w:rPr>
          <w:rFonts w:ascii="Arial" w:eastAsia="Times New Roman" w:hAnsi="Arial" w:cs="Arial"/>
          <w:kern w:val="0"/>
          <w:lang w:eastAsia="en-US"/>
          <w14:ligatures w14:val="none"/>
        </w:rPr>
        <w:t>, 28(3), pp. 404–406.</w:t>
      </w:r>
    </w:p>
    <w:p w14:paraId="7B0A3AE7" w14:textId="06519D5F"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Jayaweera, H. (2014) </w:t>
      </w:r>
      <w:r w:rsidRPr="00B462CD">
        <w:rPr>
          <w:rFonts w:ascii="Arial" w:eastAsia="Times New Roman" w:hAnsi="Arial" w:cs="Arial"/>
          <w:i/>
          <w:iCs/>
          <w:kern w:val="0"/>
          <w:lang w:eastAsia="en-US"/>
          <w14:ligatures w14:val="none"/>
        </w:rPr>
        <w:t>Health of migrants in the UK</w:t>
      </w:r>
      <w:r w:rsidRPr="00B462CD">
        <w:rPr>
          <w:rFonts w:ascii="Arial" w:eastAsia="Times New Roman" w:hAnsi="Arial" w:cs="Arial"/>
          <w:kern w:val="0"/>
          <w:lang w:eastAsia="en-US"/>
          <w14:ligatures w14:val="none"/>
        </w:rPr>
        <w:t xml:space="preserve">. Oxford: Migration Observatory, University of Oxford. Available at: </w:t>
      </w:r>
      <w:hyperlink r:id="rId26" w:tgtFrame="_new" w:history="1">
        <w:r w:rsidRPr="00B462CD">
          <w:rPr>
            <w:rFonts w:ascii="Arial" w:eastAsia="Times New Roman" w:hAnsi="Arial" w:cs="Arial"/>
            <w:color w:val="0000FF"/>
            <w:kern w:val="0"/>
            <w:u w:val="single"/>
            <w:lang w:eastAsia="en-US"/>
            <w14:ligatures w14:val="none"/>
          </w:rPr>
          <w:t>https://migrationobservatory.ox.ac.uk/resources/briefings/health-of-migrants-in-the-uk/</w:t>
        </w:r>
      </w:hyperlink>
      <w:r w:rsidRPr="00B462CD">
        <w:rPr>
          <w:rFonts w:ascii="Arial" w:eastAsia="Times New Roman" w:hAnsi="Arial" w:cs="Arial"/>
          <w:kern w:val="0"/>
          <w:lang w:eastAsia="en-US"/>
          <w14:ligatures w14:val="none"/>
        </w:rPr>
        <w:t xml:space="preserve"> (Accessed: 4 November 202</w:t>
      </w:r>
      <w:r w:rsidR="00C3689B" w:rsidRPr="00B462CD">
        <w:rPr>
          <w:rFonts w:ascii="Arial" w:eastAsia="Times New Roman" w:hAnsi="Arial" w:cs="Arial"/>
          <w:kern w:val="0"/>
          <w:lang w:eastAsia="en-US"/>
          <w14:ligatures w14:val="none"/>
        </w:rPr>
        <w:t>5</w:t>
      </w:r>
      <w:r w:rsidRPr="00B462CD">
        <w:rPr>
          <w:rFonts w:ascii="Arial" w:eastAsia="Times New Roman" w:hAnsi="Arial" w:cs="Arial"/>
          <w:kern w:val="0"/>
          <w:lang w:eastAsia="en-US"/>
          <w14:ligatures w14:val="none"/>
        </w:rPr>
        <w:t>).</w:t>
      </w:r>
    </w:p>
    <w:p w14:paraId="5282A568"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Jayaweera, H. (2019) </w:t>
      </w:r>
      <w:r w:rsidRPr="00B462CD">
        <w:rPr>
          <w:rFonts w:ascii="Arial" w:eastAsia="Times New Roman" w:hAnsi="Arial" w:cs="Arial"/>
          <w:i/>
          <w:iCs/>
          <w:kern w:val="0"/>
          <w:lang w:eastAsia="en-US"/>
          <w14:ligatures w14:val="none"/>
        </w:rPr>
        <w:t>Health of migrants in the UK</w:t>
      </w:r>
      <w:r w:rsidRPr="00B462CD">
        <w:rPr>
          <w:rFonts w:ascii="Arial" w:eastAsia="Times New Roman" w:hAnsi="Arial" w:cs="Arial"/>
          <w:kern w:val="0"/>
          <w:lang w:eastAsia="en-US"/>
          <w14:ligatures w14:val="none"/>
        </w:rPr>
        <w:t xml:space="preserve">. Oxford: Migration Observatory, University of Oxford. Available at: </w:t>
      </w:r>
      <w:hyperlink r:id="rId27" w:tgtFrame="_new" w:history="1">
        <w:r w:rsidRPr="00B462CD">
          <w:rPr>
            <w:rFonts w:ascii="Arial" w:eastAsia="Times New Roman" w:hAnsi="Arial" w:cs="Arial"/>
            <w:color w:val="0000FF"/>
            <w:kern w:val="0"/>
            <w:u w:val="single"/>
            <w:lang w:eastAsia="en-US"/>
            <w14:ligatures w14:val="none"/>
          </w:rPr>
          <w:t>https://migrationobservatory.ox.ac.uk/resources/briefings/health-of-migrants-in-the-uk/</w:t>
        </w:r>
      </w:hyperlink>
      <w:r w:rsidRPr="00B462CD">
        <w:rPr>
          <w:rFonts w:ascii="Arial" w:eastAsia="Times New Roman" w:hAnsi="Arial" w:cs="Arial"/>
          <w:kern w:val="0"/>
          <w:lang w:eastAsia="en-US"/>
          <w14:ligatures w14:val="none"/>
        </w:rPr>
        <w:t xml:space="preserve"> (Accessed: 4 November 2025).</w:t>
      </w:r>
    </w:p>
    <w:p w14:paraId="7910596D"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Kvale, S. and Brinkmann, S. (2015) </w:t>
      </w:r>
      <w:proofErr w:type="spellStart"/>
      <w:r w:rsidRPr="00B462CD">
        <w:rPr>
          <w:rFonts w:ascii="Arial" w:eastAsia="Times New Roman" w:hAnsi="Arial" w:cs="Arial"/>
          <w:i/>
          <w:iCs/>
          <w:kern w:val="0"/>
          <w:lang w:eastAsia="en-US"/>
          <w14:ligatures w14:val="none"/>
        </w:rPr>
        <w:t>InterViews</w:t>
      </w:r>
      <w:proofErr w:type="spellEnd"/>
      <w:r w:rsidRPr="00B462CD">
        <w:rPr>
          <w:rFonts w:ascii="Arial" w:eastAsia="Times New Roman" w:hAnsi="Arial" w:cs="Arial"/>
          <w:i/>
          <w:iCs/>
          <w:kern w:val="0"/>
          <w:lang w:eastAsia="en-US"/>
          <w14:ligatures w14:val="none"/>
        </w:rPr>
        <w:t>: Learning the craft of qualitative research interviewing</w:t>
      </w:r>
      <w:r w:rsidRPr="00B462CD">
        <w:rPr>
          <w:rFonts w:ascii="Arial" w:eastAsia="Times New Roman" w:hAnsi="Arial" w:cs="Arial"/>
          <w:kern w:val="0"/>
          <w:lang w:eastAsia="en-US"/>
          <w14:ligatures w14:val="none"/>
        </w:rPr>
        <w:t xml:space="preserve">. 3rd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Los Angeles: Sage.</w:t>
      </w:r>
    </w:p>
    <w:p w14:paraId="034391DA"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Liamputtong, P. (2010) </w:t>
      </w:r>
      <w:r w:rsidRPr="00B462CD">
        <w:rPr>
          <w:rFonts w:ascii="Arial" w:eastAsia="Times New Roman" w:hAnsi="Arial" w:cs="Arial"/>
          <w:i/>
          <w:iCs/>
          <w:kern w:val="0"/>
          <w:lang w:eastAsia="en-US"/>
          <w14:ligatures w14:val="none"/>
        </w:rPr>
        <w:t>Performing qualitative cross-cultural research</w:t>
      </w:r>
      <w:r w:rsidRPr="00B462CD">
        <w:rPr>
          <w:rFonts w:ascii="Arial" w:eastAsia="Times New Roman" w:hAnsi="Arial" w:cs="Arial"/>
          <w:kern w:val="0"/>
          <w:lang w:eastAsia="en-US"/>
          <w14:ligatures w14:val="none"/>
        </w:rPr>
        <w:t>. Cambridge: Cambridge University Press.</w:t>
      </w:r>
    </w:p>
    <w:p w14:paraId="523F175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Lincoln, Y.S. and Guba, E.G. (1985) </w:t>
      </w:r>
      <w:r w:rsidRPr="00B462CD">
        <w:rPr>
          <w:rFonts w:ascii="Arial" w:eastAsia="Times New Roman" w:hAnsi="Arial" w:cs="Arial"/>
          <w:i/>
          <w:iCs/>
          <w:kern w:val="0"/>
          <w:lang w:eastAsia="en-US"/>
          <w14:ligatures w14:val="none"/>
        </w:rPr>
        <w:t>Naturalistic inquiry</w:t>
      </w:r>
      <w:r w:rsidRPr="00B462CD">
        <w:rPr>
          <w:rFonts w:ascii="Arial" w:eastAsia="Times New Roman" w:hAnsi="Arial" w:cs="Arial"/>
          <w:kern w:val="0"/>
          <w:lang w:eastAsia="en-US"/>
          <w14:ligatures w14:val="none"/>
        </w:rPr>
        <w:t>. Beverly Hills, CA: Sage.</w:t>
      </w:r>
    </w:p>
    <w:p w14:paraId="597002F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Marmot, M.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(2020) </w:t>
      </w:r>
      <w:r w:rsidRPr="00B462CD">
        <w:rPr>
          <w:rFonts w:ascii="Arial" w:eastAsia="Times New Roman" w:hAnsi="Arial" w:cs="Arial"/>
          <w:i/>
          <w:iCs/>
          <w:kern w:val="0"/>
          <w:lang w:eastAsia="en-US"/>
          <w14:ligatures w14:val="none"/>
        </w:rPr>
        <w:t>Build back fairer: The COVID-19 Marmot review</w:t>
      </w:r>
      <w:r w:rsidRPr="00B462CD">
        <w:rPr>
          <w:rFonts w:ascii="Arial" w:eastAsia="Times New Roman" w:hAnsi="Arial" w:cs="Arial"/>
          <w:kern w:val="0"/>
          <w:lang w:eastAsia="en-US"/>
          <w14:ligatures w14:val="none"/>
        </w:rPr>
        <w:t>. London: Institute of Health Equity.</w:t>
      </w:r>
    </w:p>
    <w:p w14:paraId="392F50D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McEwen, B.S. (2004) ‘Protection and damage from acute and chronic stress’, </w:t>
      </w:r>
      <w:r w:rsidRPr="00B462CD">
        <w:rPr>
          <w:rFonts w:ascii="Arial" w:eastAsia="Times New Roman" w:hAnsi="Arial" w:cs="Arial"/>
          <w:i/>
          <w:iCs/>
          <w:kern w:val="0"/>
          <w:lang w:eastAsia="en-US"/>
          <w14:ligatures w14:val="none"/>
        </w:rPr>
        <w:t>Annals of the New York Academy of Sciences</w:t>
      </w:r>
      <w:r w:rsidRPr="00B462CD">
        <w:rPr>
          <w:rFonts w:ascii="Arial" w:eastAsia="Times New Roman" w:hAnsi="Arial" w:cs="Arial"/>
          <w:kern w:val="0"/>
          <w:lang w:eastAsia="en-US"/>
          <w14:ligatures w14:val="none"/>
        </w:rPr>
        <w:t>, 1032, pp. 1–7.</w:t>
      </w:r>
    </w:p>
    <w:p w14:paraId="673E2DE3"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Ministry of Housing, Communities and Local Government (2019) </w:t>
      </w:r>
      <w:r w:rsidRPr="00B462CD">
        <w:rPr>
          <w:rFonts w:ascii="Arial" w:eastAsia="Times New Roman" w:hAnsi="Arial" w:cs="Arial"/>
          <w:i/>
          <w:iCs/>
          <w:kern w:val="0"/>
          <w:lang w:eastAsia="en-US"/>
          <w14:ligatures w14:val="none"/>
        </w:rPr>
        <w:t>English indices of deprivation 2019</w:t>
      </w:r>
      <w:r w:rsidRPr="00B462CD">
        <w:rPr>
          <w:rFonts w:ascii="Arial" w:eastAsia="Times New Roman" w:hAnsi="Arial" w:cs="Arial"/>
          <w:kern w:val="0"/>
          <w:lang w:eastAsia="en-US"/>
          <w14:ligatures w14:val="none"/>
        </w:rPr>
        <w:t>. London: MHCLG.</w:t>
      </w:r>
    </w:p>
    <w:p w14:paraId="5773441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Morris, M. (2021) ‘The impact of hostile environment policies on migrants’ access to healthcare’, </w:t>
      </w:r>
      <w:r w:rsidRPr="00B462CD">
        <w:rPr>
          <w:rFonts w:ascii="Arial" w:eastAsia="Times New Roman" w:hAnsi="Arial" w:cs="Arial"/>
          <w:i/>
          <w:iCs/>
          <w:kern w:val="0"/>
          <w:lang w:eastAsia="en-US"/>
          <w14:ligatures w14:val="none"/>
        </w:rPr>
        <w:t>Journal of Social Policy</w:t>
      </w:r>
      <w:r w:rsidRPr="00B462CD">
        <w:rPr>
          <w:rFonts w:ascii="Arial" w:eastAsia="Times New Roman" w:hAnsi="Arial" w:cs="Arial"/>
          <w:kern w:val="0"/>
          <w:lang w:eastAsia="en-US"/>
          <w14:ligatures w14:val="none"/>
        </w:rPr>
        <w:t>, 50(4), pp. 780–797.</w:t>
      </w:r>
    </w:p>
    <w:p w14:paraId="7C0906E4"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proofErr w:type="spellStart"/>
      <w:r w:rsidRPr="00B462CD">
        <w:rPr>
          <w:rFonts w:ascii="Arial" w:eastAsia="Times New Roman" w:hAnsi="Arial" w:cs="Arial"/>
          <w:kern w:val="0"/>
          <w:lang w:eastAsia="en-US"/>
          <w14:ligatures w14:val="none"/>
        </w:rPr>
        <w:t>Nazroo</w:t>
      </w:r>
      <w:proofErr w:type="spellEnd"/>
      <w:r w:rsidRPr="00B462CD">
        <w:rPr>
          <w:rFonts w:ascii="Arial" w:eastAsia="Times New Roman" w:hAnsi="Arial" w:cs="Arial"/>
          <w:kern w:val="0"/>
          <w:lang w:eastAsia="en-US"/>
          <w14:ligatures w14:val="none"/>
        </w:rPr>
        <w:t xml:space="preserve">, J. (2021) ‘Migration, ethnicity and health inequality in later life’, </w:t>
      </w:r>
      <w:r w:rsidRPr="00B462CD">
        <w:rPr>
          <w:rFonts w:ascii="Arial" w:eastAsia="Times New Roman" w:hAnsi="Arial" w:cs="Arial"/>
          <w:i/>
          <w:iCs/>
          <w:kern w:val="0"/>
          <w:lang w:eastAsia="en-US"/>
          <w14:ligatures w14:val="none"/>
        </w:rPr>
        <w:t>Ageing &amp; Society</w:t>
      </w:r>
      <w:r w:rsidRPr="00B462CD">
        <w:rPr>
          <w:rFonts w:ascii="Arial" w:eastAsia="Times New Roman" w:hAnsi="Arial" w:cs="Arial"/>
          <w:kern w:val="0"/>
          <w:lang w:eastAsia="en-US"/>
          <w14:ligatures w14:val="none"/>
        </w:rPr>
        <w:t>, 41(1), pp. 1–17.</w:t>
      </w:r>
    </w:p>
    <w:p w14:paraId="015A4A6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NHS England (2022) </w:t>
      </w:r>
      <w:r w:rsidRPr="00B462CD">
        <w:rPr>
          <w:rFonts w:ascii="Arial" w:eastAsia="Times New Roman" w:hAnsi="Arial" w:cs="Arial"/>
          <w:i/>
          <w:iCs/>
          <w:kern w:val="0"/>
          <w:lang w:eastAsia="en-US"/>
          <w14:ligatures w14:val="none"/>
        </w:rPr>
        <w:t>Access to healthcare for people with no fixed abode</w:t>
      </w:r>
      <w:r w:rsidRPr="00B462CD">
        <w:rPr>
          <w:rFonts w:ascii="Arial" w:eastAsia="Times New Roman" w:hAnsi="Arial" w:cs="Arial"/>
          <w:kern w:val="0"/>
          <w:lang w:eastAsia="en-US"/>
          <w14:ligatures w14:val="none"/>
        </w:rPr>
        <w:t xml:space="preserve">. Available at: </w:t>
      </w:r>
      <w:hyperlink r:id="rId28" w:tgtFrame="_new" w:history="1">
        <w:r w:rsidRPr="00B462CD">
          <w:rPr>
            <w:rFonts w:ascii="Arial" w:eastAsia="Times New Roman" w:hAnsi="Arial" w:cs="Arial"/>
            <w:color w:val="0000FF"/>
            <w:kern w:val="0"/>
            <w:u w:val="single"/>
            <w:lang w:eastAsia="en-US"/>
            <w14:ligatures w14:val="none"/>
          </w:rPr>
          <w:t>https://www.england.nhs.uk/publication/access-to-healthcare-for-people-with-no-fixed-abode/</w:t>
        </w:r>
      </w:hyperlink>
      <w:r w:rsidRPr="00B462CD">
        <w:rPr>
          <w:rFonts w:ascii="Arial" w:eastAsia="Times New Roman" w:hAnsi="Arial" w:cs="Arial"/>
          <w:kern w:val="0"/>
          <w:lang w:eastAsia="en-US"/>
          <w14:ligatures w14:val="none"/>
        </w:rPr>
        <w:t xml:space="preserve"> (Accessed: 2 December 2025).</w:t>
      </w:r>
    </w:p>
    <w:p w14:paraId="7FE5D2CB"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Office for National Statistics (2020) </w:t>
      </w:r>
      <w:r w:rsidRPr="00B462CD">
        <w:rPr>
          <w:rFonts w:ascii="Arial" w:eastAsia="Times New Roman" w:hAnsi="Arial" w:cs="Arial"/>
          <w:i/>
          <w:iCs/>
          <w:kern w:val="0"/>
          <w:lang w:eastAsia="en-US"/>
          <w14:ligatures w14:val="none"/>
        </w:rPr>
        <w:t>Coronavirus (COVID-19) related deaths by ethnic group, England and Wales</w:t>
      </w:r>
      <w:r w:rsidRPr="00B462CD">
        <w:rPr>
          <w:rFonts w:ascii="Arial" w:eastAsia="Times New Roman" w:hAnsi="Arial" w:cs="Arial"/>
          <w:kern w:val="0"/>
          <w:lang w:eastAsia="en-US"/>
          <w14:ligatures w14:val="none"/>
        </w:rPr>
        <w:t xml:space="preserve">. Available at: </w:t>
      </w:r>
      <w:hyperlink r:id="rId29" w:tgtFrame="_new" w:history="1">
        <w:r w:rsidRPr="00B462CD">
          <w:rPr>
            <w:rFonts w:ascii="Arial" w:eastAsia="Times New Roman" w:hAnsi="Arial" w:cs="Arial"/>
            <w:color w:val="0000FF"/>
            <w:kern w:val="0"/>
            <w:u w:val="single"/>
            <w:lang w:eastAsia="en-US"/>
            <w14:ligatures w14:val="none"/>
          </w:rPr>
          <w:t>https://www.ons.gov.uk/</w:t>
        </w:r>
      </w:hyperlink>
      <w:r w:rsidRPr="00B462CD">
        <w:rPr>
          <w:rFonts w:ascii="Arial" w:eastAsia="Times New Roman" w:hAnsi="Arial" w:cs="Arial"/>
          <w:kern w:val="0"/>
          <w:lang w:eastAsia="en-US"/>
          <w14:ligatures w14:val="none"/>
        </w:rPr>
        <w:t xml:space="preserve"> (Accessed: 21 December 2025).</w:t>
      </w:r>
    </w:p>
    <w:p w14:paraId="2ED4B37A"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Office for National Statistics (2021) </w:t>
      </w:r>
      <w:r w:rsidRPr="00B462CD">
        <w:rPr>
          <w:rFonts w:ascii="Arial" w:eastAsia="Times New Roman" w:hAnsi="Arial" w:cs="Arial"/>
          <w:i/>
          <w:iCs/>
          <w:kern w:val="0"/>
          <w:lang w:eastAsia="en-US"/>
          <w14:ligatures w14:val="none"/>
        </w:rPr>
        <w:t>Census 2021</w:t>
      </w:r>
      <w:r w:rsidRPr="00B462CD">
        <w:rPr>
          <w:rFonts w:ascii="Arial" w:eastAsia="Times New Roman" w:hAnsi="Arial" w:cs="Arial"/>
          <w:kern w:val="0"/>
          <w:lang w:eastAsia="en-US"/>
          <w14:ligatures w14:val="none"/>
        </w:rPr>
        <w:t xml:space="preserve">. Available at: </w:t>
      </w:r>
      <w:hyperlink r:id="rId30" w:tgtFrame="_new" w:history="1">
        <w:r w:rsidRPr="00B462CD">
          <w:rPr>
            <w:rFonts w:ascii="Arial" w:eastAsia="Times New Roman" w:hAnsi="Arial" w:cs="Arial"/>
            <w:color w:val="0000FF"/>
            <w:kern w:val="0"/>
            <w:u w:val="single"/>
            <w:lang w:eastAsia="en-US"/>
            <w14:ligatures w14:val="none"/>
          </w:rPr>
          <w:t>https://www.ons.gov.uk/census/2021census</w:t>
        </w:r>
      </w:hyperlink>
      <w:r w:rsidRPr="00B462CD">
        <w:rPr>
          <w:rFonts w:ascii="Arial" w:eastAsia="Times New Roman" w:hAnsi="Arial" w:cs="Arial"/>
          <w:kern w:val="0"/>
          <w:lang w:eastAsia="en-US"/>
          <w14:ligatures w14:val="none"/>
        </w:rPr>
        <w:t xml:space="preserve"> (Accessed: 14 December 2025).</w:t>
      </w:r>
    </w:p>
    <w:p w14:paraId="30F62CC2"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Patton, M.Q. (2015) </w:t>
      </w:r>
      <w:r w:rsidRPr="00B462CD">
        <w:rPr>
          <w:rFonts w:ascii="Arial" w:eastAsia="Times New Roman" w:hAnsi="Arial" w:cs="Arial"/>
          <w:i/>
          <w:iCs/>
          <w:kern w:val="0"/>
          <w:lang w:eastAsia="en-US"/>
          <w14:ligatures w14:val="none"/>
        </w:rPr>
        <w:t>Qualitative research and evaluation methods</w:t>
      </w:r>
      <w:r w:rsidRPr="00B462CD">
        <w:rPr>
          <w:rFonts w:ascii="Arial" w:eastAsia="Times New Roman" w:hAnsi="Arial" w:cs="Arial"/>
          <w:kern w:val="0"/>
          <w:lang w:eastAsia="en-US"/>
          <w14:ligatures w14:val="none"/>
        </w:rPr>
        <w:t xml:space="preserve">. 4th </w:t>
      </w:r>
      <w:proofErr w:type="spellStart"/>
      <w:r w:rsidRPr="00B462CD">
        <w:rPr>
          <w:rFonts w:ascii="Arial" w:eastAsia="Times New Roman" w:hAnsi="Arial" w:cs="Arial"/>
          <w:kern w:val="0"/>
          <w:lang w:eastAsia="en-US"/>
          <w14:ligatures w14:val="none"/>
        </w:rPr>
        <w:t>edn</w:t>
      </w:r>
      <w:proofErr w:type="spellEnd"/>
      <w:r w:rsidRPr="00B462CD">
        <w:rPr>
          <w:rFonts w:ascii="Arial" w:eastAsia="Times New Roman" w:hAnsi="Arial" w:cs="Arial"/>
          <w:kern w:val="0"/>
          <w:lang w:eastAsia="en-US"/>
          <w14:ligatures w14:val="none"/>
        </w:rPr>
        <w:t>. Los Angeles: Sage.</w:t>
      </w:r>
    </w:p>
    <w:p w14:paraId="6F1FD55B"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Pemberton, S. and Stevens, C. (2019) ‘Food, culture, and identity’, </w:t>
      </w:r>
      <w:r w:rsidRPr="00B462CD">
        <w:rPr>
          <w:rFonts w:ascii="Arial" w:eastAsia="Times New Roman" w:hAnsi="Arial" w:cs="Arial"/>
          <w:i/>
          <w:iCs/>
          <w:kern w:val="0"/>
          <w:lang w:eastAsia="en-US"/>
          <w14:ligatures w14:val="none"/>
        </w:rPr>
        <w:t>Appetite</w:t>
      </w:r>
      <w:r w:rsidRPr="00B462CD">
        <w:rPr>
          <w:rFonts w:ascii="Arial" w:eastAsia="Times New Roman" w:hAnsi="Arial" w:cs="Arial"/>
          <w:kern w:val="0"/>
          <w:lang w:eastAsia="en-US"/>
          <w14:ligatures w14:val="none"/>
        </w:rPr>
        <w:t>, 141, 104307.</w:t>
      </w:r>
    </w:p>
    <w:p w14:paraId="3348FDD1"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Phillimore, J.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(2020) ‘Health vulnerability, integration, and policy’, </w:t>
      </w:r>
      <w:r w:rsidRPr="00B462CD">
        <w:rPr>
          <w:rFonts w:ascii="Arial" w:eastAsia="Times New Roman" w:hAnsi="Arial" w:cs="Arial"/>
          <w:i/>
          <w:iCs/>
          <w:kern w:val="0"/>
          <w:lang w:eastAsia="en-US"/>
          <w14:ligatures w14:val="none"/>
        </w:rPr>
        <w:t>Comparative Migration Studies</w:t>
      </w:r>
      <w:r w:rsidRPr="00B462CD">
        <w:rPr>
          <w:rFonts w:ascii="Arial" w:eastAsia="Times New Roman" w:hAnsi="Arial" w:cs="Arial"/>
          <w:kern w:val="0"/>
          <w:lang w:eastAsia="en-US"/>
          <w14:ligatures w14:val="none"/>
        </w:rPr>
        <w:t>, 8(1), pp. 1–18.</w:t>
      </w:r>
    </w:p>
    <w:p w14:paraId="123E1B36"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Public Health England (2021) </w:t>
      </w:r>
      <w:r w:rsidRPr="00B462CD">
        <w:rPr>
          <w:rFonts w:ascii="Arial" w:eastAsia="Times New Roman" w:hAnsi="Arial" w:cs="Arial"/>
          <w:i/>
          <w:iCs/>
          <w:kern w:val="0"/>
          <w:lang w:eastAsia="en-US"/>
          <w14:ligatures w14:val="none"/>
        </w:rPr>
        <w:t>Health profile for England 2021</w:t>
      </w:r>
      <w:r w:rsidRPr="00B462CD">
        <w:rPr>
          <w:rFonts w:ascii="Arial" w:eastAsia="Times New Roman" w:hAnsi="Arial" w:cs="Arial"/>
          <w:kern w:val="0"/>
          <w:lang w:eastAsia="en-US"/>
          <w14:ligatures w14:val="none"/>
        </w:rPr>
        <w:t>. London: PHE.</w:t>
      </w:r>
    </w:p>
    <w:p w14:paraId="73A6A9C0"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Public Health England (2023) </w:t>
      </w:r>
      <w:r w:rsidRPr="00B462CD">
        <w:rPr>
          <w:rFonts w:ascii="Arial" w:eastAsia="Times New Roman" w:hAnsi="Arial" w:cs="Arial"/>
          <w:i/>
          <w:iCs/>
          <w:kern w:val="0"/>
          <w:lang w:eastAsia="en-US"/>
          <w14:ligatures w14:val="none"/>
        </w:rPr>
        <w:t>Health inequalities in London: Update and future challenges</w:t>
      </w:r>
      <w:r w:rsidRPr="00B462CD">
        <w:rPr>
          <w:rFonts w:ascii="Arial" w:eastAsia="Times New Roman" w:hAnsi="Arial" w:cs="Arial"/>
          <w:kern w:val="0"/>
          <w:lang w:eastAsia="en-US"/>
          <w14:ligatures w14:val="none"/>
        </w:rPr>
        <w:t>. London: PHE.</w:t>
      </w:r>
    </w:p>
    <w:p w14:paraId="5BCB215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Salway, S.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(2016) ‘Migration and health in an increasingly diverse Europe’, </w:t>
      </w:r>
      <w:r w:rsidRPr="00B462CD">
        <w:rPr>
          <w:rFonts w:ascii="Arial" w:eastAsia="Times New Roman" w:hAnsi="Arial" w:cs="Arial"/>
          <w:i/>
          <w:iCs/>
          <w:kern w:val="0"/>
          <w:lang w:eastAsia="en-US"/>
          <w14:ligatures w14:val="none"/>
        </w:rPr>
        <w:t>The Lancet</w:t>
      </w:r>
      <w:r w:rsidRPr="00B462CD">
        <w:rPr>
          <w:rFonts w:ascii="Arial" w:eastAsia="Times New Roman" w:hAnsi="Arial" w:cs="Arial"/>
          <w:kern w:val="0"/>
          <w:lang w:eastAsia="en-US"/>
          <w14:ligatures w14:val="none"/>
        </w:rPr>
        <w:t>, 388(10056), pp. 1275–1276.</w:t>
      </w:r>
    </w:p>
    <w:p w14:paraId="1ACBB4F2"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Shelter (2023) </w:t>
      </w:r>
      <w:r w:rsidRPr="00B462CD">
        <w:rPr>
          <w:rFonts w:ascii="Arial" w:eastAsia="Times New Roman" w:hAnsi="Arial" w:cs="Arial"/>
          <w:i/>
          <w:iCs/>
          <w:kern w:val="0"/>
          <w:lang w:eastAsia="en-US"/>
          <w14:ligatures w14:val="none"/>
        </w:rPr>
        <w:t>Homelessness in England: Official statistics 2023</w:t>
      </w:r>
      <w:r w:rsidRPr="00B462CD">
        <w:rPr>
          <w:rFonts w:ascii="Arial" w:eastAsia="Times New Roman" w:hAnsi="Arial" w:cs="Arial"/>
          <w:kern w:val="0"/>
          <w:lang w:eastAsia="en-US"/>
          <w14:ligatures w14:val="none"/>
        </w:rPr>
        <w:t xml:space="preserve">. Available at: </w:t>
      </w:r>
      <w:hyperlink r:id="rId31" w:tgtFrame="_new" w:history="1">
        <w:r w:rsidRPr="00B462CD">
          <w:rPr>
            <w:rFonts w:ascii="Arial" w:eastAsia="Times New Roman" w:hAnsi="Arial" w:cs="Arial"/>
            <w:color w:val="0000FF"/>
            <w:kern w:val="0"/>
            <w:u w:val="single"/>
            <w:lang w:eastAsia="en-US"/>
            <w14:ligatures w14:val="none"/>
          </w:rPr>
          <w:t>https://england.shelter.org.uk/professional_resources/homelessness_in_england</w:t>
        </w:r>
      </w:hyperlink>
      <w:r w:rsidRPr="00B462CD">
        <w:rPr>
          <w:rFonts w:ascii="Arial" w:eastAsia="Times New Roman" w:hAnsi="Arial" w:cs="Arial"/>
          <w:kern w:val="0"/>
          <w:lang w:eastAsia="en-US"/>
          <w14:ligatures w14:val="none"/>
        </w:rPr>
        <w:t xml:space="preserve"> (Accessed: 15 December 2025).</w:t>
      </w:r>
    </w:p>
    <w:p w14:paraId="13E95852"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Simich, L.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(2005) ‘Providing social support for immigrants and refugees in Canada’, </w:t>
      </w:r>
      <w:r w:rsidRPr="00B462CD">
        <w:rPr>
          <w:rFonts w:ascii="Arial" w:eastAsia="Times New Roman" w:hAnsi="Arial" w:cs="Arial"/>
          <w:i/>
          <w:iCs/>
          <w:kern w:val="0"/>
          <w:lang w:eastAsia="en-US"/>
          <w14:ligatures w14:val="none"/>
        </w:rPr>
        <w:t>Journal of Immigrant and Minority Health</w:t>
      </w:r>
      <w:r w:rsidRPr="00B462CD">
        <w:rPr>
          <w:rFonts w:ascii="Arial" w:eastAsia="Times New Roman" w:hAnsi="Arial" w:cs="Arial"/>
          <w:kern w:val="0"/>
          <w:lang w:eastAsia="en-US"/>
          <w14:ligatures w14:val="none"/>
        </w:rPr>
        <w:t>, 7(4), pp. 259–268.</w:t>
      </w:r>
    </w:p>
    <w:p w14:paraId="79EE024D"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Sime, D. (2021) ‘Language, belonging and the wellbeing of migrant children’, </w:t>
      </w:r>
      <w:r w:rsidRPr="00B462CD">
        <w:rPr>
          <w:rFonts w:ascii="Arial" w:eastAsia="Times New Roman" w:hAnsi="Arial" w:cs="Arial"/>
          <w:i/>
          <w:iCs/>
          <w:kern w:val="0"/>
          <w:lang w:eastAsia="en-US"/>
          <w14:ligatures w14:val="none"/>
        </w:rPr>
        <w:t>Children &amp; Society</w:t>
      </w:r>
      <w:r w:rsidRPr="00B462CD">
        <w:rPr>
          <w:rFonts w:ascii="Arial" w:eastAsia="Times New Roman" w:hAnsi="Arial" w:cs="Arial"/>
          <w:kern w:val="0"/>
          <w:lang w:eastAsia="en-US"/>
          <w14:ligatures w14:val="none"/>
        </w:rPr>
        <w:t>, 35(2), pp. 205–220.</w:t>
      </w:r>
    </w:p>
    <w:p w14:paraId="3ADB2CDF"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Smith, J. and McBean, G. (2022) ‘Environmental adaptation and migrant health in the UK’, </w:t>
      </w:r>
      <w:r w:rsidRPr="00B462CD">
        <w:rPr>
          <w:rFonts w:ascii="Arial" w:eastAsia="Times New Roman" w:hAnsi="Arial" w:cs="Arial"/>
          <w:i/>
          <w:iCs/>
          <w:kern w:val="0"/>
          <w:lang w:eastAsia="en-US"/>
          <w14:ligatures w14:val="none"/>
        </w:rPr>
        <w:t>Public Health</w:t>
      </w:r>
      <w:r w:rsidRPr="00B462CD">
        <w:rPr>
          <w:rFonts w:ascii="Arial" w:eastAsia="Times New Roman" w:hAnsi="Arial" w:cs="Arial"/>
          <w:kern w:val="0"/>
          <w:lang w:eastAsia="en-US"/>
          <w14:ligatures w14:val="none"/>
        </w:rPr>
        <w:t>, 203, pp. 89–95.</w:t>
      </w:r>
    </w:p>
    <w:p w14:paraId="05554C3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Sumption, M. and Kone, Z. (2018) </w:t>
      </w:r>
      <w:r w:rsidRPr="00B462CD">
        <w:rPr>
          <w:rFonts w:ascii="Arial" w:eastAsia="Times New Roman" w:hAnsi="Arial" w:cs="Arial"/>
          <w:i/>
          <w:iCs/>
          <w:kern w:val="0"/>
          <w:lang w:eastAsia="en-US"/>
          <w14:ligatures w14:val="none"/>
        </w:rPr>
        <w:t xml:space="preserve">Unsettled </w:t>
      </w:r>
      <w:proofErr w:type="gramStart"/>
      <w:r w:rsidRPr="00B462CD">
        <w:rPr>
          <w:rFonts w:ascii="Arial" w:eastAsia="Times New Roman" w:hAnsi="Arial" w:cs="Arial"/>
          <w:i/>
          <w:iCs/>
          <w:kern w:val="0"/>
          <w:lang w:eastAsia="en-US"/>
          <w14:ligatures w14:val="none"/>
        </w:rPr>
        <w:t>status?</w:t>
      </w:r>
      <w:r w:rsidRPr="00B462CD">
        <w:rPr>
          <w:rFonts w:ascii="Arial" w:eastAsia="Times New Roman" w:hAnsi="Arial" w:cs="Arial"/>
          <w:kern w:val="0"/>
          <w:lang w:eastAsia="en-US"/>
          <w14:ligatures w14:val="none"/>
        </w:rPr>
        <w:t>.</w:t>
      </w:r>
      <w:proofErr w:type="gramEnd"/>
      <w:r w:rsidRPr="00B462CD">
        <w:rPr>
          <w:rFonts w:ascii="Arial" w:eastAsia="Times New Roman" w:hAnsi="Arial" w:cs="Arial"/>
          <w:kern w:val="0"/>
          <w:lang w:eastAsia="en-US"/>
          <w14:ligatures w14:val="none"/>
        </w:rPr>
        <w:t xml:space="preserve"> Oxford: Migration Observatory, University of Oxford.</w:t>
      </w:r>
    </w:p>
    <w:p w14:paraId="345AA936"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Temple, B. and Young, A. (2004) ‘Qualitative research and translation dilemmas’, </w:t>
      </w:r>
      <w:r w:rsidRPr="00B462CD">
        <w:rPr>
          <w:rFonts w:ascii="Arial" w:eastAsia="Times New Roman" w:hAnsi="Arial" w:cs="Arial"/>
          <w:i/>
          <w:iCs/>
          <w:kern w:val="0"/>
          <w:lang w:eastAsia="en-US"/>
          <w14:ligatures w14:val="none"/>
        </w:rPr>
        <w:t>Qualitative Research</w:t>
      </w:r>
      <w:r w:rsidRPr="00B462CD">
        <w:rPr>
          <w:rFonts w:ascii="Arial" w:eastAsia="Times New Roman" w:hAnsi="Arial" w:cs="Arial"/>
          <w:kern w:val="0"/>
          <w:lang w:eastAsia="en-US"/>
          <w14:ligatures w14:val="none"/>
        </w:rPr>
        <w:t>, 4(2), pp. 161–178.</w:t>
      </w:r>
    </w:p>
    <w:p w14:paraId="151A496C"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Tower Hamlets Council (2022) </w:t>
      </w:r>
      <w:r w:rsidRPr="00B462CD">
        <w:rPr>
          <w:rFonts w:ascii="Arial" w:eastAsia="Times New Roman" w:hAnsi="Arial" w:cs="Arial"/>
          <w:i/>
          <w:iCs/>
          <w:kern w:val="0"/>
          <w:lang w:eastAsia="en-US"/>
          <w14:ligatures w14:val="none"/>
        </w:rPr>
        <w:t>Population facts and figures</w:t>
      </w:r>
      <w:r w:rsidRPr="00B462CD">
        <w:rPr>
          <w:rFonts w:ascii="Arial" w:eastAsia="Times New Roman" w:hAnsi="Arial" w:cs="Arial"/>
          <w:kern w:val="0"/>
          <w:lang w:eastAsia="en-US"/>
          <w14:ligatures w14:val="none"/>
        </w:rPr>
        <w:t xml:space="preserve">. Available at: </w:t>
      </w:r>
      <w:hyperlink r:id="rId32" w:tgtFrame="_new" w:history="1">
        <w:r w:rsidRPr="00B462CD">
          <w:rPr>
            <w:rFonts w:ascii="Arial" w:eastAsia="Times New Roman" w:hAnsi="Arial" w:cs="Arial"/>
            <w:color w:val="0000FF"/>
            <w:kern w:val="0"/>
            <w:u w:val="single"/>
            <w:lang w:eastAsia="en-US"/>
            <w14:ligatures w14:val="none"/>
          </w:rPr>
          <w:t>https://www.towerhamlets.gov.uk/lgnl/community_and_living/borough_statistics/population.aspx</w:t>
        </w:r>
      </w:hyperlink>
      <w:r w:rsidRPr="00B462CD">
        <w:rPr>
          <w:rFonts w:ascii="Arial" w:eastAsia="Times New Roman" w:hAnsi="Arial" w:cs="Arial"/>
          <w:kern w:val="0"/>
          <w:lang w:eastAsia="en-US"/>
          <w14:ligatures w14:val="none"/>
        </w:rPr>
        <w:t xml:space="preserve"> (Accessed: 12 December 2025).</w:t>
      </w:r>
    </w:p>
    <w:p w14:paraId="2C7F6EAE"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Trust for London (2023) </w:t>
      </w:r>
      <w:r w:rsidRPr="00B462CD">
        <w:rPr>
          <w:rFonts w:ascii="Arial" w:eastAsia="Times New Roman" w:hAnsi="Arial" w:cs="Arial"/>
          <w:i/>
          <w:iCs/>
          <w:kern w:val="0"/>
          <w:lang w:eastAsia="en-US"/>
          <w14:ligatures w14:val="none"/>
        </w:rPr>
        <w:t>London’s poverty profile 2023</w:t>
      </w:r>
      <w:r w:rsidRPr="00B462CD">
        <w:rPr>
          <w:rFonts w:ascii="Arial" w:eastAsia="Times New Roman" w:hAnsi="Arial" w:cs="Arial"/>
          <w:kern w:val="0"/>
          <w:lang w:eastAsia="en-US"/>
          <w14:ligatures w14:val="none"/>
        </w:rPr>
        <w:t xml:space="preserve">. Available at: </w:t>
      </w:r>
      <w:hyperlink r:id="rId33" w:tgtFrame="_new" w:history="1">
        <w:r w:rsidRPr="00B462CD">
          <w:rPr>
            <w:rFonts w:ascii="Arial" w:eastAsia="Times New Roman" w:hAnsi="Arial" w:cs="Arial"/>
            <w:color w:val="0000FF"/>
            <w:kern w:val="0"/>
            <w:u w:val="single"/>
            <w:lang w:eastAsia="en-US"/>
            <w14:ligatures w14:val="none"/>
          </w:rPr>
          <w:t>https://www.trustforlondon.org.uk/data/</w:t>
        </w:r>
      </w:hyperlink>
      <w:r w:rsidRPr="00B462CD">
        <w:rPr>
          <w:rFonts w:ascii="Arial" w:eastAsia="Times New Roman" w:hAnsi="Arial" w:cs="Arial"/>
          <w:kern w:val="0"/>
          <w:lang w:eastAsia="en-US"/>
          <w14:ligatures w14:val="none"/>
        </w:rPr>
        <w:t xml:space="preserve"> (Accessed: 11 January 2026).</w:t>
      </w:r>
    </w:p>
    <w:p w14:paraId="2FC5D6C3"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proofErr w:type="spellStart"/>
      <w:r w:rsidRPr="00B462CD">
        <w:rPr>
          <w:rFonts w:ascii="Arial" w:eastAsia="Times New Roman" w:hAnsi="Arial" w:cs="Arial"/>
          <w:kern w:val="0"/>
          <w:lang w:eastAsia="en-US"/>
          <w14:ligatures w14:val="none"/>
        </w:rPr>
        <w:t>Vertovec</w:t>
      </w:r>
      <w:proofErr w:type="spellEnd"/>
      <w:r w:rsidRPr="00B462CD">
        <w:rPr>
          <w:rFonts w:ascii="Arial" w:eastAsia="Times New Roman" w:hAnsi="Arial" w:cs="Arial"/>
          <w:kern w:val="0"/>
          <w:lang w:eastAsia="en-US"/>
          <w14:ligatures w14:val="none"/>
        </w:rPr>
        <w:t xml:space="preserve">, S. (2007) ‘Super-diversity and its implications’, </w:t>
      </w:r>
      <w:r w:rsidRPr="00B462CD">
        <w:rPr>
          <w:rFonts w:ascii="Arial" w:eastAsia="Times New Roman" w:hAnsi="Arial" w:cs="Arial"/>
          <w:i/>
          <w:iCs/>
          <w:kern w:val="0"/>
          <w:lang w:eastAsia="en-US"/>
          <w14:ligatures w14:val="none"/>
        </w:rPr>
        <w:t>Ethnic and Racial Studies</w:t>
      </w:r>
      <w:r w:rsidRPr="00B462CD">
        <w:rPr>
          <w:rFonts w:ascii="Arial" w:eastAsia="Times New Roman" w:hAnsi="Arial" w:cs="Arial"/>
          <w:kern w:val="0"/>
          <w:lang w:eastAsia="en-US"/>
          <w14:ligatures w14:val="none"/>
        </w:rPr>
        <w:t>, 30(6), pp. 1024–1054.</w:t>
      </w:r>
    </w:p>
    <w:p w14:paraId="53CCD09A"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Virdee, S. (2020) ‘Racialized capitalism’, </w:t>
      </w:r>
      <w:r w:rsidRPr="00B462CD">
        <w:rPr>
          <w:rFonts w:ascii="Arial" w:eastAsia="Times New Roman" w:hAnsi="Arial" w:cs="Arial"/>
          <w:i/>
          <w:iCs/>
          <w:kern w:val="0"/>
          <w:lang w:eastAsia="en-US"/>
          <w14:ligatures w14:val="none"/>
        </w:rPr>
        <w:t>The Sociological Review</w:t>
      </w:r>
      <w:r w:rsidRPr="00B462CD">
        <w:rPr>
          <w:rFonts w:ascii="Arial" w:eastAsia="Times New Roman" w:hAnsi="Arial" w:cs="Arial"/>
          <w:kern w:val="0"/>
          <w:lang w:eastAsia="en-US"/>
          <w14:ligatures w14:val="none"/>
        </w:rPr>
        <w:t>, 68(6), pp. 1046–1067.</w:t>
      </w:r>
    </w:p>
    <w:p w14:paraId="736B9502"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World Health Organization (2021) </w:t>
      </w:r>
      <w:r w:rsidRPr="00B462CD">
        <w:rPr>
          <w:rFonts w:ascii="Arial" w:eastAsia="Times New Roman" w:hAnsi="Arial" w:cs="Arial"/>
          <w:i/>
          <w:iCs/>
          <w:kern w:val="0"/>
          <w:lang w:eastAsia="en-US"/>
          <w14:ligatures w14:val="none"/>
        </w:rPr>
        <w:t>Social determinants of health</w:t>
      </w:r>
      <w:r w:rsidRPr="00B462CD">
        <w:rPr>
          <w:rFonts w:ascii="Arial" w:eastAsia="Times New Roman" w:hAnsi="Arial" w:cs="Arial"/>
          <w:kern w:val="0"/>
          <w:lang w:eastAsia="en-US"/>
          <w14:ligatures w14:val="none"/>
        </w:rPr>
        <w:t xml:space="preserve">. Available at: </w:t>
      </w:r>
      <w:hyperlink r:id="rId34" w:tgtFrame="_new" w:history="1">
        <w:r w:rsidRPr="00B462CD">
          <w:rPr>
            <w:rFonts w:ascii="Arial" w:eastAsia="Times New Roman" w:hAnsi="Arial" w:cs="Arial"/>
            <w:color w:val="0000FF"/>
            <w:kern w:val="0"/>
            <w:u w:val="single"/>
            <w:lang w:eastAsia="en-US"/>
            <w14:ligatures w14:val="none"/>
          </w:rPr>
          <w:t>https://www.who.int/health-topics/social-determinants-of-health</w:t>
        </w:r>
      </w:hyperlink>
      <w:r w:rsidRPr="00B462CD">
        <w:rPr>
          <w:rFonts w:ascii="Arial" w:eastAsia="Times New Roman" w:hAnsi="Arial" w:cs="Arial"/>
          <w:kern w:val="0"/>
          <w:lang w:eastAsia="en-US"/>
          <w14:ligatures w14:val="none"/>
        </w:rPr>
        <w:t xml:space="preserve"> (Accessed: 10 October 2025).</w:t>
      </w:r>
    </w:p>
    <w:p w14:paraId="0140719B" w14:textId="77777777" w:rsidR="00956BA7" w:rsidRPr="00B462CD" w:rsidRDefault="00956BA7"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Yuval-Davis, N. </w:t>
      </w:r>
      <w:r w:rsidRPr="00B462CD">
        <w:rPr>
          <w:rFonts w:ascii="Arial" w:eastAsia="Times New Roman" w:hAnsi="Arial" w:cs="Arial"/>
          <w:i/>
          <w:iCs/>
          <w:kern w:val="0"/>
          <w:lang w:eastAsia="en-US"/>
          <w14:ligatures w14:val="none"/>
        </w:rPr>
        <w:t>et al.</w:t>
      </w:r>
      <w:r w:rsidRPr="00B462CD">
        <w:rPr>
          <w:rFonts w:ascii="Arial" w:eastAsia="Times New Roman" w:hAnsi="Arial" w:cs="Arial"/>
          <w:kern w:val="0"/>
          <w:lang w:eastAsia="en-US"/>
          <w14:ligatures w14:val="none"/>
        </w:rPr>
        <w:t xml:space="preserve"> (2019) </w:t>
      </w:r>
      <w:r w:rsidRPr="00B462CD">
        <w:rPr>
          <w:rFonts w:ascii="Arial" w:eastAsia="Times New Roman" w:hAnsi="Arial" w:cs="Arial"/>
          <w:i/>
          <w:iCs/>
          <w:kern w:val="0"/>
          <w:lang w:eastAsia="en-US"/>
          <w14:ligatures w14:val="none"/>
        </w:rPr>
        <w:t>Bordering</w:t>
      </w:r>
      <w:r w:rsidRPr="00B462CD">
        <w:rPr>
          <w:rFonts w:ascii="Arial" w:eastAsia="Times New Roman" w:hAnsi="Arial" w:cs="Arial"/>
          <w:kern w:val="0"/>
          <w:lang w:eastAsia="en-US"/>
          <w14:ligatures w14:val="none"/>
        </w:rPr>
        <w:t>. Cambridge: Polity Press.</w:t>
      </w:r>
    </w:p>
    <w:p w14:paraId="2D0BFE61" w14:textId="77777777" w:rsidR="00D348C8" w:rsidRPr="00B462CD" w:rsidRDefault="00D348C8" w:rsidP="00E6526D">
      <w:pPr>
        <w:spacing w:line="360" w:lineRule="auto"/>
        <w:rPr>
          <w:rFonts w:ascii="Arial" w:eastAsia="Times New Roman" w:hAnsi="Arial" w:cs="Arial"/>
          <w:b/>
          <w:bCs/>
          <w:kern w:val="0"/>
          <w:lang w:eastAsia="en-US"/>
          <w14:ligatures w14:val="none"/>
        </w:rPr>
      </w:pPr>
      <w:bookmarkStart w:id="65" w:name="_Toc220428686"/>
      <w:r w:rsidRPr="00B462CD">
        <w:rPr>
          <w:rFonts w:ascii="Arial" w:eastAsia="Times New Roman" w:hAnsi="Arial" w:cs="Arial"/>
          <w:b/>
          <w:bCs/>
          <w:kern w:val="0"/>
          <w:lang w:eastAsia="en-US"/>
          <w14:ligatures w14:val="none"/>
        </w:rPr>
        <w:br w:type="page"/>
      </w:r>
    </w:p>
    <w:p w14:paraId="59797935" w14:textId="05627415" w:rsidR="006A51CE" w:rsidRPr="00B462CD" w:rsidRDefault="006A51CE"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A</w:t>
      </w:r>
      <w:r w:rsidRPr="00B462CD">
        <w:rPr>
          <w:rFonts w:ascii="Arial" w:eastAsia="Times New Roman" w:hAnsi="Arial" w:cs="Arial"/>
          <w:b/>
          <w:bCs/>
          <w:kern w:val="0"/>
          <w:lang w:eastAsia="en-US"/>
          <w14:ligatures w14:val="none"/>
        </w:rPr>
        <w:t>:</w:t>
      </w:r>
      <w:bookmarkEnd w:id="65"/>
      <w:r w:rsidRPr="00B462CD">
        <w:rPr>
          <w:rFonts w:ascii="Arial" w:eastAsia="Times New Roman" w:hAnsi="Arial" w:cs="Arial"/>
          <w:b/>
          <w:bCs/>
          <w:kern w:val="0"/>
          <w:lang w:eastAsia="en-US"/>
          <w14:ligatures w14:val="none"/>
        </w:rPr>
        <w:t xml:space="preserve"> </w:t>
      </w:r>
    </w:p>
    <w:p w14:paraId="242BDB5E" w14:textId="77777777" w:rsidR="006A51CE" w:rsidRPr="00B462CD" w:rsidRDefault="006A51CE"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66" w:name="_Toc220428687"/>
      <w:r w:rsidRPr="00B462CD">
        <w:rPr>
          <w:rFonts w:ascii="Arial" w:eastAsia="Times New Roman" w:hAnsi="Arial" w:cs="Arial"/>
          <w:b/>
          <w:bCs/>
          <w:kern w:val="0"/>
          <w:lang w:eastAsia="en-US"/>
          <w14:ligatures w14:val="none"/>
        </w:rPr>
        <w:t>Participant Information Sheet and Consent Form</w:t>
      </w:r>
      <w:bookmarkEnd w:id="66"/>
    </w:p>
    <w:p w14:paraId="418B7B51"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67" w:name="_Toc220428688"/>
      <w:r w:rsidRPr="00B462CD">
        <w:rPr>
          <w:rFonts w:ascii="Arial" w:eastAsia="Times New Roman" w:hAnsi="Arial" w:cs="Arial"/>
          <w:b/>
          <w:bCs/>
          <w:kern w:val="0"/>
          <w:lang w:eastAsia="en-US"/>
          <w14:ligatures w14:val="none"/>
        </w:rPr>
        <w:t>Participant Information</w:t>
      </w:r>
      <w:bookmarkEnd w:id="67"/>
    </w:p>
    <w:p w14:paraId="1F06A7EC"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You are invited to participate in a research study examining </w:t>
      </w:r>
      <w:bookmarkStart w:id="68" w:name="_Hlk219310555"/>
      <w:r w:rsidRPr="00B462CD">
        <w:rPr>
          <w:rFonts w:ascii="Arial" w:eastAsia="Times New Roman" w:hAnsi="Arial" w:cs="Arial"/>
          <w:kern w:val="0"/>
          <w:lang w:eastAsia="en-US"/>
          <w14:ligatures w14:val="none"/>
        </w:rPr>
        <w:t xml:space="preserve">the health outcomes of BAME migrants living in East London. </w:t>
      </w:r>
      <w:bookmarkEnd w:id="68"/>
      <w:r w:rsidRPr="00B462CD">
        <w:rPr>
          <w:rFonts w:ascii="Arial" w:eastAsia="Times New Roman" w:hAnsi="Arial" w:cs="Arial"/>
          <w:kern w:val="0"/>
          <w:lang w:eastAsia="en-US"/>
          <w14:ligatures w14:val="none"/>
        </w:rPr>
        <w:t>This study forms part of a larger dissertation investigating how immigration status affects the health of Black, Asian, and other minoritised ethnic (BAME) migrants. The research aims to understand how migration experiences influence both physical and mental health, as well as access to healthcare services, situating your experiences within the Social Determinants of Health framework.</w:t>
      </w:r>
    </w:p>
    <w:p w14:paraId="5D64C5E0"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69" w:name="_Toc220428689"/>
      <w:r w:rsidRPr="00B462CD">
        <w:rPr>
          <w:rFonts w:ascii="Arial" w:eastAsia="Times New Roman" w:hAnsi="Arial" w:cs="Arial"/>
          <w:b/>
          <w:bCs/>
          <w:kern w:val="0"/>
          <w:lang w:eastAsia="en-US"/>
          <w14:ligatures w14:val="none"/>
        </w:rPr>
        <w:t>Key Points</w:t>
      </w:r>
      <w:bookmarkEnd w:id="69"/>
    </w:p>
    <w:p w14:paraId="7E08049A" w14:textId="2B71E145"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Voluntary Participation:</w:t>
      </w:r>
      <w:r w:rsidRPr="00B462CD">
        <w:rPr>
          <w:rFonts w:ascii="Arial" w:eastAsia="Times New Roman" w:hAnsi="Arial" w:cs="Arial"/>
          <w:kern w:val="0"/>
          <w:lang w:eastAsia="en-US"/>
          <w14:ligatures w14:val="none"/>
        </w:rPr>
        <w:t xml:space="preserve"> Your participation is entirely voluntary. You are free to withdraw from the study at any time, without giving a reason and without facing any </w:t>
      </w:r>
      <w:r w:rsidR="00200097" w:rsidRPr="00B462CD">
        <w:rPr>
          <w:rFonts w:ascii="Arial" w:eastAsia="Times New Roman" w:hAnsi="Arial" w:cs="Arial"/>
          <w:kern w:val="0"/>
          <w:lang w:eastAsia="en-US"/>
          <w14:ligatures w14:val="none"/>
        </w:rPr>
        <w:t>consequences</w:t>
      </w:r>
      <w:r w:rsidRPr="00B462CD">
        <w:rPr>
          <w:rFonts w:ascii="Arial" w:eastAsia="Times New Roman" w:hAnsi="Arial" w:cs="Arial"/>
          <w:kern w:val="0"/>
          <w:lang w:eastAsia="en-US"/>
          <w14:ligatures w14:val="none"/>
        </w:rPr>
        <w:t>.</w:t>
      </w:r>
    </w:p>
    <w:p w14:paraId="14A58D2C"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Interview Process:</w:t>
      </w:r>
      <w:r w:rsidRPr="00B462CD">
        <w:rPr>
          <w:rFonts w:ascii="Arial" w:eastAsia="Times New Roman" w:hAnsi="Arial" w:cs="Arial"/>
          <w:kern w:val="0"/>
          <w:lang w:eastAsia="en-US"/>
          <w14:ligatures w14:val="none"/>
        </w:rPr>
        <w:t xml:space="preserve"> The interview will be a one-on-one, semi-structured discussion expected to last up to 30 minutes, although there is no strict time limit. You may take breaks or stop at any point.</w:t>
      </w:r>
    </w:p>
    <w:p w14:paraId="2E2582F7"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No Payment or Reward:</w:t>
      </w:r>
      <w:r w:rsidRPr="00B462CD">
        <w:rPr>
          <w:rFonts w:ascii="Arial" w:eastAsia="Times New Roman" w:hAnsi="Arial" w:cs="Arial"/>
          <w:kern w:val="0"/>
          <w:lang w:eastAsia="en-US"/>
          <w14:ligatures w14:val="none"/>
        </w:rPr>
        <w:t xml:space="preserve"> There is no financial incentive or reward for participating in this study.</w:t>
      </w:r>
    </w:p>
    <w:p w14:paraId="701DF71F" w14:textId="6D380905"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Confidentiality and Data Security:</w:t>
      </w:r>
      <w:r w:rsidRPr="00B462CD">
        <w:rPr>
          <w:rFonts w:ascii="Arial" w:eastAsia="Times New Roman" w:hAnsi="Arial" w:cs="Arial"/>
          <w:kern w:val="0"/>
          <w:lang w:eastAsia="en-US"/>
          <w14:ligatures w14:val="none"/>
        </w:rPr>
        <w:t xml:space="preserve"> All data collected</w:t>
      </w:r>
      <w:r w:rsidR="00200097" w:rsidRPr="00B462CD">
        <w:rPr>
          <w:rFonts w:ascii="Arial" w:eastAsia="Times New Roman" w:hAnsi="Arial" w:cs="Arial"/>
          <w:kern w:val="0"/>
          <w:lang w:eastAsia="en-US"/>
          <w14:ligatures w14:val="none"/>
        </w:rPr>
        <w:t>, including audio recordings and transcripts,</w:t>
      </w:r>
      <w:r w:rsidRPr="00B462CD">
        <w:rPr>
          <w:rFonts w:ascii="Arial" w:eastAsia="Times New Roman" w:hAnsi="Arial" w:cs="Arial"/>
          <w:kern w:val="0"/>
          <w:lang w:eastAsia="en-US"/>
          <w14:ligatures w14:val="none"/>
        </w:rPr>
        <w:t xml:space="preserve"> will be treated as strictly confidential. Data will be stored securely on a password-protected University server, accessible only to the research team. All identifying information will be anonymised in any written reports or presentations. Data will be retained securely for five years, after which it will be permanently destroyed.</w:t>
      </w:r>
    </w:p>
    <w:p w14:paraId="489E65B5"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Use of Quotations:</w:t>
      </w:r>
      <w:r w:rsidRPr="00B462CD">
        <w:rPr>
          <w:rFonts w:ascii="Arial" w:eastAsia="Times New Roman" w:hAnsi="Arial" w:cs="Arial"/>
          <w:kern w:val="0"/>
          <w:lang w:eastAsia="en-US"/>
          <w14:ligatures w14:val="none"/>
        </w:rPr>
        <w:t xml:space="preserve"> Direct quotations from your interview may be used in the dissertation or academic presentations, but your identity will </w:t>
      </w:r>
      <w:proofErr w:type="gramStart"/>
      <w:r w:rsidRPr="00B462CD">
        <w:rPr>
          <w:rFonts w:ascii="Arial" w:eastAsia="Times New Roman" w:hAnsi="Arial" w:cs="Arial"/>
          <w:kern w:val="0"/>
          <w:lang w:eastAsia="en-US"/>
          <w14:ligatures w14:val="none"/>
        </w:rPr>
        <w:t>remain strictly confidential at all times</w:t>
      </w:r>
      <w:proofErr w:type="gramEnd"/>
      <w:r w:rsidRPr="00B462CD">
        <w:rPr>
          <w:rFonts w:ascii="Arial" w:eastAsia="Times New Roman" w:hAnsi="Arial" w:cs="Arial"/>
          <w:kern w:val="0"/>
          <w:lang w:eastAsia="en-US"/>
          <w14:ligatures w14:val="none"/>
        </w:rPr>
        <w:t>.</w:t>
      </w:r>
    </w:p>
    <w:p w14:paraId="7FB0BDEC"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Right to Decline:</w:t>
      </w:r>
      <w:r w:rsidRPr="00B462CD">
        <w:rPr>
          <w:rFonts w:ascii="Arial" w:eastAsia="Times New Roman" w:hAnsi="Arial" w:cs="Arial"/>
          <w:kern w:val="0"/>
          <w:lang w:eastAsia="en-US"/>
          <w14:ligatures w14:val="none"/>
        </w:rPr>
        <w:t xml:space="preserve"> You may decline to answer any question without providing a reason.</w:t>
      </w:r>
    </w:p>
    <w:p w14:paraId="1FF70C79" w14:textId="77777777" w:rsidR="00224696" w:rsidRPr="00B462CD" w:rsidRDefault="00224696" w:rsidP="00E6526D">
      <w:pPr>
        <w:spacing w:line="360" w:lineRule="auto"/>
        <w:rPr>
          <w:rFonts w:ascii="Arial" w:eastAsia="Times New Roman" w:hAnsi="Arial" w:cs="Arial"/>
          <w:b/>
          <w:bCs/>
          <w:kern w:val="0"/>
          <w:lang w:eastAsia="en-US"/>
          <w14:ligatures w14:val="none"/>
        </w:rPr>
      </w:pPr>
      <w:bookmarkStart w:id="70" w:name="_Toc220428690"/>
      <w:r w:rsidRPr="00B462CD">
        <w:rPr>
          <w:rFonts w:ascii="Arial" w:eastAsia="Times New Roman" w:hAnsi="Arial" w:cs="Arial"/>
          <w:b/>
          <w:bCs/>
          <w:kern w:val="0"/>
          <w:lang w:eastAsia="en-US"/>
          <w14:ligatures w14:val="none"/>
        </w:rPr>
        <w:br w:type="page"/>
      </w:r>
    </w:p>
    <w:p w14:paraId="3A72F986" w14:textId="19C46F85"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Contact Information</w:t>
      </w:r>
      <w:bookmarkEnd w:id="70"/>
    </w:p>
    <w:p w14:paraId="67DB6E02"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If you have any questions about the study or your participation, please contact:</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274"/>
        <w:gridCol w:w="2714"/>
        <w:gridCol w:w="3100"/>
      </w:tblGrid>
      <w:tr w:rsidR="00C94AA1" w:rsidRPr="00B462CD" w14:paraId="7A90D8F0" w14:textId="77777777" w:rsidTr="00D348C8">
        <w:trPr>
          <w:tblHeader/>
          <w:tblCellSpacing w:w="15" w:type="dxa"/>
        </w:trPr>
        <w:tc>
          <w:tcPr>
            <w:tcW w:w="0" w:type="auto"/>
            <w:tcBorders>
              <w:top w:val="nil"/>
              <w:bottom w:val="single" w:sz="4" w:space="0" w:color="auto"/>
            </w:tcBorders>
            <w:vAlign w:val="center"/>
            <w:hideMark/>
          </w:tcPr>
          <w:p w14:paraId="681824E1"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Role</w:t>
            </w:r>
          </w:p>
        </w:tc>
        <w:tc>
          <w:tcPr>
            <w:tcW w:w="0" w:type="auto"/>
            <w:tcBorders>
              <w:top w:val="nil"/>
              <w:bottom w:val="single" w:sz="4" w:space="0" w:color="auto"/>
            </w:tcBorders>
            <w:vAlign w:val="center"/>
            <w:hideMark/>
          </w:tcPr>
          <w:p w14:paraId="014BC9FF"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Name</w:t>
            </w:r>
          </w:p>
        </w:tc>
        <w:tc>
          <w:tcPr>
            <w:tcW w:w="0" w:type="auto"/>
            <w:tcBorders>
              <w:top w:val="nil"/>
              <w:bottom w:val="single" w:sz="4" w:space="0" w:color="auto"/>
            </w:tcBorders>
            <w:vAlign w:val="center"/>
            <w:hideMark/>
          </w:tcPr>
          <w:p w14:paraId="5390F196"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Contact Details</w:t>
            </w:r>
          </w:p>
        </w:tc>
      </w:tr>
      <w:tr w:rsidR="00DF5D62" w:rsidRPr="00B462CD" w14:paraId="48E997AE" w14:textId="77777777" w:rsidTr="00C94AA1">
        <w:trPr>
          <w:tblCellSpacing w:w="15" w:type="dxa"/>
        </w:trPr>
        <w:tc>
          <w:tcPr>
            <w:tcW w:w="0" w:type="auto"/>
            <w:vAlign w:val="center"/>
            <w:hideMark/>
          </w:tcPr>
          <w:p w14:paraId="21DF6580"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Researcher</w:t>
            </w:r>
          </w:p>
        </w:tc>
        <w:tc>
          <w:tcPr>
            <w:tcW w:w="0" w:type="auto"/>
            <w:vAlign w:val="center"/>
            <w:hideMark/>
          </w:tcPr>
          <w:p w14:paraId="1245B226"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Augustina Afi Acheampong</w:t>
            </w:r>
          </w:p>
        </w:tc>
        <w:tc>
          <w:tcPr>
            <w:tcW w:w="0" w:type="auto"/>
            <w:vAlign w:val="center"/>
            <w:hideMark/>
          </w:tcPr>
          <w:p w14:paraId="16D01CB2"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2424172@student.uwtsd.ac.uk</w:t>
            </w:r>
          </w:p>
        </w:tc>
      </w:tr>
      <w:tr w:rsidR="00DF5D62" w:rsidRPr="00B462CD" w14:paraId="11A3C2EB" w14:textId="77777777" w:rsidTr="00C94AA1">
        <w:trPr>
          <w:tblCellSpacing w:w="15" w:type="dxa"/>
        </w:trPr>
        <w:tc>
          <w:tcPr>
            <w:tcW w:w="0" w:type="auto"/>
            <w:vAlign w:val="center"/>
            <w:hideMark/>
          </w:tcPr>
          <w:p w14:paraId="446CBED5"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Supervisor</w:t>
            </w:r>
          </w:p>
        </w:tc>
        <w:tc>
          <w:tcPr>
            <w:tcW w:w="0" w:type="auto"/>
            <w:vAlign w:val="center"/>
            <w:hideMark/>
          </w:tcPr>
          <w:p w14:paraId="1AE1DC4E"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Dr. Olaoye </w:t>
            </w:r>
            <w:proofErr w:type="spellStart"/>
            <w:r w:rsidRPr="00B462CD">
              <w:rPr>
                <w:rFonts w:ascii="Arial" w:eastAsia="Times New Roman" w:hAnsi="Arial" w:cs="Arial"/>
                <w:kern w:val="0"/>
                <w:lang w:eastAsia="en-US"/>
                <w14:ligatures w14:val="none"/>
              </w:rPr>
              <w:t>Itse</w:t>
            </w:r>
            <w:proofErr w:type="spellEnd"/>
          </w:p>
        </w:tc>
        <w:tc>
          <w:tcPr>
            <w:tcW w:w="0" w:type="auto"/>
            <w:vAlign w:val="center"/>
            <w:hideMark/>
          </w:tcPr>
          <w:p w14:paraId="65CD5787"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i.olaoye@uwtsd.ac.uk</w:t>
            </w:r>
          </w:p>
        </w:tc>
      </w:tr>
    </w:tbl>
    <w:p w14:paraId="15AE8F8D" w14:textId="6286E19C" w:rsidR="006A51CE" w:rsidRPr="00B462CD" w:rsidRDefault="00BF1D96"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Table A1: Contact Information</w:t>
      </w:r>
    </w:p>
    <w:p w14:paraId="039E3BE4"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686C3A45" w14:textId="77777777" w:rsidR="00B257AA" w:rsidRPr="00B462CD" w:rsidRDefault="00B257A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noProof/>
          <w:kern w:val="0"/>
          <w:lang w:eastAsia="en-US"/>
          <w14:ligatures w14:val="none"/>
        </w:rPr>
        <w:drawing>
          <wp:inline distT="0" distB="0" distL="0" distR="0" wp14:anchorId="7C0FE865" wp14:editId="0953567B">
            <wp:extent cx="5731510" cy="7884160"/>
            <wp:effectExtent l="0" t="0" r="2540" b="2540"/>
            <wp:docPr id="16001116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1B045BDC"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1144C4E4"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16421AA0" w14:textId="77777777" w:rsidR="00B257AA" w:rsidRPr="00B462CD" w:rsidRDefault="00B257A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noProof/>
          <w:kern w:val="0"/>
          <w:lang w:eastAsia="en-US"/>
          <w14:ligatures w14:val="none"/>
        </w:rPr>
        <w:drawing>
          <wp:inline distT="0" distB="0" distL="0" distR="0" wp14:anchorId="5D295837" wp14:editId="162A2447">
            <wp:extent cx="5731510" cy="7884160"/>
            <wp:effectExtent l="0" t="0" r="2540" b="2540"/>
            <wp:docPr id="5311269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01041DA8"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15F26BFC" w14:textId="77777777" w:rsidR="00B257AA" w:rsidRPr="00B462CD" w:rsidRDefault="00B257A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noProof/>
          <w:kern w:val="0"/>
          <w:lang w:eastAsia="en-US"/>
          <w14:ligatures w14:val="none"/>
        </w:rPr>
        <w:drawing>
          <wp:inline distT="0" distB="0" distL="0" distR="0" wp14:anchorId="69BE79A7" wp14:editId="4B4DEEE8">
            <wp:extent cx="5731510" cy="7884160"/>
            <wp:effectExtent l="0" t="0" r="2540" b="2540"/>
            <wp:docPr id="4073539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10254DA3" w14:textId="77777777" w:rsidR="00B257AA" w:rsidRPr="00B462CD" w:rsidRDefault="00B257A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02200FD7" w14:textId="77777777" w:rsidR="00B257AA" w:rsidRPr="00B462CD" w:rsidRDefault="00B257A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noProof/>
          <w:kern w:val="0"/>
          <w:lang w:eastAsia="en-US"/>
          <w14:ligatures w14:val="none"/>
        </w:rPr>
        <w:drawing>
          <wp:inline distT="0" distB="0" distL="0" distR="0" wp14:anchorId="07D32210" wp14:editId="49CE62E1">
            <wp:extent cx="5731510" cy="7884160"/>
            <wp:effectExtent l="0" t="0" r="2540" b="2540"/>
            <wp:docPr id="16772060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230C6DFB"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2EE4013A" w14:textId="77777777" w:rsidR="00B257AA" w:rsidRPr="00B462CD" w:rsidRDefault="00B257AA" w:rsidP="00E6526D">
      <w:pPr>
        <w:spacing w:after="0" w:line="360" w:lineRule="auto"/>
        <w:rPr>
          <w:rFonts w:ascii="Arial" w:eastAsia="Times New Roman" w:hAnsi="Arial" w:cs="Arial"/>
          <w:b/>
          <w:bCs/>
          <w:kern w:val="0"/>
          <w:lang w:eastAsia="en-US"/>
          <w14:ligatures w14:val="none"/>
        </w:rPr>
      </w:pPr>
    </w:p>
    <w:p w14:paraId="64C5CE84" w14:textId="77777777" w:rsidR="006A51CE" w:rsidRPr="00B462CD" w:rsidRDefault="006A51CE" w:rsidP="00E6526D">
      <w:pPr>
        <w:spacing w:after="0" w:line="360" w:lineRule="auto"/>
        <w:rPr>
          <w:rFonts w:ascii="Arial" w:eastAsia="Times New Roman" w:hAnsi="Arial" w:cs="Arial"/>
          <w:kern w:val="0"/>
          <w:lang w:eastAsia="en-US"/>
          <w14:ligatures w14:val="none"/>
        </w:rPr>
      </w:pPr>
    </w:p>
    <w:p w14:paraId="19FDB156" w14:textId="5702C49C" w:rsidR="0077658E" w:rsidRPr="00B462CD" w:rsidRDefault="003A7EB4" w:rsidP="00E6526D">
      <w:pPr>
        <w:spacing w:line="360" w:lineRule="auto"/>
        <w:rPr>
          <w:rFonts w:ascii="Arial" w:hAnsi="Arial" w:cs="Arial"/>
          <w:b/>
          <w:bCs/>
          <w:lang w:val="en-US"/>
        </w:rPr>
      </w:pPr>
      <w:bookmarkStart w:id="71" w:name="_Toc220428691"/>
      <w:r w:rsidRPr="00B462CD">
        <w:rPr>
          <w:rFonts w:ascii="Arial" w:eastAsia="Times New Roman" w:hAnsi="Arial" w:cs="Arial"/>
          <w:b/>
          <w:bCs/>
          <w:noProof/>
          <w:color w:val="EE0000"/>
          <w:kern w:val="0"/>
          <w:lang w:eastAsia="en-US"/>
          <w14:ligatures w14:val="none"/>
        </w:rPr>
        <w:drawing>
          <wp:inline distT="0" distB="0" distL="0" distR="0" wp14:anchorId="179366FA" wp14:editId="036FCD32">
            <wp:extent cx="5731510" cy="7884160"/>
            <wp:effectExtent l="0" t="0" r="2540" b="2540"/>
            <wp:docPr id="167513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r w:rsidR="0077658E" w:rsidRPr="00B462CD">
        <w:rPr>
          <w:rFonts w:ascii="Arial" w:hAnsi="Arial" w:cs="Arial"/>
          <w:b/>
          <w:bCs/>
          <w:noProof/>
          <w:lang w:val="en-US"/>
        </w:rPr>
        <w:drawing>
          <wp:inline distT="0" distB="0" distL="0" distR="0" wp14:anchorId="1927769A" wp14:editId="72BB3770">
            <wp:extent cx="5731510" cy="7884160"/>
            <wp:effectExtent l="0" t="0" r="2540" b="2540"/>
            <wp:docPr id="98570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64CD7D73" w14:textId="3488FD58" w:rsidR="00276EDD" w:rsidRPr="00B462CD" w:rsidRDefault="00276EDD"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4B3F3DDD" w14:textId="19C0DBDD" w:rsidR="00454FD5" w:rsidRPr="00B462CD" w:rsidRDefault="00454FD5"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72" w:name="_Toc220428692"/>
      <w:bookmarkEnd w:id="71"/>
      <w:r w:rsidRPr="00B462CD">
        <w:rPr>
          <w:rFonts w:ascii="Arial" w:eastAsia="Times New Roman" w:hAnsi="Arial" w:cs="Arial"/>
          <w:b/>
          <w:bCs/>
          <w:noProof/>
          <w:color w:val="EE0000"/>
          <w:kern w:val="0"/>
          <w:lang w:eastAsia="en-US"/>
          <w14:ligatures w14:val="none"/>
        </w:rPr>
        <w:drawing>
          <wp:inline distT="0" distB="0" distL="0" distR="0" wp14:anchorId="16BF69C2" wp14:editId="553AF5EE">
            <wp:extent cx="5731510" cy="7884160"/>
            <wp:effectExtent l="0" t="0" r="2540" b="2540"/>
            <wp:docPr id="1472427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156718BF" w14:textId="77777777" w:rsidR="00454FD5" w:rsidRPr="00B462CD" w:rsidRDefault="00454FD5" w:rsidP="00E6526D">
      <w:pPr>
        <w:spacing w:before="100" w:beforeAutospacing="1" w:after="100" w:afterAutospacing="1" w:line="360" w:lineRule="auto"/>
        <w:outlineLvl w:val="1"/>
        <w:rPr>
          <w:rFonts w:ascii="Arial" w:eastAsia="Times New Roman" w:hAnsi="Arial" w:cs="Arial"/>
          <w:b/>
          <w:bCs/>
          <w:kern w:val="0"/>
          <w:lang w:eastAsia="en-US"/>
          <w14:ligatures w14:val="none"/>
        </w:rPr>
      </w:pPr>
    </w:p>
    <w:p w14:paraId="74140661" w14:textId="77777777" w:rsidR="005729B7" w:rsidRPr="00B462CD" w:rsidRDefault="005729B7" w:rsidP="00E6526D">
      <w:pPr>
        <w:spacing w:before="100" w:beforeAutospacing="1" w:after="100" w:afterAutospacing="1" w:line="360" w:lineRule="auto"/>
        <w:outlineLvl w:val="1"/>
        <w:rPr>
          <w:rFonts w:ascii="Arial" w:eastAsia="Times New Roman" w:hAnsi="Arial" w:cs="Arial"/>
          <w:b/>
          <w:bCs/>
          <w:kern w:val="0"/>
          <w:lang w:eastAsia="en-US"/>
          <w14:ligatures w14:val="none"/>
        </w:rPr>
      </w:pPr>
    </w:p>
    <w:p w14:paraId="2D62411B" w14:textId="4DC62D71" w:rsidR="005729B7" w:rsidRPr="00B462CD" w:rsidRDefault="005729B7" w:rsidP="00E6526D">
      <w:pPr>
        <w:spacing w:before="100" w:beforeAutospacing="1" w:after="100" w:afterAutospacing="1" w:line="360" w:lineRule="auto"/>
        <w:outlineLvl w:val="1"/>
        <w:rPr>
          <w:rFonts w:ascii="Arial" w:eastAsia="Times New Roman" w:hAnsi="Arial" w:cs="Arial"/>
          <w:b/>
          <w:bCs/>
          <w:kern w:val="0"/>
          <w:lang w:val="en-US" w:eastAsia="en-US"/>
          <w14:ligatures w14:val="none"/>
        </w:rPr>
      </w:pPr>
      <w:r w:rsidRPr="00B462CD">
        <w:rPr>
          <w:rFonts w:ascii="Arial" w:eastAsia="Times New Roman" w:hAnsi="Arial" w:cs="Arial"/>
          <w:b/>
          <w:bCs/>
          <w:noProof/>
          <w:kern w:val="0"/>
          <w:lang w:val="en-US" w:eastAsia="en-US"/>
          <w14:ligatures w14:val="none"/>
        </w:rPr>
        <w:drawing>
          <wp:inline distT="0" distB="0" distL="0" distR="0" wp14:anchorId="7FAD1096" wp14:editId="56651D6C">
            <wp:extent cx="5731510" cy="7884795"/>
            <wp:effectExtent l="0" t="0" r="2540" b="1905"/>
            <wp:docPr id="2126072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84795"/>
                    </a:xfrm>
                    <a:prstGeom prst="rect">
                      <a:avLst/>
                    </a:prstGeom>
                    <a:noFill/>
                    <a:ln>
                      <a:noFill/>
                    </a:ln>
                  </pic:spPr>
                </pic:pic>
              </a:graphicData>
            </a:graphic>
          </wp:inline>
        </w:drawing>
      </w:r>
    </w:p>
    <w:p w14:paraId="6DB2D44B" w14:textId="77777777" w:rsidR="005729B7" w:rsidRPr="00B462CD" w:rsidRDefault="005729B7" w:rsidP="00E6526D">
      <w:pPr>
        <w:spacing w:before="100" w:beforeAutospacing="1" w:after="100" w:afterAutospacing="1" w:line="360" w:lineRule="auto"/>
        <w:outlineLvl w:val="1"/>
        <w:rPr>
          <w:rFonts w:ascii="Arial" w:eastAsia="Times New Roman" w:hAnsi="Arial" w:cs="Arial"/>
          <w:b/>
          <w:bCs/>
          <w:kern w:val="0"/>
          <w:lang w:eastAsia="en-US"/>
          <w14:ligatures w14:val="none"/>
        </w:rPr>
      </w:pPr>
    </w:p>
    <w:p w14:paraId="5E7F5AC3" w14:textId="77777777" w:rsidR="005729B7" w:rsidRPr="00B462CD" w:rsidRDefault="005729B7" w:rsidP="00E6526D">
      <w:pPr>
        <w:spacing w:before="100" w:beforeAutospacing="1" w:after="100" w:afterAutospacing="1" w:line="360" w:lineRule="auto"/>
        <w:outlineLvl w:val="1"/>
        <w:rPr>
          <w:rFonts w:ascii="Arial" w:eastAsia="Times New Roman" w:hAnsi="Arial" w:cs="Arial"/>
          <w:b/>
          <w:bCs/>
          <w:kern w:val="0"/>
          <w:lang w:eastAsia="en-US"/>
          <w14:ligatures w14:val="none"/>
        </w:rPr>
      </w:pPr>
    </w:p>
    <w:p w14:paraId="0753943E" w14:textId="551418ED" w:rsidR="006A51CE" w:rsidRPr="00B462CD" w:rsidRDefault="006A51CE" w:rsidP="00E6526D">
      <w:pPr>
        <w:spacing w:before="100" w:beforeAutospacing="1" w:after="100" w:afterAutospacing="1" w:line="360" w:lineRule="auto"/>
        <w:outlineLvl w:val="1"/>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B</w:t>
      </w:r>
      <w:r w:rsidRPr="00B462CD">
        <w:rPr>
          <w:rFonts w:ascii="Arial" w:eastAsia="Times New Roman" w:hAnsi="Arial" w:cs="Arial"/>
          <w:b/>
          <w:bCs/>
          <w:kern w:val="0"/>
          <w:lang w:eastAsia="en-US"/>
          <w14:ligatures w14:val="none"/>
        </w:rPr>
        <w:t>: Research Ethics Approval Letter</w:t>
      </w:r>
      <w:bookmarkEnd w:id="72"/>
    </w:p>
    <w:p w14:paraId="2C6AC453"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73" w:name="_Toc220428693"/>
      <w:r w:rsidRPr="00B462CD">
        <w:rPr>
          <w:rFonts w:ascii="Arial" w:eastAsia="Times New Roman" w:hAnsi="Arial" w:cs="Arial"/>
          <w:b/>
          <w:bCs/>
          <w:kern w:val="0"/>
          <w:lang w:eastAsia="en-US"/>
          <w14:ligatures w14:val="none"/>
        </w:rPr>
        <w:t>Purpose</w:t>
      </w:r>
      <w:bookmarkEnd w:id="73"/>
    </w:p>
    <w:p w14:paraId="16FA67AA" w14:textId="77777777"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This appendix provides the formal ethical clearance from the University of Wales Trinity Saint David Research Ethics Committee. The approval confirms that all study procedures, participant recruitment protocols, data management, and participant welfare measures were reviewed and found to be in full compliance with the University’s ethical standards and governance requirements. Inclusion of this documentation is essential for evidencing the rigour and ethical integrity of the research project.</w:t>
      </w:r>
    </w:p>
    <w:p w14:paraId="1F67B17D"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74" w:name="_Toc220428694"/>
      <w:r w:rsidRPr="00B462CD">
        <w:rPr>
          <w:rFonts w:ascii="Arial" w:eastAsia="Times New Roman" w:hAnsi="Arial" w:cs="Arial"/>
          <w:b/>
          <w:bCs/>
          <w:kern w:val="0"/>
          <w:lang w:eastAsia="en-US"/>
          <w14:ligatures w14:val="none"/>
        </w:rPr>
        <w:t>Excerpt from Approval Letter</w:t>
      </w:r>
      <w:bookmarkEnd w:id="74"/>
    </w:p>
    <w:p w14:paraId="6504C522" w14:textId="4BD37434"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“Ethical approval granted for project title: ‘The effects of immigration status on Health Outcomes of Adult BAME Migrants in East London.’</w:t>
      </w:r>
      <w:r w:rsidRPr="00B462CD">
        <w:rPr>
          <w:rFonts w:ascii="Arial" w:eastAsia="Times New Roman" w:hAnsi="Arial" w:cs="Arial"/>
          <w:kern w:val="0"/>
          <w:lang w:eastAsia="en-US"/>
          <w14:ligatures w14:val="none"/>
        </w:rPr>
        <w:br/>
      </w:r>
      <w:r w:rsidRPr="00B462CD">
        <w:rPr>
          <w:rFonts w:ascii="Arial" w:eastAsia="Times New Roman" w:hAnsi="Arial" w:cs="Arial"/>
          <w:kern w:val="0"/>
          <w:lang w:eastAsia="en-US"/>
          <w14:ligatures w14:val="none"/>
        </w:rPr>
        <w:br/>
        <w:t>Approval valid for the duration of data collection until 31 December 2025.”</w:t>
      </w:r>
    </w:p>
    <w:p w14:paraId="6546D5BD" w14:textId="77777777" w:rsidR="00097D8C"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This appendix is referenced in Chapter 3, Section 3.10 (Ethical Considerations).</w:t>
      </w:r>
    </w:p>
    <w:p w14:paraId="3DDE1A3C" w14:textId="39601A7E" w:rsidR="002F7195" w:rsidRPr="00B462CD" w:rsidRDefault="002F7195"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noProof/>
          <w:kern w:val="0"/>
          <w:lang w:eastAsia="en-US"/>
          <w14:ligatures w14:val="none"/>
        </w:rPr>
        <w:drawing>
          <wp:inline distT="0" distB="0" distL="0" distR="0" wp14:anchorId="52F5E1A3" wp14:editId="257D2AE7">
            <wp:extent cx="5731510" cy="7884160"/>
            <wp:effectExtent l="0" t="0" r="2540" b="2540"/>
            <wp:docPr id="664667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84160"/>
                    </a:xfrm>
                    <a:prstGeom prst="rect">
                      <a:avLst/>
                    </a:prstGeom>
                    <a:noFill/>
                    <a:ln>
                      <a:noFill/>
                    </a:ln>
                  </pic:spPr>
                </pic:pic>
              </a:graphicData>
            </a:graphic>
          </wp:inline>
        </w:drawing>
      </w:r>
    </w:p>
    <w:p w14:paraId="4178022A" w14:textId="7CC8C38A" w:rsidR="00C8338A" w:rsidRPr="00B462CD" w:rsidRDefault="00C8338A" w:rsidP="00E6526D">
      <w:pPr>
        <w:spacing w:line="360" w:lineRule="auto"/>
        <w:rPr>
          <w:rFonts w:ascii="Arial" w:eastAsia="Times New Roman" w:hAnsi="Arial" w:cs="Arial"/>
          <w:b/>
          <w:bCs/>
          <w:color w:val="EE0000"/>
          <w:kern w:val="0"/>
          <w:lang w:eastAsia="en-US"/>
          <w14:ligatures w14:val="none"/>
        </w:rPr>
      </w:pPr>
    </w:p>
    <w:p w14:paraId="17A21144" w14:textId="77777777" w:rsidR="00395888" w:rsidRPr="00B462CD" w:rsidRDefault="00395888" w:rsidP="00E6526D">
      <w:pPr>
        <w:spacing w:before="100" w:beforeAutospacing="1" w:after="100" w:afterAutospacing="1" w:line="360" w:lineRule="auto"/>
        <w:rPr>
          <w:rFonts w:ascii="Arial" w:eastAsia="Times New Roman" w:hAnsi="Arial" w:cs="Arial"/>
          <w:b/>
          <w:bCs/>
          <w:color w:val="EE0000"/>
          <w:kern w:val="0"/>
          <w:lang w:eastAsia="en-US"/>
          <w14:ligatures w14:val="none"/>
        </w:rPr>
      </w:pPr>
    </w:p>
    <w:p w14:paraId="561EB129" w14:textId="33EA0B8B" w:rsidR="006A51CE" w:rsidRPr="00B462CD" w:rsidRDefault="006A51CE"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75" w:name="_Toc220428696"/>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C</w:t>
      </w:r>
      <w:r w:rsidRPr="00B462CD">
        <w:rPr>
          <w:rFonts w:ascii="Arial" w:eastAsia="Times New Roman" w:hAnsi="Arial" w:cs="Arial"/>
          <w:b/>
          <w:bCs/>
          <w:kern w:val="0"/>
          <w:lang w:eastAsia="en-US"/>
          <w14:ligatures w14:val="none"/>
        </w:rPr>
        <w:t>: Semi-Structured Interview Schedule</w:t>
      </w:r>
      <w:bookmarkEnd w:id="75"/>
    </w:p>
    <w:p w14:paraId="727F49B5"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76" w:name="_Toc220428697"/>
      <w:r w:rsidRPr="00B462CD">
        <w:rPr>
          <w:rFonts w:ascii="Arial" w:eastAsia="Times New Roman" w:hAnsi="Arial" w:cs="Arial"/>
          <w:b/>
          <w:bCs/>
          <w:kern w:val="0"/>
          <w:lang w:eastAsia="en-US"/>
          <w14:ligatures w14:val="none"/>
        </w:rPr>
        <w:t>Purpose</w:t>
      </w:r>
      <w:bookmarkEnd w:id="76"/>
    </w:p>
    <w:p w14:paraId="183BA077" w14:textId="656DE6F4" w:rsidR="006A51CE" w:rsidRPr="00B462CD" w:rsidRDefault="006A51CE"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This appendix presents the Semi-Structured Interview Schedule used to explore the health outcomes of BAME migrants living in East London. </w:t>
      </w:r>
      <w:r w:rsidR="005F3033" w:rsidRPr="00B462CD">
        <w:rPr>
          <w:rFonts w:ascii="Arial" w:eastAsia="Times New Roman" w:hAnsi="Arial" w:cs="Arial"/>
          <w:kern w:val="0"/>
          <w:lang w:eastAsia="en-US"/>
          <w14:ligatures w14:val="none"/>
        </w:rPr>
        <w:t>Participants</w:t>
      </w:r>
      <w:r w:rsidRPr="00B462CD">
        <w:rPr>
          <w:rFonts w:ascii="Arial" w:eastAsia="Times New Roman" w:hAnsi="Arial" w:cs="Arial"/>
          <w:kern w:val="0"/>
          <w:lang w:eastAsia="en-US"/>
          <w14:ligatures w14:val="none"/>
        </w:rPr>
        <w:t xml:space="preserve"> lived experiences of health and migration. The questions were designed to facilitate open, context-rich discussion, while focusing on structural determinants, access to services, and social inclusion/exclusion.</w:t>
      </w:r>
    </w:p>
    <w:p w14:paraId="4287A483" w14:textId="77777777" w:rsidR="006A51CE" w:rsidRPr="00B462CD" w:rsidRDefault="006A51CE" w:rsidP="00E6526D">
      <w:pPr>
        <w:spacing w:before="100" w:beforeAutospacing="1" w:after="100" w:afterAutospacing="1" w:line="360" w:lineRule="auto"/>
        <w:outlineLvl w:val="2"/>
        <w:rPr>
          <w:rFonts w:ascii="Arial" w:eastAsia="Times New Roman" w:hAnsi="Arial" w:cs="Arial"/>
          <w:b/>
          <w:bCs/>
          <w:kern w:val="0"/>
          <w:lang w:eastAsia="en-US"/>
          <w14:ligatures w14:val="none"/>
        </w:rPr>
      </w:pPr>
      <w:bookmarkStart w:id="77" w:name="_Toc220428698"/>
      <w:r w:rsidRPr="00B462CD">
        <w:rPr>
          <w:rFonts w:ascii="Arial" w:eastAsia="Times New Roman" w:hAnsi="Arial" w:cs="Arial"/>
          <w:b/>
          <w:bCs/>
          <w:kern w:val="0"/>
          <w:lang w:eastAsia="en-US"/>
          <w14:ligatures w14:val="none"/>
        </w:rPr>
        <w:t>Example Interview Questions</w:t>
      </w:r>
      <w:bookmarkEnd w:id="77"/>
    </w:p>
    <w:p w14:paraId="0471D794" w14:textId="77777777" w:rsidR="00165174" w:rsidRPr="00B462CD" w:rsidRDefault="00165174" w:rsidP="00E6526D">
      <w:pPr>
        <w:spacing w:before="100" w:beforeAutospacing="1" w:after="100" w:afterAutospacing="1" w:line="360" w:lineRule="auto"/>
        <w:outlineLvl w:val="0"/>
        <w:rPr>
          <w:rFonts w:ascii="Arial" w:eastAsia="Times New Roman" w:hAnsi="Arial" w:cs="Arial"/>
          <w:b/>
          <w:bCs/>
          <w:kern w:val="36"/>
          <w:lang w:val="en-US"/>
        </w:rPr>
      </w:pPr>
      <w:r w:rsidRPr="00B462CD">
        <w:rPr>
          <w:rFonts w:ascii="Arial" w:eastAsia="Times New Roman" w:hAnsi="Arial" w:cs="Arial"/>
          <w:b/>
          <w:bCs/>
          <w:kern w:val="36"/>
          <w:lang w:val="en-US"/>
        </w:rPr>
        <w:t>SHORT SEMI-STRUCTURED INTERVIEW GUIDE</w:t>
      </w:r>
    </w:p>
    <w:p w14:paraId="1E67F679" w14:textId="77777777" w:rsidR="00165174" w:rsidRPr="00B462CD" w:rsidRDefault="00165174" w:rsidP="00E6526D">
      <w:pPr>
        <w:spacing w:before="100" w:beforeAutospacing="1" w:after="100" w:afterAutospacing="1" w:line="360" w:lineRule="auto"/>
        <w:outlineLvl w:val="1"/>
        <w:rPr>
          <w:rFonts w:ascii="Arial" w:eastAsia="Times New Roman" w:hAnsi="Arial" w:cs="Arial"/>
          <w:lang w:val="en-US"/>
        </w:rPr>
      </w:pPr>
      <w:r w:rsidRPr="00B462CD">
        <w:rPr>
          <w:rFonts w:ascii="Arial" w:eastAsia="Times New Roman" w:hAnsi="Arial" w:cs="Arial"/>
          <w:lang w:val="en-US"/>
        </w:rPr>
        <w:t>Opening</w:t>
      </w:r>
    </w:p>
    <w:p w14:paraId="15675228" w14:textId="77777777" w:rsidR="00165174" w:rsidRPr="00B462CD" w:rsidRDefault="00165174" w:rsidP="00E6526D">
      <w:p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Thank participant, confirm consent, reassure anonymity, and confirm audio recording.</w:t>
      </w:r>
    </w:p>
    <w:p w14:paraId="37C785F9" w14:textId="77777777" w:rsidR="00165174" w:rsidRPr="00B462CD" w:rsidRDefault="00165174" w:rsidP="00E6526D">
      <w:pPr>
        <w:spacing w:before="100" w:beforeAutospacing="1" w:after="100" w:afterAutospacing="1" w:line="360" w:lineRule="auto"/>
        <w:outlineLvl w:val="0"/>
        <w:rPr>
          <w:rFonts w:ascii="Arial" w:eastAsia="Times New Roman" w:hAnsi="Arial" w:cs="Arial"/>
          <w:kern w:val="36"/>
          <w:lang w:val="en-US"/>
        </w:rPr>
      </w:pPr>
      <w:r w:rsidRPr="00B462CD">
        <w:rPr>
          <w:rFonts w:ascii="Arial" w:eastAsia="Times New Roman" w:hAnsi="Arial" w:cs="Arial"/>
          <w:kern w:val="36"/>
          <w:lang w:val="en-US"/>
        </w:rPr>
        <w:t xml:space="preserve">Core Interview Questions </w:t>
      </w:r>
    </w:p>
    <w:p w14:paraId="7C6B7932"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1. Background and Arrival</w:t>
      </w:r>
    </w:p>
    <w:p w14:paraId="421567E7" w14:textId="77777777" w:rsidR="00165174" w:rsidRPr="00B462CD" w:rsidRDefault="00165174" w:rsidP="00E6526D">
      <w:pPr>
        <w:numPr>
          <w:ilvl w:val="0"/>
          <w:numId w:val="42"/>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“Can you tell me a little about yourself and how you came to live in East London?”</w:t>
      </w:r>
    </w:p>
    <w:p w14:paraId="4A3FE2C2"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2. Immigration Status and Daily Life</w:t>
      </w:r>
    </w:p>
    <w:p w14:paraId="0FEAFE27" w14:textId="77777777" w:rsidR="00165174" w:rsidRPr="00B462CD" w:rsidRDefault="00165174" w:rsidP="00E6526D">
      <w:pPr>
        <w:numPr>
          <w:ilvl w:val="0"/>
          <w:numId w:val="43"/>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“How does your immigration status affect your day-to-day life?”</w:t>
      </w:r>
    </w:p>
    <w:p w14:paraId="4524D132"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3. Housing Conditions</w:t>
      </w:r>
    </w:p>
    <w:p w14:paraId="307A3964" w14:textId="77777777" w:rsidR="00165174" w:rsidRPr="00B462CD" w:rsidRDefault="00165174" w:rsidP="00E6526D">
      <w:pPr>
        <w:numPr>
          <w:ilvl w:val="0"/>
          <w:numId w:val="44"/>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“How would you describe your current housing situation, and how does it affect your health or wellbeing?”</w:t>
      </w:r>
    </w:p>
    <w:p w14:paraId="5BF87D14"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4. Work and Finances</w:t>
      </w:r>
    </w:p>
    <w:p w14:paraId="66E35A9B" w14:textId="77777777" w:rsidR="00165174" w:rsidRPr="00B462CD" w:rsidRDefault="00165174" w:rsidP="00E6526D">
      <w:pPr>
        <w:numPr>
          <w:ilvl w:val="0"/>
          <w:numId w:val="45"/>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“What has your experience of working in the UK been like, especially in relation to your immigration status?”</w:t>
      </w:r>
    </w:p>
    <w:p w14:paraId="3B17CD31" w14:textId="77777777" w:rsidR="00165174" w:rsidRPr="00B462CD" w:rsidRDefault="00165174" w:rsidP="00E6526D">
      <w:pPr>
        <w:numPr>
          <w:ilvl w:val="0"/>
          <w:numId w:val="45"/>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“Have financial pressures, such as rent or visa fees, affected your health or daily life?”</w:t>
      </w:r>
    </w:p>
    <w:p w14:paraId="1B27A553"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5. Healthcare Access</w:t>
      </w:r>
    </w:p>
    <w:p w14:paraId="5AFE106E" w14:textId="77777777" w:rsidR="00165174" w:rsidRPr="00B462CD" w:rsidRDefault="00165174" w:rsidP="00E6526D">
      <w:pPr>
        <w:numPr>
          <w:ilvl w:val="0"/>
          <w:numId w:val="46"/>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“Can you tell me about your experiences accessing healthcare services in the UK?”</w:t>
      </w:r>
    </w:p>
    <w:p w14:paraId="5FC93D67" w14:textId="77777777" w:rsidR="00165174" w:rsidRPr="00B462CD" w:rsidRDefault="00165174" w:rsidP="00E6526D">
      <w:pPr>
        <w:numPr>
          <w:ilvl w:val="0"/>
          <w:numId w:val="46"/>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 xml:space="preserve">“Have you ever delayed seeking healthcare? What influenced that </w:t>
      </w:r>
      <w:proofErr w:type="gramStart"/>
      <w:r w:rsidRPr="00B462CD">
        <w:rPr>
          <w:rFonts w:ascii="Arial" w:eastAsia="Times New Roman" w:hAnsi="Arial" w:cs="Arial"/>
          <w:lang w:val="en-US"/>
        </w:rPr>
        <w:t>decision?”</w:t>
      </w:r>
      <w:proofErr w:type="gramEnd"/>
    </w:p>
    <w:p w14:paraId="46457268"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6. Psychosocial and Emotional Impact</w:t>
      </w:r>
    </w:p>
    <w:p w14:paraId="7142DF63" w14:textId="77777777" w:rsidR="00165174" w:rsidRPr="00B462CD" w:rsidRDefault="00165174" w:rsidP="00E6526D">
      <w:pPr>
        <w:numPr>
          <w:ilvl w:val="0"/>
          <w:numId w:val="47"/>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“What kinds of stresses or worries do you experience, and how do they affect your wellbeing?”</w:t>
      </w:r>
    </w:p>
    <w:p w14:paraId="2D80D07A" w14:textId="77777777" w:rsidR="00165174" w:rsidRPr="00B462CD" w:rsidRDefault="00165174" w:rsidP="00E6526D">
      <w:pPr>
        <w:numPr>
          <w:ilvl w:val="0"/>
          <w:numId w:val="47"/>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“Do you ever feel isolated or unsure who to trust? How does this affect you?”</w:t>
      </w:r>
    </w:p>
    <w:p w14:paraId="41CAA75F" w14:textId="77777777" w:rsidR="00165174" w:rsidRPr="00B462CD" w:rsidRDefault="00165174" w:rsidP="00E6526D">
      <w:pPr>
        <w:spacing w:before="100" w:beforeAutospacing="1" w:after="100" w:afterAutospacing="1" w:line="360" w:lineRule="auto"/>
        <w:outlineLvl w:val="2"/>
        <w:rPr>
          <w:rFonts w:ascii="Arial" w:eastAsia="Times New Roman" w:hAnsi="Arial" w:cs="Arial"/>
          <w:b/>
          <w:bCs/>
          <w:lang w:val="en-US"/>
        </w:rPr>
      </w:pPr>
      <w:r w:rsidRPr="00B462CD">
        <w:rPr>
          <w:rFonts w:ascii="Arial" w:eastAsia="Times New Roman" w:hAnsi="Arial" w:cs="Arial"/>
          <w:b/>
          <w:bCs/>
          <w:lang w:val="en-US"/>
        </w:rPr>
        <w:t>7. Coping and Support</w:t>
      </w:r>
    </w:p>
    <w:p w14:paraId="1683B331" w14:textId="77777777" w:rsidR="00165174" w:rsidRPr="00B462CD" w:rsidRDefault="00165174" w:rsidP="00E6526D">
      <w:pPr>
        <w:numPr>
          <w:ilvl w:val="0"/>
          <w:numId w:val="48"/>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“What helps you cope with the challenges you face, and what support do you think would make things easier?”</w:t>
      </w:r>
    </w:p>
    <w:p w14:paraId="557E23CF" w14:textId="77777777" w:rsidR="00165174" w:rsidRPr="00B462CD" w:rsidRDefault="00165174" w:rsidP="00E6526D">
      <w:pPr>
        <w:spacing w:before="100" w:beforeAutospacing="1" w:after="100" w:afterAutospacing="1" w:line="360" w:lineRule="auto"/>
        <w:outlineLvl w:val="1"/>
        <w:rPr>
          <w:rFonts w:ascii="Arial" w:eastAsia="Times New Roman" w:hAnsi="Arial" w:cs="Arial"/>
          <w:b/>
          <w:bCs/>
          <w:lang w:val="en-US"/>
        </w:rPr>
      </w:pPr>
      <w:r w:rsidRPr="00B462CD">
        <w:rPr>
          <w:rFonts w:ascii="Arial" w:eastAsia="Times New Roman" w:hAnsi="Arial" w:cs="Arial"/>
          <w:b/>
          <w:bCs/>
          <w:lang w:val="en-US"/>
        </w:rPr>
        <w:t>Closing Question</w:t>
      </w:r>
    </w:p>
    <w:p w14:paraId="6330A133" w14:textId="77777777" w:rsidR="00165174" w:rsidRPr="00B462CD" w:rsidRDefault="00165174" w:rsidP="00E6526D">
      <w:pPr>
        <w:numPr>
          <w:ilvl w:val="0"/>
          <w:numId w:val="49"/>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“Is there anything else you would like to add that you feel is important?”</w:t>
      </w:r>
    </w:p>
    <w:p w14:paraId="5BA51C09" w14:textId="77777777" w:rsidR="00165174" w:rsidRPr="00B462CD" w:rsidRDefault="00165174" w:rsidP="00E6526D">
      <w:pPr>
        <w:numPr>
          <w:ilvl w:val="0"/>
          <w:numId w:val="49"/>
        </w:numPr>
        <w:spacing w:before="100" w:beforeAutospacing="1" w:after="100" w:afterAutospacing="1" w:line="360" w:lineRule="auto"/>
        <w:rPr>
          <w:rFonts w:ascii="Arial" w:eastAsia="Times New Roman" w:hAnsi="Arial" w:cs="Arial"/>
          <w:lang w:val="en-US"/>
        </w:rPr>
      </w:pPr>
      <w:r w:rsidRPr="00B462CD">
        <w:rPr>
          <w:rFonts w:ascii="Arial" w:eastAsia="Times New Roman" w:hAnsi="Arial" w:cs="Arial"/>
          <w:lang w:val="en-US"/>
        </w:rPr>
        <w:t>Reassure confidentiality and thank the participant.</w:t>
      </w:r>
    </w:p>
    <w:p w14:paraId="56A6E7DD" w14:textId="1DF46456" w:rsidR="006A51CE" w:rsidRPr="00B462CD" w:rsidRDefault="00706D7E" w:rsidP="00E6526D">
      <w:pPr>
        <w:spacing w:before="100" w:beforeAutospacing="1" w:after="100" w:afterAutospacing="1" w:line="360" w:lineRule="auto"/>
        <w:ind w:left="360"/>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w:t>
      </w:r>
    </w:p>
    <w:p w14:paraId="5C19E9B7" w14:textId="77777777" w:rsidR="006A51CE" w:rsidRPr="00B462CD" w:rsidRDefault="006A51CE" w:rsidP="00E6526D">
      <w:pPr>
        <w:pStyle w:val="Heading1"/>
        <w:spacing w:line="360" w:lineRule="auto"/>
        <w:ind w:left="12" w:right="0"/>
        <w:jc w:val="left"/>
        <w:rPr>
          <w:rFonts w:ascii="Arial" w:hAnsi="Arial" w:cs="Arial"/>
          <w:sz w:val="22"/>
        </w:rPr>
      </w:pPr>
    </w:p>
    <w:p w14:paraId="692808EA" w14:textId="77777777" w:rsidR="006A51CE" w:rsidRPr="00B462CD" w:rsidRDefault="006A51CE" w:rsidP="00E6526D">
      <w:pPr>
        <w:pStyle w:val="Heading2"/>
        <w:spacing w:line="360" w:lineRule="auto"/>
        <w:jc w:val="left"/>
        <w:rPr>
          <w:rFonts w:ascii="Arial" w:hAnsi="Arial" w:cs="Arial"/>
          <w:b w:val="0"/>
          <w:bCs/>
          <w:kern w:val="0"/>
          <w:sz w:val="22"/>
          <w:lang w:eastAsia="en-US"/>
          <w14:ligatures w14:val="none"/>
        </w:rPr>
      </w:pPr>
      <w:r w:rsidRPr="00B462CD">
        <w:rPr>
          <w:rFonts w:ascii="Arial" w:hAnsi="Arial" w:cs="Arial"/>
          <w:sz w:val="22"/>
        </w:rPr>
        <w:t xml:space="preserve"> </w:t>
      </w:r>
    </w:p>
    <w:p w14:paraId="7BD7D6C8" w14:textId="77777777" w:rsidR="00B877E3" w:rsidRPr="00B462CD" w:rsidRDefault="00B877E3"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3FEAE761" w14:textId="3484F686" w:rsidR="006A51CE" w:rsidRPr="00B462CD" w:rsidRDefault="006A51CE"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D</w:t>
      </w:r>
      <w:r w:rsidRPr="00B462CD">
        <w:rPr>
          <w:rFonts w:ascii="Arial" w:eastAsia="Times New Roman" w:hAnsi="Arial" w:cs="Arial"/>
          <w:b/>
          <w:bCs/>
          <w:kern w:val="0"/>
          <w:lang w:eastAsia="en-US"/>
          <w14:ligatures w14:val="none"/>
        </w:rPr>
        <w:t>: Sample Transcribed Interview Excerpt</w:t>
      </w:r>
    </w:p>
    <w:p w14:paraId="31BB3D12" w14:textId="77777777" w:rsidR="006A51CE" w:rsidRPr="00B462CD" w:rsidRDefault="006A51CE"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Purpose:</w:t>
      </w:r>
    </w:p>
    <w:p w14:paraId="7722A44B"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This appendix provides an </w:t>
      </w:r>
      <w:r w:rsidRPr="00B462CD">
        <w:rPr>
          <w:rFonts w:ascii="Arial" w:eastAsia="Times New Roman" w:hAnsi="Arial" w:cs="Arial"/>
          <w:b/>
          <w:bCs/>
          <w:kern w:val="0"/>
          <w:lang w:eastAsia="en-US"/>
          <w14:ligatures w14:val="none"/>
        </w:rPr>
        <w:t>anonymised, verbatim example</w:t>
      </w:r>
      <w:r w:rsidRPr="00B462CD">
        <w:rPr>
          <w:rFonts w:ascii="Arial" w:eastAsia="Times New Roman" w:hAnsi="Arial" w:cs="Arial"/>
          <w:kern w:val="0"/>
          <w:lang w:eastAsia="en-US"/>
          <w14:ligatures w14:val="none"/>
        </w:rPr>
        <w:t xml:space="preserve"> of a participant's interview transcript. This inclusion serves to demonstrate the raw qualitative data collected and illustrates the process of generating rich, contextualised narratives from which the thematic analysis (Chapter 4) was derived.</w:t>
      </w:r>
    </w:p>
    <w:p w14:paraId="0705B966" w14:textId="77777777" w:rsidR="006A51CE" w:rsidRPr="00B462CD" w:rsidRDefault="006A51CE"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Excerpt:</w:t>
      </w:r>
    </w:p>
    <w:p w14:paraId="01A6441E"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following is a small excerpt from Participant 2's (P2) interview, illustrating the confluence of financial stress, physical strain, and the need to suppress pain, a finding directly linked to the accumulation of </w:t>
      </w:r>
      <w:r w:rsidRPr="00B462CD">
        <w:rPr>
          <w:rFonts w:ascii="Arial" w:eastAsia="Times New Roman" w:hAnsi="Arial" w:cs="Arial"/>
          <w:b/>
          <w:bCs/>
          <w:kern w:val="0"/>
          <w:lang w:eastAsia="en-US"/>
          <w14:ligatures w14:val="none"/>
        </w:rPr>
        <w:t>Allostatic Load</w:t>
      </w:r>
      <w:r w:rsidRPr="00B462CD">
        <w:rPr>
          <w:rFonts w:ascii="Arial" w:eastAsia="Times New Roman" w:hAnsi="Arial" w:cs="Arial"/>
          <w:kern w:val="0"/>
          <w:lang w:eastAsia="en-US"/>
          <w14:ligatures w14:val="none"/>
        </w:rPr>
        <w:t>.</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952"/>
        <w:gridCol w:w="8064"/>
      </w:tblGrid>
      <w:tr w:rsidR="0052358F" w:rsidRPr="00B462CD" w14:paraId="1A243102" w14:textId="77777777" w:rsidTr="00BB1BE4">
        <w:trPr>
          <w:tblHeader/>
          <w:tblCellSpacing w:w="15" w:type="dxa"/>
        </w:trPr>
        <w:tc>
          <w:tcPr>
            <w:tcW w:w="0" w:type="auto"/>
            <w:tcBorders>
              <w:top w:val="nil"/>
              <w:bottom w:val="single" w:sz="4" w:space="0" w:color="auto"/>
              <w:right w:val="single" w:sz="4" w:space="0" w:color="auto"/>
            </w:tcBorders>
            <w:vAlign w:val="center"/>
            <w:hideMark/>
          </w:tcPr>
          <w:p w14:paraId="628FE001"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Speaker</w:t>
            </w:r>
          </w:p>
        </w:tc>
        <w:tc>
          <w:tcPr>
            <w:tcW w:w="0" w:type="auto"/>
            <w:tcBorders>
              <w:top w:val="nil"/>
              <w:bottom w:val="single" w:sz="4" w:space="0" w:color="auto"/>
            </w:tcBorders>
            <w:vAlign w:val="center"/>
            <w:hideMark/>
          </w:tcPr>
          <w:p w14:paraId="44916D8A"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 xml:space="preserve">Transcript Excerpt </w:t>
            </w:r>
          </w:p>
        </w:tc>
      </w:tr>
      <w:tr w:rsidR="0052358F" w:rsidRPr="00B462CD" w14:paraId="2DAA73EF" w14:textId="77777777" w:rsidTr="0052358F">
        <w:trPr>
          <w:tblCellSpacing w:w="15" w:type="dxa"/>
        </w:trPr>
        <w:tc>
          <w:tcPr>
            <w:tcW w:w="0" w:type="auto"/>
            <w:tcBorders>
              <w:top w:val="nil"/>
              <w:bottom w:val="single" w:sz="4" w:space="0" w:color="auto"/>
              <w:right w:val="single" w:sz="4" w:space="0" w:color="auto"/>
            </w:tcBorders>
            <w:vAlign w:val="center"/>
            <w:hideMark/>
          </w:tcPr>
          <w:p w14:paraId="7978E673"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P2:</w:t>
            </w:r>
          </w:p>
        </w:tc>
        <w:tc>
          <w:tcPr>
            <w:tcW w:w="0" w:type="auto"/>
            <w:vAlign w:val="center"/>
            <w:hideMark/>
          </w:tcPr>
          <w:p w14:paraId="2E2DC9FB" w14:textId="77777777"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fee for the visa is always in my head, always. So, if I have a headache or a fever, I cannot stay home. I must go and do the shift. It's not a choice, </w:t>
            </w:r>
            <w:proofErr w:type="gramStart"/>
            <w:r w:rsidRPr="00B462CD">
              <w:rPr>
                <w:rFonts w:ascii="Arial" w:eastAsia="Times New Roman" w:hAnsi="Arial" w:cs="Arial"/>
                <w:kern w:val="0"/>
                <w:lang w:eastAsia="en-US"/>
                <w14:ligatures w14:val="none"/>
              </w:rPr>
              <w:t>you</w:t>
            </w:r>
            <w:proofErr w:type="gramEnd"/>
            <w:r w:rsidRPr="00B462CD">
              <w:rPr>
                <w:rFonts w:ascii="Arial" w:eastAsia="Times New Roman" w:hAnsi="Arial" w:cs="Arial"/>
                <w:kern w:val="0"/>
                <w:lang w:eastAsia="en-US"/>
                <w14:ligatures w14:val="none"/>
              </w:rPr>
              <w:t xml:space="preserve"> see? If I miss that money, I miss the rent, and then I risk everything. My body is tired, yes, but the stress is more tiring than the work. It takes the rest from me, even when I am sleeping."</w:t>
            </w:r>
          </w:p>
        </w:tc>
      </w:tr>
    </w:tbl>
    <w:p w14:paraId="74EBB285" w14:textId="77777777" w:rsidR="00BF1D96" w:rsidRPr="00B462CD" w:rsidRDefault="00BF1D96" w:rsidP="00E6526D">
      <w:pPr>
        <w:spacing w:line="360" w:lineRule="auto"/>
        <w:rPr>
          <w:rFonts w:ascii="Arial" w:eastAsia="Times New Roman" w:hAnsi="Arial" w:cs="Arial"/>
          <w:kern w:val="0"/>
          <w:lang w:eastAsia="en-US"/>
          <w14:ligatures w14:val="none"/>
        </w:rPr>
      </w:pPr>
    </w:p>
    <w:p w14:paraId="7F2E51D1" w14:textId="1A5CCB30" w:rsidR="006A51CE" w:rsidRPr="00B462CD" w:rsidRDefault="00BF1D96"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Table D1: Thematic Findings</w:t>
      </w:r>
    </w:p>
    <w:p w14:paraId="2F05AF65" w14:textId="11325852" w:rsidR="006A51CE" w:rsidRPr="00B462CD" w:rsidRDefault="006A51CE" w:rsidP="00E6526D">
      <w:pPr>
        <w:spacing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See Chapter 4, Sections 4.8 (Thematic Findings).</w:t>
      </w:r>
    </w:p>
    <w:p w14:paraId="281450DF" w14:textId="77777777" w:rsidR="00BF1D96" w:rsidRPr="00B462CD" w:rsidRDefault="00BF1D96"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11FD6680" w14:textId="64D059DD" w:rsidR="00BF1D96" w:rsidRPr="00B462CD" w:rsidRDefault="000333B7"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E</w:t>
      </w:r>
      <w:r w:rsidRPr="00B462CD">
        <w:rPr>
          <w:rFonts w:ascii="Arial" w:eastAsia="Times New Roman" w:hAnsi="Arial" w:cs="Arial"/>
          <w:b/>
          <w:bCs/>
          <w:kern w:val="0"/>
          <w:lang w:eastAsia="en-US"/>
          <w14:ligatures w14:val="none"/>
        </w:rPr>
        <w:t>: Sample Coded Transcript</w:t>
      </w:r>
    </w:p>
    <w:p w14:paraId="6595DA1D" w14:textId="20F714B0" w:rsidR="000333B7" w:rsidRPr="00B462CD" w:rsidRDefault="000333B7" w:rsidP="00E6526D">
      <w:pPr>
        <w:spacing w:before="100" w:beforeAutospacing="1" w:after="100" w:afterAutospacing="1" w:line="360" w:lineRule="auto"/>
        <w:rPr>
          <w:rFonts w:ascii="Arial" w:eastAsia="Times New Roman" w:hAnsi="Arial" w:cs="Arial"/>
          <w:b/>
          <w:bCs/>
          <w:kern w:val="0"/>
          <w:lang w:eastAsia="en-US"/>
          <w14:ligatures w14:val="none"/>
        </w:rPr>
      </w:pPr>
      <w:r w:rsidRPr="00B462CD">
        <w:rPr>
          <w:rFonts w:ascii="Arial" w:eastAsia="Times New Roman" w:hAnsi="Arial" w:cs="Arial"/>
          <w:kern w:val="0"/>
          <w:lang w:eastAsia="en-US"/>
          <w14:ligatures w14:val="none"/>
        </w:rPr>
        <w:t>This appendix contains an anonymised excerpt from a participant interview. Codes and themes are indicated to demonstrate the process of thematic analysis.</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5236"/>
        <w:gridCol w:w="1782"/>
        <w:gridCol w:w="1998"/>
      </w:tblGrid>
      <w:tr w:rsidR="00DF5D62" w:rsidRPr="00B462CD" w14:paraId="6D065380" w14:textId="77777777" w:rsidTr="00692327">
        <w:trPr>
          <w:tblHeader/>
          <w:tblCellSpacing w:w="15" w:type="dxa"/>
        </w:trPr>
        <w:tc>
          <w:tcPr>
            <w:tcW w:w="0" w:type="auto"/>
            <w:tcBorders>
              <w:top w:val="nil"/>
              <w:bottom w:val="single" w:sz="4" w:space="0" w:color="auto"/>
            </w:tcBorders>
            <w:vAlign w:val="center"/>
            <w:hideMark/>
          </w:tcPr>
          <w:p w14:paraId="40DD6520" w14:textId="77777777" w:rsidR="000333B7" w:rsidRPr="00B462CD" w:rsidRDefault="000333B7"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Transcript Excerpt</w:t>
            </w:r>
          </w:p>
        </w:tc>
        <w:tc>
          <w:tcPr>
            <w:tcW w:w="0" w:type="auto"/>
            <w:tcBorders>
              <w:top w:val="nil"/>
              <w:left w:val="single" w:sz="4" w:space="0" w:color="auto"/>
              <w:bottom w:val="single" w:sz="4" w:space="0" w:color="auto"/>
              <w:right w:val="single" w:sz="4" w:space="0" w:color="auto"/>
            </w:tcBorders>
            <w:vAlign w:val="center"/>
            <w:hideMark/>
          </w:tcPr>
          <w:p w14:paraId="087D4742" w14:textId="77777777" w:rsidR="000333B7" w:rsidRPr="00B462CD" w:rsidRDefault="000333B7"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Code</w:t>
            </w:r>
          </w:p>
        </w:tc>
        <w:tc>
          <w:tcPr>
            <w:tcW w:w="0" w:type="auto"/>
            <w:tcBorders>
              <w:top w:val="nil"/>
              <w:bottom w:val="single" w:sz="4" w:space="0" w:color="auto"/>
            </w:tcBorders>
            <w:vAlign w:val="center"/>
            <w:hideMark/>
          </w:tcPr>
          <w:p w14:paraId="49235F28" w14:textId="77777777" w:rsidR="000333B7" w:rsidRPr="00B462CD" w:rsidRDefault="000333B7"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Theme</w:t>
            </w:r>
          </w:p>
        </w:tc>
      </w:tr>
      <w:tr w:rsidR="00DF5D62" w:rsidRPr="00B462CD" w14:paraId="6AF63466" w14:textId="77777777" w:rsidTr="001E24B2">
        <w:trPr>
          <w:tblCellSpacing w:w="15" w:type="dxa"/>
        </w:trPr>
        <w:tc>
          <w:tcPr>
            <w:tcW w:w="0" w:type="auto"/>
            <w:vAlign w:val="center"/>
            <w:hideMark/>
          </w:tcPr>
          <w:p w14:paraId="26BE4AC4"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Interviewer: Can you tell me about your experiences accessing healthcare since moving to the UK?</w:t>
            </w:r>
          </w:p>
        </w:tc>
        <w:tc>
          <w:tcPr>
            <w:tcW w:w="0" w:type="auto"/>
            <w:tcBorders>
              <w:left w:val="single" w:sz="4" w:space="0" w:color="auto"/>
              <w:right w:val="single" w:sz="4" w:space="0" w:color="auto"/>
            </w:tcBorders>
            <w:vAlign w:val="center"/>
            <w:hideMark/>
          </w:tcPr>
          <w:p w14:paraId="6D46FF04"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vAlign w:val="center"/>
            <w:hideMark/>
          </w:tcPr>
          <w:p w14:paraId="57B23709" w14:textId="77777777" w:rsidR="000333B7" w:rsidRPr="00B462CD" w:rsidRDefault="000333B7" w:rsidP="00E6526D">
            <w:pPr>
              <w:spacing w:after="0" w:line="360" w:lineRule="auto"/>
              <w:rPr>
                <w:rFonts w:ascii="Arial" w:eastAsia="Times New Roman" w:hAnsi="Arial" w:cs="Arial"/>
                <w:kern w:val="0"/>
                <w:lang w:eastAsia="en-US"/>
                <w14:ligatures w14:val="none"/>
              </w:rPr>
            </w:pPr>
          </w:p>
        </w:tc>
      </w:tr>
      <w:tr w:rsidR="00DF5D62" w:rsidRPr="00B462CD" w14:paraId="7AB0CD55" w14:textId="77777777" w:rsidTr="001E24B2">
        <w:trPr>
          <w:tblCellSpacing w:w="15" w:type="dxa"/>
        </w:trPr>
        <w:tc>
          <w:tcPr>
            <w:tcW w:w="0" w:type="auto"/>
            <w:vAlign w:val="center"/>
            <w:hideMark/>
          </w:tcPr>
          <w:p w14:paraId="02452EFC"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Participant: “I was afraid to go to the doctor because I did not have the right papers. I thought they might call immigration. So, I waited until it was very serious before I went.”</w:t>
            </w:r>
          </w:p>
        </w:tc>
        <w:tc>
          <w:tcPr>
            <w:tcW w:w="0" w:type="auto"/>
            <w:tcBorders>
              <w:left w:val="single" w:sz="4" w:space="0" w:color="auto"/>
              <w:right w:val="single" w:sz="4" w:space="0" w:color="auto"/>
            </w:tcBorders>
            <w:vAlign w:val="center"/>
            <w:hideMark/>
          </w:tcPr>
          <w:p w14:paraId="33282BD3"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Fear of healthcare access</w:t>
            </w:r>
          </w:p>
        </w:tc>
        <w:tc>
          <w:tcPr>
            <w:tcW w:w="0" w:type="auto"/>
            <w:vAlign w:val="center"/>
            <w:hideMark/>
          </w:tcPr>
          <w:p w14:paraId="272612ED"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r>
      <w:tr w:rsidR="00DF5D62" w:rsidRPr="00B462CD" w14:paraId="2B51DB68" w14:textId="77777777" w:rsidTr="001E24B2">
        <w:trPr>
          <w:tblCellSpacing w:w="15" w:type="dxa"/>
        </w:trPr>
        <w:tc>
          <w:tcPr>
            <w:tcW w:w="0" w:type="auto"/>
            <w:vAlign w:val="center"/>
            <w:hideMark/>
          </w:tcPr>
          <w:p w14:paraId="6BC241C5"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tcBorders>
              <w:left w:val="single" w:sz="4" w:space="0" w:color="auto"/>
              <w:right w:val="single" w:sz="4" w:space="0" w:color="auto"/>
            </w:tcBorders>
            <w:vAlign w:val="center"/>
            <w:hideMark/>
          </w:tcPr>
          <w:p w14:paraId="16620134"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Delayed treatment</w:t>
            </w:r>
          </w:p>
        </w:tc>
        <w:tc>
          <w:tcPr>
            <w:tcW w:w="0" w:type="auto"/>
            <w:vAlign w:val="center"/>
            <w:hideMark/>
          </w:tcPr>
          <w:p w14:paraId="48D4EB40"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r>
      <w:tr w:rsidR="00DF5D62" w:rsidRPr="00B462CD" w14:paraId="08177B46" w14:textId="77777777" w:rsidTr="001E24B2">
        <w:trPr>
          <w:tblCellSpacing w:w="15" w:type="dxa"/>
        </w:trPr>
        <w:tc>
          <w:tcPr>
            <w:tcW w:w="0" w:type="auto"/>
            <w:vAlign w:val="center"/>
            <w:hideMark/>
          </w:tcPr>
          <w:p w14:paraId="7E5AE07F"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Interviewer: How about finding work?</w:t>
            </w:r>
          </w:p>
        </w:tc>
        <w:tc>
          <w:tcPr>
            <w:tcW w:w="0" w:type="auto"/>
            <w:tcBorders>
              <w:left w:val="single" w:sz="4" w:space="0" w:color="auto"/>
              <w:right w:val="single" w:sz="4" w:space="0" w:color="auto"/>
            </w:tcBorders>
            <w:vAlign w:val="center"/>
            <w:hideMark/>
          </w:tcPr>
          <w:p w14:paraId="7F635F6B"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vAlign w:val="center"/>
            <w:hideMark/>
          </w:tcPr>
          <w:p w14:paraId="225092AB" w14:textId="77777777" w:rsidR="000333B7" w:rsidRPr="00B462CD" w:rsidRDefault="000333B7" w:rsidP="00E6526D">
            <w:pPr>
              <w:spacing w:after="0" w:line="360" w:lineRule="auto"/>
              <w:rPr>
                <w:rFonts w:ascii="Arial" w:eastAsia="Times New Roman" w:hAnsi="Arial" w:cs="Arial"/>
                <w:kern w:val="0"/>
                <w:lang w:eastAsia="en-US"/>
                <w14:ligatures w14:val="none"/>
              </w:rPr>
            </w:pPr>
          </w:p>
        </w:tc>
      </w:tr>
      <w:tr w:rsidR="00DF5D62" w:rsidRPr="00B462CD" w14:paraId="3A7D6DBB" w14:textId="77777777" w:rsidTr="001E24B2">
        <w:trPr>
          <w:tblCellSpacing w:w="15" w:type="dxa"/>
        </w:trPr>
        <w:tc>
          <w:tcPr>
            <w:tcW w:w="0" w:type="auto"/>
            <w:vAlign w:val="center"/>
            <w:hideMark/>
          </w:tcPr>
          <w:p w14:paraId="07E0D50B"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Participant: “It is hard to find stable work; most jobs I get are cash-in-hand and do not last long. Sometimes I do not get paid at all.”</w:t>
            </w:r>
          </w:p>
        </w:tc>
        <w:tc>
          <w:tcPr>
            <w:tcW w:w="0" w:type="auto"/>
            <w:tcBorders>
              <w:left w:val="single" w:sz="4" w:space="0" w:color="auto"/>
              <w:right w:val="single" w:sz="4" w:space="0" w:color="auto"/>
            </w:tcBorders>
            <w:vAlign w:val="center"/>
            <w:hideMark/>
          </w:tcPr>
          <w:p w14:paraId="5759CBB4"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employment</w:t>
            </w:r>
          </w:p>
        </w:tc>
        <w:tc>
          <w:tcPr>
            <w:tcW w:w="0" w:type="auto"/>
            <w:vAlign w:val="center"/>
            <w:hideMark/>
          </w:tcPr>
          <w:p w14:paraId="2AE8A7E3"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Housing and Employment</w:t>
            </w:r>
          </w:p>
        </w:tc>
      </w:tr>
      <w:tr w:rsidR="00DF5D62" w:rsidRPr="00B462CD" w14:paraId="7C9D1174" w14:textId="77777777" w:rsidTr="001E24B2">
        <w:trPr>
          <w:tblCellSpacing w:w="15" w:type="dxa"/>
        </w:trPr>
        <w:tc>
          <w:tcPr>
            <w:tcW w:w="0" w:type="auto"/>
            <w:vAlign w:val="center"/>
            <w:hideMark/>
          </w:tcPr>
          <w:p w14:paraId="78E77699"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tcBorders>
              <w:left w:val="single" w:sz="4" w:space="0" w:color="auto"/>
              <w:right w:val="single" w:sz="4" w:space="0" w:color="auto"/>
            </w:tcBorders>
            <w:vAlign w:val="center"/>
            <w:hideMark/>
          </w:tcPr>
          <w:p w14:paraId="62BDB95A"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Exploitation</w:t>
            </w:r>
          </w:p>
        </w:tc>
        <w:tc>
          <w:tcPr>
            <w:tcW w:w="0" w:type="auto"/>
            <w:vAlign w:val="center"/>
            <w:hideMark/>
          </w:tcPr>
          <w:p w14:paraId="237C8F95"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Housing and Employment</w:t>
            </w:r>
          </w:p>
        </w:tc>
      </w:tr>
      <w:tr w:rsidR="00DF5D62" w:rsidRPr="00B462CD" w14:paraId="021845D4" w14:textId="77777777" w:rsidTr="001E24B2">
        <w:trPr>
          <w:tblCellSpacing w:w="15" w:type="dxa"/>
        </w:trPr>
        <w:tc>
          <w:tcPr>
            <w:tcW w:w="0" w:type="auto"/>
            <w:vAlign w:val="center"/>
            <w:hideMark/>
          </w:tcPr>
          <w:p w14:paraId="30B3968A"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Interviewer: Have you had any experiences that made you feel excluded here?</w:t>
            </w:r>
          </w:p>
        </w:tc>
        <w:tc>
          <w:tcPr>
            <w:tcW w:w="0" w:type="auto"/>
            <w:tcBorders>
              <w:left w:val="single" w:sz="4" w:space="0" w:color="auto"/>
              <w:right w:val="single" w:sz="4" w:space="0" w:color="auto"/>
            </w:tcBorders>
            <w:vAlign w:val="center"/>
            <w:hideMark/>
          </w:tcPr>
          <w:p w14:paraId="74A2E84C"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vAlign w:val="center"/>
            <w:hideMark/>
          </w:tcPr>
          <w:p w14:paraId="28B6A658" w14:textId="77777777" w:rsidR="000333B7" w:rsidRPr="00B462CD" w:rsidRDefault="000333B7" w:rsidP="00E6526D">
            <w:pPr>
              <w:spacing w:after="0" w:line="360" w:lineRule="auto"/>
              <w:rPr>
                <w:rFonts w:ascii="Arial" w:eastAsia="Times New Roman" w:hAnsi="Arial" w:cs="Arial"/>
                <w:kern w:val="0"/>
                <w:lang w:eastAsia="en-US"/>
                <w14:ligatures w14:val="none"/>
              </w:rPr>
            </w:pPr>
          </w:p>
        </w:tc>
      </w:tr>
      <w:tr w:rsidR="00DF5D62" w:rsidRPr="00B462CD" w14:paraId="3790D76F" w14:textId="77777777" w:rsidTr="001E24B2">
        <w:trPr>
          <w:tblCellSpacing w:w="15" w:type="dxa"/>
        </w:trPr>
        <w:tc>
          <w:tcPr>
            <w:tcW w:w="0" w:type="auto"/>
            <w:vAlign w:val="center"/>
            <w:hideMark/>
          </w:tcPr>
          <w:p w14:paraId="783B90E8"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Participant: “Sometimes people look at me differently when I speak my language in public. It makes me feel like I do not belong.”</w:t>
            </w:r>
          </w:p>
        </w:tc>
        <w:tc>
          <w:tcPr>
            <w:tcW w:w="0" w:type="auto"/>
            <w:tcBorders>
              <w:left w:val="single" w:sz="4" w:space="0" w:color="auto"/>
              <w:right w:val="single" w:sz="4" w:space="0" w:color="auto"/>
            </w:tcBorders>
            <w:vAlign w:val="center"/>
            <w:hideMark/>
          </w:tcPr>
          <w:p w14:paraId="20330BA6"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Experience of discrimination</w:t>
            </w:r>
          </w:p>
        </w:tc>
        <w:tc>
          <w:tcPr>
            <w:tcW w:w="0" w:type="auto"/>
            <w:vAlign w:val="center"/>
            <w:hideMark/>
          </w:tcPr>
          <w:p w14:paraId="615290FB"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and Social Exclusion</w:t>
            </w:r>
          </w:p>
        </w:tc>
      </w:tr>
      <w:tr w:rsidR="00DF5D62" w:rsidRPr="00B462CD" w14:paraId="5C1BDA12" w14:textId="77777777" w:rsidTr="001E24B2">
        <w:trPr>
          <w:tblCellSpacing w:w="15" w:type="dxa"/>
        </w:trPr>
        <w:tc>
          <w:tcPr>
            <w:tcW w:w="0" w:type="auto"/>
            <w:vAlign w:val="center"/>
            <w:hideMark/>
          </w:tcPr>
          <w:p w14:paraId="4AA58687"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tcBorders>
              <w:left w:val="single" w:sz="4" w:space="0" w:color="auto"/>
              <w:right w:val="single" w:sz="4" w:space="0" w:color="auto"/>
            </w:tcBorders>
            <w:vAlign w:val="center"/>
            <w:hideMark/>
          </w:tcPr>
          <w:p w14:paraId="4B26D4A4" w14:textId="77777777" w:rsidR="000333B7" w:rsidRPr="00B462CD" w:rsidRDefault="000333B7" w:rsidP="00E6526D">
            <w:pPr>
              <w:spacing w:after="0" w:line="360" w:lineRule="auto"/>
              <w:rPr>
                <w:rFonts w:ascii="Arial" w:eastAsia="Times New Roman" w:hAnsi="Arial" w:cs="Arial"/>
                <w:kern w:val="0"/>
                <w:lang w:eastAsia="en-US"/>
                <w14:ligatures w14:val="none"/>
              </w:rPr>
            </w:pPr>
          </w:p>
          <w:p w14:paraId="2BB86B20"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Social exclusion</w:t>
            </w:r>
          </w:p>
        </w:tc>
        <w:tc>
          <w:tcPr>
            <w:tcW w:w="0" w:type="auto"/>
            <w:vAlign w:val="center"/>
            <w:hideMark/>
          </w:tcPr>
          <w:p w14:paraId="5CF27268"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and Social Exclusion</w:t>
            </w:r>
          </w:p>
        </w:tc>
      </w:tr>
      <w:tr w:rsidR="00DF5D62" w:rsidRPr="00B462CD" w14:paraId="1AC4FEB9" w14:textId="77777777" w:rsidTr="001E24B2">
        <w:trPr>
          <w:tblCellSpacing w:w="15" w:type="dxa"/>
        </w:trPr>
        <w:tc>
          <w:tcPr>
            <w:tcW w:w="0" w:type="auto"/>
            <w:vAlign w:val="center"/>
            <w:hideMark/>
          </w:tcPr>
          <w:p w14:paraId="3389B9A9"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Interviewer: What helps you cope with these challenges?</w:t>
            </w:r>
          </w:p>
        </w:tc>
        <w:tc>
          <w:tcPr>
            <w:tcW w:w="0" w:type="auto"/>
            <w:tcBorders>
              <w:left w:val="single" w:sz="4" w:space="0" w:color="auto"/>
              <w:right w:val="single" w:sz="4" w:space="0" w:color="auto"/>
            </w:tcBorders>
            <w:vAlign w:val="center"/>
            <w:hideMark/>
          </w:tcPr>
          <w:p w14:paraId="45A4490F"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vAlign w:val="center"/>
            <w:hideMark/>
          </w:tcPr>
          <w:p w14:paraId="4A9394EC" w14:textId="77777777" w:rsidR="000333B7" w:rsidRPr="00B462CD" w:rsidRDefault="000333B7" w:rsidP="00E6526D">
            <w:pPr>
              <w:spacing w:after="0" w:line="360" w:lineRule="auto"/>
              <w:rPr>
                <w:rFonts w:ascii="Arial" w:eastAsia="Times New Roman" w:hAnsi="Arial" w:cs="Arial"/>
                <w:kern w:val="0"/>
                <w:lang w:eastAsia="en-US"/>
                <w14:ligatures w14:val="none"/>
              </w:rPr>
            </w:pPr>
          </w:p>
        </w:tc>
      </w:tr>
      <w:tr w:rsidR="00DF5D62" w:rsidRPr="00B462CD" w14:paraId="56A12C5B" w14:textId="77777777" w:rsidTr="001E24B2">
        <w:trPr>
          <w:tblCellSpacing w:w="15" w:type="dxa"/>
        </w:trPr>
        <w:tc>
          <w:tcPr>
            <w:tcW w:w="0" w:type="auto"/>
            <w:vAlign w:val="center"/>
            <w:hideMark/>
          </w:tcPr>
          <w:p w14:paraId="126CC2A5"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Participant: “My church helps me cope when things get tough. I talk to friends there, and it helps a lot.”</w:t>
            </w:r>
          </w:p>
        </w:tc>
        <w:tc>
          <w:tcPr>
            <w:tcW w:w="0" w:type="auto"/>
            <w:tcBorders>
              <w:left w:val="single" w:sz="4" w:space="0" w:color="auto"/>
              <w:right w:val="single" w:sz="4" w:space="0" w:color="auto"/>
            </w:tcBorders>
            <w:vAlign w:val="center"/>
            <w:hideMark/>
          </w:tcPr>
          <w:p w14:paraId="7173F9B2"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Faith-based coping</w:t>
            </w:r>
          </w:p>
        </w:tc>
        <w:tc>
          <w:tcPr>
            <w:tcW w:w="0" w:type="auto"/>
            <w:vAlign w:val="center"/>
            <w:hideMark/>
          </w:tcPr>
          <w:p w14:paraId="093F25FE"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Strategies and Resilience</w:t>
            </w:r>
          </w:p>
        </w:tc>
      </w:tr>
      <w:tr w:rsidR="00DF5D62" w:rsidRPr="00B462CD" w14:paraId="47CB7482" w14:textId="77777777" w:rsidTr="00692327">
        <w:trPr>
          <w:tblCellSpacing w:w="15" w:type="dxa"/>
        </w:trPr>
        <w:tc>
          <w:tcPr>
            <w:tcW w:w="0" w:type="auto"/>
            <w:tcBorders>
              <w:top w:val="nil"/>
              <w:bottom w:val="nil"/>
            </w:tcBorders>
            <w:vAlign w:val="center"/>
            <w:hideMark/>
          </w:tcPr>
          <w:p w14:paraId="002F89E9" w14:textId="77777777" w:rsidR="000333B7" w:rsidRPr="00B462CD" w:rsidRDefault="000333B7" w:rsidP="00E6526D">
            <w:pPr>
              <w:spacing w:after="0" w:line="360" w:lineRule="auto"/>
              <w:rPr>
                <w:rFonts w:ascii="Arial" w:eastAsia="Times New Roman" w:hAnsi="Arial" w:cs="Arial"/>
                <w:kern w:val="0"/>
                <w:lang w:eastAsia="en-US"/>
                <w14:ligatures w14:val="none"/>
              </w:rPr>
            </w:pPr>
          </w:p>
        </w:tc>
        <w:tc>
          <w:tcPr>
            <w:tcW w:w="0" w:type="auto"/>
            <w:tcBorders>
              <w:top w:val="nil"/>
              <w:left w:val="single" w:sz="4" w:space="0" w:color="auto"/>
              <w:bottom w:val="nil"/>
              <w:right w:val="single" w:sz="4" w:space="0" w:color="auto"/>
            </w:tcBorders>
            <w:vAlign w:val="center"/>
            <w:hideMark/>
          </w:tcPr>
          <w:p w14:paraId="3ACA63DF"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Social support</w:t>
            </w:r>
          </w:p>
        </w:tc>
        <w:tc>
          <w:tcPr>
            <w:tcW w:w="0" w:type="auto"/>
            <w:tcBorders>
              <w:top w:val="nil"/>
              <w:bottom w:val="nil"/>
            </w:tcBorders>
            <w:vAlign w:val="center"/>
            <w:hideMark/>
          </w:tcPr>
          <w:p w14:paraId="01662CA5" w14:textId="77777777" w:rsidR="000333B7" w:rsidRPr="00B462CD" w:rsidRDefault="000333B7"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Strategies and Resilience</w:t>
            </w:r>
          </w:p>
        </w:tc>
      </w:tr>
    </w:tbl>
    <w:p w14:paraId="0337CA48" w14:textId="77777777" w:rsidR="00BF1D96" w:rsidRPr="00B462CD" w:rsidRDefault="00BF1D96" w:rsidP="00E6526D">
      <w:pPr>
        <w:spacing w:line="360" w:lineRule="auto"/>
        <w:rPr>
          <w:rFonts w:ascii="Arial" w:eastAsia="Times New Roman" w:hAnsi="Arial" w:cs="Arial"/>
          <w:b/>
          <w:bCs/>
          <w:kern w:val="0"/>
          <w:lang w:eastAsia="en-US"/>
          <w14:ligatures w14:val="none"/>
        </w:rPr>
      </w:pPr>
      <w:bookmarkStart w:id="78" w:name="_Toc220428699"/>
      <w:bookmarkStart w:id="79" w:name="_Toc220428700"/>
    </w:p>
    <w:p w14:paraId="7F673235" w14:textId="1EC56620" w:rsidR="00BF1D96" w:rsidRPr="00B462CD" w:rsidRDefault="00BF1D96"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Table E1: Coded Transcript </w:t>
      </w:r>
      <w:bookmarkEnd w:id="78"/>
    </w:p>
    <w:p w14:paraId="4C4F375C" w14:textId="34FE189C" w:rsidR="006078BA" w:rsidRPr="00B462CD" w:rsidRDefault="006078BA"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F</w:t>
      </w:r>
      <w:r w:rsidRPr="00B462CD">
        <w:rPr>
          <w:rFonts w:ascii="Arial" w:eastAsia="Times New Roman" w:hAnsi="Arial" w:cs="Arial"/>
          <w:b/>
          <w:bCs/>
          <w:kern w:val="0"/>
          <w:lang w:eastAsia="en-US"/>
          <w14:ligatures w14:val="none"/>
        </w:rPr>
        <w:t>: Table of Themes</w:t>
      </w:r>
      <w:bookmarkEnd w:id="79"/>
    </w:p>
    <w:p w14:paraId="586F8EBE" w14:textId="1A9692EF"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Description:</w:t>
      </w:r>
      <w:r w:rsidRPr="00B462CD">
        <w:rPr>
          <w:rFonts w:ascii="Arial" w:eastAsia="Times New Roman" w:hAnsi="Arial" w:cs="Arial"/>
          <w:kern w:val="0"/>
          <w:lang w:eastAsia="en-US"/>
          <w14:ligatures w14:val="none"/>
        </w:rPr>
        <w:br/>
        <w:t>This appendix presents the full set of codes and themes generated during the data analysis process. It offers transparency about how raw interview data were organised, grouped, and synthesised into the main thematic findings discussed in the dissertation. This table goes beyond the summary presented in the findings chapter, showing sub-themes and illustrative codes.</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110"/>
        <w:gridCol w:w="1731"/>
        <w:gridCol w:w="2261"/>
        <w:gridCol w:w="2914"/>
      </w:tblGrid>
      <w:tr w:rsidR="009F33B6" w:rsidRPr="00B462CD" w14:paraId="036EC3CF" w14:textId="77777777" w:rsidTr="00692327">
        <w:trPr>
          <w:tblHeader/>
          <w:tblCellSpacing w:w="15" w:type="dxa"/>
        </w:trPr>
        <w:tc>
          <w:tcPr>
            <w:tcW w:w="0" w:type="auto"/>
            <w:tcBorders>
              <w:top w:val="nil"/>
              <w:bottom w:val="single" w:sz="4" w:space="0" w:color="auto"/>
            </w:tcBorders>
            <w:vAlign w:val="center"/>
            <w:hideMark/>
          </w:tcPr>
          <w:p w14:paraId="4AC3E830"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Main Theme</w:t>
            </w:r>
          </w:p>
        </w:tc>
        <w:tc>
          <w:tcPr>
            <w:tcW w:w="0" w:type="auto"/>
            <w:tcBorders>
              <w:top w:val="nil"/>
              <w:left w:val="single" w:sz="4" w:space="0" w:color="auto"/>
              <w:bottom w:val="single" w:sz="4" w:space="0" w:color="auto"/>
              <w:right w:val="single" w:sz="4" w:space="0" w:color="auto"/>
            </w:tcBorders>
            <w:vAlign w:val="center"/>
            <w:hideMark/>
          </w:tcPr>
          <w:p w14:paraId="58AF591F"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Sub-theme(s)</w:t>
            </w:r>
          </w:p>
        </w:tc>
        <w:tc>
          <w:tcPr>
            <w:tcW w:w="0" w:type="auto"/>
            <w:tcBorders>
              <w:top w:val="nil"/>
              <w:bottom w:val="single" w:sz="4" w:space="0" w:color="auto"/>
            </w:tcBorders>
            <w:vAlign w:val="center"/>
            <w:hideMark/>
          </w:tcPr>
          <w:p w14:paraId="59FAD260"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Example Codes</w:t>
            </w:r>
          </w:p>
        </w:tc>
        <w:tc>
          <w:tcPr>
            <w:tcW w:w="0" w:type="auto"/>
            <w:tcBorders>
              <w:top w:val="nil"/>
              <w:left w:val="single" w:sz="4" w:space="0" w:color="auto"/>
              <w:bottom w:val="single" w:sz="4" w:space="0" w:color="auto"/>
            </w:tcBorders>
            <w:vAlign w:val="center"/>
            <w:hideMark/>
          </w:tcPr>
          <w:p w14:paraId="06659E18"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Illustrative Participant Quote</w:t>
            </w:r>
          </w:p>
        </w:tc>
      </w:tr>
      <w:tr w:rsidR="009F33B6" w:rsidRPr="00B462CD" w14:paraId="1B8F104F" w14:textId="77777777" w:rsidTr="00E709E9">
        <w:trPr>
          <w:tblCellSpacing w:w="15" w:type="dxa"/>
        </w:trPr>
        <w:tc>
          <w:tcPr>
            <w:tcW w:w="0" w:type="auto"/>
            <w:vAlign w:val="center"/>
            <w:hideMark/>
          </w:tcPr>
          <w:p w14:paraId="4B5A7B72"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 Access</w:t>
            </w:r>
          </w:p>
        </w:tc>
        <w:tc>
          <w:tcPr>
            <w:tcW w:w="0" w:type="auto"/>
            <w:tcBorders>
              <w:top w:val="nil"/>
              <w:left w:val="single" w:sz="4" w:space="0" w:color="auto"/>
              <w:bottom w:val="nil"/>
              <w:right w:val="single" w:sz="4" w:space="0" w:color="auto"/>
            </w:tcBorders>
            <w:vAlign w:val="center"/>
            <w:hideMark/>
          </w:tcPr>
          <w:p w14:paraId="693E946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Fear of deportation</w:t>
            </w:r>
          </w:p>
        </w:tc>
        <w:tc>
          <w:tcPr>
            <w:tcW w:w="0" w:type="auto"/>
            <w:vAlign w:val="center"/>
            <w:hideMark/>
          </w:tcPr>
          <w:p w14:paraId="20D1663B"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Fear of accessing services</w:t>
            </w:r>
          </w:p>
        </w:tc>
        <w:tc>
          <w:tcPr>
            <w:tcW w:w="0" w:type="auto"/>
            <w:tcBorders>
              <w:top w:val="nil"/>
              <w:left w:val="single" w:sz="4" w:space="0" w:color="auto"/>
              <w:bottom w:val="nil"/>
            </w:tcBorders>
            <w:vAlign w:val="center"/>
            <w:hideMark/>
          </w:tcPr>
          <w:p w14:paraId="1C4B9B3C"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was afraid to go to the doctor because of my status.”</w:t>
            </w:r>
          </w:p>
        </w:tc>
      </w:tr>
      <w:tr w:rsidR="009F33B6" w:rsidRPr="00B462CD" w14:paraId="60028BC9" w14:textId="77777777" w:rsidTr="00E709E9">
        <w:trPr>
          <w:tblCellSpacing w:w="15" w:type="dxa"/>
        </w:trPr>
        <w:tc>
          <w:tcPr>
            <w:tcW w:w="0" w:type="auto"/>
            <w:vAlign w:val="center"/>
            <w:hideMark/>
          </w:tcPr>
          <w:p w14:paraId="5A71736D"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single" w:sz="4" w:space="0" w:color="auto"/>
              <w:bottom w:val="nil"/>
              <w:right w:val="single" w:sz="4" w:space="0" w:color="auto"/>
            </w:tcBorders>
            <w:vAlign w:val="center"/>
            <w:hideMark/>
          </w:tcPr>
          <w:p w14:paraId="4D65F670"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Lack of information</w:t>
            </w:r>
          </w:p>
        </w:tc>
        <w:tc>
          <w:tcPr>
            <w:tcW w:w="0" w:type="auto"/>
            <w:vAlign w:val="center"/>
            <w:hideMark/>
          </w:tcPr>
          <w:p w14:paraId="5BABF85C"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Lack of NHS knowledge</w:t>
            </w:r>
          </w:p>
        </w:tc>
        <w:tc>
          <w:tcPr>
            <w:tcW w:w="0" w:type="auto"/>
            <w:tcBorders>
              <w:top w:val="nil"/>
              <w:left w:val="single" w:sz="4" w:space="0" w:color="auto"/>
              <w:bottom w:val="nil"/>
            </w:tcBorders>
            <w:vAlign w:val="center"/>
            <w:hideMark/>
          </w:tcPr>
          <w:p w14:paraId="6F63BAC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don’t know what I need to register with a GP.”</w:t>
            </w:r>
          </w:p>
        </w:tc>
      </w:tr>
      <w:tr w:rsidR="009F33B6" w:rsidRPr="00B462CD" w14:paraId="600940DC" w14:textId="77777777" w:rsidTr="00E709E9">
        <w:trPr>
          <w:tblCellSpacing w:w="15" w:type="dxa"/>
        </w:trPr>
        <w:tc>
          <w:tcPr>
            <w:tcW w:w="0" w:type="auto"/>
            <w:vAlign w:val="center"/>
            <w:hideMark/>
          </w:tcPr>
          <w:p w14:paraId="5CB99022"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single" w:sz="4" w:space="0" w:color="auto"/>
              <w:bottom w:val="nil"/>
              <w:right w:val="single" w:sz="4" w:space="0" w:color="auto"/>
            </w:tcBorders>
            <w:vAlign w:val="center"/>
            <w:hideMark/>
          </w:tcPr>
          <w:p w14:paraId="55DB5AB1"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Language barriers</w:t>
            </w:r>
          </w:p>
        </w:tc>
        <w:tc>
          <w:tcPr>
            <w:tcW w:w="0" w:type="auto"/>
            <w:vAlign w:val="center"/>
            <w:hideMark/>
          </w:tcPr>
          <w:p w14:paraId="5B33192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Language difficulties</w:t>
            </w:r>
          </w:p>
        </w:tc>
        <w:tc>
          <w:tcPr>
            <w:tcW w:w="0" w:type="auto"/>
            <w:tcBorders>
              <w:top w:val="nil"/>
              <w:left w:val="single" w:sz="4" w:space="0" w:color="auto"/>
              <w:bottom w:val="nil"/>
            </w:tcBorders>
            <w:vAlign w:val="center"/>
            <w:hideMark/>
          </w:tcPr>
          <w:p w14:paraId="5259F49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“It’s hard to explain my problem if they don’t speak my language.”</w:t>
            </w:r>
          </w:p>
        </w:tc>
      </w:tr>
      <w:tr w:rsidR="009F33B6" w:rsidRPr="00B462CD" w14:paraId="7D7B4521" w14:textId="77777777" w:rsidTr="00E709E9">
        <w:trPr>
          <w:tblCellSpacing w:w="15" w:type="dxa"/>
        </w:trPr>
        <w:tc>
          <w:tcPr>
            <w:tcW w:w="0" w:type="auto"/>
            <w:vAlign w:val="center"/>
            <w:hideMark/>
          </w:tcPr>
          <w:p w14:paraId="5E0A295D"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Housing &amp; Employment</w:t>
            </w:r>
          </w:p>
        </w:tc>
        <w:tc>
          <w:tcPr>
            <w:tcW w:w="0" w:type="auto"/>
            <w:tcBorders>
              <w:top w:val="nil"/>
              <w:left w:val="single" w:sz="4" w:space="0" w:color="auto"/>
              <w:bottom w:val="nil"/>
              <w:right w:val="single" w:sz="4" w:space="0" w:color="auto"/>
            </w:tcBorders>
            <w:vAlign w:val="center"/>
            <w:hideMark/>
          </w:tcPr>
          <w:p w14:paraId="46E1AEC6"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Unstable work</w:t>
            </w:r>
          </w:p>
        </w:tc>
        <w:tc>
          <w:tcPr>
            <w:tcW w:w="0" w:type="auto"/>
            <w:vAlign w:val="center"/>
            <w:hideMark/>
          </w:tcPr>
          <w:p w14:paraId="5AFAC189"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Cash-in-hand jobs, job loss</w:t>
            </w:r>
          </w:p>
        </w:tc>
        <w:tc>
          <w:tcPr>
            <w:tcW w:w="0" w:type="auto"/>
            <w:tcBorders>
              <w:top w:val="nil"/>
              <w:left w:val="single" w:sz="4" w:space="0" w:color="auto"/>
              <w:bottom w:val="nil"/>
            </w:tcBorders>
            <w:vAlign w:val="center"/>
            <w:hideMark/>
          </w:tcPr>
          <w:p w14:paraId="60DF9C47"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“Most jobs I get are cash-in-hand and don’t last long.”</w:t>
            </w:r>
          </w:p>
        </w:tc>
      </w:tr>
      <w:tr w:rsidR="009F33B6" w:rsidRPr="00B462CD" w14:paraId="253D1CBE" w14:textId="77777777" w:rsidTr="00E709E9">
        <w:trPr>
          <w:tblCellSpacing w:w="15" w:type="dxa"/>
        </w:trPr>
        <w:tc>
          <w:tcPr>
            <w:tcW w:w="0" w:type="auto"/>
            <w:vAlign w:val="center"/>
            <w:hideMark/>
          </w:tcPr>
          <w:p w14:paraId="7D17EE0F"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single" w:sz="4" w:space="0" w:color="auto"/>
              <w:bottom w:val="nil"/>
              <w:right w:val="single" w:sz="4" w:space="0" w:color="auto"/>
            </w:tcBorders>
            <w:vAlign w:val="center"/>
            <w:hideMark/>
          </w:tcPr>
          <w:p w14:paraId="1A14A505"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Poor housing conditions</w:t>
            </w:r>
          </w:p>
        </w:tc>
        <w:tc>
          <w:tcPr>
            <w:tcW w:w="0" w:type="auto"/>
            <w:vAlign w:val="center"/>
            <w:hideMark/>
          </w:tcPr>
          <w:p w14:paraId="250B7621"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Overcrowding, unsafe housing</w:t>
            </w:r>
          </w:p>
        </w:tc>
        <w:tc>
          <w:tcPr>
            <w:tcW w:w="0" w:type="auto"/>
            <w:tcBorders>
              <w:top w:val="nil"/>
              <w:left w:val="single" w:sz="4" w:space="0" w:color="auto"/>
              <w:bottom w:val="nil"/>
            </w:tcBorders>
            <w:vAlign w:val="center"/>
            <w:hideMark/>
          </w:tcPr>
          <w:p w14:paraId="43BF842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share a room with five people to afford rent.”</w:t>
            </w:r>
          </w:p>
        </w:tc>
      </w:tr>
      <w:tr w:rsidR="009F33B6" w:rsidRPr="00B462CD" w14:paraId="58E55041" w14:textId="77777777" w:rsidTr="00E709E9">
        <w:trPr>
          <w:tblCellSpacing w:w="15" w:type="dxa"/>
        </w:trPr>
        <w:tc>
          <w:tcPr>
            <w:tcW w:w="0" w:type="auto"/>
            <w:vAlign w:val="center"/>
            <w:hideMark/>
          </w:tcPr>
          <w:p w14:paraId="3484595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&amp; Social Exclusion</w:t>
            </w:r>
          </w:p>
        </w:tc>
        <w:tc>
          <w:tcPr>
            <w:tcW w:w="0" w:type="auto"/>
            <w:tcBorders>
              <w:top w:val="nil"/>
              <w:left w:val="single" w:sz="4" w:space="0" w:color="auto"/>
              <w:bottom w:val="nil"/>
              <w:right w:val="single" w:sz="4" w:space="0" w:color="auto"/>
            </w:tcBorders>
            <w:vAlign w:val="center"/>
            <w:hideMark/>
          </w:tcPr>
          <w:p w14:paraId="546396C0"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Racism and xenophobia</w:t>
            </w:r>
          </w:p>
        </w:tc>
        <w:tc>
          <w:tcPr>
            <w:tcW w:w="0" w:type="auto"/>
            <w:vAlign w:val="center"/>
            <w:hideMark/>
          </w:tcPr>
          <w:p w14:paraId="0B9B162D"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microaggressions</w:t>
            </w:r>
          </w:p>
        </w:tc>
        <w:tc>
          <w:tcPr>
            <w:tcW w:w="0" w:type="auto"/>
            <w:tcBorders>
              <w:top w:val="nil"/>
              <w:left w:val="single" w:sz="4" w:space="0" w:color="auto"/>
              <w:bottom w:val="nil"/>
            </w:tcBorders>
            <w:vAlign w:val="center"/>
            <w:hideMark/>
          </w:tcPr>
          <w:p w14:paraId="57AE6854"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“People look at me differently when I speak my language.”</w:t>
            </w:r>
          </w:p>
        </w:tc>
      </w:tr>
      <w:tr w:rsidR="009F33B6" w:rsidRPr="00B462CD" w14:paraId="1F3B548F" w14:textId="77777777" w:rsidTr="00E709E9">
        <w:trPr>
          <w:tblCellSpacing w:w="15" w:type="dxa"/>
        </w:trPr>
        <w:tc>
          <w:tcPr>
            <w:tcW w:w="0" w:type="auto"/>
            <w:vAlign w:val="center"/>
            <w:hideMark/>
          </w:tcPr>
          <w:p w14:paraId="7044C379"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single" w:sz="4" w:space="0" w:color="auto"/>
              <w:bottom w:val="nil"/>
              <w:right w:val="single" w:sz="4" w:space="0" w:color="auto"/>
            </w:tcBorders>
            <w:vAlign w:val="center"/>
            <w:hideMark/>
          </w:tcPr>
          <w:p w14:paraId="190BEE7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Social isolation</w:t>
            </w:r>
          </w:p>
        </w:tc>
        <w:tc>
          <w:tcPr>
            <w:tcW w:w="0" w:type="auto"/>
            <w:vAlign w:val="center"/>
            <w:hideMark/>
          </w:tcPr>
          <w:p w14:paraId="79C75E0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Lack of friends/support</w:t>
            </w:r>
          </w:p>
        </w:tc>
        <w:tc>
          <w:tcPr>
            <w:tcW w:w="0" w:type="auto"/>
            <w:tcBorders>
              <w:top w:val="nil"/>
              <w:left w:val="single" w:sz="4" w:space="0" w:color="auto"/>
              <w:bottom w:val="nil"/>
            </w:tcBorders>
            <w:vAlign w:val="center"/>
            <w:hideMark/>
          </w:tcPr>
          <w:p w14:paraId="70704CB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“It’s hard to make friends here.”</w:t>
            </w:r>
          </w:p>
        </w:tc>
      </w:tr>
      <w:tr w:rsidR="009F33B6" w:rsidRPr="00B462CD" w14:paraId="5A970F4D" w14:textId="77777777" w:rsidTr="00E709E9">
        <w:trPr>
          <w:tblCellSpacing w:w="15" w:type="dxa"/>
        </w:trPr>
        <w:tc>
          <w:tcPr>
            <w:tcW w:w="0" w:type="auto"/>
            <w:vAlign w:val="center"/>
            <w:hideMark/>
          </w:tcPr>
          <w:p w14:paraId="4227AA3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Strategies &amp; Resilience</w:t>
            </w:r>
          </w:p>
        </w:tc>
        <w:tc>
          <w:tcPr>
            <w:tcW w:w="0" w:type="auto"/>
            <w:tcBorders>
              <w:top w:val="nil"/>
              <w:left w:val="single" w:sz="4" w:space="0" w:color="auto"/>
              <w:bottom w:val="nil"/>
              <w:right w:val="single" w:sz="4" w:space="0" w:color="auto"/>
            </w:tcBorders>
            <w:vAlign w:val="center"/>
            <w:hideMark/>
          </w:tcPr>
          <w:p w14:paraId="06BA0FF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Faith/religion</w:t>
            </w:r>
          </w:p>
        </w:tc>
        <w:tc>
          <w:tcPr>
            <w:tcW w:w="0" w:type="auto"/>
            <w:vAlign w:val="center"/>
            <w:hideMark/>
          </w:tcPr>
          <w:p w14:paraId="2B046176"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Church, prayer</w:t>
            </w:r>
          </w:p>
        </w:tc>
        <w:tc>
          <w:tcPr>
            <w:tcW w:w="0" w:type="auto"/>
            <w:tcBorders>
              <w:top w:val="nil"/>
              <w:left w:val="single" w:sz="4" w:space="0" w:color="auto"/>
              <w:bottom w:val="nil"/>
            </w:tcBorders>
            <w:vAlign w:val="center"/>
            <w:hideMark/>
          </w:tcPr>
          <w:p w14:paraId="621BABB4"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“My church helps me cope when things get tough.”</w:t>
            </w:r>
          </w:p>
        </w:tc>
      </w:tr>
      <w:tr w:rsidR="0084227D" w:rsidRPr="00B462CD" w14:paraId="5D5E3B29" w14:textId="77777777" w:rsidTr="0084227D">
        <w:trPr>
          <w:tblCellSpacing w:w="15" w:type="dxa"/>
        </w:trPr>
        <w:tc>
          <w:tcPr>
            <w:tcW w:w="0" w:type="auto"/>
            <w:tcBorders>
              <w:top w:val="nil"/>
              <w:left w:val="nil"/>
              <w:bottom w:val="nil"/>
              <w:right w:val="single" w:sz="4" w:space="0" w:color="auto"/>
            </w:tcBorders>
            <w:vAlign w:val="center"/>
            <w:hideMark/>
          </w:tcPr>
          <w:p w14:paraId="7032E0ED"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nil"/>
              <w:bottom w:val="nil"/>
              <w:right w:val="nil"/>
            </w:tcBorders>
            <w:vAlign w:val="center"/>
            <w:hideMark/>
          </w:tcPr>
          <w:p w14:paraId="6AEBC9C6"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Community support</w:t>
            </w:r>
          </w:p>
        </w:tc>
        <w:tc>
          <w:tcPr>
            <w:tcW w:w="0" w:type="auto"/>
            <w:tcBorders>
              <w:top w:val="nil"/>
              <w:left w:val="single" w:sz="4" w:space="0" w:color="auto"/>
              <w:bottom w:val="nil"/>
              <w:right w:val="single" w:sz="4" w:space="0" w:color="auto"/>
            </w:tcBorders>
            <w:vAlign w:val="center"/>
            <w:hideMark/>
          </w:tcPr>
          <w:p w14:paraId="72A89D7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Support groups, friends</w:t>
            </w:r>
          </w:p>
        </w:tc>
        <w:tc>
          <w:tcPr>
            <w:tcW w:w="0" w:type="auto"/>
            <w:tcBorders>
              <w:top w:val="nil"/>
              <w:left w:val="nil"/>
              <w:bottom w:val="nil"/>
              <w:right w:val="nil"/>
            </w:tcBorders>
            <w:vAlign w:val="center"/>
            <w:hideMark/>
          </w:tcPr>
          <w:p w14:paraId="49AF18FB"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talk to others who have been through the same.”</w:t>
            </w:r>
          </w:p>
        </w:tc>
      </w:tr>
      <w:tr w:rsidR="0084227D" w:rsidRPr="00B462CD" w14:paraId="4852B4B3" w14:textId="77777777" w:rsidTr="0084227D">
        <w:trPr>
          <w:tblCellSpacing w:w="15" w:type="dxa"/>
        </w:trPr>
        <w:tc>
          <w:tcPr>
            <w:tcW w:w="0" w:type="auto"/>
            <w:tcBorders>
              <w:top w:val="nil"/>
              <w:left w:val="nil"/>
              <w:bottom w:val="nil"/>
              <w:right w:val="single" w:sz="4" w:space="0" w:color="auto"/>
            </w:tcBorders>
            <w:vAlign w:val="center"/>
            <w:hideMark/>
          </w:tcPr>
          <w:p w14:paraId="031075E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Climate &amp; Cultural Adaptation</w:t>
            </w:r>
          </w:p>
        </w:tc>
        <w:tc>
          <w:tcPr>
            <w:tcW w:w="0" w:type="auto"/>
            <w:tcBorders>
              <w:top w:val="nil"/>
              <w:left w:val="nil"/>
              <w:bottom w:val="nil"/>
              <w:right w:val="nil"/>
            </w:tcBorders>
            <w:vAlign w:val="center"/>
            <w:hideMark/>
          </w:tcPr>
          <w:p w14:paraId="2987E8E0"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Adapting to weather</w:t>
            </w:r>
          </w:p>
        </w:tc>
        <w:tc>
          <w:tcPr>
            <w:tcW w:w="0" w:type="auto"/>
            <w:tcBorders>
              <w:top w:val="nil"/>
              <w:left w:val="single" w:sz="4" w:space="0" w:color="auto"/>
              <w:bottom w:val="nil"/>
              <w:right w:val="single" w:sz="4" w:space="0" w:color="auto"/>
            </w:tcBorders>
            <w:vAlign w:val="center"/>
            <w:hideMark/>
          </w:tcPr>
          <w:p w14:paraId="5DFD9791"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Cold, illness, unfamiliarity</w:t>
            </w:r>
          </w:p>
        </w:tc>
        <w:tc>
          <w:tcPr>
            <w:tcW w:w="0" w:type="auto"/>
            <w:tcBorders>
              <w:top w:val="nil"/>
              <w:left w:val="nil"/>
              <w:bottom w:val="nil"/>
              <w:right w:val="nil"/>
            </w:tcBorders>
            <w:vAlign w:val="center"/>
            <w:hideMark/>
          </w:tcPr>
          <w:p w14:paraId="64AC7D60"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 weather here makes me sick sometimes.”</w:t>
            </w:r>
          </w:p>
        </w:tc>
      </w:tr>
      <w:tr w:rsidR="0084227D" w:rsidRPr="00B462CD" w14:paraId="2CD81437" w14:textId="77777777" w:rsidTr="0084227D">
        <w:trPr>
          <w:tblCellSpacing w:w="15" w:type="dxa"/>
        </w:trPr>
        <w:tc>
          <w:tcPr>
            <w:tcW w:w="0" w:type="auto"/>
            <w:tcBorders>
              <w:top w:val="nil"/>
              <w:left w:val="nil"/>
              <w:bottom w:val="nil"/>
              <w:right w:val="single" w:sz="4" w:space="0" w:color="auto"/>
            </w:tcBorders>
            <w:vAlign w:val="center"/>
            <w:hideMark/>
          </w:tcPr>
          <w:p w14:paraId="27EB154A" w14:textId="77777777" w:rsidR="006078BA" w:rsidRPr="00B462CD" w:rsidRDefault="006078BA" w:rsidP="00E6526D">
            <w:pPr>
              <w:spacing w:after="0" w:line="360" w:lineRule="auto"/>
              <w:rPr>
                <w:rFonts w:ascii="Arial" w:eastAsia="Times New Roman" w:hAnsi="Arial" w:cs="Arial"/>
                <w:kern w:val="0"/>
                <w:lang w:eastAsia="en-US"/>
                <w14:ligatures w14:val="none"/>
              </w:rPr>
            </w:pPr>
          </w:p>
        </w:tc>
        <w:tc>
          <w:tcPr>
            <w:tcW w:w="0" w:type="auto"/>
            <w:tcBorders>
              <w:top w:val="nil"/>
              <w:left w:val="nil"/>
              <w:bottom w:val="nil"/>
              <w:right w:val="nil"/>
            </w:tcBorders>
            <w:vAlign w:val="center"/>
            <w:hideMark/>
          </w:tcPr>
          <w:p w14:paraId="009C7EB2"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Navigating new norms</w:t>
            </w:r>
          </w:p>
        </w:tc>
        <w:tc>
          <w:tcPr>
            <w:tcW w:w="0" w:type="auto"/>
            <w:tcBorders>
              <w:top w:val="nil"/>
              <w:left w:val="single" w:sz="4" w:space="0" w:color="auto"/>
              <w:bottom w:val="nil"/>
              <w:right w:val="single" w:sz="4" w:space="0" w:color="auto"/>
            </w:tcBorders>
            <w:vAlign w:val="center"/>
            <w:hideMark/>
          </w:tcPr>
          <w:p w14:paraId="0EB518BB"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Food, customs, expectations</w:t>
            </w:r>
          </w:p>
        </w:tc>
        <w:tc>
          <w:tcPr>
            <w:tcW w:w="0" w:type="auto"/>
            <w:tcBorders>
              <w:top w:val="nil"/>
              <w:left w:val="nil"/>
              <w:bottom w:val="nil"/>
              <w:right w:val="nil"/>
            </w:tcBorders>
            <w:vAlign w:val="center"/>
            <w:hideMark/>
          </w:tcPr>
          <w:p w14:paraId="54827BE6"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had to learn new things to fit in.”</w:t>
            </w:r>
          </w:p>
        </w:tc>
      </w:tr>
      <w:tr w:rsidR="00626B34" w:rsidRPr="00B462CD" w14:paraId="3B277D69" w14:textId="77777777" w:rsidTr="0084227D">
        <w:trPr>
          <w:tblCellSpacing w:w="15" w:type="dxa"/>
        </w:trPr>
        <w:tc>
          <w:tcPr>
            <w:tcW w:w="0" w:type="auto"/>
            <w:tcBorders>
              <w:top w:val="nil"/>
              <w:left w:val="nil"/>
              <w:bottom w:val="nil"/>
              <w:right w:val="single" w:sz="4" w:space="0" w:color="auto"/>
            </w:tcBorders>
            <w:vAlign w:val="center"/>
            <w:hideMark/>
          </w:tcPr>
          <w:p w14:paraId="59E53A40"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 </w:t>
            </w:r>
          </w:p>
        </w:tc>
        <w:tc>
          <w:tcPr>
            <w:tcW w:w="0" w:type="auto"/>
            <w:tcBorders>
              <w:top w:val="nil"/>
              <w:left w:val="nil"/>
              <w:bottom w:val="nil"/>
              <w:right w:val="nil"/>
            </w:tcBorders>
            <w:vAlign w:val="center"/>
            <w:hideMark/>
          </w:tcPr>
          <w:p w14:paraId="49F88CD4"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Community support</w:t>
            </w:r>
          </w:p>
        </w:tc>
        <w:tc>
          <w:tcPr>
            <w:tcW w:w="0" w:type="auto"/>
            <w:tcBorders>
              <w:top w:val="nil"/>
              <w:left w:val="single" w:sz="4" w:space="0" w:color="auto"/>
              <w:bottom w:val="nil"/>
              <w:right w:val="single" w:sz="4" w:space="0" w:color="auto"/>
            </w:tcBorders>
            <w:vAlign w:val="center"/>
            <w:hideMark/>
          </w:tcPr>
          <w:p w14:paraId="5F3F8A37"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Support groups, friends</w:t>
            </w:r>
          </w:p>
        </w:tc>
        <w:tc>
          <w:tcPr>
            <w:tcW w:w="0" w:type="auto"/>
            <w:tcBorders>
              <w:top w:val="nil"/>
              <w:left w:val="nil"/>
              <w:bottom w:val="nil"/>
              <w:right w:val="nil"/>
            </w:tcBorders>
            <w:vAlign w:val="center"/>
            <w:hideMark/>
          </w:tcPr>
          <w:p w14:paraId="23A63AB8"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talk to others who have been through the same.”</w:t>
            </w:r>
          </w:p>
        </w:tc>
      </w:tr>
      <w:tr w:rsidR="00626B34" w:rsidRPr="00B462CD" w14:paraId="5D1C4F9B" w14:textId="77777777" w:rsidTr="0084227D">
        <w:trPr>
          <w:tblCellSpacing w:w="15" w:type="dxa"/>
        </w:trPr>
        <w:tc>
          <w:tcPr>
            <w:tcW w:w="0" w:type="auto"/>
            <w:tcBorders>
              <w:top w:val="nil"/>
              <w:left w:val="nil"/>
              <w:bottom w:val="nil"/>
              <w:right w:val="single" w:sz="4" w:space="0" w:color="auto"/>
            </w:tcBorders>
            <w:vAlign w:val="center"/>
            <w:hideMark/>
          </w:tcPr>
          <w:p w14:paraId="7502F371"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Climate &amp; Cultural Adaptation</w:t>
            </w:r>
          </w:p>
        </w:tc>
        <w:tc>
          <w:tcPr>
            <w:tcW w:w="0" w:type="auto"/>
            <w:tcBorders>
              <w:top w:val="nil"/>
              <w:left w:val="nil"/>
              <w:bottom w:val="nil"/>
              <w:right w:val="nil"/>
            </w:tcBorders>
            <w:vAlign w:val="center"/>
            <w:hideMark/>
          </w:tcPr>
          <w:p w14:paraId="0D422F23"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Adapting to weather</w:t>
            </w:r>
          </w:p>
        </w:tc>
        <w:tc>
          <w:tcPr>
            <w:tcW w:w="0" w:type="auto"/>
            <w:tcBorders>
              <w:top w:val="nil"/>
              <w:left w:val="single" w:sz="4" w:space="0" w:color="auto"/>
              <w:bottom w:val="nil"/>
              <w:right w:val="single" w:sz="4" w:space="0" w:color="auto"/>
            </w:tcBorders>
            <w:vAlign w:val="center"/>
            <w:hideMark/>
          </w:tcPr>
          <w:p w14:paraId="3F171992"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Cold, illness, unfamiliarity</w:t>
            </w:r>
          </w:p>
        </w:tc>
        <w:tc>
          <w:tcPr>
            <w:tcW w:w="0" w:type="auto"/>
            <w:tcBorders>
              <w:top w:val="nil"/>
              <w:left w:val="nil"/>
              <w:bottom w:val="nil"/>
              <w:right w:val="nil"/>
            </w:tcBorders>
            <w:vAlign w:val="center"/>
            <w:hideMark/>
          </w:tcPr>
          <w:p w14:paraId="743CD74B"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“The weather here makes me sick sometimes.”</w:t>
            </w:r>
          </w:p>
        </w:tc>
      </w:tr>
      <w:tr w:rsidR="00626B34" w:rsidRPr="00B462CD" w14:paraId="5A364BE1" w14:textId="77777777" w:rsidTr="00692327">
        <w:trPr>
          <w:tblCellSpacing w:w="15" w:type="dxa"/>
        </w:trPr>
        <w:tc>
          <w:tcPr>
            <w:tcW w:w="0" w:type="auto"/>
            <w:tcBorders>
              <w:top w:val="nil"/>
              <w:left w:val="nil"/>
              <w:bottom w:val="nil"/>
              <w:right w:val="single" w:sz="4" w:space="0" w:color="auto"/>
            </w:tcBorders>
            <w:vAlign w:val="center"/>
            <w:hideMark/>
          </w:tcPr>
          <w:p w14:paraId="2226D4C9" w14:textId="77777777" w:rsidR="00626B34" w:rsidRPr="00B462CD" w:rsidRDefault="00626B34" w:rsidP="00E6526D">
            <w:pPr>
              <w:spacing w:after="0" w:line="360" w:lineRule="auto"/>
              <w:rPr>
                <w:rFonts w:ascii="Arial" w:eastAsia="Times New Roman" w:hAnsi="Arial" w:cs="Arial"/>
                <w:kern w:val="0"/>
                <w:lang w:eastAsia="en-US"/>
                <w14:ligatures w14:val="none"/>
              </w:rPr>
            </w:pPr>
          </w:p>
        </w:tc>
        <w:tc>
          <w:tcPr>
            <w:tcW w:w="0" w:type="auto"/>
            <w:tcBorders>
              <w:top w:val="nil"/>
              <w:left w:val="nil"/>
              <w:bottom w:val="nil"/>
              <w:right w:val="nil"/>
            </w:tcBorders>
            <w:vAlign w:val="center"/>
            <w:hideMark/>
          </w:tcPr>
          <w:p w14:paraId="46BDF6F0"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Navigating new norms</w:t>
            </w:r>
          </w:p>
        </w:tc>
        <w:tc>
          <w:tcPr>
            <w:tcW w:w="0" w:type="auto"/>
            <w:tcBorders>
              <w:top w:val="nil"/>
              <w:left w:val="single" w:sz="4" w:space="0" w:color="auto"/>
              <w:bottom w:val="nil"/>
              <w:right w:val="single" w:sz="4" w:space="0" w:color="auto"/>
            </w:tcBorders>
            <w:vAlign w:val="center"/>
            <w:hideMark/>
          </w:tcPr>
          <w:p w14:paraId="00B73FD1"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Food, customs, expectations</w:t>
            </w:r>
          </w:p>
        </w:tc>
        <w:tc>
          <w:tcPr>
            <w:tcW w:w="0" w:type="auto"/>
            <w:tcBorders>
              <w:top w:val="nil"/>
              <w:left w:val="nil"/>
              <w:bottom w:val="nil"/>
              <w:right w:val="nil"/>
            </w:tcBorders>
            <w:vAlign w:val="center"/>
            <w:hideMark/>
          </w:tcPr>
          <w:p w14:paraId="1117D440" w14:textId="77777777" w:rsidR="00626B34" w:rsidRPr="00B462CD" w:rsidRDefault="00626B34"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 had to learn new things to fit in.”</w:t>
            </w:r>
          </w:p>
        </w:tc>
      </w:tr>
    </w:tbl>
    <w:p w14:paraId="4E386F3C" w14:textId="6E176971" w:rsidR="00FB55F5" w:rsidRPr="00B462CD" w:rsidRDefault="00BF1D96"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80" w:name="_Toc220428701"/>
      <w:r w:rsidRPr="00B462CD">
        <w:rPr>
          <w:rFonts w:ascii="Arial" w:eastAsia="Times New Roman" w:hAnsi="Arial" w:cs="Arial"/>
          <w:b/>
          <w:bCs/>
          <w:kern w:val="0"/>
          <w:lang w:eastAsia="en-US"/>
          <w14:ligatures w14:val="none"/>
        </w:rPr>
        <w:t>Table F1: Table of themes</w:t>
      </w:r>
      <w:bookmarkEnd w:id="80"/>
    </w:p>
    <w:p w14:paraId="164BD4DD" w14:textId="77777777" w:rsidR="00FB55F5" w:rsidRPr="00B462CD" w:rsidRDefault="00FB55F5" w:rsidP="00E6526D">
      <w:pPr>
        <w:spacing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br w:type="page"/>
      </w:r>
    </w:p>
    <w:p w14:paraId="37D16552" w14:textId="21E22487" w:rsidR="006078BA" w:rsidRPr="00B462CD" w:rsidRDefault="006078BA" w:rsidP="00E6526D">
      <w:pPr>
        <w:spacing w:before="100" w:beforeAutospacing="1" w:after="100" w:afterAutospacing="1" w:line="360" w:lineRule="auto"/>
        <w:outlineLvl w:val="1"/>
        <w:rPr>
          <w:rFonts w:ascii="Arial" w:eastAsia="Times New Roman" w:hAnsi="Arial" w:cs="Arial"/>
          <w:b/>
          <w:bCs/>
          <w:kern w:val="0"/>
          <w:lang w:eastAsia="en-US"/>
          <w14:ligatures w14:val="none"/>
        </w:rPr>
      </w:pPr>
      <w:bookmarkStart w:id="81" w:name="_Toc220428702"/>
      <w:r w:rsidRPr="00B462CD">
        <w:rPr>
          <w:rFonts w:ascii="Arial" w:eastAsia="Times New Roman" w:hAnsi="Arial" w:cs="Arial"/>
          <w:b/>
          <w:bCs/>
          <w:kern w:val="0"/>
          <w:lang w:eastAsia="en-US"/>
          <w14:ligatures w14:val="none"/>
        </w:rPr>
        <w:t xml:space="preserve">Appendix </w:t>
      </w:r>
      <w:r w:rsidR="00D348C8" w:rsidRPr="00B462CD">
        <w:rPr>
          <w:rFonts w:ascii="Arial" w:eastAsia="Times New Roman" w:hAnsi="Arial" w:cs="Arial"/>
          <w:b/>
          <w:bCs/>
          <w:kern w:val="0"/>
          <w:lang w:eastAsia="en-US"/>
          <w14:ligatures w14:val="none"/>
        </w:rPr>
        <w:t>G</w:t>
      </w:r>
      <w:r w:rsidR="00FB55F5" w:rsidRPr="00B462CD">
        <w:rPr>
          <w:rFonts w:ascii="Arial" w:eastAsia="Times New Roman" w:hAnsi="Arial" w:cs="Arial"/>
          <w:b/>
          <w:bCs/>
          <w:kern w:val="0"/>
          <w:lang w:eastAsia="en-US"/>
          <w14:ligatures w14:val="none"/>
        </w:rPr>
        <w:t>:</w:t>
      </w:r>
      <w:r w:rsidRPr="00B462CD">
        <w:rPr>
          <w:rFonts w:ascii="Arial" w:eastAsia="Times New Roman" w:hAnsi="Arial" w:cs="Arial"/>
          <w:b/>
          <w:bCs/>
          <w:kern w:val="0"/>
          <w:lang w:eastAsia="en-US"/>
          <w14:ligatures w14:val="none"/>
        </w:rPr>
        <w:t xml:space="preserve"> Additional Data Tables and Figures</w:t>
      </w:r>
      <w:bookmarkEnd w:id="81"/>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617"/>
        <w:gridCol w:w="3507"/>
      </w:tblGrid>
      <w:tr w:rsidR="00D32858" w:rsidRPr="00B462CD" w14:paraId="23E29D9F" w14:textId="77777777" w:rsidTr="00A16558">
        <w:trPr>
          <w:tblHeader/>
          <w:tblCellSpacing w:w="15" w:type="dxa"/>
        </w:trPr>
        <w:tc>
          <w:tcPr>
            <w:tcW w:w="0" w:type="auto"/>
            <w:tcBorders>
              <w:top w:val="nil"/>
              <w:bottom w:val="single" w:sz="4" w:space="0" w:color="auto"/>
            </w:tcBorders>
            <w:vAlign w:val="center"/>
            <w:hideMark/>
          </w:tcPr>
          <w:p w14:paraId="7728CE55"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Code</w:t>
            </w:r>
          </w:p>
        </w:tc>
        <w:tc>
          <w:tcPr>
            <w:tcW w:w="0" w:type="auto"/>
            <w:tcBorders>
              <w:top w:val="nil"/>
              <w:left w:val="single" w:sz="4" w:space="0" w:color="auto"/>
              <w:bottom w:val="single" w:sz="4" w:space="0" w:color="auto"/>
            </w:tcBorders>
            <w:vAlign w:val="center"/>
            <w:hideMark/>
          </w:tcPr>
          <w:p w14:paraId="73808105"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Theme</w:t>
            </w:r>
          </w:p>
        </w:tc>
      </w:tr>
      <w:tr w:rsidR="00D32858" w:rsidRPr="00B462CD" w14:paraId="440E2036" w14:textId="77777777" w:rsidTr="001E24B2">
        <w:trPr>
          <w:tblCellSpacing w:w="15" w:type="dxa"/>
        </w:trPr>
        <w:tc>
          <w:tcPr>
            <w:tcW w:w="0" w:type="auto"/>
            <w:vAlign w:val="center"/>
            <w:hideMark/>
          </w:tcPr>
          <w:p w14:paraId="47C59987"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Fear of healthcare access</w:t>
            </w:r>
          </w:p>
        </w:tc>
        <w:tc>
          <w:tcPr>
            <w:tcW w:w="0" w:type="auto"/>
            <w:tcBorders>
              <w:top w:val="nil"/>
              <w:left w:val="single" w:sz="4" w:space="0" w:color="auto"/>
              <w:bottom w:val="nil"/>
            </w:tcBorders>
            <w:vAlign w:val="center"/>
            <w:hideMark/>
          </w:tcPr>
          <w:p w14:paraId="029FB5CD"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r>
      <w:tr w:rsidR="00D32858" w:rsidRPr="00B462CD" w14:paraId="00A02A54" w14:textId="77777777" w:rsidTr="001E24B2">
        <w:trPr>
          <w:tblCellSpacing w:w="15" w:type="dxa"/>
        </w:trPr>
        <w:tc>
          <w:tcPr>
            <w:tcW w:w="0" w:type="auto"/>
            <w:vAlign w:val="center"/>
            <w:hideMark/>
          </w:tcPr>
          <w:p w14:paraId="6CF68DEF"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Cash-in-hand jobs</w:t>
            </w:r>
          </w:p>
        </w:tc>
        <w:tc>
          <w:tcPr>
            <w:tcW w:w="0" w:type="auto"/>
            <w:tcBorders>
              <w:top w:val="nil"/>
              <w:left w:val="single" w:sz="4" w:space="0" w:color="auto"/>
              <w:bottom w:val="nil"/>
            </w:tcBorders>
            <w:vAlign w:val="center"/>
            <w:hideMark/>
          </w:tcPr>
          <w:p w14:paraId="49B00442"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Housing &amp; Employment</w:t>
            </w:r>
          </w:p>
        </w:tc>
      </w:tr>
      <w:tr w:rsidR="00D32858" w:rsidRPr="00B462CD" w14:paraId="11AD33E9" w14:textId="77777777" w:rsidTr="001E24B2">
        <w:trPr>
          <w:tblCellSpacing w:w="15" w:type="dxa"/>
        </w:trPr>
        <w:tc>
          <w:tcPr>
            <w:tcW w:w="0" w:type="auto"/>
            <w:vAlign w:val="center"/>
            <w:hideMark/>
          </w:tcPr>
          <w:p w14:paraId="1B847D8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Church support</w:t>
            </w:r>
          </w:p>
        </w:tc>
        <w:tc>
          <w:tcPr>
            <w:tcW w:w="0" w:type="auto"/>
            <w:tcBorders>
              <w:top w:val="nil"/>
              <w:left w:val="single" w:sz="4" w:space="0" w:color="auto"/>
              <w:bottom w:val="nil"/>
            </w:tcBorders>
            <w:vAlign w:val="center"/>
            <w:hideMark/>
          </w:tcPr>
          <w:p w14:paraId="44D099E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Strategies &amp; Resilience</w:t>
            </w:r>
          </w:p>
        </w:tc>
      </w:tr>
      <w:tr w:rsidR="00D32858" w:rsidRPr="00B462CD" w14:paraId="408A8864" w14:textId="77777777" w:rsidTr="001E24B2">
        <w:trPr>
          <w:tblCellSpacing w:w="15" w:type="dxa"/>
        </w:trPr>
        <w:tc>
          <w:tcPr>
            <w:tcW w:w="0" w:type="auto"/>
            <w:vAlign w:val="center"/>
            <w:hideMark/>
          </w:tcPr>
          <w:p w14:paraId="3CAD2C8A"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Language difficulties</w:t>
            </w:r>
          </w:p>
        </w:tc>
        <w:tc>
          <w:tcPr>
            <w:tcW w:w="0" w:type="auto"/>
            <w:tcBorders>
              <w:top w:val="nil"/>
              <w:left w:val="single" w:sz="4" w:space="0" w:color="auto"/>
              <w:bottom w:val="nil"/>
            </w:tcBorders>
            <w:vAlign w:val="center"/>
            <w:hideMark/>
          </w:tcPr>
          <w:p w14:paraId="5A927B21"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w:t>
            </w:r>
          </w:p>
        </w:tc>
      </w:tr>
      <w:tr w:rsidR="00D32858" w:rsidRPr="00B462CD" w14:paraId="4A87F671" w14:textId="77777777" w:rsidTr="001E24B2">
        <w:trPr>
          <w:tblCellSpacing w:w="15" w:type="dxa"/>
        </w:trPr>
        <w:tc>
          <w:tcPr>
            <w:tcW w:w="0" w:type="auto"/>
            <w:vAlign w:val="center"/>
            <w:hideMark/>
          </w:tcPr>
          <w:p w14:paraId="1D9F314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Overcrowding</w:t>
            </w:r>
          </w:p>
        </w:tc>
        <w:tc>
          <w:tcPr>
            <w:tcW w:w="0" w:type="auto"/>
            <w:tcBorders>
              <w:top w:val="nil"/>
              <w:left w:val="single" w:sz="4" w:space="0" w:color="auto"/>
              <w:bottom w:val="nil"/>
            </w:tcBorders>
            <w:vAlign w:val="center"/>
            <w:hideMark/>
          </w:tcPr>
          <w:p w14:paraId="7F325F89"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Housing &amp; Employment</w:t>
            </w:r>
          </w:p>
        </w:tc>
      </w:tr>
      <w:tr w:rsidR="00D32858" w:rsidRPr="00B462CD" w14:paraId="313B8CCC" w14:textId="77777777" w:rsidTr="005D2448">
        <w:trPr>
          <w:tblCellSpacing w:w="15" w:type="dxa"/>
        </w:trPr>
        <w:tc>
          <w:tcPr>
            <w:tcW w:w="0" w:type="auto"/>
            <w:tcBorders>
              <w:top w:val="nil"/>
              <w:bottom w:val="nil"/>
            </w:tcBorders>
            <w:vAlign w:val="center"/>
            <w:hideMark/>
          </w:tcPr>
          <w:p w14:paraId="5D0627A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Racism</w:t>
            </w:r>
          </w:p>
        </w:tc>
        <w:tc>
          <w:tcPr>
            <w:tcW w:w="0" w:type="auto"/>
            <w:tcBorders>
              <w:top w:val="nil"/>
              <w:left w:val="single" w:sz="4" w:space="0" w:color="auto"/>
              <w:bottom w:val="nil"/>
            </w:tcBorders>
            <w:vAlign w:val="center"/>
            <w:hideMark/>
          </w:tcPr>
          <w:p w14:paraId="502B8935"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&amp; Social Exclusion</w:t>
            </w:r>
          </w:p>
        </w:tc>
      </w:tr>
    </w:tbl>
    <w:p w14:paraId="02F2FE59" w14:textId="77777777" w:rsidR="00BF1D96" w:rsidRPr="00B462CD" w:rsidRDefault="00BF1D96" w:rsidP="00E6526D">
      <w:pPr>
        <w:spacing w:after="0" w:line="360" w:lineRule="auto"/>
        <w:rPr>
          <w:rFonts w:ascii="Arial" w:eastAsia="Times New Roman" w:hAnsi="Arial" w:cs="Arial"/>
          <w:b/>
          <w:bCs/>
          <w:kern w:val="0"/>
          <w:lang w:eastAsia="en-US"/>
          <w14:ligatures w14:val="none"/>
        </w:rPr>
      </w:pPr>
      <w:bookmarkStart w:id="82" w:name="_Toc220428703"/>
    </w:p>
    <w:p w14:paraId="54954014" w14:textId="6EA31F41" w:rsidR="006078BA" w:rsidRPr="00B462CD" w:rsidRDefault="00BF1D96"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b/>
          <w:bCs/>
          <w:kern w:val="0"/>
          <w:lang w:eastAsia="en-US"/>
          <w14:ligatures w14:val="none"/>
        </w:rPr>
        <w:t>Table G1: Theme Matrix</w:t>
      </w:r>
      <w:bookmarkEnd w:id="82"/>
      <w:r w:rsidRPr="00B462CD">
        <w:rPr>
          <w:rFonts w:ascii="Arial" w:eastAsia="Times New Roman" w:hAnsi="Arial" w:cs="Arial"/>
          <w:b/>
          <w:bCs/>
          <w:kern w:val="0"/>
          <w:lang w:eastAsia="en-US"/>
          <w14:ligatures w14:val="none"/>
        </w:rPr>
        <w:t xml:space="preserve"> Codes</w:t>
      </w:r>
    </w:p>
    <w:p w14:paraId="7CC83486" w14:textId="11A5F61F" w:rsidR="006078BA" w:rsidRPr="00B462CD" w:rsidRDefault="006078BA" w:rsidP="00E6526D">
      <w:pPr>
        <w:keepNext/>
        <w:keepLines/>
        <w:spacing w:before="320" w:after="80" w:line="360" w:lineRule="auto"/>
        <w:outlineLvl w:val="2"/>
        <w:rPr>
          <w:rFonts w:ascii="Arial" w:eastAsia="Times New Roman" w:hAnsi="Arial" w:cs="Arial"/>
          <w:b/>
          <w:bCs/>
          <w:kern w:val="0"/>
          <w:lang w:eastAsia="en-US"/>
          <w14:ligatures w14:val="none"/>
        </w:rPr>
      </w:pPr>
      <w:bookmarkStart w:id="83" w:name="_Toc220428704"/>
      <w:bookmarkStart w:id="84" w:name="_Hlk220856545"/>
      <w:r w:rsidRPr="00B462CD">
        <w:rPr>
          <w:rFonts w:ascii="Arial" w:eastAsia="Times New Roman" w:hAnsi="Arial" w:cs="Arial"/>
          <w:b/>
          <w:bCs/>
          <w:kern w:val="0"/>
          <w:lang w:eastAsia="en-US"/>
          <w14:ligatures w14:val="none"/>
        </w:rPr>
        <w:t>Thematic Map (Braun &amp; Clarke)</w:t>
      </w:r>
      <w:bookmarkEnd w:id="83"/>
    </w:p>
    <w:bookmarkEnd w:id="84"/>
    <w:p w14:paraId="27940326"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The patterns of shared meaning produced by reflexive thematic analysis are displayed in the theme map (Braun &amp; Clarke, 2006; 2021). Instead of being objective classifications, themes were created as interpretive constructions that represented the researchers' interaction with participant narratives. Three interconnected themes, Barriers to Healthcare, Precarious Employment, and Discrimination, that together describe intersecting structural variables influencing participants' experiences, were identified by the analysis. </w:t>
      </w:r>
      <w:r w:rsidRPr="00B462CD">
        <w:rPr>
          <w:rFonts w:ascii="Arial" w:eastAsia="Times New Roman" w:hAnsi="Arial" w:cs="Arial"/>
          <w:kern w:val="0"/>
          <w:lang w:eastAsia="en-US"/>
          <w14:ligatures w14:val="none"/>
        </w:rPr>
        <w:br/>
        <w:t>These topics are positioned analytically as mutually constitutive, showing how discrimination, job insecurity, and access to healthcare co-create vulnerability in participants' daily lives. Participants' accounts show how difficulties in one area exacerbate limitations in others, creating a web of structural disadvantage rather than functioning as distinct domains.</w:t>
      </w:r>
    </w:p>
    <w:p w14:paraId="7449960E"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Another theme, Coping Strategies and Resilience, is a pattern of shared meaning that revolves around individuals' agentic reactions to these interlocking limitations. This subject encapsulates the methods, tools, and processes of meaning-making that individuals use to overcome, tolerate, and occasionally defy structural obstacles. </w:t>
      </w:r>
      <w:r w:rsidRPr="00B462CD">
        <w:rPr>
          <w:rFonts w:ascii="Arial" w:eastAsia="Times New Roman" w:hAnsi="Arial" w:cs="Arial"/>
          <w:kern w:val="0"/>
          <w:lang w:eastAsia="en-US"/>
          <w14:ligatures w14:val="none"/>
        </w:rPr>
        <w:br/>
        <w:t>All themes are developed and interpreted using climate adaptation as a cross-cutting analytical lens. It influences the coping mechanisms described by participants as well as the contextual circumstances in which prejudice, employment, and healthcare are encountered. This conceptualisation of climate adaptation highlights the dynamic interaction between adaptive agency and structural vulnerability throughout the dataset.</w:t>
      </w:r>
    </w:p>
    <w:p w14:paraId="460E7B57" w14:textId="77777777"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p>
    <w:p w14:paraId="51E36ED0" w14:textId="77777777" w:rsidR="001A7A67" w:rsidRPr="00B462CD" w:rsidRDefault="001A7A67" w:rsidP="00E6526D">
      <w:pPr>
        <w:spacing w:before="100" w:beforeAutospacing="1" w:after="100" w:afterAutospacing="1" w:line="360" w:lineRule="auto"/>
        <w:rPr>
          <w:rFonts w:ascii="Arial" w:eastAsia="Times New Roman" w:hAnsi="Arial" w:cs="Arial"/>
          <w:kern w:val="0"/>
          <w:lang w:eastAsia="en-US"/>
          <w14:ligatures w14:val="none"/>
        </w:rPr>
      </w:pPr>
    </w:p>
    <w:p w14:paraId="349E93F2" w14:textId="7F8FFCD5"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 ↔ Precarious Employment ↔ Discrimination</w:t>
      </w:r>
    </w:p>
    <w:p w14:paraId="429E6E80" w14:textId="77777777"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          </w:t>
      </w:r>
      <w:r w:rsidRPr="00B462CD">
        <w:rPr>
          <w:rFonts w:ascii="Cambria Math" w:eastAsia="Times New Roman" w:hAnsi="Cambria Math" w:cs="Cambria Math"/>
          <w:kern w:val="0"/>
          <w:lang w:eastAsia="en-US"/>
          <w14:ligatures w14:val="none"/>
        </w:rPr>
        <w:t>↘</w:t>
      </w:r>
      <w:r w:rsidRPr="00B462CD">
        <w:rPr>
          <w:rFonts w:ascii="Arial" w:eastAsia="Times New Roman" w:hAnsi="Arial" w:cs="Arial"/>
          <w:kern w:val="0"/>
          <w:lang w:eastAsia="en-US"/>
          <w14:ligatures w14:val="none"/>
        </w:rPr>
        <w:t xml:space="preserve">                                   </w:t>
      </w:r>
      <w:r w:rsidRPr="00B462CD">
        <w:rPr>
          <w:rFonts w:ascii="Cambria Math" w:eastAsia="Times New Roman" w:hAnsi="Cambria Math" w:cs="Cambria Math"/>
          <w:kern w:val="0"/>
          <w:lang w:eastAsia="en-US"/>
          <w14:ligatures w14:val="none"/>
        </w:rPr>
        <w:t>↙</w:t>
      </w:r>
    </w:p>
    <w:p w14:paraId="5301F832" w14:textId="77777777"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             Coping Strategies &amp; Resilience</w:t>
      </w:r>
    </w:p>
    <w:p w14:paraId="0D9B6BE3" w14:textId="77777777" w:rsidR="006078BA" w:rsidRPr="00B462CD" w:rsidRDefault="006078BA" w:rsidP="00E6526D">
      <w:pPr>
        <w:spacing w:before="100" w:beforeAutospacing="1" w:after="100" w:afterAutospacing="1"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 xml:space="preserve"> (Climate adaptation as a cross-cutting analytic lens)</w:t>
      </w:r>
    </w:p>
    <w:p w14:paraId="75B87F65" w14:textId="370E97EB" w:rsidR="001A7A67" w:rsidRPr="00B462CD" w:rsidRDefault="00BF1D96" w:rsidP="00E6526D">
      <w:pPr>
        <w:keepNext/>
        <w:keepLines/>
        <w:spacing w:before="320" w:after="80" w:line="360" w:lineRule="auto"/>
        <w:outlineLvl w:val="2"/>
        <w:rPr>
          <w:rFonts w:ascii="Arial" w:eastAsia="Times New Roman" w:hAnsi="Arial" w:cs="Arial"/>
          <w:b/>
          <w:bCs/>
          <w:kern w:val="0"/>
          <w:lang w:eastAsia="en-US"/>
          <w14:ligatures w14:val="none"/>
        </w:rPr>
      </w:pPr>
      <w:r w:rsidRPr="00B462CD">
        <w:rPr>
          <w:rFonts w:ascii="Arial" w:eastAsia="Times New Roman" w:hAnsi="Arial" w:cs="Arial"/>
          <w:b/>
          <w:bCs/>
          <w:color w:val="434343"/>
          <w:kern w:val="0"/>
          <w:lang w:eastAsia="en-US"/>
          <w14:ligatures w14:val="none"/>
        </w:rPr>
        <w:t xml:space="preserve">Figure </w:t>
      </w:r>
      <w:r w:rsidR="001A7A67" w:rsidRPr="00B462CD">
        <w:rPr>
          <w:rFonts w:ascii="Arial" w:eastAsia="Times New Roman" w:hAnsi="Arial" w:cs="Arial"/>
          <w:b/>
          <w:bCs/>
          <w:color w:val="434343"/>
          <w:kern w:val="0"/>
          <w:lang w:eastAsia="en-US"/>
          <w14:ligatures w14:val="none"/>
        </w:rPr>
        <w:t>G</w:t>
      </w:r>
      <w:r w:rsidRPr="00B462CD">
        <w:rPr>
          <w:rFonts w:ascii="Arial" w:eastAsia="Times New Roman" w:hAnsi="Arial" w:cs="Arial"/>
          <w:b/>
          <w:bCs/>
          <w:color w:val="434343"/>
          <w:kern w:val="0"/>
          <w:lang w:eastAsia="en-US"/>
          <w14:ligatures w14:val="none"/>
        </w:rPr>
        <w:t xml:space="preserve">1: </w:t>
      </w:r>
      <w:r w:rsidRPr="00B462CD">
        <w:rPr>
          <w:rFonts w:ascii="Arial" w:eastAsia="Times New Roman" w:hAnsi="Arial" w:cs="Arial"/>
          <w:b/>
          <w:bCs/>
          <w:kern w:val="0"/>
          <w:lang w:eastAsia="en-US"/>
          <w14:ligatures w14:val="none"/>
        </w:rPr>
        <w:t>Thematic Map (Braun &amp; Clarke)</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3952"/>
        <w:gridCol w:w="4343"/>
      </w:tblGrid>
      <w:tr w:rsidR="00D32858" w:rsidRPr="00B462CD" w14:paraId="70390213" w14:textId="77777777" w:rsidTr="00A16558">
        <w:trPr>
          <w:tblHeader/>
          <w:tblCellSpacing w:w="15" w:type="dxa"/>
        </w:trPr>
        <w:tc>
          <w:tcPr>
            <w:tcW w:w="0" w:type="auto"/>
            <w:tcBorders>
              <w:top w:val="nil"/>
              <w:bottom w:val="single" w:sz="4" w:space="0" w:color="auto"/>
            </w:tcBorders>
            <w:vAlign w:val="center"/>
            <w:hideMark/>
          </w:tcPr>
          <w:p w14:paraId="3124F878"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Recommendation</w:t>
            </w:r>
          </w:p>
        </w:tc>
        <w:tc>
          <w:tcPr>
            <w:tcW w:w="0" w:type="auto"/>
            <w:tcBorders>
              <w:top w:val="nil"/>
              <w:bottom w:val="single" w:sz="4" w:space="0" w:color="auto"/>
            </w:tcBorders>
            <w:vAlign w:val="center"/>
            <w:hideMark/>
          </w:tcPr>
          <w:p w14:paraId="725CE137" w14:textId="77777777" w:rsidR="006078BA" w:rsidRPr="00B462CD" w:rsidRDefault="006078BA" w:rsidP="00E6526D">
            <w:pPr>
              <w:spacing w:after="0" w:line="360" w:lineRule="auto"/>
              <w:rPr>
                <w:rFonts w:ascii="Arial" w:eastAsia="Times New Roman" w:hAnsi="Arial" w:cs="Arial"/>
                <w:b/>
                <w:bCs/>
                <w:kern w:val="0"/>
                <w:lang w:eastAsia="en-US"/>
                <w14:ligatures w14:val="none"/>
              </w:rPr>
            </w:pPr>
            <w:r w:rsidRPr="00B462CD">
              <w:rPr>
                <w:rFonts w:ascii="Arial" w:eastAsia="Times New Roman" w:hAnsi="Arial" w:cs="Arial"/>
                <w:b/>
                <w:bCs/>
                <w:kern w:val="0"/>
                <w:lang w:eastAsia="en-US"/>
                <w14:ligatures w14:val="none"/>
              </w:rPr>
              <w:t>Linked Finding or Theme</w:t>
            </w:r>
          </w:p>
        </w:tc>
      </w:tr>
      <w:tr w:rsidR="00D32858" w:rsidRPr="00B462CD" w14:paraId="64F9F7EF" w14:textId="77777777" w:rsidTr="00E709E9">
        <w:trPr>
          <w:tblCellSpacing w:w="15" w:type="dxa"/>
        </w:trPr>
        <w:tc>
          <w:tcPr>
            <w:tcW w:w="0" w:type="auto"/>
            <w:vAlign w:val="center"/>
            <w:hideMark/>
          </w:tcPr>
          <w:p w14:paraId="56117FEC"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Improve language support in healthcare</w:t>
            </w:r>
          </w:p>
        </w:tc>
        <w:tc>
          <w:tcPr>
            <w:tcW w:w="0" w:type="auto"/>
            <w:vAlign w:val="center"/>
            <w:hideMark/>
          </w:tcPr>
          <w:p w14:paraId="786565A9"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Barriers to Healthcare: Language difficulties</w:t>
            </w:r>
          </w:p>
        </w:tc>
      </w:tr>
      <w:tr w:rsidR="00D32858" w:rsidRPr="00B462CD" w14:paraId="47EDBC1A" w14:textId="77777777" w:rsidTr="00E709E9">
        <w:trPr>
          <w:tblCellSpacing w:w="15" w:type="dxa"/>
        </w:trPr>
        <w:tc>
          <w:tcPr>
            <w:tcW w:w="0" w:type="auto"/>
            <w:vAlign w:val="center"/>
            <w:hideMark/>
          </w:tcPr>
          <w:p w14:paraId="64A96942"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Expand community health outreach</w:t>
            </w:r>
          </w:p>
        </w:tc>
        <w:tc>
          <w:tcPr>
            <w:tcW w:w="0" w:type="auto"/>
            <w:vAlign w:val="center"/>
            <w:hideMark/>
          </w:tcPr>
          <w:p w14:paraId="5237F639"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Coping Strategies; Social Support</w:t>
            </w:r>
          </w:p>
        </w:tc>
      </w:tr>
      <w:tr w:rsidR="00D32858" w:rsidRPr="00B462CD" w14:paraId="4B9076E5" w14:textId="77777777" w:rsidTr="00E709E9">
        <w:trPr>
          <w:tblCellSpacing w:w="15" w:type="dxa"/>
        </w:trPr>
        <w:tc>
          <w:tcPr>
            <w:tcW w:w="0" w:type="auto"/>
            <w:vAlign w:val="center"/>
            <w:hideMark/>
          </w:tcPr>
          <w:p w14:paraId="065611A8"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Address housing insecurity policies</w:t>
            </w:r>
          </w:p>
        </w:tc>
        <w:tc>
          <w:tcPr>
            <w:tcW w:w="0" w:type="auto"/>
            <w:vAlign w:val="center"/>
            <w:hideMark/>
          </w:tcPr>
          <w:p w14:paraId="2EF01633"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Precarious Housing &amp; Employment</w:t>
            </w:r>
          </w:p>
        </w:tc>
      </w:tr>
      <w:tr w:rsidR="00D32858" w:rsidRPr="00B462CD" w14:paraId="29E03AA3" w14:textId="77777777" w:rsidTr="00E709E9">
        <w:trPr>
          <w:tblCellSpacing w:w="15" w:type="dxa"/>
        </w:trPr>
        <w:tc>
          <w:tcPr>
            <w:tcW w:w="0" w:type="auto"/>
            <w:vAlign w:val="center"/>
            <w:hideMark/>
          </w:tcPr>
          <w:p w14:paraId="002E1D44"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Anti-discrimination training for staff</w:t>
            </w:r>
          </w:p>
        </w:tc>
        <w:tc>
          <w:tcPr>
            <w:tcW w:w="0" w:type="auto"/>
            <w:vAlign w:val="center"/>
            <w:hideMark/>
          </w:tcPr>
          <w:p w14:paraId="042566AA" w14:textId="77777777" w:rsidR="006078BA" w:rsidRPr="00B462CD" w:rsidRDefault="006078BA" w:rsidP="00E6526D">
            <w:pPr>
              <w:spacing w:after="0" w:line="360" w:lineRule="auto"/>
              <w:rPr>
                <w:rFonts w:ascii="Arial" w:eastAsia="Times New Roman" w:hAnsi="Arial" w:cs="Arial"/>
                <w:kern w:val="0"/>
                <w:lang w:eastAsia="en-US"/>
                <w14:ligatures w14:val="none"/>
              </w:rPr>
            </w:pPr>
            <w:r w:rsidRPr="00B462CD">
              <w:rPr>
                <w:rFonts w:ascii="Arial" w:eastAsia="Times New Roman" w:hAnsi="Arial" w:cs="Arial"/>
                <w:kern w:val="0"/>
                <w:lang w:eastAsia="en-US"/>
                <w14:ligatures w14:val="none"/>
              </w:rPr>
              <w:t>Discrimination &amp; Social Exclusion</w:t>
            </w:r>
          </w:p>
        </w:tc>
      </w:tr>
    </w:tbl>
    <w:p w14:paraId="3C861993" w14:textId="77777777" w:rsidR="001A7A67" w:rsidRPr="00B462CD" w:rsidRDefault="001A7A67" w:rsidP="00E6526D">
      <w:pPr>
        <w:spacing w:after="0" w:line="360" w:lineRule="auto"/>
        <w:rPr>
          <w:rFonts w:ascii="Arial" w:eastAsia="Times New Roman" w:hAnsi="Arial" w:cs="Arial"/>
          <w:b/>
          <w:bCs/>
          <w:kern w:val="0"/>
          <w:lang w:eastAsia="en-US"/>
          <w14:ligatures w14:val="none"/>
        </w:rPr>
      </w:pPr>
      <w:bookmarkStart w:id="85" w:name="_Toc220428705"/>
    </w:p>
    <w:p w14:paraId="1A364DE1" w14:textId="3C91B2D3" w:rsidR="006078BA" w:rsidRPr="00B462CD" w:rsidRDefault="001A7A67" w:rsidP="00E6526D">
      <w:pPr>
        <w:spacing w:after="0" w:line="360" w:lineRule="auto"/>
        <w:rPr>
          <w:rFonts w:ascii="Arial" w:eastAsia="Times New Roman" w:hAnsi="Arial" w:cs="Arial"/>
          <w:b/>
          <w:bCs/>
          <w:kern w:val="0"/>
          <w:lang w:eastAsia="en-US"/>
          <w14:ligatures w14:val="none"/>
        </w:rPr>
      </w:pPr>
      <w:bookmarkStart w:id="86" w:name="_Hlk220857328"/>
      <w:r w:rsidRPr="00B462CD">
        <w:rPr>
          <w:rFonts w:ascii="Arial" w:eastAsia="Times New Roman" w:hAnsi="Arial" w:cs="Arial"/>
          <w:b/>
          <w:bCs/>
          <w:kern w:val="0"/>
          <w:lang w:eastAsia="en-US"/>
          <w14:ligatures w14:val="none"/>
        </w:rPr>
        <w:t>Table G2: Policy Recommendations Mapped to Findings</w:t>
      </w:r>
      <w:bookmarkEnd w:id="85"/>
    </w:p>
    <w:bookmarkEnd w:id="86"/>
    <w:p w14:paraId="4678554D" w14:textId="79B45CE0" w:rsidR="00466810" w:rsidRPr="00B462CD" w:rsidRDefault="00466810" w:rsidP="00E6526D">
      <w:pPr>
        <w:spacing w:before="100" w:beforeAutospacing="1" w:after="100" w:afterAutospacing="1" w:line="360" w:lineRule="auto"/>
        <w:rPr>
          <w:rFonts w:ascii="Arial" w:eastAsia="Times New Roman" w:hAnsi="Arial" w:cs="Arial"/>
        </w:rPr>
      </w:pPr>
      <w:r w:rsidRPr="00B462CD">
        <w:rPr>
          <w:rFonts w:ascii="Arial" w:eastAsia="Times New Roman" w:hAnsi="Arial" w:cs="Arial"/>
        </w:rPr>
        <w:t xml:space="preserve">The thematic map presents the patterns of shared meaning generated through </w:t>
      </w:r>
      <w:r w:rsidRPr="00B462CD">
        <w:rPr>
          <w:rFonts w:ascii="Arial" w:eastAsia="Times New Roman" w:hAnsi="Arial" w:cs="Arial"/>
          <w:b/>
          <w:bCs/>
        </w:rPr>
        <w:t>reflexive thematic analysis</w:t>
      </w:r>
      <w:r w:rsidRPr="00B462CD">
        <w:rPr>
          <w:rFonts w:ascii="Arial" w:eastAsia="Times New Roman" w:hAnsi="Arial" w:cs="Arial"/>
        </w:rPr>
        <w:t xml:space="preserve"> (Braun &amp; Clarke, 2006; 2021). Themes were developed as </w:t>
      </w:r>
      <w:r w:rsidRPr="00B462CD">
        <w:rPr>
          <w:rFonts w:ascii="Arial" w:eastAsia="Times New Roman" w:hAnsi="Arial" w:cs="Arial"/>
          <w:b/>
          <w:bCs/>
        </w:rPr>
        <w:t>interpretative constructs</w:t>
      </w:r>
      <w:r w:rsidRPr="00B462CD">
        <w:rPr>
          <w:rFonts w:ascii="Arial" w:eastAsia="Times New Roman" w:hAnsi="Arial" w:cs="Arial"/>
        </w:rPr>
        <w:t>, reflecting the researchers’ engagement with participants’ accounts rather than objective categories. The analysis identified three interrelated themes</w:t>
      </w:r>
      <w:r w:rsidR="0088592C" w:rsidRPr="00B462CD">
        <w:rPr>
          <w:rFonts w:ascii="Arial" w:eastAsia="Times New Roman" w:hAnsi="Arial" w:cs="Arial"/>
        </w:rPr>
        <w:t>:</w:t>
      </w:r>
      <w:r w:rsidR="00451FFF" w:rsidRPr="00B462CD">
        <w:rPr>
          <w:rFonts w:ascii="Arial" w:eastAsia="Times New Roman" w:hAnsi="Arial" w:cs="Arial"/>
        </w:rPr>
        <w:t xml:space="preserve"> </w:t>
      </w:r>
      <w:r w:rsidRPr="00B462CD">
        <w:rPr>
          <w:rFonts w:ascii="Arial" w:eastAsia="Times New Roman" w:hAnsi="Arial" w:cs="Arial"/>
          <w:b/>
          <w:bCs/>
        </w:rPr>
        <w:t>Barriers to Healthcare</w:t>
      </w:r>
      <w:r w:rsidRPr="00B462CD">
        <w:rPr>
          <w:rFonts w:ascii="Arial" w:eastAsia="Times New Roman" w:hAnsi="Arial" w:cs="Arial"/>
        </w:rPr>
        <w:t xml:space="preserve">, </w:t>
      </w:r>
      <w:r w:rsidRPr="00B462CD">
        <w:rPr>
          <w:rFonts w:ascii="Arial" w:eastAsia="Times New Roman" w:hAnsi="Arial" w:cs="Arial"/>
          <w:b/>
          <w:bCs/>
        </w:rPr>
        <w:t>Precarious Employment</w:t>
      </w:r>
      <w:r w:rsidRPr="00B462CD">
        <w:rPr>
          <w:rFonts w:ascii="Arial" w:eastAsia="Times New Roman" w:hAnsi="Arial" w:cs="Arial"/>
        </w:rPr>
        <w:t xml:space="preserve">, and </w:t>
      </w:r>
      <w:r w:rsidRPr="00B462CD">
        <w:rPr>
          <w:rFonts w:ascii="Arial" w:eastAsia="Times New Roman" w:hAnsi="Arial" w:cs="Arial"/>
          <w:b/>
          <w:bCs/>
        </w:rPr>
        <w:t>Discrimination</w:t>
      </w:r>
      <w:r w:rsidR="0088592C" w:rsidRPr="00B462CD">
        <w:rPr>
          <w:rFonts w:ascii="Arial" w:eastAsia="Times New Roman" w:hAnsi="Arial" w:cs="Arial"/>
        </w:rPr>
        <w:t xml:space="preserve">, </w:t>
      </w:r>
      <w:r w:rsidRPr="00B462CD">
        <w:rPr>
          <w:rFonts w:ascii="Arial" w:eastAsia="Times New Roman" w:hAnsi="Arial" w:cs="Arial"/>
        </w:rPr>
        <w:t>which together capture intersecting structural conditions shaping participants’ experiences.</w:t>
      </w:r>
    </w:p>
    <w:p w14:paraId="116D438B" w14:textId="77777777" w:rsidR="00466810" w:rsidRPr="00B462CD" w:rsidRDefault="00466810" w:rsidP="00E6526D">
      <w:pPr>
        <w:spacing w:before="100" w:beforeAutospacing="1" w:after="100" w:afterAutospacing="1" w:line="360" w:lineRule="auto"/>
        <w:rPr>
          <w:rFonts w:ascii="Arial" w:eastAsia="Times New Roman" w:hAnsi="Arial" w:cs="Arial"/>
        </w:rPr>
      </w:pPr>
      <w:r w:rsidRPr="00B462CD">
        <w:rPr>
          <w:rFonts w:ascii="Arial" w:eastAsia="Times New Roman" w:hAnsi="Arial" w:cs="Arial"/>
        </w:rPr>
        <w:t xml:space="preserve">These themes are analytically positioned as </w:t>
      </w:r>
      <w:r w:rsidRPr="00B462CD">
        <w:rPr>
          <w:rFonts w:ascii="Arial" w:eastAsia="Times New Roman" w:hAnsi="Arial" w:cs="Arial"/>
          <w:b/>
          <w:bCs/>
        </w:rPr>
        <w:t>mutually constitutive</w:t>
      </w:r>
      <w:r w:rsidRPr="00B462CD">
        <w:rPr>
          <w:rFonts w:ascii="Arial" w:eastAsia="Times New Roman" w:hAnsi="Arial" w:cs="Arial"/>
        </w:rPr>
        <w:t>, illustrating how healthcare access, employment insecurity, and discrimination co-produce vulnerability within participants’ everyday lives. Rather than operating as discrete domains, participants’ narratives reveal how challenges in one area intensify constraints in others, forming a web of structural disadvantage.</w:t>
      </w:r>
    </w:p>
    <w:p w14:paraId="27C4D36F" w14:textId="77777777" w:rsidR="00466810" w:rsidRPr="00B462CD" w:rsidRDefault="00466810" w:rsidP="00E6526D">
      <w:pPr>
        <w:spacing w:before="100" w:beforeAutospacing="1" w:after="100" w:afterAutospacing="1" w:line="360" w:lineRule="auto"/>
        <w:rPr>
          <w:rFonts w:ascii="Arial" w:eastAsia="Times New Roman" w:hAnsi="Arial" w:cs="Arial"/>
        </w:rPr>
      </w:pPr>
      <w:r w:rsidRPr="00B462CD">
        <w:rPr>
          <w:rFonts w:ascii="Arial" w:eastAsia="Times New Roman" w:hAnsi="Arial" w:cs="Arial"/>
        </w:rPr>
        <w:t>A further theme, Coping Strategies and Resilience, represents a pattern of shared meaning centred on participants’ agentic responses to these intersecting constraints. This theme captures the practices, resources, and meaning-making processes through which participants navigate, endure, and at times resist structural barriers.</w:t>
      </w:r>
    </w:p>
    <w:p w14:paraId="44F01C0C" w14:textId="77777777" w:rsidR="00466810" w:rsidRPr="00B462CD" w:rsidRDefault="00466810" w:rsidP="00E6526D">
      <w:pPr>
        <w:spacing w:before="100" w:beforeAutospacing="1" w:after="100" w:afterAutospacing="1" w:line="360" w:lineRule="auto"/>
        <w:rPr>
          <w:rFonts w:ascii="Arial" w:eastAsia="Times New Roman" w:hAnsi="Arial" w:cs="Arial"/>
        </w:rPr>
      </w:pPr>
      <w:r w:rsidRPr="00B462CD">
        <w:rPr>
          <w:rFonts w:ascii="Arial" w:eastAsia="Times New Roman" w:hAnsi="Arial" w:cs="Arial"/>
          <w:b/>
          <w:bCs/>
        </w:rPr>
        <w:t>Climate adaptation</w:t>
      </w:r>
      <w:r w:rsidRPr="00B462CD">
        <w:rPr>
          <w:rFonts w:ascii="Arial" w:eastAsia="Times New Roman" w:hAnsi="Arial" w:cs="Arial"/>
        </w:rPr>
        <w:t xml:space="preserve"> is treated as a cross-cutting analytic lens that informs the development and interpretation of all themes. It shapes the contextual conditions under which healthcare, employment, and discrimination are experienced, while also influencing the coping strategies articulated by participants. Conceptualising climate adaptation in this way foregrounds the dynamic interplay between structural vulnerability and adaptive agency across the dataset.</w:t>
      </w:r>
    </w:p>
    <w:p w14:paraId="13F748C0" w14:textId="0D19384E" w:rsidR="00466810" w:rsidRPr="00B462CD" w:rsidRDefault="00466810" w:rsidP="00E6526D">
      <w:pPr>
        <w:spacing w:before="100" w:beforeAutospacing="1" w:after="100" w:afterAutospacing="1" w:line="360" w:lineRule="auto"/>
        <w:outlineLvl w:val="2"/>
        <w:rPr>
          <w:rFonts w:ascii="Arial" w:eastAsia="Times New Roman" w:hAnsi="Arial" w:cs="Arial"/>
          <w:b/>
          <w:bCs/>
        </w:rPr>
      </w:pPr>
    </w:p>
    <w:p w14:paraId="632D0E6F" w14:textId="77777777" w:rsidR="00782390" w:rsidRPr="00B462CD" w:rsidRDefault="00782390" w:rsidP="00E6526D">
      <w:pPr>
        <w:spacing w:line="360" w:lineRule="auto"/>
        <w:rPr>
          <w:rFonts w:ascii="Arial" w:eastAsia="Times New Roman" w:hAnsi="Arial" w:cs="Arial"/>
          <w:b/>
          <w:bCs/>
        </w:rPr>
      </w:pPr>
    </w:p>
    <w:p w14:paraId="0EF5AC8F" w14:textId="49545C85" w:rsidR="009F64C5" w:rsidRPr="00B462CD" w:rsidRDefault="009F64C5" w:rsidP="00E6526D">
      <w:pPr>
        <w:spacing w:line="360" w:lineRule="auto"/>
        <w:rPr>
          <w:rFonts w:ascii="Arial" w:eastAsia="Times New Roman" w:hAnsi="Arial" w:cs="Arial"/>
          <w:b/>
          <w:bCs/>
        </w:rPr>
      </w:pPr>
    </w:p>
    <w:sectPr w:rsidR="009F64C5" w:rsidRPr="00B462CD" w:rsidSect="008D787E">
      <w:footerReference w:type="even" r:id="rId44"/>
      <w:footerReference w:type="defaul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E1DFD" w14:textId="77777777" w:rsidR="000803B4" w:rsidRPr="008968EA" w:rsidRDefault="000803B4">
      <w:pPr>
        <w:spacing w:after="0" w:line="240" w:lineRule="auto"/>
      </w:pPr>
      <w:r w:rsidRPr="008968EA">
        <w:separator/>
      </w:r>
    </w:p>
  </w:endnote>
  <w:endnote w:type="continuationSeparator" w:id="0">
    <w:p w14:paraId="45929D1F" w14:textId="77777777" w:rsidR="000803B4" w:rsidRPr="008968EA" w:rsidRDefault="000803B4">
      <w:pPr>
        <w:spacing w:after="0" w:line="240" w:lineRule="auto"/>
      </w:pPr>
      <w:r w:rsidRPr="008968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Pr="008968EA" w:rsidRDefault="007446D0">
    <w:pPr>
      <w:spacing w:after="0"/>
      <w:ind w:right="-3"/>
      <w:jc w:val="right"/>
    </w:pPr>
    <w:r w:rsidRPr="008968EA">
      <w:fldChar w:fldCharType="begin"/>
    </w:r>
    <w:r w:rsidRPr="008968EA">
      <w:instrText xml:space="preserve"> PAGE   \* MERGEFORMAT </w:instrText>
    </w:r>
    <w:r w:rsidRPr="008968EA">
      <w:fldChar w:fldCharType="separate"/>
    </w:r>
    <w:r w:rsidRPr="008968EA">
      <w:rPr>
        <w:rFonts w:ascii="Calibri" w:eastAsia="Calibri" w:hAnsi="Calibri" w:cs="Calibri"/>
      </w:rPr>
      <w:t>1</w:t>
    </w:r>
    <w:r w:rsidRPr="008968EA">
      <w:rPr>
        <w:rFonts w:ascii="Calibri" w:eastAsia="Calibri" w:hAnsi="Calibri" w:cs="Calibri"/>
      </w:rPr>
      <w:fldChar w:fldCharType="end"/>
    </w:r>
    <w:r w:rsidRPr="008968EA">
      <w:rPr>
        <w:rFonts w:ascii="Calibri" w:eastAsia="Calibri" w:hAnsi="Calibri" w:cs="Calibri"/>
      </w:rPr>
      <w:t xml:space="preserve"> </w:t>
    </w:r>
  </w:p>
  <w:p w14:paraId="7C34BA27" w14:textId="77777777" w:rsidR="009A1B64" w:rsidRPr="008968EA" w:rsidRDefault="007446D0">
    <w:pPr>
      <w:tabs>
        <w:tab w:val="center" w:pos="4405"/>
      </w:tabs>
      <w:spacing w:after="0"/>
    </w:pPr>
    <w:r w:rsidRPr="008968EA">
      <w:rPr>
        <w:rFonts w:ascii="Calibri" w:eastAsia="Calibri" w:hAnsi="Calibri" w:cs="Calibri"/>
      </w:rPr>
      <w:t xml:space="preserve">[Your Name] </w:t>
    </w:r>
    <w:r w:rsidRPr="008968EA">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lang w:val="en-GB"/>
      </w:rPr>
      <w:id w:val="1766107535"/>
      <w:docPartObj>
        <w:docPartGallery w:val="Page Numbers (Bottom of Page)"/>
        <w:docPartUnique/>
      </w:docPartObj>
    </w:sdtPr>
    <w:sdtContent>
      <w:p w14:paraId="0C3F5E11" w14:textId="036AD60D" w:rsidR="00F34D59" w:rsidRPr="008968EA" w:rsidRDefault="00F34D59">
        <w:pPr>
          <w:pStyle w:val="Footer"/>
          <w:jc w:val="center"/>
          <w:rPr>
            <w:lang w:val="en-GB"/>
          </w:rPr>
        </w:pPr>
        <w:r w:rsidRPr="008968EA">
          <w:rPr>
            <w:lang w:val="en-GB"/>
          </w:rPr>
          <w:fldChar w:fldCharType="begin"/>
        </w:r>
        <w:r w:rsidRPr="008968EA">
          <w:rPr>
            <w:lang w:val="en-GB"/>
          </w:rPr>
          <w:instrText xml:space="preserve"> PAGE   \* MERGEFORMAT </w:instrText>
        </w:r>
        <w:r w:rsidRPr="008968EA">
          <w:rPr>
            <w:lang w:val="en-GB"/>
          </w:rPr>
          <w:fldChar w:fldCharType="separate"/>
        </w:r>
        <w:r w:rsidRPr="008968EA">
          <w:rPr>
            <w:lang w:val="en-GB"/>
          </w:rPr>
          <w:t>2</w:t>
        </w:r>
        <w:r w:rsidRPr="008968EA">
          <w:rPr>
            <w:lang w:val="en-GB"/>
          </w:rPr>
          <w:fldChar w:fldCharType="end"/>
        </w:r>
      </w:p>
    </w:sdtContent>
  </w:sdt>
  <w:p w14:paraId="3B69E3F4" w14:textId="07EC387A" w:rsidR="009A1B64" w:rsidRPr="008968EA" w:rsidRDefault="009A1B64">
    <w:pPr>
      <w:tabs>
        <w:tab w:val="center" w:pos="4405"/>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Pr="008968EA" w:rsidRDefault="007446D0">
    <w:pPr>
      <w:spacing w:after="0"/>
      <w:ind w:right="-3"/>
      <w:jc w:val="right"/>
    </w:pPr>
    <w:r w:rsidRPr="008968EA">
      <w:fldChar w:fldCharType="begin"/>
    </w:r>
    <w:r w:rsidRPr="008968EA">
      <w:instrText xml:space="preserve"> PAGE   \* MERGEFORMAT </w:instrText>
    </w:r>
    <w:r w:rsidRPr="008968EA">
      <w:fldChar w:fldCharType="separate"/>
    </w:r>
    <w:r w:rsidRPr="008968EA">
      <w:rPr>
        <w:rFonts w:ascii="Calibri" w:eastAsia="Calibri" w:hAnsi="Calibri" w:cs="Calibri"/>
      </w:rPr>
      <w:t>1</w:t>
    </w:r>
    <w:r w:rsidRPr="008968EA">
      <w:rPr>
        <w:rFonts w:ascii="Calibri" w:eastAsia="Calibri" w:hAnsi="Calibri" w:cs="Calibri"/>
      </w:rPr>
      <w:fldChar w:fldCharType="end"/>
    </w:r>
    <w:r w:rsidRPr="008968EA">
      <w:rPr>
        <w:rFonts w:ascii="Calibri" w:eastAsia="Calibri" w:hAnsi="Calibri" w:cs="Calibri"/>
      </w:rPr>
      <w:t xml:space="preserve"> </w:t>
    </w:r>
  </w:p>
  <w:p w14:paraId="3EB72DA1" w14:textId="77777777" w:rsidR="009A1B64" w:rsidRPr="008968EA" w:rsidRDefault="007446D0">
    <w:pPr>
      <w:tabs>
        <w:tab w:val="center" w:pos="4405"/>
      </w:tabs>
      <w:spacing w:after="0"/>
    </w:pPr>
    <w:r w:rsidRPr="008968EA">
      <w:rPr>
        <w:rFonts w:ascii="Calibri" w:eastAsia="Calibri" w:hAnsi="Calibri" w:cs="Calibri"/>
      </w:rPr>
      <w:t xml:space="preserve">[Your Name] </w:t>
    </w:r>
    <w:r w:rsidRPr="008968EA">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CCD9B" w14:textId="77777777" w:rsidR="000803B4" w:rsidRPr="008968EA" w:rsidRDefault="000803B4">
      <w:pPr>
        <w:spacing w:after="0" w:line="240" w:lineRule="auto"/>
      </w:pPr>
      <w:r w:rsidRPr="008968EA">
        <w:separator/>
      </w:r>
    </w:p>
  </w:footnote>
  <w:footnote w:type="continuationSeparator" w:id="0">
    <w:p w14:paraId="576A87A7" w14:textId="77777777" w:rsidR="000803B4" w:rsidRPr="008968EA" w:rsidRDefault="000803B4">
      <w:pPr>
        <w:spacing w:after="0" w:line="240" w:lineRule="auto"/>
      </w:pPr>
      <w:r w:rsidRPr="008968E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0F44961"/>
    <w:multiLevelType w:val="multilevel"/>
    <w:tmpl w:val="87E27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000593"/>
    <w:multiLevelType w:val="multilevel"/>
    <w:tmpl w:val="F7A871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7B55B39"/>
    <w:multiLevelType w:val="multilevel"/>
    <w:tmpl w:val="DFAC6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C5D05"/>
    <w:multiLevelType w:val="multilevel"/>
    <w:tmpl w:val="AC50E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8B2F01"/>
    <w:multiLevelType w:val="multilevel"/>
    <w:tmpl w:val="EF6228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9D22D8"/>
    <w:multiLevelType w:val="multilevel"/>
    <w:tmpl w:val="C3E4A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FB16BE"/>
    <w:multiLevelType w:val="multilevel"/>
    <w:tmpl w:val="3BFEE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D7836"/>
    <w:multiLevelType w:val="multilevel"/>
    <w:tmpl w:val="28E4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D3EFD"/>
    <w:multiLevelType w:val="multilevel"/>
    <w:tmpl w:val="6088C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557902"/>
    <w:multiLevelType w:val="multilevel"/>
    <w:tmpl w:val="34888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70023E"/>
    <w:multiLevelType w:val="multilevel"/>
    <w:tmpl w:val="7AD25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AD2566"/>
    <w:multiLevelType w:val="multilevel"/>
    <w:tmpl w:val="01BE1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83807"/>
    <w:multiLevelType w:val="multilevel"/>
    <w:tmpl w:val="2BDA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7B2AF5"/>
    <w:multiLevelType w:val="multilevel"/>
    <w:tmpl w:val="7610C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D76C9D"/>
    <w:multiLevelType w:val="multilevel"/>
    <w:tmpl w:val="001EFE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971A9D"/>
    <w:multiLevelType w:val="multilevel"/>
    <w:tmpl w:val="5412A0E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B02862"/>
    <w:multiLevelType w:val="multilevel"/>
    <w:tmpl w:val="E53E1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3AF2236C"/>
    <w:multiLevelType w:val="multilevel"/>
    <w:tmpl w:val="4B0E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56577F"/>
    <w:multiLevelType w:val="multilevel"/>
    <w:tmpl w:val="C944AFC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46044B27"/>
    <w:multiLevelType w:val="multilevel"/>
    <w:tmpl w:val="A3E65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46D0508A"/>
    <w:multiLevelType w:val="multilevel"/>
    <w:tmpl w:val="03B23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A820C0"/>
    <w:multiLevelType w:val="multilevel"/>
    <w:tmpl w:val="1F486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A43B0B"/>
    <w:multiLevelType w:val="multilevel"/>
    <w:tmpl w:val="B182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0A5A1F"/>
    <w:multiLevelType w:val="multilevel"/>
    <w:tmpl w:val="36F84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3A0ADF"/>
    <w:multiLevelType w:val="multilevel"/>
    <w:tmpl w:val="7C926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8D5583"/>
    <w:multiLevelType w:val="multilevel"/>
    <w:tmpl w:val="B23C5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2" w15:restartNumberingAfterBreak="0">
    <w:nsid w:val="5E564909"/>
    <w:multiLevelType w:val="multilevel"/>
    <w:tmpl w:val="4906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A6249D"/>
    <w:multiLevelType w:val="multilevel"/>
    <w:tmpl w:val="8CD0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E76092"/>
    <w:multiLevelType w:val="multilevel"/>
    <w:tmpl w:val="FBDC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277F2B"/>
    <w:multiLevelType w:val="multilevel"/>
    <w:tmpl w:val="EA9E3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7CE130E"/>
    <w:multiLevelType w:val="multilevel"/>
    <w:tmpl w:val="5EAC5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8" w15:restartNumberingAfterBreak="0">
    <w:nsid w:val="6AF468C7"/>
    <w:multiLevelType w:val="multilevel"/>
    <w:tmpl w:val="D2C4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657349"/>
    <w:multiLevelType w:val="multilevel"/>
    <w:tmpl w:val="1D8604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0FA75C2"/>
    <w:multiLevelType w:val="multilevel"/>
    <w:tmpl w:val="C888900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2" w15:restartNumberingAfterBreak="0">
    <w:nsid w:val="7A7F347D"/>
    <w:multiLevelType w:val="multilevel"/>
    <w:tmpl w:val="AF76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21425"/>
    <w:multiLevelType w:val="multilevel"/>
    <w:tmpl w:val="FF620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595413"/>
    <w:multiLevelType w:val="multilevel"/>
    <w:tmpl w:val="5F186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D86DE2"/>
    <w:multiLevelType w:val="multilevel"/>
    <w:tmpl w:val="A36299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D916E3B"/>
    <w:multiLevelType w:val="multilevel"/>
    <w:tmpl w:val="58C26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0F46D2"/>
    <w:multiLevelType w:val="multilevel"/>
    <w:tmpl w:val="511AA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A565FC"/>
    <w:multiLevelType w:val="multilevel"/>
    <w:tmpl w:val="6A32A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774614">
    <w:abstractNumId w:val="41"/>
  </w:num>
  <w:num w:numId="2" w16cid:durableId="941229834">
    <w:abstractNumId w:val="0"/>
  </w:num>
  <w:num w:numId="3" w16cid:durableId="1012418139">
    <w:abstractNumId w:val="30"/>
  </w:num>
  <w:num w:numId="4" w16cid:durableId="1373456878">
    <w:abstractNumId w:val="18"/>
  </w:num>
  <w:num w:numId="5" w16cid:durableId="1904363585">
    <w:abstractNumId w:val="21"/>
  </w:num>
  <w:num w:numId="6" w16cid:durableId="550387977">
    <w:abstractNumId w:val="31"/>
  </w:num>
  <w:num w:numId="7" w16cid:durableId="1167091014">
    <w:abstractNumId w:val="37"/>
  </w:num>
  <w:num w:numId="8" w16cid:durableId="2031225886">
    <w:abstractNumId w:val="23"/>
  </w:num>
  <w:num w:numId="9" w16cid:durableId="623461348">
    <w:abstractNumId w:val="48"/>
  </w:num>
  <w:num w:numId="10" w16cid:durableId="2041785116">
    <w:abstractNumId w:val="22"/>
  </w:num>
  <w:num w:numId="11" w16cid:durableId="430592632">
    <w:abstractNumId w:val="8"/>
  </w:num>
  <w:num w:numId="12" w16cid:durableId="1545406685">
    <w:abstractNumId w:val="1"/>
  </w:num>
  <w:num w:numId="13" w16cid:durableId="463695678">
    <w:abstractNumId w:val="13"/>
  </w:num>
  <w:num w:numId="14" w16cid:durableId="1089085914">
    <w:abstractNumId w:val="36"/>
  </w:num>
  <w:num w:numId="15" w16cid:durableId="785777858">
    <w:abstractNumId w:val="26"/>
  </w:num>
  <w:num w:numId="16" w16cid:durableId="1573926100">
    <w:abstractNumId w:val="40"/>
  </w:num>
  <w:num w:numId="17" w16cid:durableId="2066487739">
    <w:abstractNumId w:val="25"/>
  </w:num>
  <w:num w:numId="18" w16cid:durableId="659504798">
    <w:abstractNumId w:val="33"/>
  </w:num>
  <w:num w:numId="19" w16cid:durableId="1829326507">
    <w:abstractNumId w:val="46"/>
  </w:num>
  <w:num w:numId="20" w16cid:durableId="1277100226">
    <w:abstractNumId w:val="9"/>
  </w:num>
  <w:num w:numId="21" w16cid:durableId="1430855839">
    <w:abstractNumId w:val="14"/>
  </w:num>
  <w:num w:numId="22" w16cid:durableId="985090673">
    <w:abstractNumId w:val="11"/>
  </w:num>
  <w:num w:numId="23" w16cid:durableId="1229153066">
    <w:abstractNumId w:val="3"/>
  </w:num>
  <w:num w:numId="24" w16cid:durableId="104080838">
    <w:abstractNumId w:val="6"/>
  </w:num>
  <w:num w:numId="25" w16cid:durableId="2133401336">
    <w:abstractNumId w:val="27"/>
  </w:num>
  <w:num w:numId="26" w16cid:durableId="237331725">
    <w:abstractNumId w:val="10"/>
  </w:num>
  <w:num w:numId="27" w16cid:durableId="772558811">
    <w:abstractNumId w:val="38"/>
  </w:num>
  <w:num w:numId="28" w16cid:durableId="86661012">
    <w:abstractNumId w:val="34"/>
  </w:num>
  <w:num w:numId="29" w16cid:durableId="2080588275">
    <w:abstractNumId w:val="2"/>
  </w:num>
  <w:num w:numId="30" w16cid:durableId="1836608871">
    <w:abstractNumId w:val="24"/>
  </w:num>
  <w:num w:numId="31" w16cid:durableId="2000764838">
    <w:abstractNumId w:val="28"/>
  </w:num>
  <w:num w:numId="32" w16cid:durableId="1281839440">
    <w:abstractNumId w:val="7"/>
  </w:num>
  <w:num w:numId="33" w16cid:durableId="616447419">
    <w:abstractNumId w:val="12"/>
  </w:num>
  <w:num w:numId="34" w16cid:durableId="1429080373">
    <w:abstractNumId w:val="4"/>
  </w:num>
  <w:num w:numId="35" w16cid:durableId="1822191711">
    <w:abstractNumId w:val="29"/>
  </w:num>
  <w:num w:numId="36" w16cid:durableId="86199639">
    <w:abstractNumId w:val="17"/>
  </w:num>
  <w:num w:numId="37" w16cid:durableId="1776947782">
    <w:abstractNumId w:val="43"/>
  </w:num>
  <w:num w:numId="38" w16cid:durableId="1779257530">
    <w:abstractNumId w:val="44"/>
  </w:num>
  <w:num w:numId="39" w16cid:durableId="1730807316">
    <w:abstractNumId w:val="19"/>
  </w:num>
  <w:num w:numId="40" w16cid:durableId="502936260">
    <w:abstractNumId w:val="47"/>
  </w:num>
  <w:num w:numId="41" w16cid:durableId="979113218">
    <w:abstractNumId w:val="32"/>
  </w:num>
  <w:num w:numId="42" w16cid:durableId="133178379">
    <w:abstractNumId w:val="35"/>
  </w:num>
  <w:num w:numId="43" w16cid:durableId="1165702603">
    <w:abstractNumId w:val="45"/>
  </w:num>
  <w:num w:numId="44" w16cid:durableId="705567102">
    <w:abstractNumId w:val="39"/>
  </w:num>
  <w:num w:numId="45" w16cid:durableId="1324702610">
    <w:abstractNumId w:val="15"/>
  </w:num>
  <w:num w:numId="46" w16cid:durableId="402457970">
    <w:abstractNumId w:val="16"/>
  </w:num>
  <w:num w:numId="47" w16cid:durableId="983898805">
    <w:abstractNumId w:val="5"/>
  </w:num>
  <w:num w:numId="48" w16cid:durableId="1464886268">
    <w:abstractNumId w:val="20"/>
  </w:num>
  <w:num w:numId="49" w16cid:durableId="252708464">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03F2"/>
    <w:rsid w:val="00001575"/>
    <w:rsid w:val="00001FBB"/>
    <w:rsid w:val="00003F45"/>
    <w:rsid w:val="00006CCE"/>
    <w:rsid w:val="00014572"/>
    <w:rsid w:val="000202D7"/>
    <w:rsid w:val="000204B5"/>
    <w:rsid w:val="000216D6"/>
    <w:rsid w:val="00022029"/>
    <w:rsid w:val="00023E18"/>
    <w:rsid w:val="00032920"/>
    <w:rsid w:val="000333B7"/>
    <w:rsid w:val="00036831"/>
    <w:rsid w:val="000401A7"/>
    <w:rsid w:val="00041FAF"/>
    <w:rsid w:val="000429CC"/>
    <w:rsid w:val="00042E46"/>
    <w:rsid w:val="00044B1E"/>
    <w:rsid w:val="00047BAE"/>
    <w:rsid w:val="00047EF9"/>
    <w:rsid w:val="0005179D"/>
    <w:rsid w:val="00051E74"/>
    <w:rsid w:val="000546E0"/>
    <w:rsid w:val="000555DE"/>
    <w:rsid w:val="00057C44"/>
    <w:rsid w:val="00061DBC"/>
    <w:rsid w:val="00062698"/>
    <w:rsid w:val="00063BF8"/>
    <w:rsid w:val="00066707"/>
    <w:rsid w:val="00070500"/>
    <w:rsid w:val="00072C49"/>
    <w:rsid w:val="00072C9F"/>
    <w:rsid w:val="00077DD1"/>
    <w:rsid w:val="000803B4"/>
    <w:rsid w:val="00080668"/>
    <w:rsid w:val="00082A28"/>
    <w:rsid w:val="0008681D"/>
    <w:rsid w:val="00086B40"/>
    <w:rsid w:val="00086C87"/>
    <w:rsid w:val="00092A9F"/>
    <w:rsid w:val="00092E66"/>
    <w:rsid w:val="0009538B"/>
    <w:rsid w:val="000959FF"/>
    <w:rsid w:val="0009680F"/>
    <w:rsid w:val="00097B14"/>
    <w:rsid w:val="00097D8C"/>
    <w:rsid w:val="000A1E32"/>
    <w:rsid w:val="000A4A4B"/>
    <w:rsid w:val="000A7B01"/>
    <w:rsid w:val="000B025B"/>
    <w:rsid w:val="000B3537"/>
    <w:rsid w:val="000C1CAD"/>
    <w:rsid w:val="000C2BCE"/>
    <w:rsid w:val="000C3267"/>
    <w:rsid w:val="000C39D5"/>
    <w:rsid w:val="000C3B51"/>
    <w:rsid w:val="000C4B57"/>
    <w:rsid w:val="000C705E"/>
    <w:rsid w:val="000D23C0"/>
    <w:rsid w:val="000D573F"/>
    <w:rsid w:val="000D5DAC"/>
    <w:rsid w:val="000D6A8C"/>
    <w:rsid w:val="000E36C0"/>
    <w:rsid w:val="000F0B56"/>
    <w:rsid w:val="000F179D"/>
    <w:rsid w:val="000F3CDD"/>
    <w:rsid w:val="000F4283"/>
    <w:rsid w:val="000F6F0B"/>
    <w:rsid w:val="00100C0A"/>
    <w:rsid w:val="001020AF"/>
    <w:rsid w:val="00110F39"/>
    <w:rsid w:val="00112309"/>
    <w:rsid w:val="00113366"/>
    <w:rsid w:val="001148A2"/>
    <w:rsid w:val="00114E3B"/>
    <w:rsid w:val="00124A97"/>
    <w:rsid w:val="00131009"/>
    <w:rsid w:val="00133A3E"/>
    <w:rsid w:val="00134BBD"/>
    <w:rsid w:val="0013742C"/>
    <w:rsid w:val="00141915"/>
    <w:rsid w:val="001432A2"/>
    <w:rsid w:val="0015155A"/>
    <w:rsid w:val="00152417"/>
    <w:rsid w:val="001530D6"/>
    <w:rsid w:val="0015445B"/>
    <w:rsid w:val="001604E6"/>
    <w:rsid w:val="001620DD"/>
    <w:rsid w:val="00162936"/>
    <w:rsid w:val="00165174"/>
    <w:rsid w:val="00177B30"/>
    <w:rsid w:val="00183B46"/>
    <w:rsid w:val="00185F9B"/>
    <w:rsid w:val="001920B0"/>
    <w:rsid w:val="00193AD2"/>
    <w:rsid w:val="001A21E9"/>
    <w:rsid w:val="001A2E36"/>
    <w:rsid w:val="001A4CB2"/>
    <w:rsid w:val="001A7A67"/>
    <w:rsid w:val="001B1408"/>
    <w:rsid w:val="001B4C0A"/>
    <w:rsid w:val="001B6B33"/>
    <w:rsid w:val="001C08FE"/>
    <w:rsid w:val="001C1B11"/>
    <w:rsid w:val="001C2F6E"/>
    <w:rsid w:val="001C3B63"/>
    <w:rsid w:val="001C3E7C"/>
    <w:rsid w:val="001C4C8B"/>
    <w:rsid w:val="001C5965"/>
    <w:rsid w:val="001C5CF6"/>
    <w:rsid w:val="001C5F9E"/>
    <w:rsid w:val="001C7E3D"/>
    <w:rsid w:val="001D49A2"/>
    <w:rsid w:val="001D4E2C"/>
    <w:rsid w:val="001D77C9"/>
    <w:rsid w:val="001E1306"/>
    <w:rsid w:val="001E24B2"/>
    <w:rsid w:val="001E6E56"/>
    <w:rsid w:val="001F1BDF"/>
    <w:rsid w:val="001F2049"/>
    <w:rsid w:val="001F55B8"/>
    <w:rsid w:val="00200097"/>
    <w:rsid w:val="00200758"/>
    <w:rsid w:val="00202D78"/>
    <w:rsid w:val="00205AE7"/>
    <w:rsid w:val="002103AF"/>
    <w:rsid w:val="00210982"/>
    <w:rsid w:val="00212326"/>
    <w:rsid w:val="00214757"/>
    <w:rsid w:val="00222485"/>
    <w:rsid w:val="002236D6"/>
    <w:rsid w:val="00224696"/>
    <w:rsid w:val="00224E1C"/>
    <w:rsid w:val="0022536F"/>
    <w:rsid w:val="00225A75"/>
    <w:rsid w:val="00232278"/>
    <w:rsid w:val="00233693"/>
    <w:rsid w:val="00234318"/>
    <w:rsid w:val="002447FE"/>
    <w:rsid w:val="00244BD2"/>
    <w:rsid w:val="0025002C"/>
    <w:rsid w:val="00254A83"/>
    <w:rsid w:val="00255349"/>
    <w:rsid w:val="00255B1F"/>
    <w:rsid w:val="00262A86"/>
    <w:rsid w:val="00272ADA"/>
    <w:rsid w:val="00273F1A"/>
    <w:rsid w:val="00274ECA"/>
    <w:rsid w:val="00274F9D"/>
    <w:rsid w:val="00276EDD"/>
    <w:rsid w:val="0027724F"/>
    <w:rsid w:val="00277835"/>
    <w:rsid w:val="002803A9"/>
    <w:rsid w:val="00282148"/>
    <w:rsid w:val="002837BA"/>
    <w:rsid w:val="00284A60"/>
    <w:rsid w:val="00285191"/>
    <w:rsid w:val="0028554C"/>
    <w:rsid w:val="00285DF7"/>
    <w:rsid w:val="00290F04"/>
    <w:rsid w:val="00290F59"/>
    <w:rsid w:val="00293C50"/>
    <w:rsid w:val="00295053"/>
    <w:rsid w:val="00295249"/>
    <w:rsid w:val="002953B4"/>
    <w:rsid w:val="002958FF"/>
    <w:rsid w:val="00295B3E"/>
    <w:rsid w:val="002963F8"/>
    <w:rsid w:val="002A410D"/>
    <w:rsid w:val="002A4591"/>
    <w:rsid w:val="002A6C3A"/>
    <w:rsid w:val="002B04A6"/>
    <w:rsid w:val="002B1E77"/>
    <w:rsid w:val="002B523E"/>
    <w:rsid w:val="002B6542"/>
    <w:rsid w:val="002B7289"/>
    <w:rsid w:val="002D036A"/>
    <w:rsid w:val="002D46B5"/>
    <w:rsid w:val="002D6458"/>
    <w:rsid w:val="002E1012"/>
    <w:rsid w:val="002E4955"/>
    <w:rsid w:val="002E5CAB"/>
    <w:rsid w:val="002F6950"/>
    <w:rsid w:val="002F7195"/>
    <w:rsid w:val="00301BF8"/>
    <w:rsid w:val="0030500F"/>
    <w:rsid w:val="00307C70"/>
    <w:rsid w:val="00311B9A"/>
    <w:rsid w:val="00311CA6"/>
    <w:rsid w:val="00314198"/>
    <w:rsid w:val="003167C2"/>
    <w:rsid w:val="00320DAC"/>
    <w:rsid w:val="0032315B"/>
    <w:rsid w:val="0033155A"/>
    <w:rsid w:val="003337FE"/>
    <w:rsid w:val="00335068"/>
    <w:rsid w:val="00341120"/>
    <w:rsid w:val="00341582"/>
    <w:rsid w:val="00345F41"/>
    <w:rsid w:val="00351E23"/>
    <w:rsid w:val="00352DE7"/>
    <w:rsid w:val="00356A0C"/>
    <w:rsid w:val="00357960"/>
    <w:rsid w:val="00361D34"/>
    <w:rsid w:val="00362B79"/>
    <w:rsid w:val="00365F83"/>
    <w:rsid w:val="003672EC"/>
    <w:rsid w:val="0036755E"/>
    <w:rsid w:val="003676D8"/>
    <w:rsid w:val="00370234"/>
    <w:rsid w:val="00370C40"/>
    <w:rsid w:val="00371794"/>
    <w:rsid w:val="00372BE0"/>
    <w:rsid w:val="00373E37"/>
    <w:rsid w:val="00374E61"/>
    <w:rsid w:val="00375575"/>
    <w:rsid w:val="003759BD"/>
    <w:rsid w:val="003763C4"/>
    <w:rsid w:val="00380A64"/>
    <w:rsid w:val="00380F4D"/>
    <w:rsid w:val="003842DF"/>
    <w:rsid w:val="003907C4"/>
    <w:rsid w:val="003909D1"/>
    <w:rsid w:val="00394DB6"/>
    <w:rsid w:val="00395888"/>
    <w:rsid w:val="003A0DBD"/>
    <w:rsid w:val="003A1EA0"/>
    <w:rsid w:val="003A7EB4"/>
    <w:rsid w:val="003B1C75"/>
    <w:rsid w:val="003B3F0A"/>
    <w:rsid w:val="003B4B78"/>
    <w:rsid w:val="003B5C8E"/>
    <w:rsid w:val="003B609F"/>
    <w:rsid w:val="003B69E8"/>
    <w:rsid w:val="003C35D2"/>
    <w:rsid w:val="003C66B6"/>
    <w:rsid w:val="003D444E"/>
    <w:rsid w:val="003D4E4D"/>
    <w:rsid w:val="003D5CF8"/>
    <w:rsid w:val="003D7DDD"/>
    <w:rsid w:val="003E17BD"/>
    <w:rsid w:val="003E27D2"/>
    <w:rsid w:val="003E340F"/>
    <w:rsid w:val="003E3750"/>
    <w:rsid w:val="003E44E9"/>
    <w:rsid w:val="003F13D0"/>
    <w:rsid w:val="003F236B"/>
    <w:rsid w:val="003F2378"/>
    <w:rsid w:val="003F39E2"/>
    <w:rsid w:val="003F4820"/>
    <w:rsid w:val="004043CA"/>
    <w:rsid w:val="00404BC2"/>
    <w:rsid w:val="00405A90"/>
    <w:rsid w:val="00410229"/>
    <w:rsid w:val="00415778"/>
    <w:rsid w:val="00416F4B"/>
    <w:rsid w:val="004236DE"/>
    <w:rsid w:val="004259C4"/>
    <w:rsid w:val="00425AE1"/>
    <w:rsid w:val="004306DC"/>
    <w:rsid w:val="00430E3B"/>
    <w:rsid w:val="00435438"/>
    <w:rsid w:val="004355FA"/>
    <w:rsid w:val="00436944"/>
    <w:rsid w:val="004427B1"/>
    <w:rsid w:val="00442E0B"/>
    <w:rsid w:val="00443F3A"/>
    <w:rsid w:val="00445A45"/>
    <w:rsid w:val="004463C0"/>
    <w:rsid w:val="00451B13"/>
    <w:rsid w:val="00451FFF"/>
    <w:rsid w:val="004528E6"/>
    <w:rsid w:val="00454FD5"/>
    <w:rsid w:val="004570D2"/>
    <w:rsid w:val="00457CBE"/>
    <w:rsid w:val="00462AE6"/>
    <w:rsid w:val="004630CE"/>
    <w:rsid w:val="00463DC9"/>
    <w:rsid w:val="00464721"/>
    <w:rsid w:val="00465FF0"/>
    <w:rsid w:val="00466810"/>
    <w:rsid w:val="00467741"/>
    <w:rsid w:val="00470DE1"/>
    <w:rsid w:val="00471369"/>
    <w:rsid w:val="00471E8B"/>
    <w:rsid w:val="00472C9C"/>
    <w:rsid w:val="00474038"/>
    <w:rsid w:val="00476399"/>
    <w:rsid w:val="00480346"/>
    <w:rsid w:val="00481C0B"/>
    <w:rsid w:val="00484705"/>
    <w:rsid w:val="0049239A"/>
    <w:rsid w:val="00494F7A"/>
    <w:rsid w:val="00497D99"/>
    <w:rsid w:val="004A0215"/>
    <w:rsid w:val="004A093A"/>
    <w:rsid w:val="004A12EF"/>
    <w:rsid w:val="004A485C"/>
    <w:rsid w:val="004A4B69"/>
    <w:rsid w:val="004A5DCE"/>
    <w:rsid w:val="004B4EA5"/>
    <w:rsid w:val="004B766F"/>
    <w:rsid w:val="004B7D70"/>
    <w:rsid w:val="004C056A"/>
    <w:rsid w:val="004C44BD"/>
    <w:rsid w:val="004C4DF4"/>
    <w:rsid w:val="004C5FB0"/>
    <w:rsid w:val="004C6E94"/>
    <w:rsid w:val="004D3A68"/>
    <w:rsid w:val="004D5033"/>
    <w:rsid w:val="004D626C"/>
    <w:rsid w:val="004E1902"/>
    <w:rsid w:val="004E65B4"/>
    <w:rsid w:val="004E69A3"/>
    <w:rsid w:val="004E7195"/>
    <w:rsid w:val="004F3C4D"/>
    <w:rsid w:val="004F4F16"/>
    <w:rsid w:val="004F4FF2"/>
    <w:rsid w:val="004F5614"/>
    <w:rsid w:val="004F77AE"/>
    <w:rsid w:val="005032F8"/>
    <w:rsid w:val="005047FD"/>
    <w:rsid w:val="00505A46"/>
    <w:rsid w:val="00506EA4"/>
    <w:rsid w:val="00510F18"/>
    <w:rsid w:val="0051188D"/>
    <w:rsid w:val="00511DBF"/>
    <w:rsid w:val="00513C3F"/>
    <w:rsid w:val="005203B5"/>
    <w:rsid w:val="0052358F"/>
    <w:rsid w:val="00523F89"/>
    <w:rsid w:val="00525092"/>
    <w:rsid w:val="0052731A"/>
    <w:rsid w:val="00527494"/>
    <w:rsid w:val="00530C6D"/>
    <w:rsid w:val="005311BD"/>
    <w:rsid w:val="005336B2"/>
    <w:rsid w:val="00533D31"/>
    <w:rsid w:val="00537DE2"/>
    <w:rsid w:val="00541C68"/>
    <w:rsid w:val="00542BDB"/>
    <w:rsid w:val="0054468B"/>
    <w:rsid w:val="00552096"/>
    <w:rsid w:val="0055400E"/>
    <w:rsid w:val="00556EBE"/>
    <w:rsid w:val="00561E2B"/>
    <w:rsid w:val="00562F45"/>
    <w:rsid w:val="00564027"/>
    <w:rsid w:val="00566FF6"/>
    <w:rsid w:val="005700A5"/>
    <w:rsid w:val="0057024D"/>
    <w:rsid w:val="00570EE1"/>
    <w:rsid w:val="005729B7"/>
    <w:rsid w:val="005802B5"/>
    <w:rsid w:val="00581BAC"/>
    <w:rsid w:val="005820CB"/>
    <w:rsid w:val="0058288F"/>
    <w:rsid w:val="00582B15"/>
    <w:rsid w:val="00584D06"/>
    <w:rsid w:val="00586EA3"/>
    <w:rsid w:val="0058718F"/>
    <w:rsid w:val="0058731B"/>
    <w:rsid w:val="0058769C"/>
    <w:rsid w:val="005912E2"/>
    <w:rsid w:val="005974A0"/>
    <w:rsid w:val="005A3629"/>
    <w:rsid w:val="005A4097"/>
    <w:rsid w:val="005A47C5"/>
    <w:rsid w:val="005A53C1"/>
    <w:rsid w:val="005B14BF"/>
    <w:rsid w:val="005B16EE"/>
    <w:rsid w:val="005B4549"/>
    <w:rsid w:val="005B6E66"/>
    <w:rsid w:val="005B754A"/>
    <w:rsid w:val="005C2B52"/>
    <w:rsid w:val="005C32F8"/>
    <w:rsid w:val="005C752E"/>
    <w:rsid w:val="005C7A58"/>
    <w:rsid w:val="005D1FF8"/>
    <w:rsid w:val="005D2448"/>
    <w:rsid w:val="005D3DE7"/>
    <w:rsid w:val="005D681E"/>
    <w:rsid w:val="005E05BA"/>
    <w:rsid w:val="005E2402"/>
    <w:rsid w:val="005E4376"/>
    <w:rsid w:val="005E5B8C"/>
    <w:rsid w:val="005F1326"/>
    <w:rsid w:val="005F198D"/>
    <w:rsid w:val="005F2CED"/>
    <w:rsid w:val="005F3033"/>
    <w:rsid w:val="006011B1"/>
    <w:rsid w:val="00602F68"/>
    <w:rsid w:val="00605FCF"/>
    <w:rsid w:val="00606EDD"/>
    <w:rsid w:val="006078BA"/>
    <w:rsid w:val="006101C2"/>
    <w:rsid w:val="006230DB"/>
    <w:rsid w:val="00623705"/>
    <w:rsid w:val="00623C0E"/>
    <w:rsid w:val="006257EB"/>
    <w:rsid w:val="00626B34"/>
    <w:rsid w:val="00636D1C"/>
    <w:rsid w:val="00637081"/>
    <w:rsid w:val="00643094"/>
    <w:rsid w:val="006448C6"/>
    <w:rsid w:val="00661B29"/>
    <w:rsid w:val="0066202E"/>
    <w:rsid w:val="00664D89"/>
    <w:rsid w:val="006657A1"/>
    <w:rsid w:val="00665D2B"/>
    <w:rsid w:val="00666AAE"/>
    <w:rsid w:val="00676A60"/>
    <w:rsid w:val="00683605"/>
    <w:rsid w:val="00684BBC"/>
    <w:rsid w:val="006879A8"/>
    <w:rsid w:val="00687E74"/>
    <w:rsid w:val="00687EFA"/>
    <w:rsid w:val="00692327"/>
    <w:rsid w:val="0069383B"/>
    <w:rsid w:val="00693C6C"/>
    <w:rsid w:val="0069428E"/>
    <w:rsid w:val="00694628"/>
    <w:rsid w:val="006954E1"/>
    <w:rsid w:val="006959D5"/>
    <w:rsid w:val="006963BE"/>
    <w:rsid w:val="00696EC3"/>
    <w:rsid w:val="00697EE4"/>
    <w:rsid w:val="006A2B7F"/>
    <w:rsid w:val="006A46AC"/>
    <w:rsid w:val="006A51CE"/>
    <w:rsid w:val="006A7D5E"/>
    <w:rsid w:val="006A7EEC"/>
    <w:rsid w:val="006B0E12"/>
    <w:rsid w:val="006B261D"/>
    <w:rsid w:val="006B4AE4"/>
    <w:rsid w:val="006B6530"/>
    <w:rsid w:val="006C453B"/>
    <w:rsid w:val="006C4A82"/>
    <w:rsid w:val="006C710C"/>
    <w:rsid w:val="006C7D47"/>
    <w:rsid w:val="006D01A2"/>
    <w:rsid w:val="006D1687"/>
    <w:rsid w:val="006D26BE"/>
    <w:rsid w:val="006D26DB"/>
    <w:rsid w:val="006D31C4"/>
    <w:rsid w:val="006E2331"/>
    <w:rsid w:val="006E4872"/>
    <w:rsid w:val="006F44F5"/>
    <w:rsid w:val="006F7E17"/>
    <w:rsid w:val="00701ABB"/>
    <w:rsid w:val="007024E8"/>
    <w:rsid w:val="0070279F"/>
    <w:rsid w:val="00702FA3"/>
    <w:rsid w:val="007040D6"/>
    <w:rsid w:val="00704BF8"/>
    <w:rsid w:val="00705B94"/>
    <w:rsid w:val="00706433"/>
    <w:rsid w:val="00706D7E"/>
    <w:rsid w:val="00711257"/>
    <w:rsid w:val="0071191D"/>
    <w:rsid w:val="00713722"/>
    <w:rsid w:val="00715461"/>
    <w:rsid w:val="007169F6"/>
    <w:rsid w:val="0072393C"/>
    <w:rsid w:val="007255A4"/>
    <w:rsid w:val="007262DF"/>
    <w:rsid w:val="0073240C"/>
    <w:rsid w:val="00733BC2"/>
    <w:rsid w:val="00734F3F"/>
    <w:rsid w:val="00737936"/>
    <w:rsid w:val="007446D0"/>
    <w:rsid w:val="00744E25"/>
    <w:rsid w:val="00747446"/>
    <w:rsid w:val="00747C7F"/>
    <w:rsid w:val="00753052"/>
    <w:rsid w:val="00753123"/>
    <w:rsid w:val="00755CB5"/>
    <w:rsid w:val="00757BD0"/>
    <w:rsid w:val="00757EFB"/>
    <w:rsid w:val="007601E3"/>
    <w:rsid w:val="0076156B"/>
    <w:rsid w:val="00765397"/>
    <w:rsid w:val="00765C8F"/>
    <w:rsid w:val="007664CD"/>
    <w:rsid w:val="00767528"/>
    <w:rsid w:val="007720D8"/>
    <w:rsid w:val="007754CF"/>
    <w:rsid w:val="0077658E"/>
    <w:rsid w:val="0077669F"/>
    <w:rsid w:val="007766AA"/>
    <w:rsid w:val="007813BA"/>
    <w:rsid w:val="00782390"/>
    <w:rsid w:val="00783695"/>
    <w:rsid w:val="00783F26"/>
    <w:rsid w:val="007843AD"/>
    <w:rsid w:val="0078527D"/>
    <w:rsid w:val="0079039A"/>
    <w:rsid w:val="00790DDE"/>
    <w:rsid w:val="00791238"/>
    <w:rsid w:val="007924CA"/>
    <w:rsid w:val="00793710"/>
    <w:rsid w:val="00793793"/>
    <w:rsid w:val="00796B10"/>
    <w:rsid w:val="00797FCA"/>
    <w:rsid w:val="007A49B9"/>
    <w:rsid w:val="007A57B9"/>
    <w:rsid w:val="007B13AC"/>
    <w:rsid w:val="007B54E2"/>
    <w:rsid w:val="007B6362"/>
    <w:rsid w:val="007D0C34"/>
    <w:rsid w:val="007D14F3"/>
    <w:rsid w:val="007D28F6"/>
    <w:rsid w:val="007D5770"/>
    <w:rsid w:val="007D717C"/>
    <w:rsid w:val="007D72D1"/>
    <w:rsid w:val="007E075C"/>
    <w:rsid w:val="007E1AFA"/>
    <w:rsid w:val="007F036B"/>
    <w:rsid w:val="007F1C8A"/>
    <w:rsid w:val="007F2BF7"/>
    <w:rsid w:val="007F3292"/>
    <w:rsid w:val="007F3C9A"/>
    <w:rsid w:val="007F73DD"/>
    <w:rsid w:val="007F7472"/>
    <w:rsid w:val="00800A9A"/>
    <w:rsid w:val="00801658"/>
    <w:rsid w:val="00802752"/>
    <w:rsid w:val="00807600"/>
    <w:rsid w:val="00812655"/>
    <w:rsid w:val="00812B38"/>
    <w:rsid w:val="00813002"/>
    <w:rsid w:val="008135D6"/>
    <w:rsid w:val="00815F33"/>
    <w:rsid w:val="00816DB0"/>
    <w:rsid w:val="00817E88"/>
    <w:rsid w:val="00817F81"/>
    <w:rsid w:val="00821023"/>
    <w:rsid w:val="008212AF"/>
    <w:rsid w:val="008228A2"/>
    <w:rsid w:val="008238F9"/>
    <w:rsid w:val="00824C05"/>
    <w:rsid w:val="00834846"/>
    <w:rsid w:val="00836974"/>
    <w:rsid w:val="0084135A"/>
    <w:rsid w:val="0084227D"/>
    <w:rsid w:val="008448EC"/>
    <w:rsid w:val="0085003D"/>
    <w:rsid w:val="00851D37"/>
    <w:rsid w:val="00856950"/>
    <w:rsid w:val="00860C58"/>
    <w:rsid w:val="00861D25"/>
    <w:rsid w:val="00862D25"/>
    <w:rsid w:val="00876FBB"/>
    <w:rsid w:val="008770D3"/>
    <w:rsid w:val="00884D74"/>
    <w:rsid w:val="0088592C"/>
    <w:rsid w:val="00887004"/>
    <w:rsid w:val="008874F5"/>
    <w:rsid w:val="0089018D"/>
    <w:rsid w:val="00891237"/>
    <w:rsid w:val="00891C91"/>
    <w:rsid w:val="00892B35"/>
    <w:rsid w:val="008931BE"/>
    <w:rsid w:val="00893A03"/>
    <w:rsid w:val="008968EA"/>
    <w:rsid w:val="00897A88"/>
    <w:rsid w:val="00897FCB"/>
    <w:rsid w:val="008A1CC2"/>
    <w:rsid w:val="008A2FF8"/>
    <w:rsid w:val="008A35C8"/>
    <w:rsid w:val="008A4C0D"/>
    <w:rsid w:val="008A556C"/>
    <w:rsid w:val="008A5608"/>
    <w:rsid w:val="008A64D3"/>
    <w:rsid w:val="008A6DBA"/>
    <w:rsid w:val="008A73BC"/>
    <w:rsid w:val="008B0706"/>
    <w:rsid w:val="008B4999"/>
    <w:rsid w:val="008B6708"/>
    <w:rsid w:val="008B6803"/>
    <w:rsid w:val="008B6BDF"/>
    <w:rsid w:val="008C13CD"/>
    <w:rsid w:val="008C3A1D"/>
    <w:rsid w:val="008D00AE"/>
    <w:rsid w:val="008D028F"/>
    <w:rsid w:val="008D3F4B"/>
    <w:rsid w:val="008D6BF7"/>
    <w:rsid w:val="008D787E"/>
    <w:rsid w:val="008D7EDD"/>
    <w:rsid w:val="008E1D83"/>
    <w:rsid w:val="008E35B5"/>
    <w:rsid w:val="008E49B8"/>
    <w:rsid w:val="008E51D5"/>
    <w:rsid w:val="008F2261"/>
    <w:rsid w:val="008F5E3F"/>
    <w:rsid w:val="008F677A"/>
    <w:rsid w:val="0090039A"/>
    <w:rsid w:val="009021CA"/>
    <w:rsid w:val="00904FFB"/>
    <w:rsid w:val="009054B5"/>
    <w:rsid w:val="00905707"/>
    <w:rsid w:val="0090772A"/>
    <w:rsid w:val="009128C2"/>
    <w:rsid w:val="009179DA"/>
    <w:rsid w:val="00917C4A"/>
    <w:rsid w:val="00917D07"/>
    <w:rsid w:val="00921B2A"/>
    <w:rsid w:val="009226C6"/>
    <w:rsid w:val="00924321"/>
    <w:rsid w:val="00926511"/>
    <w:rsid w:val="0093174A"/>
    <w:rsid w:val="0093345A"/>
    <w:rsid w:val="009345B1"/>
    <w:rsid w:val="00936CC8"/>
    <w:rsid w:val="00936EB8"/>
    <w:rsid w:val="0093754A"/>
    <w:rsid w:val="00941C56"/>
    <w:rsid w:val="0094291B"/>
    <w:rsid w:val="00945198"/>
    <w:rsid w:val="00950465"/>
    <w:rsid w:val="00951BF2"/>
    <w:rsid w:val="0095286E"/>
    <w:rsid w:val="00952F08"/>
    <w:rsid w:val="00954409"/>
    <w:rsid w:val="00954E4C"/>
    <w:rsid w:val="00956BA7"/>
    <w:rsid w:val="0095723C"/>
    <w:rsid w:val="009600E8"/>
    <w:rsid w:val="0096220E"/>
    <w:rsid w:val="009706D0"/>
    <w:rsid w:val="00974701"/>
    <w:rsid w:val="0098186D"/>
    <w:rsid w:val="00981FF4"/>
    <w:rsid w:val="00986A40"/>
    <w:rsid w:val="00995E7E"/>
    <w:rsid w:val="0099679F"/>
    <w:rsid w:val="009A14DA"/>
    <w:rsid w:val="009A1B64"/>
    <w:rsid w:val="009B01BE"/>
    <w:rsid w:val="009B6A43"/>
    <w:rsid w:val="009C05DA"/>
    <w:rsid w:val="009C3D22"/>
    <w:rsid w:val="009C4C99"/>
    <w:rsid w:val="009C5EAB"/>
    <w:rsid w:val="009D3548"/>
    <w:rsid w:val="009D5202"/>
    <w:rsid w:val="009D7757"/>
    <w:rsid w:val="009E0B58"/>
    <w:rsid w:val="009E0BBE"/>
    <w:rsid w:val="009E0CDE"/>
    <w:rsid w:val="009F33B6"/>
    <w:rsid w:val="009F48F6"/>
    <w:rsid w:val="009F64C5"/>
    <w:rsid w:val="009F7D16"/>
    <w:rsid w:val="00A05269"/>
    <w:rsid w:val="00A06253"/>
    <w:rsid w:val="00A076B7"/>
    <w:rsid w:val="00A07F8A"/>
    <w:rsid w:val="00A134EE"/>
    <w:rsid w:val="00A15327"/>
    <w:rsid w:val="00A16558"/>
    <w:rsid w:val="00A17A65"/>
    <w:rsid w:val="00A200B8"/>
    <w:rsid w:val="00A240ED"/>
    <w:rsid w:val="00A2456B"/>
    <w:rsid w:val="00A427A7"/>
    <w:rsid w:val="00A43C26"/>
    <w:rsid w:val="00A44905"/>
    <w:rsid w:val="00A44990"/>
    <w:rsid w:val="00A52764"/>
    <w:rsid w:val="00A5411D"/>
    <w:rsid w:val="00A55711"/>
    <w:rsid w:val="00A55DA3"/>
    <w:rsid w:val="00A566AA"/>
    <w:rsid w:val="00A567EB"/>
    <w:rsid w:val="00A61347"/>
    <w:rsid w:val="00A617A1"/>
    <w:rsid w:val="00A67952"/>
    <w:rsid w:val="00A7063A"/>
    <w:rsid w:val="00A709A7"/>
    <w:rsid w:val="00A74472"/>
    <w:rsid w:val="00A758F2"/>
    <w:rsid w:val="00A75CFC"/>
    <w:rsid w:val="00A7630E"/>
    <w:rsid w:val="00A77560"/>
    <w:rsid w:val="00A808B5"/>
    <w:rsid w:val="00A813DB"/>
    <w:rsid w:val="00A8153C"/>
    <w:rsid w:val="00A81580"/>
    <w:rsid w:val="00A82B20"/>
    <w:rsid w:val="00A84259"/>
    <w:rsid w:val="00A8427E"/>
    <w:rsid w:val="00A85418"/>
    <w:rsid w:val="00A863B2"/>
    <w:rsid w:val="00A91D2C"/>
    <w:rsid w:val="00A93ECC"/>
    <w:rsid w:val="00A95A2B"/>
    <w:rsid w:val="00A95C07"/>
    <w:rsid w:val="00A95E5D"/>
    <w:rsid w:val="00A9635A"/>
    <w:rsid w:val="00A97315"/>
    <w:rsid w:val="00AA23CF"/>
    <w:rsid w:val="00AA544D"/>
    <w:rsid w:val="00AB445B"/>
    <w:rsid w:val="00AB5DA2"/>
    <w:rsid w:val="00AB5F81"/>
    <w:rsid w:val="00AB654A"/>
    <w:rsid w:val="00AC08FB"/>
    <w:rsid w:val="00AC167F"/>
    <w:rsid w:val="00AC3426"/>
    <w:rsid w:val="00AC44B6"/>
    <w:rsid w:val="00AC46A6"/>
    <w:rsid w:val="00AC5141"/>
    <w:rsid w:val="00AC555C"/>
    <w:rsid w:val="00AC6837"/>
    <w:rsid w:val="00AC722A"/>
    <w:rsid w:val="00AC7446"/>
    <w:rsid w:val="00AD0108"/>
    <w:rsid w:val="00AD0E4E"/>
    <w:rsid w:val="00AD772E"/>
    <w:rsid w:val="00AE02D1"/>
    <w:rsid w:val="00AE08C9"/>
    <w:rsid w:val="00AE1808"/>
    <w:rsid w:val="00AE2D06"/>
    <w:rsid w:val="00AE2DE4"/>
    <w:rsid w:val="00AE3340"/>
    <w:rsid w:val="00AE5597"/>
    <w:rsid w:val="00AE5944"/>
    <w:rsid w:val="00AE5CFC"/>
    <w:rsid w:val="00AE7F74"/>
    <w:rsid w:val="00AF0795"/>
    <w:rsid w:val="00AF3BA3"/>
    <w:rsid w:val="00AF75A8"/>
    <w:rsid w:val="00B01C3B"/>
    <w:rsid w:val="00B1054A"/>
    <w:rsid w:val="00B14A1F"/>
    <w:rsid w:val="00B1575C"/>
    <w:rsid w:val="00B16768"/>
    <w:rsid w:val="00B2040B"/>
    <w:rsid w:val="00B235D1"/>
    <w:rsid w:val="00B257AA"/>
    <w:rsid w:val="00B257FF"/>
    <w:rsid w:val="00B2712A"/>
    <w:rsid w:val="00B30300"/>
    <w:rsid w:val="00B3789F"/>
    <w:rsid w:val="00B42DEB"/>
    <w:rsid w:val="00B43407"/>
    <w:rsid w:val="00B458A8"/>
    <w:rsid w:val="00B45F10"/>
    <w:rsid w:val="00B462CD"/>
    <w:rsid w:val="00B50E13"/>
    <w:rsid w:val="00B53A25"/>
    <w:rsid w:val="00B65BAA"/>
    <w:rsid w:val="00B66402"/>
    <w:rsid w:val="00B66717"/>
    <w:rsid w:val="00B673C2"/>
    <w:rsid w:val="00B7093C"/>
    <w:rsid w:val="00B70FE9"/>
    <w:rsid w:val="00B73E63"/>
    <w:rsid w:val="00B768EC"/>
    <w:rsid w:val="00B76AA6"/>
    <w:rsid w:val="00B801C2"/>
    <w:rsid w:val="00B83B28"/>
    <w:rsid w:val="00B85E33"/>
    <w:rsid w:val="00B85F42"/>
    <w:rsid w:val="00B877E3"/>
    <w:rsid w:val="00B912D0"/>
    <w:rsid w:val="00B96DFE"/>
    <w:rsid w:val="00BA21AE"/>
    <w:rsid w:val="00BA58D6"/>
    <w:rsid w:val="00BB1BE4"/>
    <w:rsid w:val="00BB4E71"/>
    <w:rsid w:val="00BC0121"/>
    <w:rsid w:val="00BC238F"/>
    <w:rsid w:val="00BC330B"/>
    <w:rsid w:val="00BC3DB1"/>
    <w:rsid w:val="00BC454A"/>
    <w:rsid w:val="00BC5FB7"/>
    <w:rsid w:val="00BC67C0"/>
    <w:rsid w:val="00BC7435"/>
    <w:rsid w:val="00BD5F43"/>
    <w:rsid w:val="00BD6455"/>
    <w:rsid w:val="00BD75A6"/>
    <w:rsid w:val="00BD7E84"/>
    <w:rsid w:val="00BE0D31"/>
    <w:rsid w:val="00BE1380"/>
    <w:rsid w:val="00BE28E3"/>
    <w:rsid w:val="00BE32FF"/>
    <w:rsid w:val="00BE4D3D"/>
    <w:rsid w:val="00BF18B4"/>
    <w:rsid w:val="00BF1D96"/>
    <w:rsid w:val="00BF644A"/>
    <w:rsid w:val="00BF6F82"/>
    <w:rsid w:val="00C10378"/>
    <w:rsid w:val="00C107E1"/>
    <w:rsid w:val="00C11179"/>
    <w:rsid w:val="00C11E12"/>
    <w:rsid w:val="00C2023C"/>
    <w:rsid w:val="00C223A4"/>
    <w:rsid w:val="00C238E3"/>
    <w:rsid w:val="00C23B34"/>
    <w:rsid w:val="00C23EBD"/>
    <w:rsid w:val="00C24B14"/>
    <w:rsid w:val="00C261D9"/>
    <w:rsid w:val="00C314CA"/>
    <w:rsid w:val="00C32E13"/>
    <w:rsid w:val="00C33E18"/>
    <w:rsid w:val="00C3689B"/>
    <w:rsid w:val="00C378EE"/>
    <w:rsid w:val="00C416B0"/>
    <w:rsid w:val="00C41ACA"/>
    <w:rsid w:val="00C426DF"/>
    <w:rsid w:val="00C4337A"/>
    <w:rsid w:val="00C510DE"/>
    <w:rsid w:val="00C52065"/>
    <w:rsid w:val="00C5220D"/>
    <w:rsid w:val="00C56671"/>
    <w:rsid w:val="00C56D70"/>
    <w:rsid w:val="00C60423"/>
    <w:rsid w:val="00C60D96"/>
    <w:rsid w:val="00C621B2"/>
    <w:rsid w:val="00C64C7C"/>
    <w:rsid w:val="00C655F8"/>
    <w:rsid w:val="00C72666"/>
    <w:rsid w:val="00C726CB"/>
    <w:rsid w:val="00C75DF1"/>
    <w:rsid w:val="00C8044A"/>
    <w:rsid w:val="00C81FA5"/>
    <w:rsid w:val="00C82A6C"/>
    <w:rsid w:val="00C83307"/>
    <w:rsid w:val="00C8338A"/>
    <w:rsid w:val="00C85F42"/>
    <w:rsid w:val="00C8697F"/>
    <w:rsid w:val="00C910E1"/>
    <w:rsid w:val="00C91678"/>
    <w:rsid w:val="00C91B5A"/>
    <w:rsid w:val="00C93037"/>
    <w:rsid w:val="00C93259"/>
    <w:rsid w:val="00C94AA1"/>
    <w:rsid w:val="00C94EBD"/>
    <w:rsid w:val="00C94FA8"/>
    <w:rsid w:val="00CA0EE5"/>
    <w:rsid w:val="00CA5150"/>
    <w:rsid w:val="00CB1B6A"/>
    <w:rsid w:val="00CB2B61"/>
    <w:rsid w:val="00CB3DCA"/>
    <w:rsid w:val="00CC1FB4"/>
    <w:rsid w:val="00CC4434"/>
    <w:rsid w:val="00CC5355"/>
    <w:rsid w:val="00CC54A0"/>
    <w:rsid w:val="00CD22E2"/>
    <w:rsid w:val="00CD28FB"/>
    <w:rsid w:val="00CD522B"/>
    <w:rsid w:val="00CD53F1"/>
    <w:rsid w:val="00CE00ED"/>
    <w:rsid w:val="00CE05C0"/>
    <w:rsid w:val="00CE1500"/>
    <w:rsid w:val="00CE2B1C"/>
    <w:rsid w:val="00CE3CE8"/>
    <w:rsid w:val="00CE493A"/>
    <w:rsid w:val="00CE6B84"/>
    <w:rsid w:val="00CF0DB5"/>
    <w:rsid w:val="00CF114B"/>
    <w:rsid w:val="00CF7898"/>
    <w:rsid w:val="00D008F6"/>
    <w:rsid w:val="00D01254"/>
    <w:rsid w:val="00D016B5"/>
    <w:rsid w:val="00D01AF7"/>
    <w:rsid w:val="00D02A0E"/>
    <w:rsid w:val="00D074C0"/>
    <w:rsid w:val="00D1232C"/>
    <w:rsid w:val="00D21867"/>
    <w:rsid w:val="00D21BDE"/>
    <w:rsid w:val="00D22EF8"/>
    <w:rsid w:val="00D24602"/>
    <w:rsid w:val="00D255BB"/>
    <w:rsid w:val="00D26F81"/>
    <w:rsid w:val="00D279BC"/>
    <w:rsid w:val="00D32858"/>
    <w:rsid w:val="00D332CF"/>
    <w:rsid w:val="00D348C8"/>
    <w:rsid w:val="00D34C1E"/>
    <w:rsid w:val="00D36026"/>
    <w:rsid w:val="00D360FC"/>
    <w:rsid w:val="00D40ABA"/>
    <w:rsid w:val="00D448F7"/>
    <w:rsid w:val="00D44DD9"/>
    <w:rsid w:val="00D44F12"/>
    <w:rsid w:val="00D51650"/>
    <w:rsid w:val="00D528C9"/>
    <w:rsid w:val="00D534C8"/>
    <w:rsid w:val="00D5383C"/>
    <w:rsid w:val="00D54264"/>
    <w:rsid w:val="00D562BF"/>
    <w:rsid w:val="00D603CB"/>
    <w:rsid w:val="00D61FE7"/>
    <w:rsid w:val="00D622CA"/>
    <w:rsid w:val="00D6267A"/>
    <w:rsid w:val="00D64E3C"/>
    <w:rsid w:val="00D66CF3"/>
    <w:rsid w:val="00D70781"/>
    <w:rsid w:val="00D7081F"/>
    <w:rsid w:val="00D71455"/>
    <w:rsid w:val="00D76781"/>
    <w:rsid w:val="00D8363D"/>
    <w:rsid w:val="00D84DE5"/>
    <w:rsid w:val="00D85122"/>
    <w:rsid w:val="00D86112"/>
    <w:rsid w:val="00D86460"/>
    <w:rsid w:val="00D875A4"/>
    <w:rsid w:val="00D900AE"/>
    <w:rsid w:val="00D90705"/>
    <w:rsid w:val="00D9076B"/>
    <w:rsid w:val="00D90A8E"/>
    <w:rsid w:val="00D90B06"/>
    <w:rsid w:val="00D90B49"/>
    <w:rsid w:val="00D91118"/>
    <w:rsid w:val="00D9255A"/>
    <w:rsid w:val="00D930E9"/>
    <w:rsid w:val="00D94DAA"/>
    <w:rsid w:val="00D9618E"/>
    <w:rsid w:val="00DA1C6F"/>
    <w:rsid w:val="00DA2748"/>
    <w:rsid w:val="00DA5BA6"/>
    <w:rsid w:val="00DA5C4C"/>
    <w:rsid w:val="00DB0377"/>
    <w:rsid w:val="00DB08E1"/>
    <w:rsid w:val="00DB1A25"/>
    <w:rsid w:val="00DB2F75"/>
    <w:rsid w:val="00DB42E4"/>
    <w:rsid w:val="00DB56D6"/>
    <w:rsid w:val="00DB6ACA"/>
    <w:rsid w:val="00DC0946"/>
    <w:rsid w:val="00DC53BF"/>
    <w:rsid w:val="00DC5CA7"/>
    <w:rsid w:val="00DD0C14"/>
    <w:rsid w:val="00DD61ED"/>
    <w:rsid w:val="00DD657A"/>
    <w:rsid w:val="00DD7AA5"/>
    <w:rsid w:val="00DE0381"/>
    <w:rsid w:val="00DF14AE"/>
    <w:rsid w:val="00DF4F27"/>
    <w:rsid w:val="00DF5801"/>
    <w:rsid w:val="00DF5D62"/>
    <w:rsid w:val="00DF7E73"/>
    <w:rsid w:val="00E00ED3"/>
    <w:rsid w:val="00E05A7F"/>
    <w:rsid w:val="00E106BE"/>
    <w:rsid w:val="00E12480"/>
    <w:rsid w:val="00E137C1"/>
    <w:rsid w:val="00E1425A"/>
    <w:rsid w:val="00E14776"/>
    <w:rsid w:val="00E15FC4"/>
    <w:rsid w:val="00E161D3"/>
    <w:rsid w:val="00E17781"/>
    <w:rsid w:val="00E21555"/>
    <w:rsid w:val="00E24C78"/>
    <w:rsid w:val="00E26BD5"/>
    <w:rsid w:val="00E3099B"/>
    <w:rsid w:val="00E321E9"/>
    <w:rsid w:val="00E34585"/>
    <w:rsid w:val="00E359E3"/>
    <w:rsid w:val="00E465ED"/>
    <w:rsid w:val="00E4683F"/>
    <w:rsid w:val="00E51F00"/>
    <w:rsid w:val="00E52733"/>
    <w:rsid w:val="00E52E92"/>
    <w:rsid w:val="00E52F4A"/>
    <w:rsid w:val="00E53E11"/>
    <w:rsid w:val="00E564A6"/>
    <w:rsid w:val="00E5657F"/>
    <w:rsid w:val="00E60739"/>
    <w:rsid w:val="00E60A95"/>
    <w:rsid w:val="00E60BC5"/>
    <w:rsid w:val="00E63DDA"/>
    <w:rsid w:val="00E64117"/>
    <w:rsid w:val="00E64AF8"/>
    <w:rsid w:val="00E64E97"/>
    <w:rsid w:val="00E6526D"/>
    <w:rsid w:val="00E709E9"/>
    <w:rsid w:val="00E7740B"/>
    <w:rsid w:val="00E775B4"/>
    <w:rsid w:val="00E807C0"/>
    <w:rsid w:val="00E809BC"/>
    <w:rsid w:val="00E819D2"/>
    <w:rsid w:val="00E83938"/>
    <w:rsid w:val="00E8413B"/>
    <w:rsid w:val="00E87818"/>
    <w:rsid w:val="00E90130"/>
    <w:rsid w:val="00EA1CD7"/>
    <w:rsid w:val="00EA53C6"/>
    <w:rsid w:val="00EA60FD"/>
    <w:rsid w:val="00EB0998"/>
    <w:rsid w:val="00EB4FBA"/>
    <w:rsid w:val="00EC43E9"/>
    <w:rsid w:val="00EC5B82"/>
    <w:rsid w:val="00EC63F8"/>
    <w:rsid w:val="00ED21AC"/>
    <w:rsid w:val="00ED2B67"/>
    <w:rsid w:val="00ED3B4E"/>
    <w:rsid w:val="00ED5141"/>
    <w:rsid w:val="00ED5C32"/>
    <w:rsid w:val="00EE03C0"/>
    <w:rsid w:val="00EE13B9"/>
    <w:rsid w:val="00EE45B2"/>
    <w:rsid w:val="00EE59D2"/>
    <w:rsid w:val="00EF01ED"/>
    <w:rsid w:val="00EF471D"/>
    <w:rsid w:val="00F0104C"/>
    <w:rsid w:val="00F02349"/>
    <w:rsid w:val="00F046D7"/>
    <w:rsid w:val="00F04AC2"/>
    <w:rsid w:val="00F054C7"/>
    <w:rsid w:val="00F076DC"/>
    <w:rsid w:val="00F11448"/>
    <w:rsid w:val="00F1426C"/>
    <w:rsid w:val="00F21EBD"/>
    <w:rsid w:val="00F22764"/>
    <w:rsid w:val="00F24400"/>
    <w:rsid w:val="00F25359"/>
    <w:rsid w:val="00F325F0"/>
    <w:rsid w:val="00F33C3A"/>
    <w:rsid w:val="00F34D59"/>
    <w:rsid w:val="00F37CA2"/>
    <w:rsid w:val="00F4042C"/>
    <w:rsid w:val="00F43E9B"/>
    <w:rsid w:val="00F465F2"/>
    <w:rsid w:val="00F46630"/>
    <w:rsid w:val="00F5031E"/>
    <w:rsid w:val="00F50649"/>
    <w:rsid w:val="00F523A7"/>
    <w:rsid w:val="00F5264A"/>
    <w:rsid w:val="00F53346"/>
    <w:rsid w:val="00F63E9D"/>
    <w:rsid w:val="00F65983"/>
    <w:rsid w:val="00F67C0D"/>
    <w:rsid w:val="00F70108"/>
    <w:rsid w:val="00F775F0"/>
    <w:rsid w:val="00F80B4E"/>
    <w:rsid w:val="00F84DA2"/>
    <w:rsid w:val="00F87B66"/>
    <w:rsid w:val="00F908D2"/>
    <w:rsid w:val="00F915DF"/>
    <w:rsid w:val="00F96512"/>
    <w:rsid w:val="00FA06BA"/>
    <w:rsid w:val="00FA17BE"/>
    <w:rsid w:val="00FA1FAE"/>
    <w:rsid w:val="00FA2BF0"/>
    <w:rsid w:val="00FA791B"/>
    <w:rsid w:val="00FA7CC6"/>
    <w:rsid w:val="00FB1048"/>
    <w:rsid w:val="00FB2279"/>
    <w:rsid w:val="00FB5243"/>
    <w:rsid w:val="00FB55F5"/>
    <w:rsid w:val="00FB6961"/>
    <w:rsid w:val="00FC0058"/>
    <w:rsid w:val="00FC0536"/>
    <w:rsid w:val="00FC34D0"/>
    <w:rsid w:val="00FC764B"/>
    <w:rsid w:val="00FC7C9B"/>
    <w:rsid w:val="00FD0BDD"/>
    <w:rsid w:val="00FD1023"/>
    <w:rsid w:val="00FD30C4"/>
    <w:rsid w:val="00FD3916"/>
    <w:rsid w:val="00FD3E44"/>
    <w:rsid w:val="00FD5B8B"/>
    <w:rsid w:val="00FD758C"/>
    <w:rsid w:val="00FE1B6A"/>
    <w:rsid w:val="00FE5C9E"/>
    <w:rsid w:val="00FE753A"/>
    <w:rsid w:val="00FF1758"/>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C1938347-3AF8-45D9-89DA-B6BD053A5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717"/>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F34D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D59"/>
  </w:style>
  <w:style w:type="paragraph" w:styleId="Footer">
    <w:name w:val="footer"/>
    <w:basedOn w:val="Normal"/>
    <w:link w:val="FooterChar"/>
    <w:uiPriority w:val="99"/>
    <w:unhideWhenUsed/>
    <w:rsid w:val="00F34D59"/>
    <w:pPr>
      <w:tabs>
        <w:tab w:val="center" w:pos="4680"/>
        <w:tab w:val="right" w:pos="9360"/>
      </w:tabs>
      <w:spacing w:after="0" w:line="240" w:lineRule="auto"/>
    </w:pPr>
    <w:rPr>
      <w:rFonts w:cs="Times New Roman"/>
      <w:kern w:val="0"/>
      <w:lang w:val="en-US" w:eastAsia="en-US"/>
      <w14:ligatures w14:val="none"/>
    </w:rPr>
  </w:style>
  <w:style w:type="character" w:customStyle="1" w:styleId="FooterChar">
    <w:name w:val="Footer Char"/>
    <w:basedOn w:val="DefaultParagraphFont"/>
    <w:link w:val="Footer"/>
    <w:uiPriority w:val="99"/>
    <w:rsid w:val="00F34D59"/>
    <w:rPr>
      <w:rFonts w:cs="Times New Roman"/>
      <w:kern w:val="0"/>
      <w:lang w:val="en-US" w:eastAsia="en-US"/>
      <w14:ligatures w14:val="none"/>
    </w:rPr>
  </w:style>
  <w:style w:type="paragraph" w:customStyle="1" w:styleId="gds-typography">
    <w:name w:val="gds-typography"/>
    <w:basedOn w:val="Normal"/>
    <w:rsid w:val="00FA791B"/>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paragraph" w:styleId="ListParagraph">
    <w:name w:val="List Paragraph"/>
    <w:basedOn w:val="Normal"/>
    <w:uiPriority w:val="34"/>
    <w:qFormat/>
    <w:rsid w:val="00E321E9"/>
    <w:pPr>
      <w:ind w:left="720"/>
      <w:contextualSpacing/>
    </w:pPr>
  </w:style>
  <w:style w:type="character" w:styleId="Strong">
    <w:name w:val="Strong"/>
    <w:basedOn w:val="DefaultParagraphFont"/>
    <w:uiPriority w:val="22"/>
    <w:qFormat/>
    <w:rsid w:val="00C510DE"/>
    <w:rPr>
      <w:b/>
      <w:bCs/>
    </w:rPr>
  </w:style>
  <w:style w:type="paragraph" w:styleId="TOCHeading">
    <w:name w:val="TOC Heading"/>
    <w:basedOn w:val="Heading1"/>
    <w:next w:val="Normal"/>
    <w:uiPriority w:val="39"/>
    <w:unhideWhenUsed/>
    <w:qFormat/>
    <w:rsid w:val="00041FAF"/>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041FAF"/>
    <w:pPr>
      <w:spacing w:after="100"/>
      <w:ind w:left="220"/>
    </w:pPr>
  </w:style>
  <w:style w:type="paragraph" w:styleId="TOC3">
    <w:name w:val="toc 3"/>
    <w:basedOn w:val="Normal"/>
    <w:next w:val="Normal"/>
    <w:autoRedefine/>
    <w:uiPriority w:val="39"/>
    <w:unhideWhenUsed/>
    <w:rsid w:val="00041FAF"/>
    <w:pPr>
      <w:spacing w:after="100"/>
      <w:ind w:left="440"/>
    </w:pPr>
  </w:style>
  <w:style w:type="paragraph" w:styleId="TOC4">
    <w:name w:val="toc 4"/>
    <w:basedOn w:val="Normal"/>
    <w:next w:val="Normal"/>
    <w:autoRedefine/>
    <w:uiPriority w:val="39"/>
    <w:unhideWhenUsed/>
    <w:rsid w:val="00041FAF"/>
    <w:pPr>
      <w:spacing w:after="100" w:line="278" w:lineRule="auto"/>
      <w:ind w:left="720"/>
    </w:pPr>
    <w:rPr>
      <w:sz w:val="24"/>
      <w:szCs w:val="24"/>
      <w:lang w:val="en-US" w:eastAsia="en-US"/>
    </w:rPr>
  </w:style>
  <w:style w:type="paragraph" w:styleId="TOC5">
    <w:name w:val="toc 5"/>
    <w:basedOn w:val="Normal"/>
    <w:next w:val="Normal"/>
    <w:autoRedefine/>
    <w:uiPriority w:val="39"/>
    <w:unhideWhenUsed/>
    <w:rsid w:val="00041FAF"/>
    <w:pPr>
      <w:spacing w:after="100" w:line="278" w:lineRule="auto"/>
      <w:ind w:left="960"/>
    </w:pPr>
    <w:rPr>
      <w:sz w:val="24"/>
      <w:szCs w:val="24"/>
      <w:lang w:val="en-US" w:eastAsia="en-US"/>
    </w:rPr>
  </w:style>
  <w:style w:type="paragraph" w:styleId="TOC6">
    <w:name w:val="toc 6"/>
    <w:basedOn w:val="Normal"/>
    <w:next w:val="Normal"/>
    <w:autoRedefine/>
    <w:uiPriority w:val="39"/>
    <w:unhideWhenUsed/>
    <w:rsid w:val="00041FAF"/>
    <w:pPr>
      <w:spacing w:after="100" w:line="278" w:lineRule="auto"/>
      <w:ind w:left="1200"/>
    </w:pPr>
    <w:rPr>
      <w:sz w:val="24"/>
      <w:szCs w:val="24"/>
      <w:lang w:val="en-US" w:eastAsia="en-US"/>
    </w:rPr>
  </w:style>
  <w:style w:type="paragraph" w:styleId="TOC7">
    <w:name w:val="toc 7"/>
    <w:basedOn w:val="Normal"/>
    <w:next w:val="Normal"/>
    <w:autoRedefine/>
    <w:uiPriority w:val="39"/>
    <w:unhideWhenUsed/>
    <w:rsid w:val="00041FAF"/>
    <w:pPr>
      <w:spacing w:after="100" w:line="278" w:lineRule="auto"/>
      <w:ind w:left="1440"/>
    </w:pPr>
    <w:rPr>
      <w:sz w:val="24"/>
      <w:szCs w:val="24"/>
      <w:lang w:val="en-US" w:eastAsia="en-US"/>
    </w:rPr>
  </w:style>
  <w:style w:type="paragraph" w:styleId="TOC8">
    <w:name w:val="toc 8"/>
    <w:basedOn w:val="Normal"/>
    <w:next w:val="Normal"/>
    <w:autoRedefine/>
    <w:uiPriority w:val="39"/>
    <w:unhideWhenUsed/>
    <w:rsid w:val="00041FAF"/>
    <w:pPr>
      <w:spacing w:after="100" w:line="278" w:lineRule="auto"/>
      <w:ind w:left="1680"/>
    </w:pPr>
    <w:rPr>
      <w:sz w:val="24"/>
      <w:szCs w:val="24"/>
      <w:lang w:val="en-US" w:eastAsia="en-US"/>
    </w:rPr>
  </w:style>
  <w:style w:type="paragraph" w:styleId="TOC9">
    <w:name w:val="toc 9"/>
    <w:basedOn w:val="Normal"/>
    <w:next w:val="Normal"/>
    <w:autoRedefine/>
    <w:uiPriority w:val="39"/>
    <w:unhideWhenUsed/>
    <w:rsid w:val="00041FAF"/>
    <w:pPr>
      <w:spacing w:after="100" w:line="278" w:lineRule="auto"/>
      <w:ind w:left="1920"/>
    </w:pPr>
    <w:rPr>
      <w:sz w:val="24"/>
      <w:szCs w:val="24"/>
      <w:lang w:val="en-US" w:eastAsia="en-US"/>
    </w:rPr>
  </w:style>
  <w:style w:type="character" w:styleId="Hyperlink">
    <w:name w:val="Hyperlink"/>
    <w:basedOn w:val="DefaultParagraphFont"/>
    <w:uiPriority w:val="99"/>
    <w:unhideWhenUsed/>
    <w:rsid w:val="00041FAF"/>
    <w:rPr>
      <w:color w:val="0563C1" w:themeColor="hyperlink"/>
      <w:u w:val="single"/>
    </w:rPr>
  </w:style>
  <w:style w:type="character" w:styleId="UnresolvedMention">
    <w:name w:val="Unresolved Mention"/>
    <w:basedOn w:val="DefaultParagraphFont"/>
    <w:uiPriority w:val="99"/>
    <w:semiHidden/>
    <w:unhideWhenUsed/>
    <w:rsid w:val="00041FAF"/>
    <w:rPr>
      <w:color w:val="605E5C"/>
      <w:shd w:val="clear" w:color="auto" w:fill="E1DFDD"/>
    </w:rPr>
  </w:style>
  <w:style w:type="paragraph" w:styleId="NormalWeb">
    <w:name w:val="Normal (Web)"/>
    <w:basedOn w:val="Normal"/>
    <w:uiPriority w:val="99"/>
    <w:unhideWhenUsed/>
    <w:rsid w:val="00A15327"/>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character" w:styleId="Emphasis">
    <w:name w:val="Emphasis"/>
    <w:basedOn w:val="DefaultParagraphFont"/>
    <w:uiPriority w:val="20"/>
    <w:qFormat/>
    <w:rsid w:val="00DE03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5.xml"/><Relationship Id="rId26" Type="http://schemas.openxmlformats.org/officeDocument/2006/relationships/hyperlink" Target="https://migrationobservatory.ox.ac.uk/resources/briefings/health-of-migrants-in-the-uk/" TargetMode="External"/><Relationship Id="rId39" Type="http://schemas.openxmlformats.org/officeDocument/2006/relationships/image" Target="media/image13.jpeg"/><Relationship Id="rId21" Type="http://schemas.openxmlformats.org/officeDocument/2006/relationships/image" Target="media/image6.png"/><Relationship Id="rId34" Type="http://schemas.openxmlformats.org/officeDocument/2006/relationships/hyperlink" Target="https://www.who.int/health-topics/social-determinants-of-health" TargetMode="External"/><Relationship Id="rId42" Type="http://schemas.openxmlformats.org/officeDocument/2006/relationships/image" Target="media/image16.jpe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ustomXml" Target="ink/ink3.xml"/><Relationship Id="rId29"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ps.org.uk/news-and-policy/bps-code-human-research-ethics-2nd-edition-2014" TargetMode="External"/><Relationship Id="rId32" Type="http://schemas.openxmlformats.org/officeDocument/2006/relationships/hyperlink" Target="https://www.towerhamlets.gov.uk/lgnl/community_and_living/borough_statistics/population.aspx" TargetMode="External"/><Relationship Id="rId37" Type="http://schemas.openxmlformats.org/officeDocument/2006/relationships/image" Target="media/image11.jpeg"/><Relationship Id="rId40" Type="http://schemas.openxmlformats.org/officeDocument/2006/relationships/image" Target="media/image14.jpeg"/><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hyperlink" Target="https://www.england.nhs.uk/publication/access-to-healthcare-for-people-with-no-fixed-abode/" TargetMode="External"/><Relationship Id="rId36" Type="http://schemas.openxmlformats.org/officeDocument/2006/relationships/image" Target="media/image10.jpe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england.shelter.org.uk/professional_resources/homelessness_in_england"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image" Target="media/image7.png"/><Relationship Id="rId27" Type="http://schemas.openxmlformats.org/officeDocument/2006/relationships/hyperlink" Target="https://migrationobservatory.ox.ac.uk/resources/briefings/health-of-migrants-in-the-uk/" TargetMode="External"/><Relationship Id="rId30" Type="http://schemas.openxmlformats.org/officeDocument/2006/relationships/hyperlink" Target="https://www.ons.gov.uk/census/2021census" TargetMode="External"/><Relationship Id="rId35" Type="http://schemas.openxmlformats.org/officeDocument/2006/relationships/image" Target="media/image9.jpeg"/><Relationship Id="rId43" Type="http://schemas.openxmlformats.org/officeDocument/2006/relationships/image" Target="media/image17.jpe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customXml" Target="ink/ink4.xml"/><Relationship Id="rId25" Type="http://schemas.openxmlformats.org/officeDocument/2006/relationships/hyperlink" Target="https://www.diabetes.org.uk/professionals/position-statements-reports/statistics/diabetes-prevalence-2023" TargetMode="External"/><Relationship Id="rId33" Type="http://schemas.openxmlformats.org/officeDocument/2006/relationships/hyperlink" Target="https://www.trustforlondon.org.uk/data/" TargetMode="External"/><Relationship Id="rId38" Type="http://schemas.openxmlformats.org/officeDocument/2006/relationships/image" Target="media/image12.jpeg"/><Relationship Id="rId46" Type="http://schemas.openxmlformats.org/officeDocument/2006/relationships/footer" Target="footer3.xml"/><Relationship Id="rId20" Type="http://schemas.openxmlformats.org/officeDocument/2006/relationships/image" Target="media/image5.png"/><Relationship Id="rId41" Type="http://schemas.openxmlformats.org/officeDocument/2006/relationships/image" Target="media/image1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3T10:00:59.751"/>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3T10:00:59.768"/>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3T10:00:59.769"/>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3T10:00:59.770"/>
    </inkml:context>
    <inkml:brush xml:id="br0">
      <inkml:brushProperty name="width" value="0.05" units="cm"/>
      <inkml:brushProperty name="height" value="0.0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1T17:11:17.805"/>
    </inkml:context>
    <inkml:brush xml:id="br0">
      <inkml:brushProperty name="width" value="0.025" units="cm"/>
      <inkml:brushProperty name="height" value="0.025" units="cm"/>
    </inkml:brush>
  </inkml:definitions>
  <inkml:trace contextRef="#ctx0" brushRef="#br0">1287 63 24575,'-18'38'0,"3"1"0,-18 64 0,-9 84 0,32-139 0,-23 115 0,-84 246 0,-86 85 0,181-441 0,15-35 0,0 0 0,-1-1 0,-1 0 0,-17 24 0,-62 84 0,-52 64 0,42-93 0,56-58 0,41-36 0,-1 0 0,0 0 0,1-1 0,-1 1 0,0-1 0,0 1 0,0-1 0,0 0 0,0 0 0,0 0 0,0 0 0,0 0 0,0 0 0,0-1 0,-1 1 0,1 0 0,0-1 0,-1 0 0,1 0 0,0 0 0,-1 0 0,1 0 0,0 0 0,-1 0 0,1-1 0,0 1 0,0-1 0,-1 0 0,1 0 0,0 0 0,0 0 0,0 0 0,0 0 0,-2-2 0,-4-4 0,0-1 0,0 0 0,1-1 0,1 1 0,-1-2 0,-4-9 0,-199-315-1365,181 292-5461</inkml:trace>
  <inkml:trace contextRef="#ctx0" brushRef="#br0" timeOffset="1890.16">439 0 24575,'1'6'0,"1"-1"0,-1 1 0,1-1 0,0 0 0,0 0 0,1 1 0,0-2 0,0 1 0,0 0 0,0 0 0,5 4 0,6 10 0,19 28 0,-22-33 0,-1 0 0,0 1 0,-1 0 0,-1 1 0,-1 0 0,7 19 0,47 126 0,-17-49 0,1 27 0,-22-62 0,65 144 0,52 18 0,9 18 0,-115-187 0,107 195 0,-121-236 0,42 43 0,-15-17 0,-30-37 0,-12-12 0,0 0 0,0 0 0,0 0 0,7 14 0,2 2 0,1 0 0,1-1 0,0-1 0,2 0 0,30 26 0,-15-14 0,-25-23 0,17 12 0,-25-20 0,1-1 0,0 0 0,0 1 0,0-1 0,0 0 0,0 0 0,0 0 0,0 1 0,0-1 0,0 0 0,0 0 0,0-1 0,0 1 0,0 0 0,0 0 0,0 0 0,0-1 0,-1 1 0,1 0 0,0-1 0,0 1 0,0-1 0,0 1 0,0-1 0,-1 1 0,1-1 0,0 1 0,-1-1 0,1 0 0,1-1 0,7-9 0,-1 0 0,0-1 0,-1 0 0,0 0 0,7-18 0,24-74 0,-29 76 0,-2 10-227,-2-1-1,0 1 1,-1-1-1,-1 0 1,1-34-1,-4 36-6598</inkml:trace>
  <inkml:trace contextRef="#ctx0" brushRef="#br0" timeOffset="14110.06">651 1165 24575,'-10'1'0,"-1"0"0,1 0 0,-1 1 0,1 1 0,0-1 0,0 2 0,0-1 0,1 2 0,-11 5 0,20-10 0,-1 0 0,0 1 0,0-1 0,1 1 0,-1-1 0,0 1 0,1-1 0,-1 1 0,1-1 0,-1 1 0,1 0 0,-1-1 0,1 1 0,-1 0 0,1-1 0,0 1 0,-1 0 0,1 0 0,-1 1 0,2-1 0,-1-1 0,0 1 0,0-1 0,0 1 0,0-1 0,1 0 0,-1 1 0,0-1 0,1 1 0,-1-1 0,0 1 0,1-1 0,-1 0 0,0 1 0,1-1 0,-1 0 0,1 1 0,-1-1 0,1 0 0,-1 0 0,1 1 0,0-1 0,35 9 0,-32-9 0,119 13 0,213-4 0,-246-9 0,-77 0 0,-1-1 0,1 0 0,-1-1 0,0 0 0,0-1 0,0 0 0,0-1 0,0 0 0,-1-1 0,1-1 0,-1 0 0,-1 0 0,1-1 0,13-11 0,-24 17 0,1 1 0,-1-1 0,1 1 0,-1-1 0,1 1 0,0-1 0,-1 1 0,1-1 0,0 1 0,-1 0 0,1-1 0,0 1 0,0 0 0,-1 0 0,1-1 0,0 1 0,0 0 0,0 0 0,-1 0 0,1 0 0,0 0 0,0 0 0,0 0 0,-1 0 0,1 0 0,0 1 0,0-1 0,-1 0 0,2 1 0,0 0 0,-1 1 0,1-1 0,-1 1 0,0-1 0,0 1 0,1-1 0,-1 1 0,0 0 0,-1-1 0,1 1 0,0 0 0,0 2 0,4 12 0,-2 0 0,3 25 0,-4-27 0,48 306 0,-35-165 0,-13-110 0,-2-40 0,1-1 0,-1 1 0,1-1 0,0 0 0,0 1 0,0-1 0,0 0 0,1 0 0,0 1 0,0-1 0,0 0 0,0-1 0,1 1 0,-1 0 0,1-1 0,0 1 0,0-1 0,0 0 0,1 0 0,-1 0 0,1-1 0,-1 1 0,7 2 0,-5-3 0,0 0 0,0-1 0,0 0 0,0 0 0,0 0 0,1-1 0,-1 1 0,0-1 0,0-1 0,1 1 0,-1-1 0,0 1 0,0-2 0,0 1 0,0-1 0,0 1 0,0-1 0,0 0 0,0-1 0,4-3 0,15-10 0,-1-1 0,0-1 0,-2-2 0,0 0 0,-1-1 0,-1 0 0,-1-2 0,-1 0 0,-1-2 0,-1 1 0,-2-2 0,0 0 0,10-30 0,-20 44 0,0 0 0,-1-1 0,0 1 0,-1-1 0,0 1 0,-1-13 0,0-10 0,0 35 0,0-1 0,0 1 0,0-1 0,0 1 0,0-1 0,0 1 0,0-1 0,0 1 0,0-1 0,0 1 0,0-1 0,0 1 0,1-1 0,-1 1 0,0-1 0,0 1 0,1-1 0,-1 1 0,0 0 0,0-1 0,1 1 0,-1-1 0,0 1 0,1 0 0,0-1 0,8 8 0,12 31 0,-15-27 0,-3-6 0,12 18 0,-2 2 0,-1-1 0,0 2 0,-2 0 0,9 33 0,-17-46 0,1 1 0,1-1 0,0 0 0,1 0 0,1-1 0,0 0 0,9 15 0,-12-22 0,1-1 0,0 1 0,0-1 0,0 0 0,1 0 0,-1-1 0,1 1 0,0-1 0,0 0 0,0-1 0,1 1 0,-1-1 0,0 0 0,1 0 0,0 0 0,-1-1 0,1 0 0,0 0 0,8 0 0,5-1 0,0-1 0,-1 0 0,1-2 0,-1 0 0,1 0 0,-1-2 0,0-1 0,-1 0 0,1-1 0,-1-1 0,-1 0 0,1-1 0,-1-1 0,-1-1 0,19-16 0,-17 12 0,0-1 0,-2 0 0,0-1 0,0-1 0,-2 0 0,0-1 0,-2 0 0,0-1 0,-1 0 0,-1-1 0,0 0 0,6-30 0,-8 21 0,-2 0 0,-2-1 0,0 0 0,-2 0 0,-5-49 0,4 77 0,-1-1 0,0 1 0,1 0 0,-1 0 0,-1-1 0,1 1 0,0 0 0,-1 0 0,0 0 0,1 0 0,-1 1 0,0-1 0,-1 0 0,1 1 0,0-1 0,-1 1 0,1 0 0,-1 0 0,0 0 0,0 0 0,0 0 0,0 1 0,0-1 0,0 1 0,0 0 0,0 0 0,0 0 0,-1 0 0,1 1 0,-5-1 0,-11-1 0,1 1 0,0 1 0,-1 1 0,-23 3 0,38-3 0,1-1 0,0 0 0,0 1 0,0 0 0,0 0 0,0 0 0,0 0 0,0 0 0,1 0 0,-1 1 0,0 0 0,1-1 0,-1 1 0,1 0 0,-1 0 0,1 0 0,0 1 0,0-1 0,0 0 0,0 1 0,0 0 0,1-1 0,-1 1 0,1 0 0,0 0 0,-1 0 0,1 0 0,1 0 0,-1 0 0,0 4 0,-2 11 0,2-1 0,0 0 0,2 0 0,2 24 0,-1-1 0,-2-37 0,0 0 0,0 1 0,1-1 0,-1 0 0,1 0 0,-1 0 0,1 0 0,0 0 0,0 0 0,0 0 0,1 0 0,-1 0 0,1 0 0,2 2 0,-2-3 0,0 0 0,0 0 0,0-1 0,1 1 0,-1-1 0,1 0 0,-1 1 0,1-1 0,-1 0 0,1-1 0,0 1 0,-1 0 0,1-1 0,0 1 0,0-1 0,4 0 0,6 1 0,0-1 0,0 0 0,0 0 0,26-5 0,-36 4 0,0 0 0,0 0 0,0 0 0,0 0 0,0-1 0,0 1 0,0-1 0,0 0 0,-1 0 0,1 0 0,-1 0 0,1 0 0,-1 0 0,0-1 0,0 1 0,0-1 0,0 0 0,0 1 0,-1-1 0,1 0 0,-1 0 0,0 0 0,0 0 0,0 0 0,1-5 0,0-5 0,-1 0 0,-1-1 0,0-15 0,-1 6 0,2 43 0,0-1 0,1 0 0,0 0 0,10 30 0,-1 5 0,38 167 0,-27-139 0,-4 2 0,-4 0 0,4 99 0,-22 12 0,3-186 0,-1-1 0,0 1 0,-1-1 0,0 0 0,-1 1 0,0-1 0,0-1 0,0 1 0,-1 0 0,0-1 0,-1 0 0,1 0 0,-1-1 0,-1 0 0,-9 8 0,-10 7 0,-1-1 0,-48 27 0,57-37 0,0-1 0,0-1 0,-1 0 0,-32 7 0,40-12 0,0-1 0,0-1 0,0 1 0,0-2 0,0 0 0,0 0 0,-1-1 0,1 0 0,-21-6 0,24 4 0,1 0 0,-1-1 0,1 0 0,0-1 0,1 0 0,-1 0 0,1 0 0,0-1 0,0 0 0,0 0 0,1 0 0,0-1 0,-5-8 0,-1-2 0,1 0 0,1-1 0,1-1 0,-9-24 0,9 14 0,2-1 0,1 1 0,1-1 0,1 0 0,2 0 0,1 0 0,1 0 0,8-47 0,5 10 0,2 0 0,40-105 0,-49 155 0,2-1 0,0 1 0,1 1 0,0 0 0,1 0 0,1 1 0,1 1 0,21-20 0,-11 13 0,1 2 0,1 1 0,1 0 0,40-19 0,-50 30 0,1 1 0,0 0 0,1 2 0,34-6 0,-29 6 0,38-11 0,-52 12 0,-1 0 0,0-1 0,0 0 0,0 0 0,0-1 0,-1 0 0,0 0 0,8-7 0,-10 6 0,1 0 0,-2 0 0,1 0 0,0-1 0,-1 1 0,0-1 0,-1 0 0,0 0 0,4-13 0,0-3 0,4-42 0,-9 55 0,-3 132 0,2-52 0,-1-58 0,-1-4 0,1 1 0,1-1 0,-1 0 0,4 15 0,-4-22 0,0 1 0,1-1 0,-1 1 0,1-1 0,-1 1 0,1-1 0,0 0 0,0 0 0,-1 1 0,1-1 0,0 0 0,0 0 0,0 0 0,0 0 0,1 0 0,-1 0 0,0 0 0,0 0 0,0 0 0,1 0 0,-1-1 0,1 1 0,-1-1 0,0 1 0,1-1 0,-1 1 0,1-1 0,-1 0 0,1 0 0,-1 0 0,1 1 0,1-2 0,-1 1 0,0 0 0,0-1 0,0 1 0,-1-1 0,1 0 0,0 0 0,-1 1 0,1-1 0,-1 0 0,1 0 0,-1 0 0,1-1 0,-1 1 0,0 0 0,0 0 0,3-4 0,16-27 0,-16 25 0,5-11 0,0-1 0,-1 1 0,-1-1 0,-1 0 0,-1-1 0,0 0 0,-2 0 0,0 0 0,-1 0 0,-1-22 0,-1 47 0,0 13 0,0 1 0,4 21 0,2 8 0,-6-37 0,1-1 0,1 0 0,-1 1 0,1-1 0,4 10 0,-5-19 0,-1 1 0,0-1 0,1 0 0,-1 0 0,1 0 0,0 0 0,-1 0 0,1 1 0,0-1 0,0 0 0,0 0 0,-1-1 0,1 1 0,0 0 0,0 0 0,0 0 0,0-1 0,1 1 0,-1 0 0,0-1 0,0 1 0,0-1 0,0 1 0,1-1 0,-1 0 0,0 1 0,1-1 0,-1 0 0,0 0 0,0 0 0,1 0 0,-1 0 0,0 0 0,1-1 0,-1 1 0,0 0 0,0 0 0,1-1 0,-1 1 0,0-1 0,0 0 0,0 1 0,0-1 0,0 0 0,0 1 0,0-1 0,2-2 0,3-1 0,0-2 0,-1 1 0,1-1 0,-1 1 0,0-2 0,6-9 0,2-7 0,-1-1 0,-1 0 0,-1-1 0,-1-1 0,-1 1 0,7-47 0,-8 15 0,-2 0 0,-3-63 0,-1 58 0,1 38 0,-1 1 0,-2 0 0,0-1 0,-6-26 0,6 46 0,-1 0 0,1-1 0,-1 1 0,0 0 0,-1 0 0,1 0 0,-1 0 0,0 1 0,0-1 0,-4-3 0,7 6 0,-1 0 0,0 0 0,0 0 0,0 0 0,0 1 0,0-1 0,0 0 0,0 1 0,0-1 0,0 1 0,0-1 0,0 1 0,0-1 0,-1 1 0,1 0 0,0 0 0,0-1 0,0 1 0,-1 0 0,1 0 0,0 0 0,0 0 0,0 1 0,-1-1 0,1 0 0,0 0 0,0 1 0,0-1 0,0 1 0,0-1 0,-1 1 0,1-1 0,0 1 0,0 0 0,0-1 0,1 1 0,-1 0 0,0 0 0,0 0 0,0 0 0,0 0 0,0 2 0,-4 5 0,1 1 0,0 0 0,1 0 0,0 0 0,1 0 0,0 1 0,0-1 0,1 1 0,0-1 0,1 17 0,-1-5 0,-2 415 0,6-213 0,-3-216 0,0-1 0,0 1 0,1 0 0,0 0 0,1 0 0,-1-1 0,1 1 0,0-1 0,4 7 0,-5-10 0,1 0 0,0 0 0,0-1 0,0 1 0,0-1 0,1 1 0,-1-1 0,0 0 0,1 0 0,0 0 0,0 0 0,-1 0 0,1-1 0,0 1 0,0-1 0,1 0 0,-1 0 0,0 0 0,0 0 0,5 0 0,11 2 0,0-1 0,1-1 0,-1-1 0,0-1 0,0 0 0,0-1 0,0-2 0,0 0 0,0 0 0,24-11 0,-29 9 0,0-1 0,-1 0 0,0-1 0,0 0 0,0-1 0,-1 0 0,-1-1 0,0-1 0,0 0 0,-1 0 0,0-1 0,-1 0 0,12-21 0,-6 3 0,0 0 0,-2-1 0,-2-1 0,-1 0 0,-1 0 0,-2-1 0,-1 0 0,3-61 0,-8 92 0,-1-1 0,0 0 0,0 1 0,-1-1 0,1 0 0,0 1 0,-1-1 0,0 1 0,1-1 0,-1 1 0,-2-4 0,3 6 0,0 0 0,0 0 0,0 0 0,0-1 0,0 1 0,-1 0 0,1 0 0,0 0 0,0 0 0,0 0 0,-1 0 0,1 0 0,0-1 0,0 1 0,0 0 0,-1 0 0,1 0 0,0 0 0,0 0 0,-1 0 0,1 0 0,0 0 0,0 0 0,0 0 0,-1 0 0,1 0 0,0 0 0,0 0 0,-1 1 0,1-1 0,0 0 0,0 0 0,0 0 0,-1 0 0,1 0 0,0 0 0,0 0 0,0 1 0,-1-1 0,-10 18 0,5-4 0,2 1 0,-1 0 0,2 0 0,0 0 0,0 0 0,1 16 0,2 97 0,1-84 0,-1-41 0,0 0 0,0 0 0,0 0 0,0 0 0,1 0 0,-1 0 0,1 0 0,0 0 0,0 0 0,0 0 0,0 0 0,1-1 0,-1 1 0,1 0 0,1 2 0,0-4 0,-1 1 0,0 0 0,1-1 0,-1 1 0,1-1 0,-1 0 0,1 0 0,0 0 0,-1 0 0,1 0 0,0 0 0,0-1 0,0 0 0,0 1 0,-1-1 0,4 0 0,175-6 0,-176 6 0,-1 0 0,0-1 0,1 1 0,-1-1 0,0 0 0,1-1 0,-1 1 0,0-1 0,0 0 0,6-3 0,-7 3 0,-1 0 0,0-1 0,0 1 0,0 0 0,0-1 0,0 0 0,0 1 0,-1-1 0,1 0 0,-1 0 0,0 0 0,1 0 0,-2 0 0,1 0 0,1-3 0,-3 5 0,1 0 0,1-1 0,-1 1 0,0 0 0,0 0 0,0 0 0,1 0 0,-1-1 0,0 1 0,1 0 0,-1 0 0,1 0 0,-1 0 0,1 0 0,0 0 0,0 0 0,-1 0 0,3-1 0,2 20 0,-1 40 0,-4-51 0,-1-3 0,1-1 0,0 1 0,0 0 0,1-1 0,-1 1 0,1-1 0,0 1 0,-1-1 0,1 1 0,1-1 0,1 4 0,1-8 0,0-10 0,0-14 0,-4 24 0,2-9 0,1-1 0,-1 1 0,2 0 0,-1 0 0,2 1 0,-1-1 0,1 1 0,1 0 0,-1 0 0,2 0 0,-1 1 0,1 0 0,0 0 0,1 1 0,0 0 0,14-10 0,8-3 0,0 2 0,1 2 0,55-21 0,-60 27 0,48-10 0,-64 18 0,-52 5 0,30-2 0,0-1 0,0 1 0,-17 4 0,12 0 0,0 1 0,0 1 0,-22 12 0,32-15 0,0 0 0,0 1 0,1-1 0,-1 2 0,1-1 0,1 1 0,-1 0 0,1 0 0,-9 13 0,2 0 0,4-6 0,0 0 0,1 0 0,1 1 0,0 0 0,-7 23 0,6-8 0,1 1 0,1 0 0,2 0 0,1 0 0,3 55 0,-1-83 0,1 1 0,-1-1 0,1 0 0,0 1 0,0-1 0,0 0 0,0 0 0,0 0 0,1 0 0,-1 0 0,0 0 0,1 0 0,-1-1 0,1 1 0,0 0 0,0-1 0,0 1 0,0-1 0,0 0 0,0 0 0,0 0 0,0 0 0,0 0 0,0 0 0,1 0 0,-1-1 0,0 1 0,0-1 0,1 1 0,-1-1 0,3 0 0,7 1 0,0-1 0,0 0 0,0-1 0,22-5 0,-20 3 0,-1-1 0,0-1 0,0-1 0,0 1 0,-1-2 0,0 0 0,0 0 0,-1-1 0,20-18 0,7-11 0,43-51 0,-53 55 0,-1-1 0,41-67 0,-25 35 0,-43 66 0,0 0 0,0-1 0,0 1 0,0 0 0,0 0 0,0-1 0,1 1 0,-1 0 0,0 0 0,0 0 0,0-1 0,1 1 0,-1 0 0,0 0 0,0 0 0,0 0 0,1 0 0,-1 0 0,0-1 0,0 1 0,1 0 0,-1 0 0,0 0 0,1 0 0,-1 0 0,0 0 0,0 0 0,1 0 0,-1 0 0,0 0 0,0 0 0,1 0 0,-1 0 0,0 0 0,0 0 0,1 1 0,7 8 0,1 19 0,8 61 0,11 182 0,-20-163 0,5 448 0,-13-460 0,-1-80 0,0 0 0,-2 0 0,1 0 0,-2 0 0,-9 25 0,-37 73 0,40-99 0,0 0 0,-1 0 0,0-1 0,-1 0 0,-1-1 0,0 0 0,-1-1 0,0-1 0,-1 0 0,0-1 0,-1-1 0,-30 14 0,42-21 0,0 0 0,1-1 0,-1 1 0,0-1 0,0 0 0,1 0 0,-1-1 0,0 1 0,0-1 0,0 0 0,0 0 0,0 0 0,0 0 0,0-1 0,0 1 0,0-1 0,0 0 0,0 0 0,1-1 0,-5-1 0,1-2 0,-1 0 0,2 0 0,-1 0 0,1-1 0,0 0 0,0 0 0,0-1 0,-7-10 0,-2-7 0,0-1 0,1-1 0,2 1 0,0-2 0,2 0 0,-13-54 0,12 29 0,3-1 0,-4-100 0,12 124 0,2 0 0,1 0 0,1 1 0,1-1 0,1 1 0,18-45 0,-8 34 0,1 1 0,3 0 0,46-67 0,-1 22 0,4 3 0,140-125 0,-173 174 0,1 2 0,2 1 0,1 2 0,64-32 0,-33 33 0,-28 11 0,-16 5 0,1 2 0,50-6 0,-77 13 0,0-1 0,0 1 0,0 0 0,0 0 0,0 0 0,0 0 0,0 1 0,0-1 0,0 0 0,0 0 0,1 1 0,-1-1 0,0 1 0,0-1 0,-1 1 0,1-1 0,0 1 0,0-1 0,0 1 0,0 0 0,0-1 0,1 3 0,-1-1 0,1 0 0,-1 1 0,0-1 0,0 1 0,0-1 0,0 1 0,0-1 0,0 1 0,0 3 0,0 8 0,0 1 0,-2 26 0,1-27 0,-2 46 0,2 72 0,0-128 5,0 1 0,1-1 0,0 0-1,0 0 1,0 0 0,0 1 0,1-1 0,-1 0-1,1 0 1,0-1 0,0 1 0,1 0 0,-1-1-1,1 1 1,0-1 0,0 0 0,0 0-1,0 0 1,1 0 0,-1-1 0,1 1 0,-1-1-1,1 0 1,5 2 0,1 0-191,1-1 1,0 0-1,0 0 0,1-1 1,-1-1-1,0 0 1,23-1-1,-11-1-6640</inkml:trace>
  <inkml:trace contextRef="#ctx0" brushRef="#br0" timeOffset="15383.51">5118 718 24575,'0'0'-8191</inkml:trace>
  <inkml:trace contextRef="#ctx0" brushRef="#br0" timeOffset="16601.73">3572 379 24575,'0'0'-8191</inkml:trace>
  <inkml:trace contextRef="#ctx0" brushRef="#br0" timeOffset="19261.77">1393 866 24575,'0'0'-8191</inkml:trace>
  <inkml:trace contextRef="#ctx0" brushRef="#br0" timeOffset="20117.34">503 1099 24575,'0'0'-8191</inkml:trace>
  <inkml:trace contextRef="#ctx0" brushRef="#br0" timeOffset="21780.36">524 1945 24575,'0'2'0,"1"-1"0,-1 1 0,1-1 0,-1 1 0,1-1 0,-1 1 0,1-1 0,0 1 0,0-1 0,0 0 0,0 1 0,0-1 0,0 0 0,0 0 0,0 0 0,0 0 0,1 0 0,-1 0 0,0 0 0,1 0 0,-1 0 0,1-1 0,-1 1 0,1 0 0,-1-1 0,1 0 0,2 1 0,48 8 0,-46-8 0,191 2 0,-124-4 0,-54 0 0,0-1 0,-1-1 0,1-1 0,21-7 0,-18 4 0,1 1 0,26-2 0,-17 3 0,1-2 0,-1-2 0,0 0 0,34-16 0,54-17 0,-74 29-1365,-31 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a78fa9f10eadba29bc99d82709f846bb">
  <xsd:schema xmlns:xsd="http://www.w3.org/2001/XMLSchema" xmlns:xs="http://www.w3.org/2001/XMLSchema" xmlns:p="http://schemas.microsoft.com/office/2006/metadata/properties" xmlns:ns3="37a0acea-1511-41cc-bfdb-5619dd373231" targetNamespace="http://schemas.microsoft.com/office/2006/metadata/properties" ma:root="true" ma:fieldsID="0032e50309323c4536b5eef1df892f2a" ns3:_="">
    <xsd:import namespace="37a0acea-1511-41cc-bfdb-5619dd37323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EEC6DC-045F-47AD-AAF3-21BA1C23B198}">
  <ds:schemaRefs>
    <ds:schemaRef ds:uri="http://schemas.openxmlformats.org/officeDocument/2006/bibliography"/>
  </ds:schemaRefs>
</ds:datastoreItem>
</file>

<file path=customXml/itemProps2.xml><?xml version="1.0" encoding="utf-8"?>
<ds:datastoreItem xmlns:ds="http://schemas.openxmlformats.org/officeDocument/2006/customXml" ds:itemID="{FF39EA81-EF31-45E0-877D-482183D8FF05}">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68714664-6AC0-4693-8B20-033F67648C2A}">
  <ds:schemaRefs>
    <ds:schemaRef ds:uri="http://schemas.microsoft.com/sharepoint/v3/contenttype/forms"/>
  </ds:schemaRefs>
</ds:datastoreItem>
</file>

<file path=customXml/itemProps4.xml><?xml version="1.0" encoding="utf-8"?>
<ds:datastoreItem xmlns:ds="http://schemas.openxmlformats.org/officeDocument/2006/customXml" ds:itemID="{0A5AC836-AB83-4C1D-9CDF-74E2051E5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84</Pages>
  <Words>20053</Words>
  <Characters>124534</Characters>
  <Application>Microsoft Office Word</Application>
  <DocSecurity>0</DocSecurity>
  <Lines>2349</Lines>
  <Paragraphs>881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143706</CharactersWithSpaces>
  <SharedDoc>false</SharedDoc>
  <HLinks>
    <vt:vector size="426" baseType="variant">
      <vt:variant>
        <vt:i4>2359401</vt:i4>
      </vt:variant>
      <vt:variant>
        <vt:i4>393</vt:i4>
      </vt:variant>
      <vt:variant>
        <vt:i4>0</vt:i4>
      </vt:variant>
      <vt:variant>
        <vt:i4>5</vt:i4>
      </vt:variant>
      <vt:variant>
        <vt:lpwstr>https://www.who.int/health-topics/social-determinants-of-health</vt:lpwstr>
      </vt:variant>
      <vt:variant>
        <vt:lpwstr/>
      </vt:variant>
      <vt:variant>
        <vt:i4>6946878</vt:i4>
      </vt:variant>
      <vt:variant>
        <vt:i4>390</vt:i4>
      </vt:variant>
      <vt:variant>
        <vt:i4>0</vt:i4>
      </vt:variant>
      <vt:variant>
        <vt:i4>5</vt:i4>
      </vt:variant>
      <vt:variant>
        <vt:lpwstr>https://www.trustforlondon.org.uk/data/</vt:lpwstr>
      </vt:variant>
      <vt:variant>
        <vt:lpwstr/>
      </vt:variant>
      <vt:variant>
        <vt:i4>2555987</vt:i4>
      </vt:variant>
      <vt:variant>
        <vt:i4>387</vt:i4>
      </vt:variant>
      <vt:variant>
        <vt:i4>0</vt:i4>
      </vt:variant>
      <vt:variant>
        <vt:i4>5</vt:i4>
      </vt:variant>
      <vt:variant>
        <vt:lpwstr>https://www.towerhamlets.gov.uk/lgnl/community_and_living/borough_statistics/population.aspx</vt:lpwstr>
      </vt:variant>
      <vt:variant>
        <vt:lpwstr/>
      </vt:variant>
      <vt:variant>
        <vt:i4>1114168</vt:i4>
      </vt:variant>
      <vt:variant>
        <vt:i4>384</vt:i4>
      </vt:variant>
      <vt:variant>
        <vt:i4>0</vt:i4>
      </vt:variant>
      <vt:variant>
        <vt:i4>5</vt:i4>
      </vt:variant>
      <vt:variant>
        <vt:lpwstr>https://england.shelter.org.uk/professional_resources/homelessness_in_england</vt:lpwstr>
      </vt:variant>
      <vt:variant>
        <vt:lpwstr/>
      </vt:variant>
      <vt:variant>
        <vt:i4>2228280</vt:i4>
      </vt:variant>
      <vt:variant>
        <vt:i4>381</vt:i4>
      </vt:variant>
      <vt:variant>
        <vt:i4>0</vt:i4>
      </vt:variant>
      <vt:variant>
        <vt:i4>5</vt:i4>
      </vt:variant>
      <vt:variant>
        <vt:lpwstr>https://www.ons.gov.uk/</vt:lpwstr>
      </vt:variant>
      <vt:variant>
        <vt:lpwstr/>
      </vt:variant>
      <vt:variant>
        <vt:i4>1114122</vt:i4>
      </vt:variant>
      <vt:variant>
        <vt:i4>378</vt:i4>
      </vt:variant>
      <vt:variant>
        <vt:i4>0</vt:i4>
      </vt:variant>
      <vt:variant>
        <vt:i4>5</vt:i4>
      </vt:variant>
      <vt:variant>
        <vt:lpwstr>https://www.ons.gov.uk/census/2021census</vt:lpwstr>
      </vt:variant>
      <vt:variant>
        <vt:lpwstr/>
      </vt:variant>
      <vt:variant>
        <vt:i4>2752552</vt:i4>
      </vt:variant>
      <vt:variant>
        <vt:i4>375</vt:i4>
      </vt:variant>
      <vt:variant>
        <vt:i4>0</vt:i4>
      </vt:variant>
      <vt:variant>
        <vt:i4>5</vt:i4>
      </vt:variant>
      <vt:variant>
        <vt:lpwstr>https://www.england.nhs.uk/publication/access-to-healthcare-for-people-with-no-fixed-abode/</vt:lpwstr>
      </vt:variant>
      <vt:variant>
        <vt:lpwstr/>
      </vt:variant>
      <vt:variant>
        <vt:i4>3866675</vt:i4>
      </vt:variant>
      <vt:variant>
        <vt:i4>372</vt:i4>
      </vt:variant>
      <vt:variant>
        <vt:i4>0</vt:i4>
      </vt:variant>
      <vt:variant>
        <vt:i4>5</vt:i4>
      </vt:variant>
      <vt:variant>
        <vt:lpwstr>https://migrationobservatory.ox.ac.uk/resources/briefings/health-of-migrants-in-the-uk/</vt:lpwstr>
      </vt:variant>
      <vt:variant>
        <vt:lpwstr/>
      </vt:variant>
      <vt:variant>
        <vt:i4>3866675</vt:i4>
      </vt:variant>
      <vt:variant>
        <vt:i4>369</vt:i4>
      </vt:variant>
      <vt:variant>
        <vt:i4>0</vt:i4>
      </vt:variant>
      <vt:variant>
        <vt:i4>5</vt:i4>
      </vt:variant>
      <vt:variant>
        <vt:lpwstr>https://migrationobservatory.ox.ac.uk/resources/briefings/health-of-migrants-in-the-uk/</vt:lpwstr>
      </vt:variant>
      <vt:variant>
        <vt:lpwstr/>
      </vt:variant>
      <vt:variant>
        <vt:i4>786510</vt:i4>
      </vt:variant>
      <vt:variant>
        <vt:i4>366</vt:i4>
      </vt:variant>
      <vt:variant>
        <vt:i4>0</vt:i4>
      </vt:variant>
      <vt:variant>
        <vt:i4>5</vt:i4>
      </vt:variant>
      <vt:variant>
        <vt:lpwstr>https://www.diabetes.org.uk/professionals/position-statements-reports/statistics/diabetes-prevalence-2023</vt:lpwstr>
      </vt:variant>
      <vt:variant>
        <vt:lpwstr/>
      </vt:variant>
      <vt:variant>
        <vt:i4>6750306</vt:i4>
      </vt:variant>
      <vt:variant>
        <vt:i4>363</vt:i4>
      </vt:variant>
      <vt:variant>
        <vt:i4>0</vt:i4>
      </vt:variant>
      <vt:variant>
        <vt:i4>5</vt:i4>
      </vt:variant>
      <vt:variant>
        <vt:lpwstr>https://www.bps.org.uk/news-and-policy/bps-code-human-research-ethics-2nd-edition-2014</vt:lpwstr>
      </vt:variant>
      <vt:variant>
        <vt:lpwstr/>
      </vt:variant>
      <vt:variant>
        <vt:i4>1638455</vt:i4>
      </vt:variant>
      <vt:variant>
        <vt:i4>356</vt:i4>
      </vt:variant>
      <vt:variant>
        <vt:i4>0</vt:i4>
      </vt:variant>
      <vt:variant>
        <vt:i4>5</vt:i4>
      </vt:variant>
      <vt:variant>
        <vt:lpwstr/>
      </vt:variant>
      <vt:variant>
        <vt:lpwstr>_Toc220428707</vt:lpwstr>
      </vt:variant>
      <vt:variant>
        <vt:i4>1638455</vt:i4>
      </vt:variant>
      <vt:variant>
        <vt:i4>350</vt:i4>
      </vt:variant>
      <vt:variant>
        <vt:i4>0</vt:i4>
      </vt:variant>
      <vt:variant>
        <vt:i4>5</vt:i4>
      </vt:variant>
      <vt:variant>
        <vt:lpwstr/>
      </vt:variant>
      <vt:variant>
        <vt:lpwstr>_Toc220428706</vt:lpwstr>
      </vt:variant>
      <vt:variant>
        <vt:i4>1638455</vt:i4>
      </vt:variant>
      <vt:variant>
        <vt:i4>344</vt:i4>
      </vt:variant>
      <vt:variant>
        <vt:i4>0</vt:i4>
      </vt:variant>
      <vt:variant>
        <vt:i4>5</vt:i4>
      </vt:variant>
      <vt:variant>
        <vt:lpwstr/>
      </vt:variant>
      <vt:variant>
        <vt:lpwstr>_Toc220428705</vt:lpwstr>
      </vt:variant>
      <vt:variant>
        <vt:i4>1638455</vt:i4>
      </vt:variant>
      <vt:variant>
        <vt:i4>338</vt:i4>
      </vt:variant>
      <vt:variant>
        <vt:i4>0</vt:i4>
      </vt:variant>
      <vt:variant>
        <vt:i4>5</vt:i4>
      </vt:variant>
      <vt:variant>
        <vt:lpwstr/>
      </vt:variant>
      <vt:variant>
        <vt:lpwstr>_Toc220428704</vt:lpwstr>
      </vt:variant>
      <vt:variant>
        <vt:i4>1638455</vt:i4>
      </vt:variant>
      <vt:variant>
        <vt:i4>332</vt:i4>
      </vt:variant>
      <vt:variant>
        <vt:i4>0</vt:i4>
      </vt:variant>
      <vt:variant>
        <vt:i4>5</vt:i4>
      </vt:variant>
      <vt:variant>
        <vt:lpwstr/>
      </vt:variant>
      <vt:variant>
        <vt:lpwstr>_Toc220428703</vt:lpwstr>
      </vt:variant>
      <vt:variant>
        <vt:i4>1638455</vt:i4>
      </vt:variant>
      <vt:variant>
        <vt:i4>326</vt:i4>
      </vt:variant>
      <vt:variant>
        <vt:i4>0</vt:i4>
      </vt:variant>
      <vt:variant>
        <vt:i4>5</vt:i4>
      </vt:variant>
      <vt:variant>
        <vt:lpwstr/>
      </vt:variant>
      <vt:variant>
        <vt:lpwstr>_Toc220428702</vt:lpwstr>
      </vt:variant>
      <vt:variant>
        <vt:i4>1638455</vt:i4>
      </vt:variant>
      <vt:variant>
        <vt:i4>320</vt:i4>
      </vt:variant>
      <vt:variant>
        <vt:i4>0</vt:i4>
      </vt:variant>
      <vt:variant>
        <vt:i4>5</vt:i4>
      </vt:variant>
      <vt:variant>
        <vt:lpwstr/>
      </vt:variant>
      <vt:variant>
        <vt:lpwstr>_Toc220428701</vt:lpwstr>
      </vt:variant>
      <vt:variant>
        <vt:i4>1638455</vt:i4>
      </vt:variant>
      <vt:variant>
        <vt:i4>314</vt:i4>
      </vt:variant>
      <vt:variant>
        <vt:i4>0</vt:i4>
      </vt:variant>
      <vt:variant>
        <vt:i4>5</vt:i4>
      </vt:variant>
      <vt:variant>
        <vt:lpwstr/>
      </vt:variant>
      <vt:variant>
        <vt:lpwstr>_Toc220428700</vt:lpwstr>
      </vt:variant>
      <vt:variant>
        <vt:i4>1048630</vt:i4>
      </vt:variant>
      <vt:variant>
        <vt:i4>308</vt:i4>
      </vt:variant>
      <vt:variant>
        <vt:i4>0</vt:i4>
      </vt:variant>
      <vt:variant>
        <vt:i4>5</vt:i4>
      </vt:variant>
      <vt:variant>
        <vt:lpwstr/>
      </vt:variant>
      <vt:variant>
        <vt:lpwstr>_Toc220428699</vt:lpwstr>
      </vt:variant>
      <vt:variant>
        <vt:i4>1048630</vt:i4>
      </vt:variant>
      <vt:variant>
        <vt:i4>302</vt:i4>
      </vt:variant>
      <vt:variant>
        <vt:i4>0</vt:i4>
      </vt:variant>
      <vt:variant>
        <vt:i4>5</vt:i4>
      </vt:variant>
      <vt:variant>
        <vt:lpwstr/>
      </vt:variant>
      <vt:variant>
        <vt:lpwstr>_Toc220428698</vt:lpwstr>
      </vt:variant>
      <vt:variant>
        <vt:i4>1048630</vt:i4>
      </vt:variant>
      <vt:variant>
        <vt:i4>296</vt:i4>
      </vt:variant>
      <vt:variant>
        <vt:i4>0</vt:i4>
      </vt:variant>
      <vt:variant>
        <vt:i4>5</vt:i4>
      </vt:variant>
      <vt:variant>
        <vt:lpwstr/>
      </vt:variant>
      <vt:variant>
        <vt:lpwstr>_Toc220428697</vt:lpwstr>
      </vt:variant>
      <vt:variant>
        <vt:i4>1048630</vt:i4>
      </vt:variant>
      <vt:variant>
        <vt:i4>290</vt:i4>
      </vt:variant>
      <vt:variant>
        <vt:i4>0</vt:i4>
      </vt:variant>
      <vt:variant>
        <vt:i4>5</vt:i4>
      </vt:variant>
      <vt:variant>
        <vt:lpwstr/>
      </vt:variant>
      <vt:variant>
        <vt:lpwstr>_Toc220428696</vt:lpwstr>
      </vt:variant>
      <vt:variant>
        <vt:i4>1048630</vt:i4>
      </vt:variant>
      <vt:variant>
        <vt:i4>284</vt:i4>
      </vt:variant>
      <vt:variant>
        <vt:i4>0</vt:i4>
      </vt:variant>
      <vt:variant>
        <vt:i4>5</vt:i4>
      </vt:variant>
      <vt:variant>
        <vt:lpwstr/>
      </vt:variant>
      <vt:variant>
        <vt:lpwstr>_Toc220428695</vt:lpwstr>
      </vt:variant>
      <vt:variant>
        <vt:i4>1048630</vt:i4>
      </vt:variant>
      <vt:variant>
        <vt:i4>278</vt:i4>
      </vt:variant>
      <vt:variant>
        <vt:i4>0</vt:i4>
      </vt:variant>
      <vt:variant>
        <vt:i4>5</vt:i4>
      </vt:variant>
      <vt:variant>
        <vt:lpwstr/>
      </vt:variant>
      <vt:variant>
        <vt:lpwstr>_Toc220428694</vt:lpwstr>
      </vt:variant>
      <vt:variant>
        <vt:i4>1048630</vt:i4>
      </vt:variant>
      <vt:variant>
        <vt:i4>272</vt:i4>
      </vt:variant>
      <vt:variant>
        <vt:i4>0</vt:i4>
      </vt:variant>
      <vt:variant>
        <vt:i4>5</vt:i4>
      </vt:variant>
      <vt:variant>
        <vt:lpwstr/>
      </vt:variant>
      <vt:variant>
        <vt:lpwstr>_Toc220428693</vt:lpwstr>
      </vt:variant>
      <vt:variant>
        <vt:i4>1048630</vt:i4>
      </vt:variant>
      <vt:variant>
        <vt:i4>266</vt:i4>
      </vt:variant>
      <vt:variant>
        <vt:i4>0</vt:i4>
      </vt:variant>
      <vt:variant>
        <vt:i4>5</vt:i4>
      </vt:variant>
      <vt:variant>
        <vt:lpwstr/>
      </vt:variant>
      <vt:variant>
        <vt:lpwstr>_Toc220428692</vt:lpwstr>
      </vt:variant>
      <vt:variant>
        <vt:i4>1048630</vt:i4>
      </vt:variant>
      <vt:variant>
        <vt:i4>260</vt:i4>
      </vt:variant>
      <vt:variant>
        <vt:i4>0</vt:i4>
      </vt:variant>
      <vt:variant>
        <vt:i4>5</vt:i4>
      </vt:variant>
      <vt:variant>
        <vt:lpwstr/>
      </vt:variant>
      <vt:variant>
        <vt:lpwstr>_Toc220428691</vt:lpwstr>
      </vt:variant>
      <vt:variant>
        <vt:i4>1048630</vt:i4>
      </vt:variant>
      <vt:variant>
        <vt:i4>254</vt:i4>
      </vt:variant>
      <vt:variant>
        <vt:i4>0</vt:i4>
      </vt:variant>
      <vt:variant>
        <vt:i4>5</vt:i4>
      </vt:variant>
      <vt:variant>
        <vt:lpwstr/>
      </vt:variant>
      <vt:variant>
        <vt:lpwstr>_Toc220428690</vt:lpwstr>
      </vt:variant>
      <vt:variant>
        <vt:i4>1114166</vt:i4>
      </vt:variant>
      <vt:variant>
        <vt:i4>248</vt:i4>
      </vt:variant>
      <vt:variant>
        <vt:i4>0</vt:i4>
      </vt:variant>
      <vt:variant>
        <vt:i4>5</vt:i4>
      </vt:variant>
      <vt:variant>
        <vt:lpwstr/>
      </vt:variant>
      <vt:variant>
        <vt:lpwstr>_Toc220428689</vt:lpwstr>
      </vt:variant>
      <vt:variant>
        <vt:i4>1114166</vt:i4>
      </vt:variant>
      <vt:variant>
        <vt:i4>242</vt:i4>
      </vt:variant>
      <vt:variant>
        <vt:i4>0</vt:i4>
      </vt:variant>
      <vt:variant>
        <vt:i4>5</vt:i4>
      </vt:variant>
      <vt:variant>
        <vt:lpwstr/>
      </vt:variant>
      <vt:variant>
        <vt:lpwstr>_Toc220428688</vt:lpwstr>
      </vt:variant>
      <vt:variant>
        <vt:i4>1114166</vt:i4>
      </vt:variant>
      <vt:variant>
        <vt:i4>236</vt:i4>
      </vt:variant>
      <vt:variant>
        <vt:i4>0</vt:i4>
      </vt:variant>
      <vt:variant>
        <vt:i4>5</vt:i4>
      </vt:variant>
      <vt:variant>
        <vt:lpwstr/>
      </vt:variant>
      <vt:variant>
        <vt:lpwstr>_Toc220428687</vt:lpwstr>
      </vt:variant>
      <vt:variant>
        <vt:i4>1114166</vt:i4>
      </vt:variant>
      <vt:variant>
        <vt:i4>230</vt:i4>
      </vt:variant>
      <vt:variant>
        <vt:i4>0</vt:i4>
      </vt:variant>
      <vt:variant>
        <vt:i4>5</vt:i4>
      </vt:variant>
      <vt:variant>
        <vt:lpwstr/>
      </vt:variant>
      <vt:variant>
        <vt:lpwstr>_Toc220428686</vt:lpwstr>
      </vt:variant>
      <vt:variant>
        <vt:i4>1114166</vt:i4>
      </vt:variant>
      <vt:variant>
        <vt:i4>224</vt:i4>
      </vt:variant>
      <vt:variant>
        <vt:i4>0</vt:i4>
      </vt:variant>
      <vt:variant>
        <vt:i4>5</vt:i4>
      </vt:variant>
      <vt:variant>
        <vt:lpwstr/>
      </vt:variant>
      <vt:variant>
        <vt:lpwstr>_Toc220428685</vt:lpwstr>
      </vt:variant>
      <vt:variant>
        <vt:i4>1114166</vt:i4>
      </vt:variant>
      <vt:variant>
        <vt:i4>218</vt:i4>
      </vt:variant>
      <vt:variant>
        <vt:i4>0</vt:i4>
      </vt:variant>
      <vt:variant>
        <vt:i4>5</vt:i4>
      </vt:variant>
      <vt:variant>
        <vt:lpwstr/>
      </vt:variant>
      <vt:variant>
        <vt:lpwstr>_Toc220428684</vt:lpwstr>
      </vt:variant>
      <vt:variant>
        <vt:i4>1114166</vt:i4>
      </vt:variant>
      <vt:variant>
        <vt:i4>212</vt:i4>
      </vt:variant>
      <vt:variant>
        <vt:i4>0</vt:i4>
      </vt:variant>
      <vt:variant>
        <vt:i4>5</vt:i4>
      </vt:variant>
      <vt:variant>
        <vt:lpwstr/>
      </vt:variant>
      <vt:variant>
        <vt:lpwstr>_Toc220428683</vt:lpwstr>
      </vt:variant>
      <vt:variant>
        <vt:i4>1114166</vt:i4>
      </vt:variant>
      <vt:variant>
        <vt:i4>206</vt:i4>
      </vt:variant>
      <vt:variant>
        <vt:i4>0</vt:i4>
      </vt:variant>
      <vt:variant>
        <vt:i4>5</vt:i4>
      </vt:variant>
      <vt:variant>
        <vt:lpwstr/>
      </vt:variant>
      <vt:variant>
        <vt:lpwstr>_Toc220428682</vt:lpwstr>
      </vt:variant>
      <vt:variant>
        <vt:i4>1114166</vt:i4>
      </vt:variant>
      <vt:variant>
        <vt:i4>200</vt:i4>
      </vt:variant>
      <vt:variant>
        <vt:i4>0</vt:i4>
      </vt:variant>
      <vt:variant>
        <vt:i4>5</vt:i4>
      </vt:variant>
      <vt:variant>
        <vt:lpwstr/>
      </vt:variant>
      <vt:variant>
        <vt:lpwstr>_Toc220428681</vt:lpwstr>
      </vt:variant>
      <vt:variant>
        <vt:i4>1114166</vt:i4>
      </vt:variant>
      <vt:variant>
        <vt:i4>194</vt:i4>
      </vt:variant>
      <vt:variant>
        <vt:i4>0</vt:i4>
      </vt:variant>
      <vt:variant>
        <vt:i4>5</vt:i4>
      </vt:variant>
      <vt:variant>
        <vt:lpwstr/>
      </vt:variant>
      <vt:variant>
        <vt:lpwstr>_Toc220428680</vt:lpwstr>
      </vt:variant>
      <vt:variant>
        <vt:i4>1966134</vt:i4>
      </vt:variant>
      <vt:variant>
        <vt:i4>188</vt:i4>
      </vt:variant>
      <vt:variant>
        <vt:i4>0</vt:i4>
      </vt:variant>
      <vt:variant>
        <vt:i4>5</vt:i4>
      </vt:variant>
      <vt:variant>
        <vt:lpwstr/>
      </vt:variant>
      <vt:variant>
        <vt:lpwstr>_Toc220428679</vt:lpwstr>
      </vt:variant>
      <vt:variant>
        <vt:i4>1966134</vt:i4>
      </vt:variant>
      <vt:variant>
        <vt:i4>182</vt:i4>
      </vt:variant>
      <vt:variant>
        <vt:i4>0</vt:i4>
      </vt:variant>
      <vt:variant>
        <vt:i4>5</vt:i4>
      </vt:variant>
      <vt:variant>
        <vt:lpwstr/>
      </vt:variant>
      <vt:variant>
        <vt:lpwstr>_Toc220428678</vt:lpwstr>
      </vt:variant>
      <vt:variant>
        <vt:i4>1966134</vt:i4>
      </vt:variant>
      <vt:variant>
        <vt:i4>176</vt:i4>
      </vt:variant>
      <vt:variant>
        <vt:i4>0</vt:i4>
      </vt:variant>
      <vt:variant>
        <vt:i4>5</vt:i4>
      </vt:variant>
      <vt:variant>
        <vt:lpwstr/>
      </vt:variant>
      <vt:variant>
        <vt:lpwstr>_Toc220428677</vt:lpwstr>
      </vt:variant>
      <vt:variant>
        <vt:i4>1966134</vt:i4>
      </vt:variant>
      <vt:variant>
        <vt:i4>170</vt:i4>
      </vt:variant>
      <vt:variant>
        <vt:i4>0</vt:i4>
      </vt:variant>
      <vt:variant>
        <vt:i4>5</vt:i4>
      </vt:variant>
      <vt:variant>
        <vt:lpwstr/>
      </vt:variant>
      <vt:variant>
        <vt:lpwstr>_Toc220428676</vt:lpwstr>
      </vt:variant>
      <vt:variant>
        <vt:i4>1966134</vt:i4>
      </vt:variant>
      <vt:variant>
        <vt:i4>164</vt:i4>
      </vt:variant>
      <vt:variant>
        <vt:i4>0</vt:i4>
      </vt:variant>
      <vt:variant>
        <vt:i4>5</vt:i4>
      </vt:variant>
      <vt:variant>
        <vt:lpwstr/>
      </vt:variant>
      <vt:variant>
        <vt:lpwstr>_Toc220428675</vt:lpwstr>
      </vt:variant>
      <vt:variant>
        <vt:i4>1966134</vt:i4>
      </vt:variant>
      <vt:variant>
        <vt:i4>158</vt:i4>
      </vt:variant>
      <vt:variant>
        <vt:i4>0</vt:i4>
      </vt:variant>
      <vt:variant>
        <vt:i4>5</vt:i4>
      </vt:variant>
      <vt:variant>
        <vt:lpwstr/>
      </vt:variant>
      <vt:variant>
        <vt:lpwstr>_Toc220428674</vt:lpwstr>
      </vt:variant>
      <vt:variant>
        <vt:i4>1966134</vt:i4>
      </vt:variant>
      <vt:variant>
        <vt:i4>152</vt:i4>
      </vt:variant>
      <vt:variant>
        <vt:i4>0</vt:i4>
      </vt:variant>
      <vt:variant>
        <vt:i4>5</vt:i4>
      </vt:variant>
      <vt:variant>
        <vt:lpwstr/>
      </vt:variant>
      <vt:variant>
        <vt:lpwstr>_Toc220428673</vt:lpwstr>
      </vt:variant>
      <vt:variant>
        <vt:i4>2031670</vt:i4>
      </vt:variant>
      <vt:variant>
        <vt:i4>146</vt:i4>
      </vt:variant>
      <vt:variant>
        <vt:i4>0</vt:i4>
      </vt:variant>
      <vt:variant>
        <vt:i4>5</vt:i4>
      </vt:variant>
      <vt:variant>
        <vt:lpwstr/>
      </vt:variant>
      <vt:variant>
        <vt:lpwstr>_Toc220428669</vt:lpwstr>
      </vt:variant>
      <vt:variant>
        <vt:i4>2031670</vt:i4>
      </vt:variant>
      <vt:variant>
        <vt:i4>140</vt:i4>
      </vt:variant>
      <vt:variant>
        <vt:i4>0</vt:i4>
      </vt:variant>
      <vt:variant>
        <vt:i4>5</vt:i4>
      </vt:variant>
      <vt:variant>
        <vt:lpwstr/>
      </vt:variant>
      <vt:variant>
        <vt:lpwstr>_Toc220428668</vt:lpwstr>
      </vt:variant>
      <vt:variant>
        <vt:i4>2031670</vt:i4>
      </vt:variant>
      <vt:variant>
        <vt:i4>134</vt:i4>
      </vt:variant>
      <vt:variant>
        <vt:i4>0</vt:i4>
      </vt:variant>
      <vt:variant>
        <vt:i4>5</vt:i4>
      </vt:variant>
      <vt:variant>
        <vt:lpwstr/>
      </vt:variant>
      <vt:variant>
        <vt:lpwstr>_Toc220428666</vt:lpwstr>
      </vt:variant>
      <vt:variant>
        <vt:i4>2031670</vt:i4>
      </vt:variant>
      <vt:variant>
        <vt:i4>128</vt:i4>
      </vt:variant>
      <vt:variant>
        <vt:i4>0</vt:i4>
      </vt:variant>
      <vt:variant>
        <vt:i4>5</vt:i4>
      </vt:variant>
      <vt:variant>
        <vt:lpwstr/>
      </vt:variant>
      <vt:variant>
        <vt:lpwstr>_Toc220428664</vt:lpwstr>
      </vt:variant>
      <vt:variant>
        <vt:i4>2031670</vt:i4>
      </vt:variant>
      <vt:variant>
        <vt:i4>122</vt:i4>
      </vt:variant>
      <vt:variant>
        <vt:i4>0</vt:i4>
      </vt:variant>
      <vt:variant>
        <vt:i4>5</vt:i4>
      </vt:variant>
      <vt:variant>
        <vt:lpwstr/>
      </vt:variant>
      <vt:variant>
        <vt:lpwstr>_Toc220428662</vt:lpwstr>
      </vt:variant>
      <vt:variant>
        <vt:i4>2031670</vt:i4>
      </vt:variant>
      <vt:variant>
        <vt:i4>116</vt:i4>
      </vt:variant>
      <vt:variant>
        <vt:i4>0</vt:i4>
      </vt:variant>
      <vt:variant>
        <vt:i4>5</vt:i4>
      </vt:variant>
      <vt:variant>
        <vt:lpwstr/>
      </vt:variant>
      <vt:variant>
        <vt:lpwstr>_Toc220428660</vt:lpwstr>
      </vt:variant>
      <vt:variant>
        <vt:i4>1835062</vt:i4>
      </vt:variant>
      <vt:variant>
        <vt:i4>110</vt:i4>
      </vt:variant>
      <vt:variant>
        <vt:i4>0</vt:i4>
      </vt:variant>
      <vt:variant>
        <vt:i4>5</vt:i4>
      </vt:variant>
      <vt:variant>
        <vt:lpwstr/>
      </vt:variant>
      <vt:variant>
        <vt:lpwstr>_Toc220428659</vt:lpwstr>
      </vt:variant>
      <vt:variant>
        <vt:i4>1835062</vt:i4>
      </vt:variant>
      <vt:variant>
        <vt:i4>104</vt:i4>
      </vt:variant>
      <vt:variant>
        <vt:i4>0</vt:i4>
      </vt:variant>
      <vt:variant>
        <vt:i4>5</vt:i4>
      </vt:variant>
      <vt:variant>
        <vt:lpwstr/>
      </vt:variant>
      <vt:variant>
        <vt:lpwstr>_Toc220428658</vt:lpwstr>
      </vt:variant>
      <vt:variant>
        <vt:i4>1835062</vt:i4>
      </vt:variant>
      <vt:variant>
        <vt:i4>98</vt:i4>
      </vt:variant>
      <vt:variant>
        <vt:i4>0</vt:i4>
      </vt:variant>
      <vt:variant>
        <vt:i4>5</vt:i4>
      </vt:variant>
      <vt:variant>
        <vt:lpwstr/>
      </vt:variant>
      <vt:variant>
        <vt:lpwstr>_Toc220428657</vt:lpwstr>
      </vt:variant>
      <vt:variant>
        <vt:i4>1835062</vt:i4>
      </vt:variant>
      <vt:variant>
        <vt:i4>92</vt:i4>
      </vt:variant>
      <vt:variant>
        <vt:i4>0</vt:i4>
      </vt:variant>
      <vt:variant>
        <vt:i4>5</vt:i4>
      </vt:variant>
      <vt:variant>
        <vt:lpwstr/>
      </vt:variant>
      <vt:variant>
        <vt:lpwstr>_Toc220428654</vt:lpwstr>
      </vt:variant>
      <vt:variant>
        <vt:i4>1835062</vt:i4>
      </vt:variant>
      <vt:variant>
        <vt:i4>86</vt:i4>
      </vt:variant>
      <vt:variant>
        <vt:i4>0</vt:i4>
      </vt:variant>
      <vt:variant>
        <vt:i4>5</vt:i4>
      </vt:variant>
      <vt:variant>
        <vt:lpwstr/>
      </vt:variant>
      <vt:variant>
        <vt:lpwstr>_Toc220428653</vt:lpwstr>
      </vt:variant>
      <vt:variant>
        <vt:i4>1835062</vt:i4>
      </vt:variant>
      <vt:variant>
        <vt:i4>80</vt:i4>
      </vt:variant>
      <vt:variant>
        <vt:i4>0</vt:i4>
      </vt:variant>
      <vt:variant>
        <vt:i4>5</vt:i4>
      </vt:variant>
      <vt:variant>
        <vt:lpwstr/>
      </vt:variant>
      <vt:variant>
        <vt:lpwstr>_Toc220428652</vt:lpwstr>
      </vt:variant>
      <vt:variant>
        <vt:i4>1900598</vt:i4>
      </vt:variant>
      <vt:variant>
        <vt:i4>74</vt:i4>
      </vt:variant>
      <vt:variant>
        <vt:i4>0</vt:i4>
      </vt:variant>
      <vt:variant>
        <vt:i4>5</vt:i4>
      </vt:variant>
      <vt:variant>
        <vt:lpwstr/>
      </vt:variant>
      <vt:variant>
        <vt:lpwstr>_Toc220428648</vt:lpwstr>
      </vt:variant>
      <vt:variant>
        <vt:i4>1900598</vt:i4>
      </vt:variant>
      <vt:variant>
        <vt:i4>68</vt:i4>
      </vt:variant>
      <vt:variant>
        <vt:i4>0</vt:i4>
      </vt:variant>
      <vt:variant>
        <vt:i4>5</vt:i4>
      </vt:variant>
      <vt:variant>
        <vt:lpwstr/>
      </vt:variant>
      <vt:variant>
        <vt:lpwstr>_Toc220428647</vt:lpwstr>
      </vt:variant>
      <vt:variant>
        <vt:i4>1900598</vt:i4>
      </vt:variant>
      <vt:variant>
        <vt:i4>62</vt:i4>
      </vt:variant>
      <vt:variant>
        <vt:i4>0</vt:i4>
      </vt:variant>
      <vt:variant>
        <vt:i4>5</vt:i4>
      </vt:variant>
      <vt:variant>
        <vt:lpwstr/>
      </vt:variant>
      <vt:variant>
        <vt:lpwstr>_Toc220428646</vt:lpwstr>
      </vt:variant>
      <vt:variant>
        <vt:i4>1900598</vt:i4>
      </vt:variant>
      <vt:variant>
        <vt:i4>56</vt:i4>
      </vt:variant>
      <vt:variant>
        <vt:i4>0</vt:i4>
      </vt:variant>
      <vt:variant>
        <vt:i4>5</vt:i4>
      </vt:variant>
      <vt:variant>
        <vt:lpwstr/>
      </vt:variant>
      <vt:variant>
        <vt:lpwstr>_Toc220428645</vt:lpwstr>
      </vt:variant>
      <vt:variant>
        <vt:i4>1900598</vt:i4>
      </vt:variant>
      <vt:variant>
        <vt:i4>50</vt:i4>
      </vt:variant>
      <vt:variant>
        <vt:i4>0</vt:i4>
      </vt:variant>
      <vt:variant>
        <vt:i4>5</vt:i4>
      </vt:variant>
      <vt:variant>
        <vt:lpwstr/>
      </vt:variant>
      <vt:variant>
        <vt:lpwstr>_Toc220428644</vt:lpwstr>
      </vt:variant>
      <vt:variant>
        <vt:i4>1900598</vt:i4>
      </vt:variant>
      <vt:variant>
        <vt:i4>44</vt:i4>
      </vt:variant>
      <vt:variant>
        <vt:i4>0</vt:i4>
      </vt:variant>
      <vt:variant>
        <vt:i4>5</vt:i4>
      </vt:variant>
      <vt:variant>
        <vt:lpwstr/>
      </vt:variant>
      <vt:variant>
        <vt:lpwstr>_Toc220428643</vt:lpwstr>
      </vt:variant>
      <vt:variant>
        <vt:i4>1900598</vt:i4>
      </vt:variant>
      <vt:variant>
        <vt:i4>38</vt:i4>
      </vt:variant>
      <vt:variant>
        <vt:i4>0</vt:i4>
      </vt:variant>
      <vt:variant>
        <vt:i4>5</vt:i4>
      </vt:variant>
      <vt:variant>
        <vt:lpwstr/>
      </vt:variant>
      <vt:variant>
        <vt:lpwstr>_Toc220428642</vt:lpwstr>
      </vt:variant>
      <vt:variant>
        <vt:i4>1900598</vt:i4>
      </vt:variant>
      <vt:variant>
        <vt:i4>32</vt:i4>
      </vt:variant>
      <vt:variant>
        <vt:i4>0</vt:i4>
      </vt:variant>
      <vt:variant>
        <vt:i4>5</vt:i4>
      </vt:variant>
      <vt:variant>
        <vt:lpwstr/>
      </vt:variant>
      <vt:variant>
        <vt:lpwstr>_Toc220428641</vt:lpwstr>
      </vt:variant>
      <vt:variant>
        <vt:i4>1900598</vt:i4>
      </vt:variant>
      <vt:variant>
        <vt:i4>26</vt:i4>
      </vt:variant>
      <vt:variant>
        <vt:i4>0</vt:i4>
      </vt:variant>
      <vt:variant>
        <vt:i4>5</vt:i4>
      </vt:variant>
      <vt:variant>
        <vt:lpwstr/>
      </vt:variant>
      <vt:variant>
        <vt:lpwstr>_Toc220428640</vt:lpwstr>
      </vt:variant>
      <vt:variant>
        <vt:i4>1703990</vt:i4>
      </vt:variant>
      <vt:variant>
        <vt:i4>20</vt:i4>
      </vt:variant>
      <vt:variant>
        <vt:i4>0</vt:i4>
      </vt:variant>
      <vt:variant>
        <vt:i4>5</vt:i4>
      </vt:variant>
      <vt:variant>
        <vt:lpwstr/>
      </vt:variant>
      <vt:variant>
        <vt:lpwstr>_Toc220428639</vt:lpwstr>
      </vt:variant>
      <vt:variant>
        <vt:i4>1703990</vt:i4>
      </vt:variant>
      <vt:variant>
        <vt:i4>14</vt:i4>
      </vt:variant>
      <vt:variant>
        <vt:i4>0</vt:i4>
      </vt:variant>
      <vt:variant>
        <vt:i4>5</vt:i4>
      </vt:variant>
      <vt:variant>
        <vt:lpwstr/>
      </vt:variant>
      <vt:variant>
        <vt:lpwstr>_Toc220428638</vt:lpwstr>
      </vt:variant>
      <vt:variant>
        <vt:i4>1703990</vt:i4>
      </vt:variant>
      <vt:variant>
        <vt:i4>8</vt:i4>
      </vt:variant>
      <vt:variant>
        <vt:i4>0</vt:i4>
      </vt:variant>
      <vt:variant>
        <vt:i4>5</vt:i4>
      </vt:variant>
      <vt:variant>
        <vt:lpwstr/>
      </vt:variant>
      <vt:variant>
        <vt:lpwstr>_Toc220428637</vt:lpwstr>
      </vt:variant>
      <vt:variant>
        <vt:i4>1703990</vt:i4>
      </vt:variant>
      <vt:variant>
        <vt:i4>2</vt:i4>
      </vt:variant>
      <vt:variant>
        <vt:i4>0</vt:i4>
      </vt:variant>
      <vt:variant>
        <vt:i4>5</vt:i4>
      </vt:variant>
      <vt:variant>
        <vt:lpwstr/>
      </vt:variant>
      <vt:variant>
        <vt:lpwstr>_Toc220428636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Augustina Afi Acheampong (2424172)</cp:lastModifiedBy>
  <cp:revision>86</cp:revision>
  <cp:lastPrinted>2023-09-21T02:18:00Z</cp:lastPrinted>
  <dcterms:created xsi:type="dcterms:W3CDTF">2026-01-31T12:55:00Z</dcterms:created>
  <dcterms:modified xsi:type="dcterms:W3CDTF">2026-02-03T11:06:00Z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8918dcd0-0209-4b95-aaef-5da522ae4ac5</vt:lpwstr>
  </property>
  <property fmtid="{D5CDD505-2E9C-101B-9397-08002B2CF9AE}" pid="3" name="ContentTypeId">
    <vt:lpwstr>0x0101002D38C5239C7AD241AEBCE7A5605A517A</vt:lpwstr>
  </property>
</Properties>
</file>