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074F5E6" w:rsidR="7908378C" w:rsidRDefault="7908378C" w:rsidP="33572C6E">
            <w:pPr>
              <w:ind w:right="237"/>
              <w:rPr>
                <w:b/>
                <w:bCs/>
                <w:color w:val="auto"/>
                <w:sz w:val="32"/>
                <w:szCs w:val="32"/>
              </w:rPr>
            </w:pPr>
            <w:r w:rsidRPr="33572C6E">
              <w:rPr>
                <w:b/>
                <w:bCs/>
                <w:color w:val="auto"/>
                <w:sz w:val="32"/>
                <w:szCs w:val="32"/>
              </w:rPr>
              <w:t xml:space="preserve">Learner name: </w:t>
            </w:r>
            <w:r w:rsidR="00496751">
              <w:rPr>
                <w:b/>
                <w:bCs/>
                <w:color w:val="auto"/>
                <w:sz w:val="32"/>
                <w:szCs w:val="32"/>
              </w:rPr>
              <w:t xml:space="preserve">Stacey Davies </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4DCC44B7" w:rsidR="7908378C" w:rsidRDefault="00496751" w:rsidP="33572C6E">
            <w:pPr>
              <w:ind w:right="237"/>
              <w:rPr>
                <w:b/>
                <w:bCs/>
                <w:color w:val="auto"/>
                <w:sz w:val="32"/>
                <w:szCs w:val="32"/>
              </w:rPr>
            </w:pPr>
            <w:r>
              <w:rPr>
                <w:b/>
                <w:bCs/>
                <w:color w:val="auto"/>
                <w:sz w:val="32"/>
                <w:szCs w:val="32"/>
              </w:rPr>
              <w:t>2236373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717244">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717244">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717244">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717244">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717244">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717244">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717244">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717244">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864E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717244">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717244">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717244">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717244">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717244">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717244">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717244">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717244">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29F24F39"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b/>
          <w:bCs/>
          <w:color w:val="auto"/>
          <w:kern w:val="2"/>
          <w:sz w:val="22"/>
          <w:szCs w:val="22"/>
          <w:u w:val="single"/>
          <w:lang w:eastAsia="en-US"/>
          <w14:ligatures w14:val="standardContextual"/>
        </w:rPr>
      </w:pPr>
      <w:r w:rsidRPr="00352CE7">
        <w:rPr>
          <w:rFonts w:asciiTheme="minorHAnsi" w:eastAsiaTheme="minorHAnsi" w:hAnsiTheme="minorHAnsi" w:cstheme="minorBidi"/>
          <w:b/>
          <w:bCs/>
          <w:color w:val="auto"/>
          <w:kern w:val="2"/>
          <w:sz w:val="22"/>
          <w:szCs w:val="22"/>
          <w:u w:val="single"/>
          <w:lang w:eastAsia="en-US"/>
          <w14:ligatures w14:val="standardContextual"/>
        </w:rPr>
        <w:t xml:space="preserve">Vulnerability, risk, evidence-based policing </w:t>
      </w:r>
    </w:p>
    <w:p w14:paraId="4FD614C6" w14:textId="56D4BE5B"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The case I handled as the officer in charge was intricate and demanding. The suspect, a 22-year-old male, was apprehended by an organi</w:t>
      </w:r>
      <w:r w:rsidR="00717244">
        <w:rPr>
          <w:rFonts w:asciiTheme="minorHAnsi" w:eastAsiaTheme="minorHAnsi" w:hAnsiTheme="minorHAnsi" w:cstheme="minorBidi"/>
          <w:color w:val="auto"/>
          <w:kern w:val="2"/>
          <w:sz w:val="22"/>
          <w:szCs w:val="22"/>
          <w:lang w:eastAsia="en-US"/>
          <w14:ligatures w14:val="standardContextual"/>
        </w:rPr>
        <w:t>se</w:t>
      </w:r>
      <w:r w:rsidRPr="00352CE7">
        <w:rPr>
          <w:rFonts w:asciiTheme="minorHAnsi" w:eastAsiaTheme="minorHAnsi" w:hAnsiTheme="minorHAnsi" w:cstheme="minorBidi"/>
          <w:color w:val="auto"/>
          <w:kern w:val="2"/>
          <w:sz w:val="22"/>
          <w:szCs w:val="22"/>
          <w:lang w:eastAsia="en-US"/>
          <w14:ligatures w14:val="standardContextual"/>
        </w:rPr>
        <w:t xml:space="preserve">d child protection group dedicated to tracking down online predators and ensuring internet safety. </w:t>
      </w:r>
      <w:r w:rsidR="00717244">
        <w:rPr>
          <w:rFonts w:asciiTheme="minorHAnsi" w:eastAsiaTheme="minorHAnsi" w:hAnsiTheme="minorHAnsi" w:cstheme="minorBidi"/>
          <w:color w:val="auto"/>
          <w:kern w:val="2"/>
          <w:sz w:val="22"/>
          <w:szCs w:val="22"/>
          <w:lang w:eastAsia="en-US"/>
          <w14:ligatures w14:val="standardContextual"/>
        </w:rPr>
        <w:t>The group focused</w:t>
      </w:r>
      <w:r w:rsidRPr="00352CE7">
        <w:rPr>
          <w:rFonts w:asciiTheme="minorHAnsi" w:eastAsiaTheme="minorHAnsi" w:hAnsiTheme="minorHAnsi" w:cstheme="minorBidi"/>
          <w:color w:val="auto"/>
          <w:kern w:val="2"/>
          <w:sz w:val="22"/>
          <w:szCs w:val="22"/>
          <w:lang w:eastAsia="en-US"/>
          <w14:ligatures w14:val="standardContextual"/>
        </w:rPr>
        <w:t xml:space="preserve"> on monitoring online platforms, identifying potential threats, and reporting illegal behaviour. The suspect, with a history of involvement in the care system, criminal activities, and various complex needs including ADHD, mental health issues, self-harm, suicide attempts, and attachment disorder, possessed the mental capacity of a 12-year-old.</w:t>
      </w:r>
    </w:p>
    <w:p w14:paraId="62E7CC51"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The organised group had detained the suspect for engaging in sexual communication with a child, using decoy profiles on social media. The investigation revealed that, in addition to being a suspect, the young man was also a victim of exploitation. Recognising the complexity of the case, it became evident that a range of sensitive and collaborative approaches was urgently required to manage the suspect's vulnerability and risk throughout the investigation.</w:t>
      </w:r>
    </w:p>
    <w:p w14:paraId="719617D7"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To address this, safeguarding measures were implemented, including the provision of an appropriate adult and fit-for-interview assessments.</w:t>
      </w:r>
    </w:p>
    <w:p w14:paraId="261D79D6"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An appropriate adult safeguards the rights of vulnerable individuals, like minors or those with mental health conditions, during police procedures. Their role includes ensuring understanding of rights, aiding communication with the police, and providing emotional support, (National Appropriate Adult network, </w:t>
      </w:r>
      <w:proofErr w:type="spellStart"/>
      <w:r w:rsidRPr="00352CE7">
        <w:rPr>
          <w:rFonts w:asciiTheme="minorHAnsi" w:eastAsiaTheme="minorHAnsi" w:hAnsiTheme="minorHAnsi" w:cstheme="minorBidi"/>
          <w:color w:val="auto"/>
          <w:kern w:val="2"/>
          <w:sz w:val="22"/>
          <w:szCs w:val="22"/>
          <w:lang w:eastAsia="en-US"/>
          <w14:ligatures w14:val="standardContextual"/>
        </w:rPr>
        <w:t>n.d</w:t>
      </w:r>
      <w:proofErr w:type="spellEnd"/>
      <w:r w:rsidRPr="00352CE7">
        <w:rPr>
          <w:rFonts w:asciiTheme="minorHAnsi" w:eastAsiaTheme="minorHAnsi" w:hAnsiTheme="minorHAnsi" w:cstheme="minorBidi"/>
          <w:color w:val="auto"/>
          <w:kern w:val="2"/>
          <w:sz w:val="22"/>
          <w:szCs w:val="22"/>
          <w:lang w:eastAsia="en-US"/>
          <w14:ligatures w14:val="standardContextual"/>
        </w:rPr>
        <w:t>). Officers must ensure proper support for children and young people with mental health issues or learning disabilities/difficulties. PACE Code C Notes for Guidance 1D suggest having an appropriate adult with experience for mentally disordered or vulnerable individuals. However, the detainee's preferences should be respected, when possible, (College of Policing, 2013).</w:t>
      </w:r>
    </w:p>
    <w:p w14:paraId="53D7BB6A"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lastRenderedPageBreak/>
        <w:t>Fit-to-interview assessment involves evaluating an individual's mental and emotional state to determine their readiness for an interview, especially in a legal or law enforcement context, (Home Office 2023).</w:t>
      </w:r>
    </w:p>
    <w:p w14:paraId="163DC5F3" w14:textId="23957949"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Given the gravity of the situation and the suspect's detention being documented by an online group and shared on social media, heightened concerns arose for the male's safety. After a risk assessment conducted in custody, in collaboration with external services, it was collectively decided to consider remanding the male. The belief was that, considering his significant vulnerabilities and limited risk awareness, police custody was deemed the safest option for him. However, this proposal was declined, prompting swift action from both me and </w:t>
      </w:r>
      <w:r w:rsidR="00717244">
        <w:rPr>
          <w:rFonts w:asciiTheme="minorHAnsi" w:eastAsiaTheme="minorHAnsi" w:hAnsiTheme="minorHAnsi" w:cstheme="minorBidi"/>
          <w:color w:val="auto"/>
          <w:kern w:val="2"/>
          <w:sz w:val="22"/>
          <w:szCs w:val="22"/>
          <w:lang w:eastAsia="en-US"/>
          <w14:ligatures w14:val="standardContextual"/>
        </w:rPr>
        <w:t xml:space="preserve">support </w:t>
      </w:r>
      <w:r w:rsidRPr="00352CE7">
        <w:rPr>
          <w:rFonts w:asciiTheme="minorHAnsi" w:eastAsiaTheme="minorHAnsi" w:hAnsiTheme="minorHAnsi" w:cstheme="minorBidi"/>
          <w:color w:val="auto"/>
          <w:kern w:val="2"/>
          <w:sz w:val="22"/>
          <w:szCs w:val="22"/>
          <w:lang w:eastAsia="en-US"/>
          <w14:ligatures w14:val="standardContextual"/>
        </w:rPr>
        <w:t xml:space="preserve">services to promptly establish alternative plans to ensure the safety of the individual and others involved. Local authority was at the core of this plan. Local authorities are duty bound to offer accommodation for the transfer of children and young persons out of custody under section 21(2)(b) of the Children Act 1989, (College of Policing, 2013). Custody officers are essential in providing information to guide local authorities in decision-making. They should clearly state reasons for bail refusal and provide all relevant details, including risk of absconding, offending history, mental health, and family circumstances, to assist the local authority in determining the appropriate placement for the child or young person, (College of Policing, 2013). </w:t>
      </w:r>
    </w:p>
    <w:p w14:paraId="5ADFB918"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Preventing children and young people from entering the criminal justice system is vital for fostering crime-free lives. The youth justice system, as mandated by the Social Services and Well-being (Wales) Act 2014 and the Well-being of Future Generations (Wales) Act 2015, aims to deter children from criminal involvement and promote well-being. Adverse childhood experiences (ACEs) significantly impact mental well-being, leading to negative outcomes like criminal engagement (</w:t>
      </w:r>
      <w:proofErr w:type="spellStart"/>
      <w:r w:rsidRPr="00352CE7">
        <w:rPr>
          <w:rFonts w:asciiTheme="minorHAnsi" w:eastAsiaTheme="minorHAnsi" w:hAnsiTheme="minorHAnsi" w:cstheme="minorBidi"/>
          <w:color w:val="auto"/>
          <w:kern w:val="2"/>
          <w:sz w:val="22"/>
          <w:szCs w:val="22"/>
          <w:lang w:eastAsia="en-US"/>
          <w14:ligatures w14:val="standardContextual"/>
        </w:rPr>
        <w:t>Gov.Wales</w:t>
      </w:r>
      <w:proofErr w:type="spellEnd"/>
      <w:r w:rsidRPr="00352CE7">
        <w:rPr>
          <w:rFonts w:asciiTheme="minorHAnsi" w:eastAsiaTheme="minorHAnsi" w:hAnsiTheme="minorHAnsi" w:cstheme="minorBidi"/>
          <w:color w:val="auto"/>
          <w:kern w:val="2"/>
          <w:sz w:val="22"/>
          <w:szCs w:val="22"/>
          <w:lang w:eastAsia="en-US"/>
          <w14:ligatures w14:val="standardContextual"/>
        </w:rPr>
        <w:t>, 2019).</w:t>
      </w:r>
    </w:p>
    <w:p w14:paraId="53CCA1F0" w14:textId="08F0E630"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Individuals with four or more ACEs are 15 times more likely to commit violence and 20 times more likely to face imprisonment. Policy efforts focus on preventing ACEs, breaking intergenerational cycles, and fostering resilience for improved life prospects. The Youth Justice Blueprint aligns with the United Nations Convention on the Rights of the Child, emphasi</w:t>
      </w:r>
      <w:r w:rsidR="00717244">
        <w:rPr>
          <w:rFonts w:asciiTheme="minorHAnsi" w:eastAsiaTheme="minorHAnsi" w:hAnsiTheme="minorHAnsi" w:cstheme="minorBidi"/>
          <w:color w:val="auto"/>
          <w:kern w:val="2"/>
          <w:sz w:val="22"/>
          <w:szCs w:val="22"/>
          <w:lang w:eastAsia="en-US"/>
          <w14:ligatures w14:val="standardContextual"/>
        </w:rPr>
        <w:t>s</w:t>
      </w:r>
      <w:r w:rsidRPr="00352CE7">
        <w:rPr>
          <w:rFonts w:asciiTheme="minorHAnsi" w:eastAsiaTheme="minorHAnsi" w:hAnsiTheme="minorHAnsi" w:cstheme="minorBidi"/>
          <w:color w:val="auto"/>
          <w:kern w:val="2"/>
          <w:sz w:val="22"/>
          <w:szCs w:val="22"/>
          <w:lang w:eastAsia="en-US"/>
          <w14:ligatures w14:val="standardContextual"/>
        </w:rPr>
        <w:t>ing a rights-based and trauma-informed system for positive outcomes in Wales (</w:t>
      </w:r>
      <w:proofErr w:type="spellStart"/>
      <w:r w:rsidRPr="00352CE7">
        <w:rPr>
          <w:rFonts w:asciiTheme="minorHAnsi" w:eastAsiaTheme="minorHAnsi" w:hAnsiTheme="minorHAnsi" w:cstheme="minorBidi"/>
          <w:color w:val="auto"/>
          <w:kern w:val="2"/>
          <w:sz w:val="22"/>
          <w:szCs w:val="22"/>
          <w:lang w:eastAsia="en-US"/>
          <w14:ligatures w14:val="standardContextual"/>
        </w:rPr>
        <w:t>Gov.Wales</w:t>
      </w:r>
      <w:proofErr w:type="spellEnd"/>
      <w:r w:rsidRPr="00352CE7">
        <w:rPr>
          <w:rFonts w:asciiTheme="minorHAnsi" w:eastAsiaTheme="minorHAnsi" w:hAnsiTheme="minorHAnsi" w:cstheme="minorBidi"/>
          <w:color w:val="auto"/>
          <w:kern w:val="2"/>
          <w:sz w:val="22"/>
          <w:szCs w:val="22"/>
          <w:lang w:eastAsia="en-US"/>
          <w14:ligatures w14:val="standardContextual"/>
        </w:rPr>
        <w:t>, 2019).</w:t>
      </w:r>
    </w:p>
    <w:p w14:paraId="6C6D5451"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Early intervention in a young person's influential years significantly shapes their development, steering them away from criminal behaviour. Success hinges on accessible, high-quality, and sustained support, with tailored approaches crucial for effectiveness. Maslow's Hierarchy of basic needs underscores meeting fundamental requirements for children and young people to thrive (Cherry, 2022). Flexible interventions, adapted to individual needs and considering both personal and environmental factors, are vital. Positive interventions in a young person's early life can have a lasting impact, reducing the likelihood of future reoffending. Identifying at-risk youth and providing targeted interventions decreases the chances of involvement in criminal activities, addressing risk factors early to mitigate delinquent behaviour.</w:t>
      </w:r>
    </w:p>
    <w:p w14:paraId="3948A95A"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In this case, despite multiple attempts at early intervention, the male's offending worsened, and his vulnerability to exploitation grew. It is evident that not every intervention or support measure will work. However, it is essential to persistently explore alternative options and engage in accessible, high-quality support. If one approach proves ineffective, collaborative efforts should be directed toward a new strategy, considering both individual and environmental factors.</w:t>
      </w:r>
    </w:p>
    <w:p w14:paraId="3395BA56" w14:textId="7F73DDDD"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The National Police Chief Council has introduced a 2022 National Policing Prevention Strategy, aiming to minimi</w:t>
      </w:r>
      <w:r w:rsidR="00717244">
        <w:rPr>
          <w:rFonts w:asciiTheme="minorHAnsi" w:eastAsiaTheme="minorHAnsi" w:hAnsiTheme="minorHAnsi" w:cstheme="minorBidi"/>
          <w:color w:val="auto"/>
          <w:kern w:val="2"/>
          <w:sz w:val="22"/>
          <w:szCs w:val="22"/>
          <w:lang w:eastAsia="en-US"/>
          <w14:ligatures w14:val="standardContextual"/>
        </w:rPr>
        <w:t>s</w:t>
      </w:r>
      <w:r w:rsidRPr="00352CE7">
        <w:rPr>
          <w:rFonts w:asciiTheme="minorHAnsi" w:eastAsiaTheme="minorHAnsi" w:hAnsiTheme="minorHAnsi" w:cstheme="minorBidi"/>
          <w:color w:val="auto"/>
          <w:kern w:val="2"/>
          <w:sz w:val="22"/>
          <w:szCs w:val="22"/>
          <w:lang w:eastAsia="en-US"/>
          <w14:ligatures w14:val="standardContextual"/>
        </w:rPr>
        <w:t>e victims, offen</w:t>
      </w:r>
      <w:r w:rsidR="00717244">
        <w:rPr>
          <w:rFonts w:asciiTheme="minorHAnsi" w:eastAsiaTheme="minorHAnsi" w:hAnsiTheme="minorHAnsi" w:cstheme="minorBidi"/>
          <w:color w:val="auto"/>
          <w:kern w:val="2"/>
          <w:sz w:val="22"/>
          <w:szCs w:val="22"/>
          <w:lang w:eastAsia="en-US"/>
          <w14:ligatures w14:val="standardContextual"/>
        </w:rPr>
        <w:t>c</w:t>
      </w:r>
      <w:r w:rsidRPr="00352CE7">
        <w:rPr>
          <w:rFonts w:asciiTheme="minorHAnsi" w:eastAsiaTheme="minorHAnsi" w:hAnsiTheme="minorHAnsi" w:cstheme="minorBidi"/>
          <w:color w:val="auto"/>
          <w:kern w:val="2"/>
          <w:sz w:val="22"/>
          <w:szCs w:val="22"/>
          <w:lang w:eastAsia="en-US"/>
          <w14:ligatures w14:val="standardContextual"/>
        </w:rPr>
        <w:t>es, and demands on policing. The strategy employs partnership-oriented problem-solving to address root causes, emphasi</w:t>
      </w:r>
      <w:r w:rsidR="00717244">
        <w:rPr>
          <w:rFonts w:asciiTheme="minorHAnsi" w:eastAsiaTheme="minorHAnsi" w:hAnsiTheme="minorHAnsi" w:cstheme="minorBidi"/>
          <w:color w:val="auto"/>
          <w:kern w:val="2"/>
          <w:sz w:val="22"/>
          <w:szCs w:val="22"/>
          <w:lang w:eastAsia="en-US"/>
          <w14:ligatures w14:val="standardContextual"/>
        </w:rPr>
        <w:t>s</w:t>
      </w:r>
      <w:r w:rsidRPr="00352CE7">
        <w:rPr>
          <w:rFonts w:asciiTheme="minorHAnsi" w:eastAsiaTheme="minorHAnsi" w:hAnsiTheme="minorHAnsi" w:cstheme="minorBidi"/>
          <w:color w:val="auto"/>
          <w:kern w:val="2"/>
          <w:sz w:val="22"/>
          <w:szCs w:val="22"/>
          <w:lang w:eastAsia="en-US"/>
          <w14:ligatures w14:val="standardContextual"/>
        </w:rPr>
        <w:t xml:space="preserve">ing the reduction of offending by targeting </w:t>
      </w:r>
      <w:r w:rsidRPr="00352CE7">
        <w:rPr>
          <w:rFonts w:asciiTheme="minorHAnsi" w:eastAsiaTheme="minorHAnsi" w:hAnsiTheme="minorHAnsi" w:cstheme="minorBidi"/>
          <w:color w:val="auto"/>
          <w:kern w:val="2"/>
          <w:sz w:val="22"/>
          <w:szCs w:val="22"/>
          <w:lang w:eastAsia="en-US"/>
          <w14:ligatures w14:val="standardContextual"/>
        </w:rPr>
        <w:lastRenderedPageBreak/>
        <w:t>vulnerabilities and motivations. A key element is tertiary prevention, focusing on minimizing recurring problems through community policing and problem-solving (National Policing Prevention Strategy, 2022). This underscores the significance of early intervention and prevention, particularly in addressing vulnerable young people at risk of offending or reoffending.</w:t>
      </w:r>
    </w:p>
    <w:p w14:paraId="121A4A84"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The UK's Modern Crime Prevention Strategy, (Home office 2016), focuses on key areas such as local engagement, early intervention and prevention by targeting root causes of criminal behaviour and collaborative approach and repeat offender focus. </w:t>
      </w:r>
    </w:p>
    <w:p w14:paraId="15A95231"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The strategy highlights the importance of different approaches, by both police and professionals, in supporting and managing vulnerable people or people at risk of harm during investigative processes. It also again highlights how pertinent vulnerability and risk is with individuals involved in or at risk of criminal activity. </w:t>
      </w:r>
    </w:p>
    <w:p w14:paraId="1BC2EA09"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Evidence-Based Policing (EBP) entails using the most credible evidence to shape and question policing policies, practices, and decisions. According to the College of Policing, (2023), this approach can be applied across all levels of policing and can be enhanced through collaboration with academics and other partners.</w:t>
      </w:r>
    </w:p>
    <w:p w14:paraId="1F9912A5"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Research that supports EBP should employ suitable methods and sources tailored to the specific question being addressed. It serves various purposes, including gaining a deeper understanding of an issue, evaluating the impact of policing interventions, and exploring potential consequences of changes in policing.</w:t>
      </w:r>
    </w:p>
    <w:p w14:paraId="4E6D0055"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Conducted research must adhere to high standards, undergoing scrutiny, peer review, and transparency regarding methods, limitations, and the rationale behind its conclusions. The theoretical basis and context of the research should be explicitly stated.</w:t>
      </w:r>
    </w:p>
    <w:p w14:paraId="46B2A627"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In cases where formal research is lacking, other evidence can be considered the best available if it is collected and documented meticulously. This may involve professional consensus and peer review.</w:t>
      </w:r>
    </w:p>
    <w:p w14:paraId="4E9D07E0"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It's essential to note that EBP does not provide definitive answers. Officers, staff, and volunteers are encouraged to critically reflect on their practices, assess how the best available evidence relates to their daily work, and learn from both successes and failures. This approach fosters a culture of questioning established practices and encourages innovation in the public interest.</w:t>
      </w:r>
    </w:p>
    <w:p w14:paraId="7943F0D1"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The SARA Model is used in policing to tackle vulnerable offenders or reoffenders. The model stands for Scanning, Analysis, Response, and Assessment, and serves as a structured problem-solving framework used in community-oriented policing. It offers a systematic method for identifying and resolving recurring issues within a community. </w:t>
      </w:r>
    </w:p>
    <w:p w14:paraId="3E7A76F7"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The SARA Model underscores a proactive and collaborative approach to community problem-solving, fostering a partnership between police and communities to address issues and enhance overall community well-being. Partnerships are crucial in the problem-solving process as the police face resource constraints, lack ownership of all solutions, and may not possess all the necessary information to accurately diagnose the problem. In terms of repeat victimisation and repeat offending, this approach is key. With reference to my investigation, my suspect, yet also a victim of exploitation, benefited from this approach. Due to his complex needs, as a police officer I was unable to give him all of the support he desperately needed so that he would both not reoffend and be a victim of exploitation. Working in partnership with other agencies, such as social services, local authority, health services, his family and youth offending service, we were able to come up with an </w:t>
      </w:r>
      <w:r w:rsidRPr="00352CE7">
        <w:rPr>
          <w:rFonts w:asciiTheme="minorHAnsi" w:eastAsiaTheme="minorHAnsi" w:hAnsiTheme="minorHAnsi" w:cstheme="minorBidi"/>
          <w:color w:val="auto"/>
          <w:kern w:val="2"/>
          <w:sz w:val="22"/>
          <w:szCs w:val="22"/>
          <w:lang w:eastAsia="en-US"/>
          <w14:ligatures w14:val="standardContextual"/>
        </w:rPr>
        <w:lastRenderedPageBreak/>
        <w:t>effective plan that would both protect him from further exploitation and protect others. In using the SARA model, I was able to:</w:t>
      </w:r>
    </w:p>
    <w:p w14:paraId="7B32B114"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SCAN</w:t>
      </w:r>
      <w:r w:rsidRPr="00352CE7">
        <w:rPr>
          <w:rFonts w:asciiTheme="minorHAnsi" w:eastAsiaTheme="minorHAnsi" w:hAnsiTheme="minorHAnsi" w:cstheme="minorBidi"/>
          <w:color w:val="auto"/>
          <w:kern w:val="2"/>
          <w:sz w:val="22"/>
          <w:szCs w:val="22"/>
          <w:lang w:eastAsia="en-US"/>
          <w14:ligatures w14:val="standardContextual"/>
        </w:rPr>
        <w:t>: Identify a pattern in his criminal behaviour and gather information, both internally and externally, to gain a deeper insight into his life and individual needs.</w:t>
      </w:r>
    </w:p>
    <w:p w14:paraId="62C033D1"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ANALYSE</w:t>
      </w:r>
      <w:r w:rsidRPr="00352CE7">
        <w:rPr>
          <w:rFonts w:asciiTheme="minorHAnsi" w:eastAsiaTheme="minorHAnsi" w:hAnsiTheme="minorHAnsi" w:cstheme="minorBidi"/>
          <w:color w:val="auto"/>
          <w:kern w:val="2"/>
          <w:sz w:val="22"/>
          <w:szCs w:val="22"/>
          <w:lang w:eastAsia="en-US"/>
          <w14:ligatures w14:val="standardContextual"/>
        </w:rPr>
        <w:t>: I examined the information and highlighted which organizations I needed to contact and collaborate with. I also pinpointed key factors contributing to the root cause of his reoffending and vulnerabilities.</w:t>
      </w:r>
    </w:p>
    <w:p w14:paraId="0290B3F8"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RESPOND:</w:t>
      </w:r>
      <w:r w:rsidRPr="00352CE7">
        <w:rPr>
          <w:rFonts w:asciiTheme="minorHAnsi" w:eastAsiaTheme="minorHAnsi" w:hAnsiTheme="minorHAnsi" w:cstheme="minorBidi"/>
          <w:color w:val="auto"/>
          <w:kern w:val="2"/>
          <w:sz w:val="22"/>
          <w:szCs w:val="22"/>
          <w:lang w:eastAsia="en-US"/>
          <w14:ligatures w14:val="standardContextual"/>
        </w:rPr>
        <w:t xml:space="preserve"> I engaged with external agencies, and together we devised plans to safeguard him and others he might encounter. We agreed on and implemented strategies, with each partner taking the lead on providing the most effective service and support.</w:t>
      </w:r>
    </w:p>
    <w:p w14:paraId="0454D8CF" w14:textId="3A464A30"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ASSESS:</w:t>
      </w:r>
      <w:r w:rsidRPr="00352CE7">
        <w:rPr>
          <w:rFonts w:asciiTheme="minorHAnsi" w:eastAsiaTheme="minorHAnsi" w:hAnsiTheme="minorHAnsi" w:cstheme="minorBidi"/>
          <w:color w:val="auto"/>
          <w:kern w:val="2"/>
          <w:sz w:val="22"/>
          <w:szCs w:val="22"/>
          <w:lang w:eastAsia="en-US"/>
          <w14:ligatures w14:val="standardContextual"/>
        </w:rPr>
        <w:t xml:space="preserve"> Although the investigation is still ongoing, and the court date is pending, we are managing his behaviour and movements. The strategies in place are continuously monitored and reassessed. For instance, one of his initial bail conditions required him to attend custody three times a week. Due to an increased risk of suicide, his bail conditions were adjusted, and he now attends five times a week. This ensures that the police and other services can provide face-to-face support and ensure his safety.</w:t>
      </w:r>
      <w:r w:rsidR="005C4D3B">
        <w:rPr>
          <w:rFonts w:asciiTheme="minorHAnsi" w:eastAsiaTheme="minorHAnsi" w:hAnsiTheme="minorHAnsi" w:cstheme="minorBidi"/>
          <w:color w:val="auto"/>
          <w:kern w:val="2"/>
          <w:sz w:val="22"/>
          <w:szCs w:val="22"/>
          <w:lang w:eastAsia="en-US"/>
          <w14:ligatures w14:val="standardContextual"/>
        </w:rPr>
        <w:t xml:space="preserve"> I work </w:t>
      </w:r>
      <w:r w:rsidR="000864E2">
        <w:rPr>
          <w:rFonts w:asciiTheme="minorHAnsi" w:eastAsiaTheme="minorHAnsi" w:hAnsiTheme="minorHAnsi" w:cstheme="minorBidi"/>
          <w:color w:val="auto"/>
          <w:kern w:val="2"/>
          <w:sz w:val="22"/>
          <w:szCs w:val="22"/>
          <w:lang w:eastAsia="en-US"/>
          <w14:ligatures w14:val="standardContextual"/>
        </w:rPr>
        <w:t>close</w:t>
      </w:r>
      <w:r w:rsidR="005C4D3B">
        <w:rPr>
          <w:rFonts w:asciiTheme="minorHAnsi" w:eastAsiaTheme="minorHAnsi" w:hAnsiTheme="minorHAnsi" w:cstheme="minorBidi"/>
          <w:color w:val="auto"/>
          <w:kern w:val="2"/>
          <w:sz w:val="22"/>
          <w:szCs w:val="22"/>
          <w:lang w:eastAsia="en-US"/>
          <w14:ligatures w14:val="standardContextual"/>
        </w:rPr>
        <w:t xml:space="preserve"> with his </w:t>
      </w:r>
      <w:r w:rsidR="000864E2">
        <w:rPr>
          <w:rFonts w:asciiTheme="minorHAnsi" w:eastAsiaTheme="minorHAnsi" w:hAnsiTheme="minorHAnsi" w:cstheme="minorBidi"/>
          <w:color w:val="auto"/>
          <w:kern w:val="2"/>
          <w:sz w:val="22"/>
          <w:szCs w:val="22"/>
          <w:lang w:eastAsia="en-US"/>
          <w14:ligatures w14:val="standardContextual"/>
        </w:rPr>
        <w:t>social</w:t>
      </w:r>
      <w:r w:rsidR="005C4D3B">
        <w:rPr>
          <w:rFonts w:asciiTheme="minorHAnsi" w:eastAsiaTheme="minorHAnsi" w:hAnsiTheme="minorHAnsi" w:cstheme="minorBidi"/>
          <w:color w:val="auto"/>
          <w:kern w:val="2"/>
          <w:sz w:val="22"/>
          <w:szCs w:val="22"/>
          <w:lang w:eastAsia="en-US"/>
          <w14:ligatures w14:val="standardContextual"/>
        </w:rPr>
        <w:t xml:space="preserve"> worker and </w:t>
      </w:r>
      <w:r w:rsidR="000864E2">
        <w:rPr>
          <w:rFonts w:asciiTheme="minorHAnsi" w:eastAsiaTheme="minorHAnsi" w:hAnsiTheme="minorHAnsi" w:cstheme="minorBidi"/>
          <w:color w:val="auto"/>
          <w:kern w:val="2"/>
          <w:sz w:val="22"/>
          <w:szCs w:val="22"/>
          <w:lang w:eastAsia="en-US"/>
          <w14:ligatures w14:val="standardContextual"/>
        </w:rPr>
        <w:t>support</w:t>
      </w:r>
      <w:r w:rsidR="005C4D3B">
        <w:rPr>
          <w:rFonts w:asciiTheme="minorHAnsi" w:eastAsiaTheme="minorHAnsi" w:hAnsiTheme="minorHAnsi" w:cstheme="minorBidi"/>
          <w:color w:val="auto"/>
          <w:kern w:val="2"/>
          <w:sz w:val="22"/>
          <w:szCs w:val="22"/>
          <w:lang w:eastAsia="en-US"/>
          <w14:ligatures w14:val="standardContextual"/>
        </w:rPr>
        <w:t xml:space="preserve"> worker and have placed a</w:t>
      </w:r>
      <w:r w:rsidR="000864E2">
        <w:rPr>
          <w:rFonts w:asciiTheme="minorHAnsi" w:eastAsiaTheme="minorHAnsi" w:hAnsiTheme="minorHAnsi" w:cstheme="minorBidi"/>
          <w:color w:val="auto"/>
          <w:kern w:val="2"/>
          <w:sz w:val="22"/>
          <w:szCs w:val="22"/>
          <w:lang w:eastAsia="en-US"/>
          <w14:ligatures w14:val="standardContextual"/>
        </w:rPr>
        <w:t xml:space="preserve"> critical</w:t>
      </w:r>
      <w:r w:rsidR="005C4D3B">
        <w:rPr>
          <w:rFonts w:asciiTheme="minorHAnsi" w:eastAsiaTheme="minorHAnsi" w:hAnsiTheme="minorHAnsi" w:cstheme="minorBidi"/>
          <w:color w:val="auto"/>
          <w:kern w:val="2"/>
          <w:sz w:val="22"/>
          <w:szCs w:val="22"/>
          <w:lang w:eastAsia="en-US"/>
          <w14:ligatures w14:val="standardContextual"/>
        </w:rPr>
        <w:t xml:space="preserve"> marker on his address </w:t>
      </w:r>
      <w:r w:rsidR="000864E2">
        <w:rPr>
          <w:rFonts w:asciiTheme="minorHAnsi" w:eastAsiaTheme="minorHAnsi" w:hAnsiTheme="minorHAnsi" w:cstheme="minorBidi"/>
          <w:color w:val="auto"/>
          <w:kern w:val="2"/>
          <w:sz w:val="22"/>
          <w:szCs w:val="22"/>
          <w:lang w:eastAsia="en-US"/>
          <w14:ligatures w14:val="standardContextual"/>
        </w:rPr>
        <w:t xml:space="preserve">so that if police are called to his address this will add urgency to the grading of the call. </w:t>
      </w:r>
    </w:p>
    <w:p w14:paraId="460E3B04" w14:textId="49DB79BC"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In this case, problem-solving required </w:t>
      </w:r>
      <w:r w:rsidR="00717244">
        <w:rPr>
          <w:rFonts w:asciiTheme="minorHAnsi" w:eastAsiaTheme="minorHAnsi" w:hAnsiTheme="minorHAnsi" w:cstheme="minorBidi"/>
          <w:color w:val="auto"/>
          <w:kern w:val="2"/>
          <w:sz w:val="22"/>
          <w:szCs w:val="22"/>
          <w:lang w:eastAsia="en-US"/>
          <w14:ligatures w14:val="standardContextual"/>
        </w:rPr>
        <w:t>myself</w:t>
      </w:r>
      <w:r w:rsidRPr="00352CE7">
        <w:rPr>
          <w:rFonts w:asciiTheme="minorHAnsi" w:eastAsiaTheme="minorHAnsi" w:hAnsiTheme="minorHAnsi" w:cstheme="minorBidi"/>
          <w:color w:val="auto"/>
          <w:kern w:val="2"/>
          <w:sz w:val="22"/>
          <w:szCs w:val="22"/>
          <w:lang w:eastAsia="en-US"/>
          <w14:ligatures w14:val="standardContextual"/>
        </w:rPr>
        <w:t xml:space="preserve"> to work in partnership with external partners to imbed sustainable and effective solutions to the problems, (Bullock, 2006)</w:t>
      </w:r>
      <w:r w:rsidR="00717244">
        <w:rPr>
          <w:rFonts w:asciiTheme="minorHAnsi" w:eastAsiaTheme="minorHAnsi" w:hAnsiTheme="minorHAnsi" w:cstheme="minorBidi"/>
          <w:color w:val="auto"/>
          <w:kern w:val="2"/>
          <w:sz w:val="22"/>
          <w:szCs w:val="22"/>
          <w:lang w:eastAsia="en-US"/>
          <w14:ligatures w14:val="standardContextual"/>
        </w:rPr>
        <w:t xml:space="preserve">. </w:t>
      </w:r>
    </w:p>
    <w:p w14:paraId="2AFAF3AB"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Evidence supports the police concentrating their efforts on individual victims and offenders who contribute significantly to police demand. Effective strategies for reducing repeat victimisation often involve well-tailored and appropriately implemented situational crime prevention measures.</w:t>
      </w:r>
    </w:p>
    <w:p w14:paraId="7862AEE6"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Targeting the small group of repeat or prolific offenders responsible for a disproportionately large number of crimes and considerable harm can be an effective crime reduction strategy for the police., (College of Policing, 2021). However, caution is needed, as actions against individual offenders may sometimes unintentionally increase reoffending. In this case, my offender was continuing to engage online. His bail conditions involved no access to electronic devices; however, this condition was broken several times. Due to the offender having the mental capacity of a 12-year-old, he did not see the risk or threat in his behaviours or actions. He did not understand the seriousness of the allegations and believed what he was doing was innocent. Due to concentrated monitoring from the police, his family and other services, this gave him the attention he desired, and he enjoyed ‘getting into trouble’. </w:t>
      </w:r>
    </w:p>
    <w:p w14:paraId="7CDCAE34"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Focused deterrence strategies, designed to alter the behaviour of prolific offenders through a combination of targeted enforcement and support from partner agencies and the community, have shown effectiveness in reducing overall crime (Braga, 2019b). by managing my offenders reoffending, it was not possible to be achieved alone. Family member, his support and social workers where key stakeholders in managing his behaviour. </w:t>
      </w:r>
    </w:p>
    <w:p w14:paraId="3913FC73"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Social services play a crucial role in supporting vulnerable young people who have committed crimes. Their multifaceted involvement aims to address underlying issues contributing to criminal behaviour while ensuring the well-being and rehabilitation of individuals. Social services played a significant role with addresses the needs and vulnerabilities of my suspect. Key aspects of their role include, conducting comprehensive assessments and developing tailored support plans in collaboration with other agencies, working with individuals and families to address underlying issues and provide </w:t>
      </w:r>
      <w:r w:rsidRPr="00352CE7">
        <w:rPr>
          <w:rFonts w:asciiTheme="minorHAnsi" w:eastAsiaTheme="minorHAnsi" w:hAnsiTheme="minorHAnsi" w:cstheme="minorBidi"/>
          <w:color w:val="auto"/>
          <w:kern w:val="2"/>
          <w:sz w:val="22"/>
          <w:szCs w:val="22"/>
          <w:lang w:eastAsia="en-US"/>
          <w14:ligatures w14:val="standardContextual"/>
        </w:rPr>
        <w:lastRenderedPageBreak/>
        <w:t xml:space="preserve">support for a stable environment and coordinating young offenders' participation in rehabilitation programs and offering ongoing support. They also offer crisis intervention, collaborating with mental health professionals to address immediate concerns and engage in prevention strategies, (GOV.UK, 2017). Their involvement with my offender was vital in addressing vulnerability, risk and reoffending. </w:t>
      </w:r>
    </w:p>
    <w:p w14:paraId="4EC88F7C"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In summary, social services provide a holistic framework, aiming to foster positive development, reduce reoffending, and integrate vulnerable young people successfully into society. This one service alone, highlights that working in partnership is crucial in effective outcomes with offenders. </w:t>
      </w:r>
    </w:p>
    <w:p w14:paraId="7F355B5D"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In conclusion, investigations become intricate when involving individuals with serious and complex needs, be they suspects or victims. The approach must be sensitive, adaptable, and collaborative, adhering to legislation designed to protect vulnerable individuals. Managing vulnerability during investigations requires diverse strategies to cater to complex and varied needs, considering both individual and environmental factors. Recognising that a singular process may not suit everyone is crucial. In complex investigations, a collaborative approach is essential to address and support individuals exposed to vulnerability and harm. The police alone cannot provide effective support, necessitating the involvement of entities like local authorities, which possess the resources and expertise for effective safeguarding. Dealing collaboratively with repeat victimisation and offending, employing evidence-based policing methods like the SARA model, plays a vital role in reducing the risk of potential recurrence.</w:t>
      </w:r>
    </w:p>
    <w:p w14:paraId="3CFEFE63"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D7202B2" w14:textId="4FAB3F4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b/>
          <w:bCs/>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highlight w:val="yellow"/>
          <w:lang w:eastAsia="en-US"/>
          <w14:ligatures w14:val="standardContextual"/>
        </w:rPr>
        <w:t>2</w:t>
      </w:r>
      <w:r w:rsidRPr="00352CE7">
        <w:rPr>
          <w:rFonts w:asciiTheme="minorHAnsi" w:eastAsiaTheme="minorHAnsi" w:hAnsiTheme="minorHAnsi" w:cstheme="minorBidi"/>
          <w:b/>
          <w:bCs/>
          <w:color w:val="auto"/>
          <w:kern w:val="2"/>
          <w:sz w:val="22"/>
          <w:szCs w:val="22"/>
          <w:lang w:eastAsia="en-US"/>
          <w14:ligatures w14:val="standardContextual"/>
        </w:rPr>
        <w:t>1</w:t>
      </w:r>
      <w:r w:rsidR="000864E2">
        <w:rPr>
          <w:rFonts w:asciiTheme="minorHAnsi" w:eastAsiaTheme="minorHAnsi" w:hAnsiTheme="minorHAnsi" w:cstheme="minorBidi"/>
          <w:b/>
          <w:bCs/>
          <w:color w:val="auto"/>
          <w:kern w:val="2"/>
          <w:sz w:val="22"/>
          <w:szCs w:val="22"/>
          <w:lang w:eastAsia="en-US"/>
          <w14:ligatures w14:val="standardContextual"/>
        </w:rPr>
        <w:t>68</w:t>
      </w:r>
    </w:p>
    <w:p w14:paraId="1E96D16A" w14:textId="0F55A33E" w:rsidR="5B843AF0" w:rsidRPr="00E676F7" w:rsidRDefault="00352CE7" w:rsidP="00496751">
      <w:pPr>
        <w:overflowPunct/>
        <w:autoSpaceDE/>
        <w:autoSpaceDN/>
        <w:adjustRightInd/>
        <w:spacing w:after="160" w:line="259" w:lineRule="auto"/>
        <w:textAlignment w:val="auto"/>
        <w:rPr>
          <w:b/>
          <w:bCs/>
          <w:sz w:val="24"/>
          <w:szCs w:val="24"/>
        </w:rPr>
      </w:pPr>
      <w:r w:rsidRPr="00352CE7">
        <w:rPr>
          <w:rFonts w:asciiTheme="minorHAnsi" w:eastAsiaTheme="minorHAnsi" w:hAnsiTheme="minorHAnsi" w:cstheme="minorBidi"/>
          <w:color w:val="auto"/>
          <w:kern w:val="2"/>
          <w:sz w:val="22"/>
          <w:szCs w:val="22"/>
          <w:lang w:eastAsia="en-US"/>
          <w14:ligatures w14:val="standardContextual"/>
        </w:rPr>
        <w:t>‌</w:t>
      </w: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04D24ABE"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u w:val="single"/>
          <w:lang w:eastAsia="en-US"/>
          <w14:ligatures w14:val="standardContextual"/>
        </w:rPr>
        <w:t xml:space="preserve">Conducting investigations </w:t>
      </w:r>
    </w:p>
    <w:p w14:paraId="128A17A5" w14:textId="76033080"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‌The case I handled as the officer in charge was a complex and sensitive investigation. The suspect was a teacher at a school, and it had been alleged through a disclosure</w:t>
      </w:r>
      <w:r w:rsidR="000864E2">
        <w:rPr>
          <w:rFonts w:asciiTheme="minorHAnsi" w:eastAsiaTheme="minorHAnsi" w:hAnsiTheme="minorHAnsi" w:cstheme="minorBidi"/>
          <w:color w:val="auto"/>
          <w:kern w:val="2"/>
          <w:sz w:val="22"/>
          <w:szCs w:val="22"/>
          <w:lang w:eastAsia="en-US"/>
          <w14:ligatures w14:val="standardContextual"/>
        </w:rPr>
        <w:t xml:space="preserve"> t</w:t>
      </w:r>
      <w:r w:rsidRPr="00352CE7">
        <w:rPr>
          <w:rFonts w:asciiTheme="minorHAnsi" w:eastAsiaTheme="minorHAnsi" w:hAnsiTheme="minorHAnsi" w:cstheme="minorBidi"/>
          <w:color w:val="auto"/>
          <w:kern w:val="2"/>
          <w:sz w:val="22"/>
          <w:szCs w:val="22"/>
          <w:lang w:eastAsia="en-US"/>
          <w14:ligatures w14:val="standardContextual"/>
        </w:rPr>
        <w:t>hat she had been sending inappropriate sexual images, videos and messages to students over social media.</w:t>
      </w:r>
    </w:p>
    <w:p w14:paraId="56B9C665"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The intricacies of the case included issues of trust, involvement of children, vulnerabilities and unique needs of both the victim and suspect, with the added complexity of the suspect being a mother. There were also concerns about the gravity of the offence becoming public through social media and beyond, necessitating safeguarding measures for the suspect's family.</w:t>
      </w:r>
    </w:p>
    <w:p w14:paraId="2FFCE609"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The disclosure was brought to my attention through a report to police from the school. A multi-agency urgent strategy meeting was conducted immediately.</w:t>
      </w:r>
    </w:p>
    <w:p w14:paraId="1411BCD7"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A strategy meeting occurs when a social worker collaborates with other agencies due to concerns about potential significant harm to a child or a suspicion that a child is at risk of such harm, (Family Rights Group, 2023). </w:t>
      </w:r>
    </w:p>
    <w:p w14:paraId="07864838"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Participants in a strategy meeting may include professionals such as police officers, the child's teacher, health visitors, and a parent's mental health worker.</w:t>
      </w:r>
    </w:p>
    <w:p w14:paraId="458D4417"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The primary objective of the meeting is to determine whether to initiate child protection inquiries. If inquiries are deemed necessary, the meeting addresses key points:</w:t>
      </w:r>
    </w:p>
    <w:p w14:paraId="577A0597" w14:textId="77777777" w:rsidR="00352CE7" w:rsidRPr="00352CE7" w:rsidRDefault="00352CE7" w:rsidP="00717244">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lastRenderedPageBreak/>
        <w:t>Whether children's services will conduct the inquiries</w:t>
      </w:r>
    </w:p>
    <w:p w14:paraId="7F354685" w14:textId="77777777" w:rsidR="00352CE7" w:rsidRPr="00352CE7" w:rsidRDefault="00352CE7" w:rsidP="00717244">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Whether the inquiries should be a joint effort between children's services and the police</w:t>
      </w:r>
    </w:p>
    <w:p w14:paraId="39DF6643" w14:textId="77777777" w:rsidR="00352CE7" w:rsidRPr="00352CE7" w:rsidRDefault="00352CE7" w:rsidP="00717244">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If joint, who will take the lead – the police or children's services.</w:t>
      </w:r>
    </w:p>
    <w:p w14:paraId="4A62DB40"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Decisions are also made regarding any immediate steps required to ensure the child's safety.</w:t>
      </w:r>
    </w:p>
    <w:p w14:paraId="4D8207F5"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Typically, parents are not directly involved in strategy discussions. However, they should be informed shortly afterward about the plan for the child, unless such disclosure poses a risk to the child.</w:t>
      </w:r>
    </w:p>
    <w:p w14:paraId="10781674"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In this case, the police took lead of the investigation and safeguarding was the main priority. The headteacher at the victim’s school had already informed the suspect that she would not attend school that day and that an allegation has been against her. This was a relief as the child was safe and could remain in school whilst police travelled to speak to him. Other officers attended the suspects address to conduct arrest enquiries. </w:t>
      </w:r>
    </w:p>
    <w:p w14:paraId="6A020873"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‌Fast track actions in an investigation involve prioritising and expediting certain tasks to swiftly gather crucial information and move the case forward. These actions are designed to efficiently address key aspects of the investigation. Some common fast track actions are witness interviews, collaboration with partner agencies emergency protective measures. </w:t>
      </w:r>
    </w:p>
    <w:p w14:paraId="6B0B1956"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In this case, the following fast track actions were taken:</w:t>
      </w:r>
    </w:p>
    <w:p w14:paraId="23D7F839" w14:textId="77777777" w:rsidR="00352CE7" w:rsidRPr="00352CE7" w:rsidRDefault="00352CE7" w:rsidP="0071724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Initial Assessment</w:t>
      </w:r>
      <w:r w:rsidRPr="00352CE7">
        <w:rPr>
          <w:rFonts w:asciiTheme="minorHAnsi" w:eastAsiaTheme="minorHAnsi" w:hAnsiTheme="minorHAnsi" w:cstheme="minorBidi"/>
          <w:color w:val="auto"/>
          <w:kern w:val="2"/>
          <w:sz w:val="22"/>
          <w:szCs w:val="22"/>
          <w:lang w:eastAsia="en-US"/>
          <w14:ligatures w14:val="standardContextual"/>
        </w:rPr>
        <w:t>: Quickly evaluated the situation and gathered preliminary information regarding the student's disclosure.</w:t>
      </w:r>
    </w:p>
    <w:p w14:paraId="2F5A5F7A" w14:textId="77777777" w:rsidR="00352CE7" w:rsidRPr="00352CE7" w:rsidRDefault="00352CE7" w:rsidP="0071724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Preservation of Evidence</w:t>
      </w:r>
      <w:r w:rsidRPr="00352CE7">
        <w:rPr>
          <w:rFonts w:asciiTheme="minorHAnsi" w:eastAsiaTheme="minorHAnsi" w:hAnsiTheme="minorHAnsi" w:cstheme="minorBidi"/>
          <w:color w:val="auto"/>
          <w:kern w:val="2"/>
          <w:sz w:val="22"/>
          <w:szCs w:val="22"/>
          <w:lang w:eastAsia="en-US"/>
          <w14:ligatures w14:val="standardContextual"/>
        </w:rPr>
        <w:t>: Swiftly secured and preserved crucial evidence to prevent its deterioration or loss, particularly digital communications alleged to have occurred between the student and teacher.</w:t>
      </w:r>
    </w:p>
    <w:p w14:paraId="390D8AB6" w14:textId="77777777" w:rsidR="00352CE7" w:rsidRPr="00352CE7" w:rsidRDefault="00352CE7" w:rsidP="0071724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Witness Interviews</w:t>
      </w:r>
      <w:r w:rsidRPr="00352CE7">
        <w:rPr>
          <w:rFonts w:asciiTheme="minorHAnsi" w:eastAsiaTheme="minorHAnsi" w:hAnsiTheme="minorHAnsi" w:cstheme="minorBidi"/>
          <w:color w:val="auto"/>
          <w:kern w:val="2"/>
          <w:sz w:val="22"/>
          <w:szCs w:val="22"/>
          <w:lang w:eastAsia="en-US"/>
          <w14:ligatures w14:val="standardContextual"/>
        </w:rPr>
        <w:t>: Rapidly interviewed witnesses to capture their immediate and unaltered recollections. Given the victim's status as a child, an Achieving Best Evidence (ABE) approach was considered. Initial accounts were obtained from the child, and other witnesses and victims were promptly identified. Parental consent was obtained through swift liaison with the school.</w:t>
      </w:r>
    </w:p>
    <w:p w14:paraId="578F3538" w14:textId="77777777" w:rsidR="00352CE7" w:rsidRPr="00352CE7" w:rsidRDefault="00352CE7" w:rsidP="0071724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Technology and Digital Evidence</w:t>
      </w:r>
      <w:r w:rsidRPr="00352CE7">
        <w:rPr>
          <w:rFonts w:asciiTheme="minorHAnsi" w:eastAsiaTheme="minorHAnsi" w:hAnsiTheme="minorHAnsi" w:cstheme="minorBidi"/>
          <w:color w:val="auto"/>
          <w:kern w:val="2"/>
          <w:sz w:val="22"/>
          <w:szCs w:val="22"/>
          <w:lang w:eastAsia="en-US"/>
          <w14:ligatures w14:val="standardContextual"/>
        </w:rPr>
        <w:t>: Expedited the retrieval and analysis of digital evidence, including phone records, emails, and social media activity. Collaborated early on with a digital forensic investigator, providing details and rationale for fast-tracking the digital examination.</w:t>
      </w:r>
    </w:p>
    <w:p w14:paraId="2BF97BAA" w14:textId="77777777" w:rsidR="00352CE7" w:rsidRPr="00352CE7" w:rsidRDefault="00352CE7" w:rsidP="0071724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Identifying Suspects</w:t>
      </w:r>
      <w:r w:rsidRPr="00352CE7">
        <w:rPr>
          <w:rFonts w:asciiTheme="minorHAnsi" w:eastAsiaTheme="minorHAnsi" w:hAnsiTheme="minorHAnsi" w:cstheme="minorBidi"/>
          <w:color w:val="auto"/>
          <w:kern w:val="2"/>
          <w:sz w:val="22"/>
          <w:szCs w:val="22"/>
          <w:lang w:eastAsia="en-US"/>
          <w14:ligatures w14:val="standardContextual"/>
        </w:rPr>
        <w:t>: Quickly identified potential suspects based on initial information and witness accounts, primarily relying on the initial account of the male child who disclosed the information to teachers.</w:t>
      </w:r>
    </w:p>
    <w:p w14:paraId="1D09E5D4" w14:textId="77777777" w:rsidR="00352CE7" w:rsidRPr="00352CE7" w:rsidRDefault="00352CE7" w:rsidP="0071724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Collaboration with Partner Agencies</w:t>
      </w:r>
      <w:r w:rsidRPr="00352CE7">
        <w:rPr>
          <w:rFonts w:asciiTheme="minorHAnsi" w:eastAsiaTheme="minorHAnsi" w:hAnsiTheme="minorHAnsi" w:cstheme="minorBidi"/>
          <w:color w:val="auto"/>
          <w:kern w:val="2"/>
          <w:sz w:val="22"/>
          <w:szCs w:val="22"/>
          <w:lang w:eastAsia="en-US"/>
          <w14:ligatures w14:val="standardContextual"/>
        </w:rPr>
        <w:t>: Engaged and collaborated promptly with relevant agencies, such as digital experts and social services, leveraging their expertise.</w:t>
      </w:r>
    </w:p>
    <w:p w14:paraId="1FC2AAEB" w14:textId="77777777" w:rsidR="00352CE7" w:rsidRPr="00352CE7" w:rsidRDefault="00352CE7" w:rsidP="0071724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Legal Considerations</w:t>
      </w:r>
      <w:r w:rsidRPr="00352CE7">
        <w:rPr>
          <w:rFonts w:asciiTheme="minorHAnsi" w:eastAsiaTheme="minorHAnsi" w:hAnsiTheme="minorHAnsi" w:cstheme="minorBidi"/>
          <w:color w:val="auto"/>
          <w:kern w:val="2"/>
          <w:sz w:val="22"/>
          <w:szCs w:val="22"/>
          <w:lang w:eastAsia="en-US"/>
          <w14:ligatures w14:val="standardContextual"/>
        </w:rPr>
        <w:t xml:space="preserve">: Rapidly assessed the legal aspects of the case, ensuring adherence to proper procedures and protocols. </w:t>
      </w:r>
    </w:p>
    <w:p w14:paraId="0A23B5FE" w14:textId="77777777" w:rsidR="00352CE7" w:rsidRPr="00352CE7" w:rsidRDefault="00352CE7" w:rsidP="00717244">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b/>
          <w:bCs/>
          <w:color w:val="auto"/>
          <w:kern w:val="2"/>
          <w:sz w:val="22"/>
          <w:szCs w:val="22"/>
          <w:lang w:eastAsia="en-US"/>
          <w14:ligatures w14:val="standardContextual"/>
        </w:rPr>
        <w:t>Emergency Protective Measures:</w:t>
      </w:r>
      <w:r w:rsidRPr="00352CE7">
        <w:rPr>
          <w:rFonts w:asciiTheme="minorHAnsi" w:eastAsiaTheme="minorHAnsi" w:hAnsiTheme="minorHAnsi" w:cstheme="minorBidi"/>
          <w:color w:val="auto"/>
          <w:kern w:val="2"/>
          <w:sz w:val="22"/>
          <w:szCs w:val="22"/>
          <w:lang w:eastAsia="en-US"/>
          <w14:ligatures w14:val="standardContextual"/>
        </w:rPr>
        <w:t xml:space="preserve"> Implemented necessary emergency measures to protect individuals involved and prevent further harm. Collaborated with social services to establish a safety plan, especially considering the suspect's 3-year-old child. Measures were taken to halt the suspect's planned holiday with her family, and her agency was promptly informed and her contract suspended. She was instructed to have no unsupervised contact with children during the investigation.</w:t>
      </w:r>
    </w:p>
    <w:p w14:paraId="5B5B8450" w14:textId="77777777" w:rsid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70982BB" w14:textId="5920D36B"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lastRenderedPageBreak/>
        <w:t>These fast-track actions are crucial in the early stages of an investigation to establish a solid foundation, gather key information, and ensure a timely and effective response.</w:t>
      </w:r>
    </w:p>
    <w:p w14:paraId="62E8EEE9"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Achieving Best Evidence (ABE) in criminal investigations involves obtaining the most reliable evidence from witnesses, particularly vulnerable individuals like children or those with mental health issues. This approach aims to ensure credible and admissible evidence while minimising distress to the witness. Trained professionals use specialized interviewing techniques to elicit detailed and coherent accounts, considering the individual needs of the witness. ABE is crucial for maintaining investigative integrity and enhancing the likelihood of successful prosecution, (Ministry of Justice, 2022). </w:t>
      </w:r>
    </w:p>
    <w:p w14:paraId="1D225C94"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Although best evidence, the process of ABE is a lengthy one, even more so when the person is vulnerable and requires an intermediatory. As all the victims and witnesses had additional needs, they all required an intermediary. An intermediary plays a crucial role in interviews by facilitating communication for individuals with language or cognitive challenges. Their responsibilities include tailoring communication to meet specific needs, adapting language for better understanding, and ensuring the interviewee's full participation. Intermediaries also provide emotional support, maintain neutrality, and collaborate with professionals to uphold fairness and justice in the interview process, (Intermediaries for Justice, </w:t>
      </w:r>
      <w:proofErr w:type="spellStart"/>
      <w:r w:rsidRPr="00352CE7">
        <w:rPr>
          <w:rFonts w:asciiTheme="minorHAnsi" w:eastAsiaTheme="minorHAnsi" w:hAnsiTheme="minorHAnsi" w:cstheme="minorBidi"/>
          <w:color w:val="auto"/>
          <w:kern w:val="2"/>
          <w:sz w:val="22"/>
          <w:szCs w:val="22"/>
          <w:lang w:eastAsia="en-US"/>
          <w14:ligatures w14:val="standardContextual"/>
        </w:rPr>
        <w:t>n.d</w:t>
      </w:r>
      <w:proofErr w:type="spellEnd"/>
      <w:r w:rsidRPr="00352CE7">
        <w:rPr>
          <w:rFonts w:asciiTheme="minorHAnsi" w:eastAsiaTheme="minorHAnsi" w:hAnsiTheme="minorHAnsi" w:cstheme="minorBidi"/>
          <w:color w:val="auto"/>
          <w:kern w:val="2"/>
          <w:sz w:val="22"/>
          <w:szCs w:val="22"/>
          <w:lang w:eastAsia="en-US"/>
          <w14:ligatures w14:val="standardContextual"/>
        </w:rPr>
        <w:t xml:space="preserve">). Applications are made on behalf of the children and a match is made based on their individual needs, thus taking time. ABE interviews must also take place at designated places across Wales and cannot take place in any police station. This is why fast tracking taking an initial account was paramount in identifying the victims and witnesses. </w:t>
      </w:r>
    </w:p>
    <w:p w14:paraId="4A465DE0"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Each chid interviewed through ABE had received a needs assessment and was accompanied by an intermediary to support their individual needs. The setting was informal, where each child was interviewed individually but in a calm and relaxed environment. </w:t>
      </w:r>
    </w:p>
    <w:p w14:paraId="088C387D"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Rapport building has been identified as important in most child interviewing. Baker- Ward (1990) splits rapport into three components, mutual attentiveness by paying attention to and being involved in what the other person is saying, positivity through mutual friendliness, and co-ordination, both parties should be able to work together. Rapport is thought to lead to a more comfortable relationship between the interviewer and interviewee, (Collins, 2002). Prior to the ABE, I met with each chid individually, both at school and in their home environment, to talk about the court and investigative process, and gain a rapport and their trust. </w:t>
      </w:r>
    </w:p>
    <w:p w14:paraId="065FCC49"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Special measures were also explained and put in place to support each child and their individual needs. Special measures in court aim to provide support and accommodations for vulnerable individuals, including children, to give their best evidence. These measures minimise potential distress, making the court process more child friendly. They include screens or video links to avoid direct confrontation, intermediaries for communication assistance, clear and age-appropriate questioning, a support person for emotional assistance, pre-recorded evidence to reduce stress, and anonymity to protect the child's identity. These measures create a supportive environment, ensuring that children can participate in court proceedings more comfortably, (Crown Prosecution Service, 2021). To support their expectations and understanding of the processes, I organised a trip to a court room with their children and their families and showed them illustrated videos of the processes, to cater for differing learning styles.  The VARK learning style model identifies four primary learning styles:</w:t>
      </w:r>
    </w:p>
    <w:p w14:paraId="242CBAD4"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Visual (V): Prefers information presented visually, such as through images or diagrams.</w:t>
      </w:r>
    </w:p>
    <w:p w14:paraId="6308143B"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Auditory (A): Learns best through listening, discussions, and verbal communication.</w:t>
      </w:r>
    </w:p>
    <w:p w14:paraId="47FD04A2"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lastRenderedPageBreak/>
        <w:t>Read/Write (R): Prefers information presented in a written format, like text or lists.</w:t>
      </w:r>
    </w:p>
    <w:p w14:paraId="50A79597"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Kinaesthetic (K): Learns best through hands-on experiences, movement, and physical engagement.</w:t>
      </w:r>
    </w:p>
    <w:p w14:paraId="48229A6C"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Individuals may have a combination of these preferences, and the model helps tailor educational approaches to suit their learning styles, (Cherry, 2023). </w:t>
      </w:r>
    </w:p>
    <w:p w14:paraId="728AEF88"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In this case, it was imperative that each child understood the processes and felt comfortable to achieve best evidence and put support in place for their individual needs. </w:t>
      </w:r>
    </w:p>
    <w:p w14:paraId="57142D7D"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Social services and education played a crucial role in assisting the children involved in the case. Through ongoing strategy meetings, we identified the unique needs of each child and implemented safety plans. Assigned social workers are actively collaborating with the children and their families to assess and address their needs. Additionally, the children were directed to external services, including victim support and NSPCC, for extra assistance if needed. Interestingly, many of the children did not perceive themselves as crime victims, highlighting the importance of education in their recovery. The goal was to empower them with knowledge, fostering resilience and enabling them to recognise signs of grooming and exploitation. To achieve this, referrals were made to organisations with relevant expertise.</w:t>
      </w:r>
    </w:p>
    <w:p w14:paraId="3C2202A1"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Investigators need to display professional curiosity and carry out a comprehensive and efficient investigation to achieve the desired outcomes, (College of Policing, 2013). These include:</w:t>
      </w:r>
    </w:p>
    <w:p w14:paraId="7FCBBBBE" w14:textId="77777777" w:rsidR="00352CE7" w:rsidRPr="00352CE7" w:rsidRDefault="00352CE7" w:rsidP="00717244">
      <w:pPr>
        <w:numPr>
          <w:ilvl w:val="0"/>
          <w:numId w:val="7"/>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Minimising crime</w:t>
      </w:r>
    </w:p>
    <w:p w14:paraId="45EE5F62" w14:textId="77777777" w:rsidR="00352CE7" w:rsidRPr="00352CE7" w:rsidRDefault="00352CE7" w:rsidP="00717244">
      <w:pPr>
        <w:numPr>
          <w:ilvl w:val="0"/>
          <w:numId w:val="7"/>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Preventing harm, encompassing the protection of victims, witnesses, and suspects</w:t>
      </w:r>
    </w:p>
    <w:p w14:paraId="64CE1A13" w14:textId="77777777" w:rsidR="00352CE7" w:rsidRPr="00352CE7" w:rsidRDefault="00352CE7" w:rsidP="00717244">
      <w:pPr>
        <w:numPr>
          <w:ilvl w:val="0"/>
          <w:numId w:val="7"/>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Concentrating the investigation on the actions of the suspect rather than the behaviour of the victim, especially in situations involving the exploitation or abuse of vulnerable individuals</w:t>
      </w:r>
    </w:p>
    <w:p w14:paraId="51CB452F" w14:textId="77777777" w:rsidR="00352CE7" w:rsidRPr="00352CE7" w:rsidRDefault="00352CE7" w:rsidP="00717244">
      <w:pPr>
        <w:numPr>
          <w:ilvl w:val="0"/>
          <w:numId w:val="7"/>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Ensuring the prosecution of offenders</w:t>
      </w:r>
    </w:p>
    <w:p w14:paraId="7E2A06B2"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Managing personal values and attitudes can pose challenges in complex investigations where professionalism and transparency are crucial. In the context of my investigation, navigating these challenges was particularly challenging. The suspect, a person in a position of trust and a mother, was being investigated for serious crimes, including preying on vulnerable children. The gravity of the acts committed added a personal dimension to the challenges faced in maintaining objectivity and professionalism.</w:t>
      </w:r>
    </w:p>
    <w:p w14:paraId="2D4FC6B6"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The individual under investigation exhibited vulnerability, marked by a history of mental health issues, self-harm, miscarriage, and experiences of domestic violence. Despite being the subject of a serious investigation, she remained in denial about the allegations, presenting a challenge. The collected evidence contradicted her stance, and she offered no explanation or remorse for exploiting vulnerable children in a position of trust. While morally frustrating, it was evident that she required support. As an impartial and professional investigator, there was a duty to provide care, safeguard, and offer support.</w:t>
      </w:r>
    </w:p>
    <w:p w14:paraId="68870B42"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Interviewing the suspect was key in obtaining evidence, but also a real challenge to control personal emotions, attitudes and values. The interview process is significantly influenced by emotions, which are thoughts and behavioural reactions to those thoughts. Managing emotions during an interview, particularly as an interviewer, is crucial for obtaining truthful responses. Emotions, controlled by the limbic system, are often linked to memory and experience. Awareness of one's emotions is key to preventing negative impacts on the interview. Remaining objective, projecting neutrality, and avoiding judgment are essential. A neutral demeanour helps in mirroring, where the interviewer's </w:t>
      </w:r>
      <w:r w:rsidRPr="00352CE7">
        <w:rPr>
          <w:rFonts w:asciiTheme="minorHAnsi" w:eastAsiaTheme="minorHAnsi" w:hAnsiTheme="minorHAnsi" w:cstheme="minorBidi"/>
          <w:color w:val="auto"/>
          <w:kern w:val="2"/>
          <w:sz w:val="22"/>
          <w:szCs w:val="22"/>
          <w:lang w:eastAsia="en-US"/>
          <w14:ligatures w14:val="standardContextual"/>
        </w:rPr>
        <w:lastRenderedPageBreak/>
        <w:t xml:space="preserve">emotions influence the subject's reactions. Maintaining emotional balance, including posture, facial expressions, and tone, is vital for a productive interview. Controlling emotions is challenging but essential for conflict resolution and cooperation. Developing emotional management skills enhances communication and interviewing effectiveness, (Norris, 2022). </w:t>
      </w:r>
    </w:p>
    <w:p w14:paraId="1FC7C655"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As a resilient individual in both personal and professional aspects, I have effectively managed my personal emotions, attitudes, and values, enabling me to lead interviews with professionalism. My open-minded approach, focused on seeing the best in others, proves beneficial when dealing with suspects in serious investigations. In this case, the troubled suspect became the subject of my exploration during the investigation. I delved into her life, understanding her roles as a mother, wife, colleague, teacher, and friend, while also seeking to uncover the motivations behind her actions. Despite her reluctance to explain herself, I sought possible mitigations to understand her as a human being, acknowledging her valid feelings and needs with respect and dignity. </w:t>
      </w:r>
    </w:p>
    <w:p w14:paraId="4E107F2C"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Supporting her needs involved a collaborative effort with social services. Initially, it was decided that she should have no contact with children whilst on bail. However, considering the significant impact on her mental health and the serious concerns for her safety based on her history of self-harm, depression, and anxiety, I believed that a different approach was necessary. Learning about her struggles to conceive and experiencing multiple losses, especially considering her deep connection with her son, raised concerns. I strongly advocated for supervised contact with her child, emphasising the potential negative outcomes if such access were denied. This approach was eventually agreed upon.</w:t>
      </w:r>
    </w:p>
    <w:p w14:paraId="69EBA215"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In summary, maintaining professionalism, transparency, and dignity is crucial for investigators throughout the process. Despite challenges, detaching personal attitudes and values is essential for impartiality. Supporting and safeguarding victims, witnesses, and suspects, addressing their individual needs, is vital.</w:t>
      </w:r>
    </w:p>
    <w:p w14:paraId="0FB5FD70"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Fast-track responses are imperative, ensuring efficiency in investigations. Swift actions, including initial assessments, evidence preservation, witness interviews, digital evidence retrieval, suspect identification, collaboration with agencies, legal considerations, and emergency measures, contribute to success by protecting individuals and preventing harm. Adaptability and prompt responses are integral to the investigative process.</w:t>
      </w:r>
    </w:p>
    <w:p w14:paraId="53C86430"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9B86F9C" w14:textId="77777777" w:rsidR="00352CE7" w:rsidRPr="00352CE7" w:rsidRDefault="00352CE7" w:rsidP="00352CE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2122 words </w:t>
      </w: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40A36BC" w:rsidR="0FF883D4" w:rsidRDefault="5CE196A1" w:rsidP="5CE196A1">
      <w:r w:rsidRPr="5CE196A1">
        <w:rPr>
          <w:rFonts w:eastAsia="Arial"/>
          <w:b/>
          <w:bCs/>
          <w:color w:val="000000" w:themeColor="text1"/>
          <w:sz w:val="24"/>
          <w:szCs w:val="24"/>
        </w:rPr>
        <w:t xml:space="preserve">Signed: </w:t>
      </w:r>
      <w:proofErr w:type="spellStart"/>
      <w:r w:rsidR="00496751" w:rsidRPr="00496751">
        <w:rPr>
          <w:rFonts w:eastAsia="Arial"/>
          <w:color w:val="000000" w:themeColor="text1"/>
          <w:sz w:val="24"/>
          <w:szCs w:val="24"/>
        </w:rPr>
        <w:t>S.D</w:t>
      </w:r>
      <w:r w:rsidR="00496751" w:rsidRPr="00496751">
        <w:rPr>
          <w:rFonts w:eastAsia="Arial"/>
          <w:i/>
          <w:iCs/>
          <w:color w:val="000000" w:themeColor="text1"/>
          <w:sz w:val="24"/>
          <w:szCs w:val="24"/>
        </w:rPr>
        <w:t>avies</w:t>
      </w:r>
      <w:proofErr w:type="spellEnd"/>
      <w:r w:rsidR="00496751" w:rsidRPr="00496751">
        <w:rPr>
          <w:rFonts w:eastAsia="Arial"/>
          <w:i/>
          <w:iCs/>
          <w:color w:val="000000" w:themeColor="text1"/>
          <w:sz w:val="24"/>
          <w:szCs w:val="24"/>
        </w:rPr>
        <w:t xml:space="preserve">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13B9B7B7" w:rsidR="0FF883D4" w:rsidRPr="00496751" w:rsidRDefault="5CE196A1" w:rsidP="00496751">
      <w:pPr>
        <w:sectPr w:rsidR="0FF883D4" w:rsidRPr="00496751"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496751">
        <w:t xml:space="preserve"> </w:t>
      </w:r>
      <w:r w:rsidR="00496751" w:rsidRPr="00496751">
        <w:rPr>
          <w:sz w:val="24"/>
          <w:szCs w:val="24"/>
          <w:lang w:eastAsia="zh-TW"/>
        </w:rPr>
        <w:t xml:space="preserve">15/5/24 </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C0C91BB"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93F7850"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Baker-Ward, L., Hess, T. M., &amp; Flannagan, D. A. (1990). The effects of involvement on children's memory for events. Cognitive Development, 5(1), 55–69. (Available on): </w:t>
      </w:r>
      <w:hyperlink r:id="rId21" w:history="1">
        <w:r w:rsidRPr="00352CE7">
          <w:rPr>
            <w:rStyle w:val="Hyperlink"/>
            <w:rFonts w:asciiTheme="minorHAnsi" w:eastAsiaTheme="minorHAnsi" w:hAnsiTheme="minorHAnsi" w:cstheme="minorBidi"/>
            <w:kern w:val="2"/>
            <w:sz w:val="22"/>
            <w:szCs w:val="22"/>
            <w:lang w:eastAsia="en-US"/>
            <w14:ligatures w14:val="standardContextual"/>
          </w:rPr>
          <w:t>https://www.sciencedirect.com/science/article/abs/pii/088520149090012I?via%3Dihub</w:t>
        </w:r>
      </w:hyperlink>
      <w:r>
        <w:rPr>
          <w:rFonts w:asciiTheme="minorHAnsi" w:eastAsiaTheme="minorHAnsi" w:hAnsiTheme="minorHAnsi" w:cstheme="minorBidi"/>
          <w:color w:val="auto"/>
          <w:kern w:val="2"/>
          <w:sz w:val="22"/>
          <w:szCs w:val="22"/>
          <w:lang w:eastAsia="en-US"/>
          <w14:ligatures w14:val="standardContextual"/>
        </w:rPr>
        <w:t xml:space="preserve"> </w:t>
      </w:r>
      <w:r w:rsidRPr="00352CE7">
        <w:rPr>
          <w:rFonts w:asciiTheme="minorHAnsi" w:eastAsiaTheme="minorHAnsi" w:hAnsiTheme="minorHAnsi" w:cstheme="minorBidi"/>
          <w:color w:val="auto"/>
          <w:kern w:val="2"/>
          <w:sz w:val="22"/>
          <w:szCs w:val="22"/>
          <w:lang w:eastAsia="en-US"/>
          <w14:ligatures w14:val="standardContextual"/>
        </w:rPr>
        <w:t xml:space="preserve"> </w:t>
      </w:r>
    </w:p>
    <w:p w14:paraId="21D88261"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2F79CE9"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Braga A (2019a). 'Hot spot policing of small geographic areas: effects on crime: An updated systematic review'. Oslo: Campbell Collaboration. </w:t>
      </w:r>
    </w:p>
    <w:p w14:paraId="68B059D9"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04B5642"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Bullock K, Erol R and Tilley N. (2006). 'Problem-Oriented Policing and Partnership: Implementation of an Evidence Based Approach to Crime Reduction'. Cullompton: Willan. </w:t>
      </w:r>
    </w:p>
    <w:p w14:paraId="06345BD8"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53903FC"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Cherry, K. (2022). Maslow’s Hierarchy of Needs. [online] </w:t>
      </w:r>
      <w:proofErr w:type="spellStart"/>
      <w:r w:rsidRPr="00352CE7">
        <w:rPr>
          <w:rFonts w:asciiTheme="minorHAnsi" w:eastAsiaTheme="minorHAnsi" w:hAnsiTheme="minorHAnsi" w:cstheme="minorBidi"/>
          <w:color w:val="auto"/>
          <w:kern w:val="2"/>
          <w:sz w:val="22"/>
          <w:szCs w:val="22"/>
          <w:lang w:eastAsia="en-US"/>
          <w14:ligatures w14:val="standardContextual"/>
        </w:rPr>
        <w:t>Verywellmind</w:t>
      </w:r>
      <w:proofErr w:type="spellEnd"/>
      <w:r w:rsidRPr="00352CE7">
        <w:rPr>
          <w:rFonts w:asciiTheme="minorHAnsi" w:eastAsiaTheme="minorHAnsi" w:hAnsiTheme="minorHAnsi" w:cstheme="minorBidi"/>
          <w:color w:val="auto"/>
          <w:kern w:val="2"/>
          <w:sz w:val="22"/>
          <w:szCs w:val="22"/>
          <w:lang w:eastAsia="en-US"/>
          <w14:ligatures w14:val="standardContextual"/>
        </w:rPr>
        <w:t xml:space="preserve">. (Available on): </w:t>
      </w:r>
      <w:hyperlink r:id="rId22"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https://www.verywellmind.com/what-is-maslows-hierarchy-of-needs-4136760</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1821216A"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75AA481"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Cherry, K. (2023). Overview of VARK Learning Styles. [online] </w:t>
      </w:r>
      <w:proofErr w:type="spellStart"/>
      <w:r w:rsidRPr="00352CE7">
        <w:rPr>
          <w:rFonts w:asciiTheme="minorHAnsi" w:eastAsiaTheme="minorHAnsi" w:hAnsiTheme="minorHAnsi" w:cstheme="minorBidi"/>
          <w:color w:val="auto"/>
          <w:kern w:val="2"/>
          <w:sz w:val="22"/>
          <w:szCs w:val="22"/>
          <w:lang w:eastAsia="en-US"/>
          <w14:ligatures w14:val="standardContextual"/>
        </w:rPr>
        <w:t>Verywell</w:t>
      </w:r>
      <w:proofErr w:type="spellEnd"/>
      <w:r w:rsidRPr="00352CE7">
        <w:rPr>
          <w:rFonts w:asciiTheme="minorHAnsi" w:eastAsiaTheme="minorHAnsi" w:hAnsiTheme="minorHAnsi" w:cstheme="minorBidi"/>
          <w:color w:val="auto"/>
          <w:kern w:val="2"/>
          <w:sz w:val="22"/>
          <w:szCs w:val="22"/>
          <w:lang w:eastAsia="en-US"/>
          <w14:ligatures w14:val="standardContextual"/>
        </w:rPr>
        <w:t xml:space="preserve"> Mind. (Available on): </w:t>
      </w:r>
      <w:hyperlink r:id="rId23" w:history="1">
        <w:r w:rsidRPr="00352CE7">
          <w:rPr>
            <w:rStyle w:val="Hyperlink"/>
            <w:rFonts w:asciiTheme="minorHAnsi" w:eastAsiaTheme="minorHAnsi" w:hAnsiTheme="minorHAnsi" w:cstheme="minorBidi"/>
            <w:kern w:val="2"/>
            <w:sz w:val="22"/>
            <w:szCs w:val="22"/>
            <w:lang w:eastAsia="en-US"/>
            <w14:ligatures w14:val="standardContextual"/>
          </w:rPr>
          <w:t>https://www.verywellmind.com/vark-learning-styles-2795156</w:t>
        </w:r>
      </w:hyperlink>
      <w:r>
        <w:rPr>
          <w:rFonts w:asciiTheme="minorHAnsi" w:eastAsiaTheme="minorHAnsi" w:hAnsiTheme="minorHAnsi" w:cstheme="minorBidi"/>
          <w:color w:val="auto"/>
          <w:kern w:val="2"/>
          <w:sz w:val="22"/>
          <w:szCs w:val="22"/>
          <w:lang w:eastAsia="en-US"/>
          <w14:ligatures w14:val="standardContextual"/>
        </w:rPr>
        <w:t xml:space="preserve"> </w:t>
      </w:r>
      <w:r w:rsidRPr="00352CE7">
        <w:rPr>
          <w:rFonts w:asciiTheme="minorHAnsi" w:eastAsiaTheme="minorHAnsi" w:hAnsiTheme="minorHAnsi" w:cstheme="minorBidi"/>
          <w:color w:val="auto"/>
          <w:kern w:val="2"/>
          <w:sz w:val="22"/>
          <w:szCs w:val="22"/>
          <w:lang w:eastAsia="en-US"/>
          <w14:ligatures w14:val="standardContextual"/>
        </w:rPr>
        <w:t>.</w:t>
      </w:r>
    </w:p>
    <w:p w14:paraId="3A65CFF5"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B65A70F"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College of Policing (2013). Children and young persons. [online] College of Policing. (Available on): </w:t>
      </w:r>
      <w:hyperlink r:id="rId24"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https://www.college.police.uk/app/detention-and-custody/detainee-care/children-and-young-persons</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4E1CF273"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5C694C8"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‌College of Policing (2013). Investigation process. [online] College of Policing. (Available on): </w:t>
      </w:r>
      <w:hyperlink r:id="rId25" w:history="1">
        <w:r w:rsidRPr="00352CE7">
          <w:rPr>
            <w:rStyle w:val="Hyperlink"/>
            <w:rFonts w:asciiTheme="minorHAnsi" w:eastAsiaTheme="minorHAnsi" w:hAnsiTheme="minorHAnsi" w:cstheme="minorBidi"/>
            <w:kern w:val="2"/>
            <w:sz w:val="22"/>
            <w:szCs w:val="22"/>
            <w:lang w:eastAsia="en-US"/>
            <w14:ligatures w14:val="standardContextual"/>
          </w:rPr>
          <w:t>https://www.college.police.uk/app/investigation/investigation-process</w:t>
        </w:r>
      </w:hyperlink>
      <w:r w:rsidRPr="00352CE7">
        <w:rPr>
          <w:rFonts w:asciiTheme="minorHAnsi" w:eastAsiaTheme="minorHAnsi" w:hAnsiTheme="minorHAnsi" w:cstheme="minorBidi"/>
          <w:color w:val="auto"/>
          <w:kern w:val="2"/>
          <w:sz w:val="22"/>
          <w:szCs w:val="22"/>
          <w:lang w:eastAsia="en-US"/>
          <w14:ligatures w14:val="standardContextual"/>
        </w:rPr>
        <w:t>.</w:t>
      </w:r>
      <w:r>
        <w:rPr>
          <w:rFonts w:asciiTheme="minorHAnsi" w:eastAsiaTheme="minorHAnsi" w:hAnsiTheme="minorHAnsi" w:cstheme="minorBidi"/>
          <w:color w:val="auto"/>
          <w:kern w:val="2"/>
          <w:sz w:val="22"/>
          <w:szCs w:val="22"/>
          <w:lang w:eastAsia="en-US"/>
          <w14:ligatures w14:val="standardContextual"/>
        </w:rPr>
        <w:t xml:space="preserve"> </w:t>
      </w:r>
      <w:r w:rsidRPr="00352CE7">
        <w:rPr>
          <w:rFonts w:asciiTheme="minorHAnsi" w:eastAsiaTheme="minorHAnsi" w:hAnsiTheme="minorHAnsi" w:cstheme="minorBidi"/>
          <w:color w:val="auto"/>
          <w:kern w:val="2"/>
          <w:sz w:val="22"/>
          <w:szCs w:val="22"/>
          <w:lang w:eastAsia="en-US"/>
          <w14:ligatures w14:val="standardContextual"/>
        </w:rPr>
        <w:t xml:space="preserve"> </w:t>
      </w:r>
      <w:r>
        <w:rPr>
          <w:rFonts w:asciiTheme="minorHAnsi" w:eastAsiaTheme="minorHAnsi" w:hAnsiTheme="minorHAnsi" w:cstheme="minorBidi"/>
          <w:color w:val="auto"/>
          <w:kern w:val="2"/>
          <w:sz w:val="22"/>
          <w:szCs w:val="22"/>
          <w:lang w:eastAsia="en-US"/>
          <w14:ligatures w14:val="standardContextual"/>
        </w:rPr>
        <w:t xml:space="preserve"> </w:t>
      </w:r>
    </w:p>
    <w:p w14:paraId="2C74AF01"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E46AE8C"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College of Policing (2021). Targeted approaches to crime and disorder reduction. College of Policing. (Available on): </w:t>
      </w:r>
      <w:hyperlink r:id="rId26"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https://www.college.police.uk/research/what-works-policing-reduce-crime/targeted-approaches</w:t>
        </w:r>
      </w:hyperlink>
      <w:r w:rsidRPr="00352CE7">
        <w:rPr>
          <w:rFonts w:asciiTheme="minorHAnsi" w:eastAsiaTheme="minorHAnsi" w:hAnsiTheme="minorHAnsi" w:cstheme="minorBidi"/>
          <w:color w:val="auto"/>
          <w:kern w:val="2"/>
          <w:sz w:val="22"/>
          <w:szCs w:val="22"/>
          <w:lang w:eastAsia="en-US"/>
          <w14:ligatures w14:val="standardContextual"/>
        </w:rPr>
        <w:t>.</w:t>
      </w:r>
    </w:p>
    <w:p w14:paraId="79115568"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8A30E4C"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College of Policing (2023). Evidence-based policing. [online] College of Policing. (Available on): </w:t>
      </w:r>
      <w:hyperlink r:id="rId27"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https://www.college.police.uk/research/evidence-based-policing-EBP</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6268407D"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lastRenderedPageBreak/>
        <w:t xml:space="preserve">Collins, R., Lincoln, R., &amp; Frank, M. G. (2002). The effect of rapport in forensic interviewing. Psychiatry, Psychology and Law. (Available Online): </w:t>
      </w:r>
      <w:hyperlink r:id="rId28"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https://www.tandfonline.com/doi/abs/10.1375/pplt.2002.9.1.69</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76FB7FB5"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39EC519"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Crown Prosecution Service (2021). Special Measures | the Crown Prosecution Service. (Available on) Cps.gov.uk. Available at: </w:t>
      </w:r>
      <w:hyperlink r:id="rId29"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https://www.cps.gov.uk/legal-guidance/special-measures</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547EF52B" w14:textId="295F2F1A"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 </w:t>
      </w:r>
    </w:p>
    <w:p w14:paraId="259052D5"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Family Rights Group (2023). Strategy discussion (meeting). [online] Family Rights Group. (Available on): </w:t>
      </w:r>
      <w:hyperlink r:id="rId30" w:history="1">
        <w:r w:rsidRPr="00352CE7">
          <w:rPr>
            <w:rStyle w:val="Hyperlink"/>
            <w:rFonts w:asciiTheme="minorHAnsi" w:eastAsiaTheme="minorHAnsi" w:hAnsiTheme="minorHAnsi" w:cstheme="minorBidi"/>
            <w:kern w:val="2"/>
            <w:sz w:val="22"/>
            <w:szCs w:val="22"/>
            <w:lang w:eastAsia="en-US"/>
            <w14:ligatures w14:val="standardContextual"/>
          </w:rPr>
          <w:t>https://frg.org.uk/get-help-and-advice/what/child-protection/strategy-discussion-meeting/</w:t>
        </w:r>
      </w:hyperlink>
      <w:r w:rsidRPr="00352CE7">
        <w:rPr>
          <w:rFonts w:asciiTheme="minorHAnsi" w:eastAsiaTheme="minorHAnsi" w:hAnsiTheme="minorHAnsi" w:cstheme="minorBidi"/>
          <w:color w:val="auto"/>
          <w:kern w:val="2"/>
          <w:sz w:val="22"/>
          <w:szCs w:val="22"/>
          <w:lang w:eastAsia="en-US"/>
          <w14:ligatures w14:val="standardContextual"/>
        </w:rPr>
        <w:t>.</w:t>
      </w:r>
      <w:r>
        <w:rPr>
          <w:rFonts w:asciiTheme="minorHAnsi" w:eastAsiaTheme="minorHAnsi" w:hAnsiTheme="minorHAnsi" w:cstheme="minorBidi"/>
          <w:color w:val="auto"/>
          <w:kern w:val="2"/>
          <w:sz w:val="22"/>
          <w:szCs w:val="22"/>
          <w:lang w:eastAsia="en-US"/>
          <w14:ligatures w14:val="standardContextual"/>
        </w:rPr>
        <w:t xml:space="preserve"> </w:t>
      </w:r>
    </w:p>
    <w:p w14:paraId="2FD5C06F"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CC6718C"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GOV.UK (2017). Safeguarding - the role of other agencies. GOV.UK. (Available on): </w:t>
      </w:r>
      <w:hyperlink r:id="rId31"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https://www.gov.uk/government/publications/strategy-for-dealing-with-safeguarding-issues-in-charities/safeguarding-the-role-of-other-agencies</w:t>
        </w:r>
      </w:hyperlink>
      <w:r w:rsidRPr="00352CE7">
        <w:rPr>
          <w:rFonts w:asciiTheme="minorHAnsi" w:eastAsiaTheme="minorHAnsi" w:hAnsiTheme="minorHAnsi" w:cstheme="minorBidi"/>
          <w:color w:val="auto"/>
          <w:kern w:val="2"/>
          <w:sz w:val="22"/>
          <w:szCs w:val="22"/>
          <w:lang w:eastAsia="en-US"/>
          <w14:ligatures w14:val="standardContextual"/>
        </w:rPr>
        <w:t>.</w:t>
      </w:r>
    </w:p>
    <w:p w14:paraId="72A54A59"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3FEDC3A"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roofErr w:type="spellStart"/>
      <w:r w:rsidRPr="00352CE7">
        <w:rPr>
          <w:rFonts w:asciiTheme="minorHAnsi" w:eastAsiaTheme="minorHAnsi" w:hAnsiTheme="minorHAnsi" w:cstheme="minorBidi"/>
          <w:color w:val="auto"/>
          <w:kern w:val="2"/>
          <w:sz w:val="22"/>
          <w:szCs w:val="22"/>
          <w:lang w:eastAsia="en-US"/>
          <w14:ligatures w14:val="standardContextual"/>
        </w:rPr>
        <w:t>Gov.Wales</w:t>
      </w:r>
      <w:proofErr w:type="spellEnd"/>
      <w:r w:rsidRPr="00352CE7">
        <w:rPr>
          <w:rFonts w:asciiTheme="minorHAnsi" w:eastAsiaTheme="minorHAnsi" w:hAnsiTheme="minorHAnsi" w:cstheme="minorBidi"/>
          <w:color w:val="auto"/>
          <w:kern w:val="2"/>
          <w:sz w:val="22"/>
          <w:szCs w:val="22"/>
          <w:lang w:eastAsia="en-US"/>
          <w14:ligatures w14:val="standardContextual"/>
        </w:rPr>
        <w:t xml:space="preserve"> . (2019). Youth Justice Blueprint for Wales. (Available on): </w:t>
      </w:r>
      <w:hyperlink r:id="rId32"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https://www.gov.wales/sites/default/files/publications/2019-05/youth-justice-blueprint_0.pdf</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1ED9C658"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3538B23"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Home Office (2016). Modern crime prevention strategy. GOV.UK. (Available on): </w:t>
      </w:r>
      <w:hyperlink r:id="rId33"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https://www.gov.uk/government/publications/modern-crime-prevention-strategy</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056A73B4"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70DB765"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Home Office (2023). Interviewing Suspects. (Available on): </w:t>
      </w:r>
      <w:hyperlink r:id="rId34"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https://assets.publishing.service.gov.uk/government/uploads/system/uploads/attachment_data/file/1182195/interviewing-suspects.pdf</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7EAF536E"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4419D4C"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Intermediaries for Justice, (</w:t>
      </w:r>
      <w:proofErr w:type="spellStart"/>
      <w:r w:rsidRPr="00352CE7">
        <w:rPr>
          <w:rFonts w:asciiTheme="minorHAnsi" w:eastAsiaTheme="minorHAnsi" w:hAnsiTheme="minorHAnsi" w:cstheme="minorBidi"/>
          <w:color w:val="auto"/>
          <w:kern w:val="2"/>
          <w:sz w:val="22"/>
          <w:szCs w:val="22"/>
          <w:lang w:eastAsia="en-US"/>
          <w14:ligatures w14:val="standardContextual"/>
        </w:rPr>
        <w:t>n.d</w:t>
      </w:r>
      <w:proofErr w:type="spellEnd"/>
      <w:r w:rsidRPr="00352CE7">
        <w:rPr>
          <w:rFonts w:asciiTheme="minorHAnsi" w:eastAsiaTheme="minorHAnsi" w:hAnsiTheme="minorHAnsi" w:cstheme="minorBidi"/>
          <w:color w:val="auto"/>
          <w:kern w:val="2"/>
          <w:sz w:val="22"/>
          <w:szCs w:val="22"/>
          <w:lang w:eastAsia="en-US"/>
          <w14:ligatures w14:val="standardContextual"/>
        </w:rPr>
        <w:t xml:space="preserve">) Intermediaries: A Voice for the Voiceless. (n.d.). (Available on): </w:t>
      </w:r>
      <w:hyperlink r:id="rId35" w:history="1">
        <w:r w:rsidRPr="00352CE7">
          <w:rPr>
            <w:rStyle w:val="Hyperlink"/>
            <w:rFonts w:asciiTheme="minorHAnsi" w:eastAsiaTheme="minorHAnsi" w:hAnsiTheme="minorHAnsi" w:cstheme="minorBidi"/>
            <w:kern w:val="2"/>
            <w:sz w:val="22"/>
            <w:szCs w:val="22"/>
            <w:lang w:eastAsia="en-US"/>
            <w14:ligatures w14:val="standardContextual"/>
          </w:rPr>
          <w:t>https://www.intermediaries-for-justice.org/sites/default/files/all_about_intermediaries.pdf</w:t>
        </w:r>
      </w:hyperlink>
      <w:r w:rsidRPr="00352CE7">
        <w:rPr>
          <w:rFonts w:asciiTheme="minorHAnsi" w:eastAsiaTheme="minorHAnsi" w:hAnsiTheme="minorHAnsi" w:cstheme="minorBidi"/>
          <w:color w:val="auto"/>
          <w:kern w:val="2"/>
          <w:sz w:val="22"/>
          <w:szCs w:val="22"/>
          <w:lang w:eastAsia="en-US"/>
          <w14:ligatures w14:val="standardContextual"/>
        </w:rPr>
        <w:t>.</w:t>
      </w:r>
      <w:r>
        <w:rPr>
          <w:rFonts w:asciiTheme="minorHAnsi" w:eastAsiaTheme="minorHAnsi" w:hAnsiTheme="minorHAnsi" w:cstheme="minorBidi"/>
          <w:color w:val="auto"/>
          <w:kern w:val="2"/>
          <w:sz w:val="22"/>
          <w:szCs w:val="22"/>
          <w:lang w:eastAsia="en-US"/>
          <w14:ligatures w14:val="standardContextual"/>
        </w:rPr>
        <w:t xml:space="preserve"> </w:t>
      </w:r>
      <w:r w:rsidRPr="00352CE7">
        <w:rPr>
          <w:rFonts w:asciiTheme="minorHAnsi" w:eastAsiaTheme="minorHAnsi" w:hAnsiTheme="minorHAnsi" w:cstheme="minorBidi"/>
          <w:color w:val="auto"/>
          <w:kern w:val="2"/>
          <w:sz w:val="22"/>
          <w:szCs w:val="22"/>
          <w:lang w:eastAsia="en-US"/>
          <w14:ligatures w14:val="standardContextual"/>
        </w:rPr>
        <w:t xml:space="preserve"> </w:t>
      </w:r>
    </w:p>
    <w:p w14:paraId="2C2E5C6A"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43C2CE6"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Ministry of Justice (2022). Achieving Best Evidence in Criminal Proceedings: Guidance on Interviewing Victims and Witnesses, and Guidance on Using Special Measures Achieving Best Evidence in Criminal Proceedings: Guidance on Interviewing Victims and Witnesses, and Guidance on Using Special Measures. (Available on): </w:t>
      </w:r>
      <w:hyperlink r:id="rId36" w:history="1">
        <w:r w:rsidRPr="00352CE7">
          <w:rPr>
            <w:rStyle w:val="Hyperlink"/>
            <w:rFonts w:asciiTheme="minorHAnsi" w:eastAsiaTheme="minorHAnsi" w:hAnsiTheme="minorHAnsi" w:cstheme="minorBidi"/>
            <w:kern w:val="2"/>
            <w:sz w:val="22"/>
            <w:szCs w:val="22"/>
            <w:lang w:eastAsia="en-US"/>
            <w14:ligatures w14:val="standardContextual"/>
          </w:rPr>
          <w:t>https://assets.publishing.service.gov.uk/media/6492e26c103ca6001303a331/achieving-best-evidence-criminal-proceedings-2023.pdf</w:t>
        </w:r>
      </w:hyperlink>
      <w:r w:rsidRPr="00352CE7">
        <w:rPr>
          <w:rFonts w:asciiTheme="minorHAnsi" w:eastAsiaTheme="minorHAnsi" w:hAnsiTheme="minorHAnsi" w:cstheme="minorBidi"/>
          <w:color w:val="auto"/>
          <w:kern w:val="2"/>
          <w:sz w:val="22"/>
          <w:szCs w:val="22"/>
          <w:lang w:eastAsia="en-US"/>
          <w14:ligatures w14:val="standardContextual"/>
        </w:rPr>
        <w:t>.</w:t>
      </w:r>
      <w:r>
        <w:rPr>
          <w:rFonts w:asciiTheme="minorHAnsi" w:eastAsiaTheme="minorHAnsi" w:hAnsiTheme="minorHAnsi" w:cstheme="minorBidi"/>
          <w:color w:val="auto"/>
          <w:kern w:val="2"/>
          <w:sz w:val="22"/>
          <w:szCs w:val="22"/>
          <w:lang w:eastAsia="en-US"/>
          <w14:ligatures w14:val="standardContextual"/>
        </w:rPr>
        <w:t xml:space="preserve"> </w:t>
      </w:r>
      <w:r w:rsidRPr="00352CE7">
        <w:rPr>
          <w:rFonts w:asciiTheme="minorHAnsi" w:eastAsiaTheme="minorHAnsi" w:hAnsiTheme="minorHAnsi" w:cstheme="minorBidi"/>
          <w:color w:val="auto"/>
          <w:kern w:val="2"/>
          <w:sz w:val="22"/>
          <w:szCs w:val="22"/>
          <w:lang w:eastAsia="en-US"/>
          <w14:ligatures w14:val="standardContextual"/>
        </w:rPr>
        <w:t xml:space="preserve"> </w:t>
      </w:r>
    </w:p>
    <w:p w14:paraId="4501644F"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393478E"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National Appropriate Adult network. (n.d.). For People Who Need an Appropriate Adult - National Appropriate Adult Network. (Available on): </w:t>
      </w:r>
      <w:hyperlink r:id="rId37"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https://www.appropriateadult.org.uk/index.php/information/for-vulnerable-people</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442CB773"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lastRenderedPageBreak/>
        <w:t xml:space="preserve">National policing prevention strategy. (2022). National Police Chief Council. (Available on): </w:t>
      </w:r>
      <w:hyperlink r:id="rId38"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https://www.npcc.police.uk/SysSiteAssets/media/downloads/publications/publications-log/2022/npcc-prevention-strategy-1.pdf</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6D4D5D80"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2869EB5" w14:textId="77777777" w:rsidR="00496751"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52CE7">
        <w:rPr>
          <w:rFonts w:asciiTheme="minorHAnsi" w:eastAsiaTheme="minorHAnsi" w:hAnsiTheme="minorHAnsi" w:cstheme="minorBidi"/>
          <w:color w:val="auto"/>
          <w:kern w:val="2"/>
          <w:sz w:val="22"/>
          <w:szCs w:val="22"/>
          <w:lang w:eastAsia="en-US"/>
          <w14:ligatures w14:val="standardContextual"/>
        </w:rPr>
        <w:t xml:space="preserve">Norris, C. (2022) Managing Your Emotions During an Interview. Wicklander-Zulawski &amp; Associates: The training that gets the truth.  (Available on): </w:t>
      </w:r>
      <w:hyperlink r:id="rId39" w:history="1">
        <w:r w:rsidRPr="00352CE7">
          <w:rPr>
            <w:rFonts w:asciiTheme="minorHAnsi" w:eastAsiaTheme="minorHAnsi" w:hAnsiTheme="minorHAnsi" w:cstheme="minorBidi"/>
            <w:color w:val="0563C1" w:themeColor="hyperlink"/>
            <w:kern w:val="2"/>
            <w:sz w:val="22"/>
            <w:szCs w:val="22"/>
            <w:u w:val="single"/>
            <w:lang w:eastAsia="en-US"/>
            <w14:ligatures w14:val="standardContextual"/>
          </w:rPr>
          <w:t>https://www.w-z.com/2017/03/15/managing-your-emotions-during-an-interview/</w:t>
        </w:r>
      </w:hyperlink>
      <w:r w:rsidRPr="00352CE7">
        <w:rPr>
          <w:rFonts w:asciiTheme="minorHAnsi" w:eastAsiaTheme="minorHAnsi" w:hAnsiTheme="minorHAnsi" w:cstheme="minorBidi"/>
          <w:color w:val="auto"/>
          <w:kern w:val="2"/>
          <w:sz w:val="22"/>
          <w:szCs w:val="22"/>
          <w:lang w:eastAsia="en-US"/>
          <w14:ligatures w14:val="standardContextual"/>
        </w:rPr>
        <w:t xml:space="preserve"> </w:t>
      </w:r>
    </w:p>
    <w:p w14:paraId="6E84CBC1" w14:textId="77777777" w:rsidR="00496751" w:rsidRPr="00352CE7" w:rsidRDefault="00496751" w:rsidP="0049675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A311956" w14:textId="77777777" w:rsidR="00496751" w:rsidRDefault="00496751" w:rsidP="00EA28F1">
      <w:pPr>
        <w:keepNext/>
        <w:spacing w:before="240" w:after="60"/>
        <w:ind w:right="237"/>
        <w:jc w:val="both"/>
      </w:pPr>
    </w:p>
    <w:sectPr w:rsidR="0049675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C9A2434"/>
    <w:multiLevelType w:val="hybridMultilevel"/>
    <w:tmpl w:val="4ED80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547C8"/>
    <w:multiLevelType w:val="hybridMultilevel"/>
    <w:tmpl w:val="0392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884F1D"/>
    <w:multiLevelType w:val="hybridMultilevel"/>
    <w:tmpl w:val="A8368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6"/>
  </w:num>
  <w:num w:numId="4" w16cid:durableId="66197777">
    <w:abstractNumId w:val="5"/>
  </w:num>
  <w:num w:numId="5" w16cid:durableId="54592622">
    <w:abstractNumId w:val="7"/>
  </w:num>
  <w:num w:numId="6" w16cid:durableId="1053191557">
    <w:abstractNumId w:val="3"/>
  </w:num>
  <w:num w:numId="7" w16cid:durableId="587539241">
    <w:abstractNumId w:val="1"/>
  </w:num>
  <w:num w:numId="8" w16cid:durableId="136663405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64E2"/>
    <w:rsid w:val="00087891"/>
    <w:rsid w:val="00091F52"/>
    <w:rsid w:val="00092970"/>
    <w:rsid w:val="00092BC7"/>
    <w:rsid w:val="00093720"/>
    <w:rsid w:val="000938E6"/>
    <w:rsid w:val="00093B3C"/>
    <w:rsid w:val="0009488C"/>
    <w:rsid w:val="00095C1B"/>
    <w:rsid w:val="00096DEA"/>
    <w:rsid w:val="0009784E"/>
    <w:rsid w:val="000A4240"/>
    <w:rsid w:val="000A469A"/>
    <w:rsid w:val="000A4C24"/>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CE7"/>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751"/>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4D3B"/>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17244"/>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5BFD"/>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211B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3F42"/>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352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research/what-works-policing-reduce-crime/targeted-approaches" TargetMode="External"/><Relationship Id="rId39" Type="http://schemas.openxmlformats.org/officeDocument/2006/relationships/hyperlink" Target="https://www.w-z.com/2017/03/15/managing-your-emotions-during-an-interview/" TargetMode="External"/><Relationship Id="rId21" Type="http://schemas.openxmlformats.org/officeDocument/2006/relationships/hyperlink" Target="https://www.sciencedirect.com/science/article/abs/pii/088520149090012I?via%3Dihub" TargetMode="External"/><Relationship Id="rId34" Type="http://schemas.openxmlformats.org/officeDocument/2006/relationships/hyperlink" Target="https://assets.publishing.service.gov.uk/government/uploads/system/uploads/attachment_data/file/1182195/interviewing-suspects.pdf" TargetMode="External"/><Relationship Id="rId42"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cps.gov.uk/legal-guidance/special-measure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detention-and-custody/detainee-care/children-and-young-persons" TargetMode="External"/><Relationship Id="rId32" Type="http://schemas.openxmlformats.org/officeDocument/2006/relationships/hyperlink" Target="https://www.gov.wales/sites/default/files/publications/2019-05/youth-justice-blueprint_0.pdf" TargetMode="External"/><Relationship Id="rId37" Type="http://schemas.openxmlformats.org/officeDocument/2006/relationships/hyperlink" Target="https://www.appropriateadult.org.uk/index.php/information/for-vulnerable-people"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verywellmind.com/vark-learning-styles-2795156" TargetMode="External"/><Relationship Id="rId28" Type="http://schemas.openxmlformats.org/officeDocument/2006/relationships/hyperlink" Target="https://www.tandfonline.com/doi/abs/10.1375/pplt.2002.9.1.69" TargetMode="External"/><Relationship Id="rId36" Type="http://schemas.openxmlformats.org/officeDocument/2006/relationships/hyperlink" Target="https://assets.publishing.service.gov.uk/media/6492e26c103ca6001303a331/achieving-best-evidence-criminal-proceedings-2023.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uk/government/publications/strategy-for-dealing-with-safeguarding-issues-in-charities/safeguarding-the-role-of-other-agen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verywellmind.com/what-is-maslows-hierarchy-of-needs-4136760" TargetMode="External"/><Relationship Id="rId27" Type="http://schemas.openxmlformats.org/officeDocument/2006/relationships/hyperlink" Target="https://www.college.police.uk/research/evidence-based-policing-EBP" TargetMode="External"/><Relationship Id="rId30" Type="http://schemas.openxmlformats.org/officeDocument/2006/relationships/hyperlink" Target="https://frg.org.uk/get-help-and-advice/what/child-protection/strategy-discussion-meeting/" TargetMode="External"/><Relationship Id="rId35" Type="http://schemas.openxmlformats.org/officeDocument/2006/relationships/hyperlink" Target="https://www.intermediaries-for-justice.org/sites/default/files/all_about_intermediari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investigation/investigation-process" TargetMode="External"/><Relationship Id="rId33" Type="http://schemas.openxmlformats.org/officeDocument/2006/relationships/hyperlink" Target="https://www.gov.uk/government/publications/modern-crime-prevention-strategy" TargetMode="External"/><Relationship Id="rId38" Type="http://schemas.openxmlformats.org/officeDocument/2006/relationships/hyperlink" Target="https://www.npcc.police.uk/SysSiteAssets/media/downloads/publications/publications-log/2022/npcc-prevention-strategy-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18</Pages>
  <Words>5764</Words>
  <Characters>39031</Characters>
  <Application>Microsoft Office Word</Application>
  <DocSecurity>0</DocSecurity>
  <Lines>325</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Davies,Stacey swp8619</cp:lastModifiedBy>
  <cp:revision>6</cp:revision>
  <cp:lastPrinted>2014-08-26T08:55:00Z</cp:lastPrinted>
  <dcterms:created xsi:type="dcterms:W3CDTF">2024-05-14T14:58:00Z</dcterms:created>
  <dcterms:modified xsi:type="dcterms:W3CDTF">2024-07-05T10:33:00Z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