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727EACF2" w:rsidP="29A26244" w:rsidRDefault="727EACF2" w14:paraId="157B9618" w14:textId="10E53D0D">
      <w:pPr>
        <w:jc w:val="center"/>
        <w:rPr>
          <w:b w:val="1"/>
          <w:bCs w:val="1"/>
        </w:rPr>
      </w:pPr>
      <w:r w:rsidRPr="29A26244" w:rsidR="727EACF2">
        <w:rPr>
          <w:b w:val="1"/>
          <w:bCs w:val="1"/>
        </w:rPr>
        <w:t>Student Name: Tabasom Zaman</w:t>
      </w:r>
    </w:p>
    <w:p w:rsidR="31A6D6F0" w:rsidP="29A26244" w:rsidRDefault="31A6D6F0" w14:paraId="2B829169" w14:textId="340F8BF0">
      <w:pPr>
        <w:jc w:val="center"/>
        <w:rPr>
          <w:b w:val="1"/>
          <w:bCs w:val="1"/>
        </w:rPr>
      </w:pPr>
      <w:r w:rsidRPr="29A26244" w:rsidR="31A6D6F0">
        <w:rPr>
          <w:b w:val="1"/>
          <w:bCs w:val="1"/>
        </w:rPr>
        <w:t>Student ID: 2331696</w:t>
      </w:r>
    </w:p>
    <w:p w:rsidR="3B336E7F" w:rsidP="29A26244" w:rsidRDefault="3B336E7F" w14:paraId="2B8BD9F6" w14:textId="3F544C73">
      <w:pPr>
        <w:jc w:val="center"/>
        <w:rPr>
          <w:b w:val="1"/>
          <w:bCs w:val="1"/>
        </w:rPr>
      </w:pPr>
      <w:r w:rsidRPr="29A26244" w:rsidR="3B336E7F">
        <w:rPr>
          <w:b w:val="1"/>
          <w:bCs w:val="1"/>
        </w:rPr>
        <w:t>Module: Introduce to Healt</w:t>
      </w:r>
      <w:r w:rsidRPr="29A26244" w:rsidR="7957C8CB">
        <w:rPr>
          <w:b w:val="1"/>
          <w:bCs w:val="1"/>
        </w:rPr>
        <w:t>h and Social Care</w:t>
      </w:r>
    </w:p>
    <w:p w:rsidR="7957C8CB" w:rsidP="29A26244" w:rsidRDefault="7957C8CB" w14:paraId="710EF7AF" w14:textId="092A2DB3">
      <w:pPr>
        <w:jc w:val="center"/>
        <w:rPr>
          <w:b w:val="1"/>
          <w:bCs w:val="1"/>
        </w:rPr>
      </w:pPr>
      <w:r w:rsidRPr="29A26244" w:rsidR="7957C8CB">
        <w:rPr>
          <w:b w:val="1"/>
          <w:bCs w:val="1"/>
        </w:rPr>
        <w:t>Module code: LCHS4003</w:t>
      </w:r>
    </w:p>
    <w:p w:rsidR="29A26244" w:rsidP="29A26244" w:rsidRDefault="29A26244" w14:paraId="4B04B0F8" w14:textId="729651A2">
      <w:pPr>
        <w:jc w:val="center"/>
      </w:pPr>
    </w:p>
    <w:p w:rsidR="29A26244" w:rsidP="29A26244" w:rsidRDefault="29A26244" w14:paraId="2F24AF83" w14:textId="16A66C27">
      <w:pPr>
        <w:jc w:val="center"/>
      </w:pPr>
    </w:p>
    <w:p w:rsidR="29A26244" w:rsidP="29A26244" w:rsidRDefault="29A26244" w14:paraId="4EA5EA0C" w14:textId="07BDB563">
      <w:pPr>
        <w:jc w:val="center"/>
      </w:pPr>
    </w:p>
    <w:p w:rsidR="29A26244" w:rsidP="29A26244" w:rsidRDefault="29A26244" w14:paraId="594C6DB8" w14:textId="5CA731E8">
      <w:pPr>
        <w:jc w:val="center"/>
      </w:pPr>
    </w:p>
    <w:p w:rsidR="29A26244" w:rsidP="29A26244" w:rsidRDefault="29A26244" w14:paraId="2CA0CAAE" w14:textId="55F5CB1F">
      <w:pPr>
        <w:jc w:val="center"/>
      </w:pPr>
    </w:p>
    <w:p w:rsidR="29A26244" w:rsidP="29A26244" w:rsidRDefault="29A26244" w14:paraId="5CD538A7" w14:textId="37536722">
      <w:pPr>
        <w:jc w:val="center"/>
      </w:pPr>
    </w:p>
    <w:p w:rsidR="29A26244" w:rsidP="29A26244" w:rsidRDefault="29A26244" w14:paraId="4E707542" w14:textId="3AC6E9B1">
      <w:pPr>
        <w:jc w:val="center"/>
      </w:pPr>
    </w:p>
    <w:p w:rsidR="29A26244" w:rsidP="29A26244" w:rsidRDefault="29A26244" w14:paraId="3DA6CC40" w14:textId="613A691F">
      <w:pPr>
        <w:jc w:val="center"/>
      </w:pPr>
    </w:p>
    <w:p w:rsidR="29A26244" w:rsidP="29A26244" w:rsidRDefault="29A26244" w14:paraId="5D58ED1B" w14:textId="09FE3839">
      <w:pPr>
        <w:jc w:val="center"/>
      </w:pPr>
    </w:p>
    <w:p w:rsidR="29A26244" w:rsidP="29A26244" w:rsidRDefault="29A26244" w14:paraId="3E07DF0A" w14:textId="7F57BDCF">
      <w:pPr>
        <w:jc w:val="center"/>
      </w:pPr>
    </w:p>
    <w:p w:rsidR="29A26244" w:rsidP="29A26244" w:rsidRDefault="29A26244" w14:paraId="3DDB0903" w14:textId="4EFFFADB">
      <w:pPr>
        <w:jc w:val="center"/>
      </w:pPr>
    </w:p>
    <w:p w:rsidR="29A26244" w:rsidP="29A26244" w:rsidRDefault="29A26244" w14:paraId="38E8A5AD" w14:textId="4C1AE3F3">
      <w:pPr>
        <w:jc w:val="center"/>
      </w:pPr>
    </w:p>
    <w:p w:rsidR="29A26244" w:rsidP="29A26244" w:rsidRDefault="29A26244" w14:paraId="06D77371" w14:textId="6EDA35A8">
      <w:pPr>
        <w:jc w:val="center"/>
      </w:pPr>
    </w:p>
    <w:p w:rsidR="29A26244" w:rsidP="29A26244" w:rsidRDefault="29A26244" w14:paraId="6B71C6B2" w14:textId="5B78BD9F">
      <w:pPr>
        <w:jc w:val="center"/>
      </w:pPr>
    </w:p>
    <w:p w:rsidR="29A26244" w:rsidP="29A26244" w:rsidRDefault="29A26244" w14:paraId="680C6BBC" w14:textId="312CB429">
      <w:pPr>
        <w:jc w:val="center"/>
      </w:pPr>
    </w:p>
    <w:p w:rsidR="29A26244" w:rsidP="29A26244" w:rsidRDefault="29A26244" w14:paraId="7079C6F5" w14:textId="7BC18DCB">
      <w:pPr>
        <w:jc w:val="center"/>
      </w:pPr>
    </w:p>
    <w:p w:rsidR="29A26244" w:rsidP="29A26244" w:rsidRDefault="29A26244" w14:paraId="0197622E" w14:textId="3908C621">
      <w:pPr>
        <w:jc w:val="center"/>
      </w:pPr>
    </w:p>
    <w:p w:rsidR="29A26244" w:rsidP="29A26244" w:rsidRDefault="29A26244" w14:paraId="6CA83AE8" w14:textId="37F89781">
      <w:pPr>
        <w:jc w:val="center"/>
      </w:pPr>
    </w:p>
    <w:p w:rsidR="29A26244" w:rsidP="29A26244" w:rsidRDefault="29A26244" w14:paraId="1CD81C24" w14:textId="43FD8412">
      <w:pPr>
        <w:jc w:val="center"/>
      </w:pPr>
    </w:p>
    <w:p w:rsidR="29A26244" w:rsidP="29A26244" w:rsidRDefault="29A26244" w14:paraId="18FD048F" w14:textId="66AB417F">
      <w:pPr>
        <w:jc w:val="center"/>
      </w:pPr>
    </w:p>
    <w:p w:rsidR="29A26244" w:rsidP="29A26244" w:rsidRDefault="29A26244" w14:paraId="6508B225" w14:textId="2C720F39">
      <w:pPr>
        <w:jc w:val="center"/>
      </w:pPr>
    </w:p>
    <w:p w:rsidR="29A26244" w:rsidP="29A26244" w:rsidRDefault="29A26244" w14:paraId="3E6CD8E6" w14:textId="44FB65A7">
      <w:pPr>
        <w:jc w:val="center"/>
      </w:pPr>
    </w:p>
    <w:p w:rsidR="29A26244" w:rsidP="29A26244" w:rsidRDefault="29A26244" w14:paraId="4C583E29" w14:textId="4D35391A">
      <w:pPr>
        <w:jc w:val="center"/>
      </w:pPr>
    </w:p>
    <w:p w:rsidR="29A26244" w:rsidP="29A26244" w:rsidRDefault="29A26244" w14:paraId="400DAC19" w14:textId="690E9BE5">
      <w:pPr>
        <w:jc w:val="center"/>
      </w:pPr>
    </w:p>
    <w:p w:rsidR="29A26244" w:rsidP="29A26244" w:rsidRDefault="29A26244" w14:paraId="4D16F380" w14:textId="66F65627">
      <w:pPr>
        <w:jc w:val="center"/>
      </w:pPr>
    </w:p>
    <w:p w:rsidR="29A26244" w:rsidP="29A26244" w:rsidRDefault="29A26244" w14:paraId="3AD3C49B" w14:textId="52372AB1">
      <w:pPr>
        <w:jc w:val="center"/>
      </w:pPr>
    </w:p>
    <w:p w:rsidR="29A26244" w:rsidP="29A26244" w:rsidRDefault="29A26244" w14:paraId="26FFDE72" w14:textId="6D0DA0DE">
      <w:pPr>
        <w:jc w:val="center"/>
      </w:pPr>
    </w:p>
    <w:p w:rsidR="29A26244" w:rsidP="29A26244" w:rsidRDefault="29A26244" w14:paraId="6C420975" w14:textId="5F0BA926">
      <w:pPr>
        <w:pStyle w:val="Normal"/>
        <w:jc w:val="center"/>
      </w:pPr>
    </w:p>
    <w:p xmlns:wp14="http://schemas.microsoft.com/office/word/2010/wordml" w14:paraId="09B65B5B" wp14:textId="77777777">
      <w:pPr>
        <w:jc w:val="center"/>
      </w:pPr>
      <w:r>
        <w:rPr>
          <w:b/>
          <w:sz w:val="40"/>
        </w:rPr>
        <w:br/>
      </w:r>
      <w:r>
        <w:rPr>
          <w:b/>
          <w:sz w:val="40"/>
        </w:rPr>
        <w:br/>
      </w:r>
      <w:r>
        <w:rPr>
          <w:b/>
          <w:sz w:val="40"/>
        </w:rPr>
        <w:t>COURSEWORK PORTFOLIO</w:t>
      </w:r>
      <w:r>
        <w:rPr>
          <w:b/>
          <w:sz w:val="40"/>
        </w:rPr>
        <w:br/>
      </w:r>
      <w:r>
        <w:rPr>
          <w:b/>
        </w:rPr>
        <w:t>Component 1: 50% Coursework Portfolio</w:t>
      </w:r>
      <w:r>
        <w:rPr>
          <w:b/>
        </w:rPr>
        <w:br/>
      </w:r>
      <w:r>
        <w:rPr>
          <w:b/>
        </w:rPr>
        <w:br/>
      </w:r>
      <w:r>
        <w:rPr>
          <w:b/>
        </w:rPr>
        <w:t>Health and Social Care</w:t>
      </w:r>
      <w:r>
        <w:rPr>
          <w:b/>
        </w:rPr>
        <w:br/>
      </w:r>
      <w:r>
        <w:rPr>
          <w:b/>
        </w:rPr>
        <w:br/>
      </w:r>
      <w:r>
        <w:t>Task 1: Guided Scenario Response – Domiciliary/Home Support Services</w:t>
      </w:r>
      <w:r>
        <w:br/>
      </w:r>
      <w:r>
        <w:t>Task 2: Essay – Community Pharmacy Services</w:t>
      </w:r>
      <w:r>
        <w:br/>
      </w:r>
      <w:r>
        <w:br/>
      </w:r>
      <w:r>
        <w:t>Student Name: [Insert your name]</w:t>
      </w:r>
      <w:r>
        <w:br/>
      </w:r>
      <w:r>
        <w:t>Student Number: [Insert your student number]</w:t>
      </w:r>
      <w:r>
        <w:br/>
      </w:r>
      <w:r>
        <w:t>Module Code: [Insert module code]</w:t>
      </w:r>
      <w:r>
        <w:br/>
      </w:r>
      <w:r>
        <w:t>Module Title: [Insert module title]</w:t>
      </w:r>
      <w:r>
        <w:br/>
      </w:r>
      <w:r>
        <w:t>Lecturer: [Insert lecturer’s name]</w:t>
      </w:r>
      <w:r>
        <w:br/>
      </w:r>
      <w:r>
        <w:t>Local Authority: Birmingham City Council</w:t>
      </w:r>
      <w:r>
        <w:br/>
      </w:r>
      <w:r>
        <w:t>Submission Date: [Insert date]</w:t>
      </w:r>
      <w:r>
        <w:br/>
      </w:r>
    </w:p>
    <w:p xmlns:wp14="http://schemas.microsoft.com/office/word/2010/wordml" w14:paraId="672A6659" wp14:textId="77777777">
      <w:r>
        <w:br w:type="page"/>
      </w:r>
    </w:p>
    <w:p xmlns:wp14="http://schemas.microsoft.com/office/word/2010/wordml" w14:paraId="406425CA" wp14:textId="77777777">
      <w:pPr>
        <w:pStyle w:val="Heading1"/>
      </w:pPr>
      <w:r>
        <w:t>Contents</w:t>
      </w:r>
    </w:p>
    <w:p xmlns:wp14="http://schemas.microsoft.com/office/word/2010/wordml" w14:paraId="7601BDA1" wp14:textId="77777777">
      <w:r>
        <w:t>Task 1: Guided Scenario Response – Domiciliary/Home Support Services</w:t>
      </w:r>
    </w:p>
    <w:p xmlns:wp14="http://schemas.microsoft.com/office/word/2010/wordml" w14:paraId="32A36C38" wp14:textId="77777777">
      <w:r>
        <w:t>1. Introduction</w:t>
      </w:r>
    </w:p>
    <w:p xmlns:wp14="http://schemas.microsoft.com/office/word/2010/wordml" w14:paraId="3D065250" wp14:textId="77777777">
      <w:r>
        <w:t>2. Impact on the Community</w:t>
      </w:r>
    </w:p>
    <w:p xmlns:wp14="http://schemas.microsoft.com/office/word/2010/wordml" w14:paraId="13632FD5" wp14:textId="77777777">
      <w:r>
        <w:t>3. Recommended Response</w:t>
      </w:r>
    </w:p>
    <w:p xmlns:wp14="http://schemas.microsoft.com/office/word/2010/wordml" w14:paraId="584F9CB5" wp14:textId="77777777">
      <w:r>
        <w:t>4. Conclusion</w:t>
      </w:r>
    </w:p>
    <w:p xmlns:wp14="http://schemas.microsoft.com/office/word/2010/wordml" w14:paraId="42EEAD6A" wp14:textId="77777777">
      <w:r>
        <w:t>Task 2: Essay – Community Pharmacy Services</w:t>
      </w:r>
    </w:p>
    <w:p xmlns:wp14="http://schemas.microsoft.com/office/word/2010/wordml" w14:paraId="2EA8E670" wp14:textId="77777777">
      <w:r>
        <w:t>1. Origins and Historical Context</w:t>
      </w:r>
    </w:p>
    <w:p xmlns:wp14="http://schemas.microsoft.com/office/word/2010/wordml" w14:paraId="3806AF6A" wp14:textId="77777777">
      <w:r>
        <w:t>2. How the Service Functions Today</w:t>
      </w:r>
    </w:p>
    <w:p xmlns:wp14="http://schemas.microsoft.com/office/word/2010/wordml" w14:paraId="3A3B36B7" wp14:textId="77777777">
      <w:r>
        <w:t>3. Significance for Quality of Life</w:t>
      </w:r>
    </w:p>
    <w:p xmlns:wp14="http://schemas.microsoft.com/office/word/2010/wordml" w14:paraId="151C4299" wp14:textId="77777777">
      <w:r>
        <w:t>4. Conclusion</w:t>
      </w:r>
    </w:p>
    <w:p xmlns:wp14="http://schemas.microsoft.com/office/word/2010/wordml" w14:paraId="3D94284D" wp14:textId="77777777">
      <w:r>
        <w:t>Reference List</w:t>
      </w:r>
    </w:p>
    <w:p xmlns:wp14="http://schemas.microsoft.com/office/word/2010/wordml" w14:paraId="0A37501D" wp14:textId="77777777">
      <w:r>
        <w:br w:type="page"/>
      </w:r>
    </w:p>
    <w:p xmlns:wp14="http://schemas.microsoft.com/office/word/2010/wordml" w14:paraId="7930A17A" wp14:textId="77777777">
      <w:pPr>
        <w:pStyle w:val="Heading1"/>
      </w:pPr>
      <w:r>
        <w:t>Task 1: Guided Scenario Response – Domiciliary/Home Support Services</w:t>
      </w:r>
    </w:p>
    <w:p xmlns:wp14="http://schemas.microsoft.com/office/word/2010/wordml" w14:paraId="6F431ABC" wp14:textId="77777777">
      <w:r>
        <w:rPr>
          <w:b/>
        </w:rPr>
        <w:t xml:space="preserve">To: </w:t>
      </w:r>
      <w:r>
        <w:t>Councillor Mariam Khan, Cabinet Member for Health and Adult Social Care, Birmingham City Council</w:t>
      </w:r>
      <w:r>
        <w:br/>
      </w:r>
      <w:r>
        <w:rPr>
          <w:b/>
        </w:rPr>
        <w:t xml:space="preserve">From: </w:t>
      </w:r>
      <w:r>
        <w:t>[Student Name]</w:t>
      </w:r>
      <w:r>
        <w:br/>
      </w:r>
      <w:r>
        <w:rPr>
          <w:b/>
        </w:rPr>
        <w:t xml:space="preserve">Subject: </w:t>
      </w:r>
      <w:r>
        <w:t>Addressing pressure on domiciliary/home support services in Birmingham</w:t>
      </w:r>
      <w:r>
        <w:br/>
      </w:r>
      <w:r>
        <w:rPr>
          <w:b/>
        </w:rPr>
        <w:t xml:space="preserve">Date: </w:t>
      </w:r>
      <w:r>
        <w:t>[Insert date]</w:t>
      </w:r>
    </w:p>
    <w:p xmlns:wp14="http://schemas.microsoft.com/office/word/2010/wordml" w14:paraId="1D17AE44" wp14:textId="77777777">
      <w:pPr>
        <w:pStyle w:val="Heading2"/>
      </w:pPr>
      <w:r>
        <w:t>1. Introduction</w:t>
      </w:r>
    </w:p>
    <w:p xmlns:wp14="http://schemas.microsoft.com/office/word/2010/wordml" w14:paraId="01228460" wp14:textId="77777777">
      <w:r>
        <w:t>Domiciliary care, also referred to as home support, enables adults with care and support needs to remain in their own homes rather than moving unnecessarily into residential settings. The service can include personal care, help with daily living, medication-related support, meal preparation and assistance to maintain independence. This is particularly important in Birmingham because Adult Social Care is designed to support people to live independently in their own homes and communities wherever possible (Birmingham City Council, 2023).</w:t>
      </w:r>
    </w:p>
    <w:p xmlns:wp14="http://schemas.microsoft.com/office/word/2010/wordml" w14:paraId="462E8CC1" wp14:textId="77777777">
      <w:r>
        <w:t>The Care Act 2014 provides the legal framework for adult social care in England. Part 1 places important responsibilities on local authorities. Section 1 requires local authorities to promote individual wellbeing, while section 2 requires them to take steps to prevent, reduce or delay needs for care and support. Section 5 also requires local authorities to promote a sustainable and diverse market of care and support services (Care Act 2014, ss.1–5). These duties mean that Birmingham must consider not only whether services exist, but whether there is sufficient choice, quality and capacity to meet local needs.</w:t>
      </w:r>
    </w:p>
    <w:p xmlns:wp14="http://schemas.microsoft.com/office/word/2010/wordml" w14:paraId="7559B8D4" wp14:textId="77777777">
      <w:pPr>
        <w:pStyle w:val="Heading2"/>
      </w:pPr>
      <w:r>
        <w:t>2. Impact on the Community</w:t>
      </w:r>
    </w:p>
    <w:p xmlns:wp14="http://schemas.microsoft.com/office/word/2010/wordml" w14:paraId="36E22D3C" wp14:textId="77777777">
      <w:r>
        <w:t>Birmingham has a substantial reliance on community-based care. In the year to September 2025, 10,665 people received care and support at home, demonstrating the scale of demand for services that enable people to remain in their communities (Birmingham City Council, 2025). The Council’s market-position work also specifically covers home support and is intended to identify gaps, workforce risks, future demand and supply issues. This indicates that maintaining a sustainable home-support market is a continuing local priority.</w:t>
      </w:r>
    </w:p>
    <w:p xmlns:wp14="http://schemas.microsoft.com/office/word/2010/wordml" w14:paraId="27810AD1" wp14:textId="77777777">
      <w:r>
        <w:t>Workforce availability is an important part of the shortage issue. National workforce evidence shows that home-care employers continue to experience recruitment difficulty: in 2025, 58% of responding domiciliary-care settings identified home-care workers as a particularly difficult role to recruit to (Department of Health and Social Care, 2025). Birmingham’s adult social care workforce was estimated at around 35,000 posts in 2024/25, with approximately 1,600 vacant posts across the sector and a vacancy rate of 4.8% (Skills for Care, 2025). Although these figures do not prove that every Birmingham resident experiences a delay in receiving home care, they demonstrate a workforce vulnerability that could reduce resilience as demand increases.</w:t>
      </w:r>
    </w:p>
    <w:p xmlns:wp14="http://schemas.microsoft.com/office/word/2010/wordml" w14:paraId="15500A0A" wp14:textId="77777777">
      <w:r>
        <w:t>The consequences of insufficient or unstable home support can extend beyond the individual. People may lose independence, experience deterioration in wellbeing, or require greater involvement from unpaid carers. Families can experience stress when formal support is unavailable or inconsistent. There can also be pressure on hospitals if people cannot be safely supported at home after treatment or discharge. A sustainable service therefore contributes to prevention, independence, safeguarding and the wider health and social care system.</w:t>
      </w:r>
    </w:p>
    <w:p xmlns:wp14="http://schemas.microsoft.com/office/word/2010/wordml" w14:paraId="42AED297" wp14:textId="77777777">
      <w:pPr>
        <w:pStyle w:val="Heading2"/>
      </w:pPr>
      <w:r>
        <w:t>3. Recommended Response</w:t>
      </w:r>
    </w:p>
    <w:p xmlns:wp14="http://schemas.microsoft.com/office/word/2010/wordml" w14:paraId="6A9F3216" wp14:textId="77777777">
      <w:r>
        <w:t>Birmingham should adopt a coordinated home-support workforce and market-development programme. First, the Council should use its market intelligence information to identify neighbourhoods and care packages where provider capacity is most vulnerable. The Council already collects market intelligence from home-support providers to identify risks and support its Care Act market-shaping responsibilities (Birmingham City Council, 2025). This information should be reviewed regularly and used to target commissioning activity.</w:t>
      </w:r>
    </w:p>
    <w:p xmlns:wp14="http://schemas.microsoft.com/office/word/2010/wordml" w14:paraId="1E4272E0" wp14:textId="77777777">
      <w:r>
        <w:t>Second, Birmingham should work with providers, colleges and employment services to improve recruitment and retention. Actions could include paid entry routes, improved induction, career-development opportunities, and training for progression from care worker to senior care worker. Providers should also be encouraged to offer more predictable hours and better support for staff wellbeing. The purpose should be to create a stable workforce rather than relying on repeated short-term recruitment.</w:t>
      </w:r>
    </w:p>
    <w:p xmlns:wp14="http://schemas.microsoft.com/office/word/2010/wordml" w14:paraId="763264F6" wp14:textId="77777777">
      <w:r>
        <w:t>Third, commissioning should encourage high-quality and flexible home-support provision. Contracts can include clear expectations around continuity, person-centred care, safeguarding, training and communication with health professionals. Where appropriate, technology and assistive equipment should complement—not replace—human support. Birmingham’s existing Adult Social Care approach already includes equipment and IT solutions alongside assessment, reablement and long-term support (Birmingham City Council, 2023).</w:t>
      </w:r>
    </w:p>
    <w:p xmlns:wp14="http://schemas.microsoft.com/office/word/2010/wordml" w14:paraId="6EA01A38" wp14:textId="77777777">
      <w:r>
        <w:t>Finally, the Council should strengthen joint working with NHS partners, voluntary organisations, housing services and unpaid-carer organisations. Section 6 of the Care Act requires cooperation between the local authority and relevant partners, with the aim of promoting wellbeing and improving the quality of care and support (Care Act 2014, s.6). A joint approach can help identify people earlier, coordinate hospital discharge and reduce avoidable escalation of care needs.</w:t>
      </w:r>
    </w:p>
    <w:p xmlns:wp14="http://schemas.microsoft.com/office/word/2010/wordml" w14:paraId="7F0CDF6C" wp14:textId="77777777">
      <w:pPr>
        <w:pStyle w:val="Heading2"/>
      </w:pPr>
      <w:r>
        <w:t>4. Conclusion</w:t>
      </w:r>
    </w:p>
    <w:p xmlns:wp14="http://schemas.microsoft.com/office/word/2010/wordml" w14:paraId="5FDBF866" wp14:textId="77777777">
      <w:r>
        <w:t>Domiciliary/home support is central to Birmingham’s aim of helping adults remain independent in their communities. The city already supports a large number of people at home, but workforce recruitment and market sustainability create ongoing risks. The Care Act 2014 provides a clear framework through wellbeing, prevention, cooperation and market-shaping duties. Birmingham should therefore combine better workforce development, targeted commissioning, provider engagement and partnership working. This approach would help protect choice and continuity for service users while strengthening the capacity of the local care market.</w:t>
      </w:r>
    </w:p>
    <w:p xmlns:wp14="http://schemas.microsoft.com/office/word/2010/wordml" w14:paraId="5DAB6C7B" wp14:textId="77777777">
      <w:r>
        <w:br w:type="page"/>
      </w:r>
    </w:p>
    <w:p xmlns:wp14="http://schemas.microsoft.com/office/word/2010/wordml" w14:paraId="68C9E3E8" wp14:textId="77777777">
      <w:pPr>
        <w:pStyle w:val="Heading1"/>
      </w:pPr>
      <w:r>
        <w:t>Task 2: Essay – Community Pharmacy Services</w:t>
      </w:r>
    </w:p>
    <w:p xmlns:wp14="http://schemas.microsoft.com/office/word/2010/wordml" w14:paraId="3E7A9F1C" wp14:textId="77777777">
      <w:pPr>
        <w:pStyle w:val="Heading2"/>
      </w:pPr>
      <w:r>
        <w:t>Introduction</w:t>
      </w:r>
    </w:p>
    <w:p xmlns:wp14="http://schemas.microsoft.com/office/word/2010/wordml" w14:paraId="081BBA1E" wp14:textId="77777777">
      <w:r>
        <w:t>Community pharmacy is an important part of the health service in England. Although pharmacies have traditionally been associated with dispensing medicines, their role has developed into a wider primary-care and public-health function. This essay examines the origins and historical development of community pharmacy, critically evaluates how the service operates today, and considers its significance for service users’ quality of life.</w:t>
      </w:r>
    </w:p>
    <w:p xmlns:wp14="http://schemas.microsoft.com/office/word/2010/wordml" w14:paraId="0FDA3895" wp14:textId="77777777">
      <w:pPr>
        <w:pStyle w:val="Heading2"/>
      </w:pPr>
      <w:r>
        <w:t>1. Origins and Historical Context</w:t>
      </w:r>
    </w:p>
    <w:p xmlns:wp14="http://schemas.microsoft.com/office/word/2010/wordml" w14:paraId="0F084946" wp14:textId="77777777">
      <w:r>
        <w:t>The modern professionalisation of pharmacy in Great Britain can be traced to the foundation of the Pharmaceutical Society in 1841. During the nineteenth century, pharmacy developed through professional education, examinations and registration. Before the NHS, community pharmacists commonly supplied medicines but also provided advice to people who might have found medical consultations difficult to afford (Anderson, 2007). Pharmacies were therefore accessible points of contact within local communities.</w:t>
      </w:r>
    </w:p>
    <w:p xmlns:wp14="http://schemas.microsoft.com/office/word/2010/wordml" w14:paraId="279D1E27" wp14:textId="77777777">
      <w:r>
        <w:t>A major turning point occurred on 5 July 1948, when the NHS was established. The introduction of free NHS prescriptions substantially increased the volume of dispensing undertaken by community pharmacies. Historical evidence indicates that prescriptions dispensed through pharmacies rose dramatically after the NHS was created (Anderson, 2007). At the same time, the increasing availability of ready-made medicines and changes in professional education altered pharmacists’ work. Pharmacy became increasingly associated with safe and efficient supply of medicines rather than the broader informal advisory role that had existed previously.</w:t>
      </w:r>
    </w:p>
    <w:p xmlns:wp14="http://schemas.microsoft.com/office/word/2010/wordml" w14:paraId="31A8F96D" wp14:textId="77777777">
      <w:r>
        <w:t>From the late twentieth century onwards, policy began to recognise that pharmacists could contribute more widely to health promotion and public health. The role gradually expanded from dispensing towards medicines management, health advice and prevention. This development reflects a wider change in primary care: healthcare systems increasingly seek to use appropriately trained professionals outside hospitals and GP surgeries to improve access and manage demand.</w:t>
      </w:r>
    </w:p>
    <w:p xmlns:wp14="http://schemas.microsoft.com/office/word/2010/wordml" w14:paraId="7BC42DDA" wp14:textId="77777777">
      <w:pPr>
        <w:pStyle w:val="Heading2"/>
      </w:pPr>
      <w:r>
        <w:t>2. How the Service Functions Today</w:t>
      </w:r>
    </w:p>
    <w:p xmlns:wp14="http://schemas.microsoft.com/office/word/2010/wordml" w14:paraId="4C38774C" wp14:textId="77777777">
      <w:r>
        <w:t>Today, community pharmacy in England operates through the NHS Community Pharmacy Contractual Framework, which establishes essential and additional services. Pharmacies continue to dispense prescriptions and provide advice, but many also deliver clinical and public-health services. NHS England’s Pharmacy First service is an important example. It enables participating pharmacies to assess and manage specified common conditions through defined clinical pathways, including advice, self-care and, where appropriate, medicines supplied under relevant arrangements (NHS England, 2023).</w:t>
      </w:r>
    </w:p>
    <w:p xmlns:wp14="http://schemas.microsoft.com/office/word/2010/wordml" w14:paraId="05DDAC24" wp14:textId="77777777">
      <w:r>
        <w:t>The current model can improve access because pharmacies are often located within local neighbourhoods and do not require every patient to obtain a GP appointment. NHS England has reported that around 22 million adults in England visit a community pharmacy for advice about a minor health problem each year, illustrating the scale of contact between the public and pharmacy teams (NHS England, 2024). Community pharmacies can also provide services such as blood-pressure checks, contraception and smoking-cessation support, depending on the pharmacy’s commissioned services and staff competence.</w:t>
      </w:r>
    </w:p>
    <w:p xmlns:wp14="http://schemas.microsoft.com/office/word/2010/wordml" w14:paraId="6E1AFCA7" wp14:textId="77777777">
      <w:r>
        <w:t>However, the service also faces challenges. Community pharmacy is operating within financial, workforce and workload pressures, while some pharmacies have closed or changed their services. The House of Commons Library’s 2026 briefing identifies funding, services, workforce and pharmacy closures as important issues affecting community pharmacy in England (Balogun and Harker, 2026). This creates a critical tension: policy increasingly expects pharmacies to provide more clinical services, while pharmacies must also maintain safe dispensing and business operations. Expansion therefore requires appropriate staffing, funding, training and digital connectivity.</w:t>
      </w:r>
    </w:p>
    <w:p xmlns:wp14="http://schemas.microsoft.com/office/word/2010/wordml" w14:paraId="4AA25C52" wp14:textId="77777777">
      <w:pPr>
        <w:pStyle w:val="Heading2"/>
      </w:pPr>
      <w:r>
        <w:t>3. Significance for Quality of Life</w:t>
      </w:r>
    </w:p>
    <w:p xmlns:wp14="http://schemas.microsoft.com/office/word/2010/wordml" w14:paraId="569A05A9" wp14:textId="77777777">
      <w:r>
        <w:t>Community pharmacy can enhance quality of life by making healthcare more accessible and convenient. A person with a minor illness may be able to receive assessment and advice without waiting for a GP appointment. For people living with long-term conditions, pharmacists can support safe use of medicines and encourage appropriate self-management. Easy access to professional advice can also reduce uncertainty and help people understand when they should seek further medical attention.</w:t>
      </w:r>
    </w:p>
    <w:p xmlns:wp14="http://schemas.microsoft.com/office/word/2010/wordml" w14:paraId="32681ADB" wp14:textId="77777777">
      <w:r>
        <w:t>The service can also contribute to prevention. Pharmacy teams can provide health-promotion advice and services such as blood-pressure checks and smoking cessation. These interventions are significant because prevention can identify health risks earlier and support behaviour change. Community pharmacy therefore contributes not only to treatment but also to maintaining health and independence.</w:t>
      </w:r>
    </w:p>
    <w:p xmlns:wp14="http://schemas.microsoft.com/office/word/2010/wordml" w14:paraId="5FADDE17" wp14:textId="77777777">
      <w:r>
        <w:t>Nevertheless, quality of life benefits depend on service availability and quality. If local pharmacies reduce opening hours or close, some communities may experience poorer access. Digital systems and referral pathways must also work effectively so that pharmacists can communicate with other healthcare professionals. The value of community pharmacy is therefore strongest when it operates as an integrated part of primary care rather than as an isolated retail service.</w:t>
      </w:r>
    </w:p>
    <w:p xmlns:wp14="http://schemas.microsoft.com/office/word/2010/wordml" w14:paraId="104FD587" wp14:textId="77777777">
      <w:pPr>
        <w:pStyle w:val="Heading2"/>
      </w:pPr>
      <w:r>
        <w:t>4. Conclusion</w:t>
      </w:r>
    </w:p>
    <w:p xmlns:wp14="http://schemas.microsoft.com/office/word/2010/wordml" w14:paraId="117A4D4C" wp14:textId="77777777">
      <w:r>
        <w:t>Community pharmacy has evolved considerably from its nineteenth-century professional foundations and its traditional role in dispensing and advice. The NHS transformed pharmacy practice after 1948, while later policy expanded pharmacists’ contribution to public health and primary care. Today, services such as Pharmacy First demonstrate the increasingly clinical role of community pharmacy. The service can improve access, support medicine safety, promote prevention and contribute to quality of life. However, workforce, funding and pharmacy-closure pressures must be considered if the expansion of community pharmacy is to remain safe, sustainable and accessible to service users.</w:t>
      </w:r>
    </w:p>
    <w:p xmlns:wp14="http://schemas.microsoft.com/office/word/2010/wordml" w14:paraId="02EB378F" wp14:textId="77777777">
      <w:r>
        <w:br w:type="page"/>
      </w:r>
    </w:p>
    <w:p xmlns:wp14="http://schemas.microsoft.com/office/word/2010/wordml" w14:paraId="1F990036" wp14:textId="77777777">
      <w:pPr>
        <w:pStyle w:val="Heading1"/>
      </w:pPr>
      <w:r>
        <w:t>Reference List</w:t>
      </w:r>
    </w:p>
    <w:p xmlns:wp14="http://schemas.microsoft.com/office/word/2010/wordml" w14:paraId="413394B4" wp14:textId="77777777">
      <w:r>
        <w:t>Allinson, J. and Harker, R. (2026) Community pharmacy in England. House of Commons Library Research Briefing CBP-9854. Available at: https://commonslibrary.parliament.uk/research-briefings/cbp-9854/ (Accessed: 28 September 2026).</w:t>
      </w:r>
    </w:p>
    <w:p xmlns:wp14="http://schemas.microsoft.com/office/word/2010/wordml" w14:paraId="2F4AF60C" wp14:textId="77777777">
      <w:r>
        <w:t>Anderson, S. (2007) ‘Community pharmacy and public health in Great Britain, 1936 to 2006: how a phoenix rose from the ashes’, Journal of Epidemiology and Community Health, 61(10), pp. 844–846. Available at: https://pmc.ncbi.nlm.nih.gov/articles/PMC2652958/ (Accessed: 28 September 2026).</w:t>
      </w:r>
    </w:p>
    <w:p xmlns:wp14="http://schemas.microsoft.com/office/word/2010/wordml" w14:paraId="037525EA" wp14:textId="77777777">
      <w:r>
        <w:t>Birmingham City Council (2023) How Adult Social Care Works. Available at: https://www.birmingham.gov.uk/info/20018/adult_social_care/2703/how_adult_social_care_works (Accessed: 28 September 2026).</w:t>
      </w:r>
    </w:p>
    <w:p xmlns:wp14="http://schemas.microsoft.com/office/word/2010/wordml" w14:paraId="4F37C7E5" wp14:textId="77777777">
      <w:r>
        <w:t>Birmingham City Council (2025) Market Position Statements / Home Support. Available at: https://www.birmingham.gov.uk/info/50173/information_for_care_providers/2669/commissioning_strategies/2 (Accessed: 28 September 2026).</w:t>
      </w:r>
    </w:p>
    <w:p xmlns:wp14="http://schemas.microsoft.com/office/word/2010/wordml" w14:paraId="283B7854" wp14:textId="77777777">
      <w:r>
        <w:t>Birmingham City Council (2025) Summary Version Adult Social Care CQC Self-Assessment. Available at: https://www.birmingham.gov.uk/download/downloads/id/31171/cqc_self-assessment_summary.pdf (Accessed: 28 September 2026).</w:t>
      </w:r>
    </w:p>
    <w:p xmlns:wp14="http://schemas.microsoft.com/office/word/2010/wordml" w14:paraId="526F6580" wp14:textId="77777777">
      <w:r>
        <w:t>Care Act 2014, c.23. Part 1: Care and support. Available at: https://www.legislation.gov.uk/ukpga/2014/23/contents (Accessed: 28 September 2026).</w:t>
      </w:r>
    </w:p>
    <w:p xmlns:wp14="http://schemas.microsoft.com/office/word/2010/wordml" w14:paraId="38703A8D" wp14:textId="77777777">
      <w:r>
        <w:t>Department of Health and Social Care (2025) Adult social care workforce survey: April 2025 report. Available at: https://www.gov.uk/government/statistics/adult-social-care-workforce-survey-april-2025/adult-social-care-workforce-survey-april-2025-report (Accessed: 28 September 2026).</w:t>
      </w:r>
    </w:p>
    <w:p xmlns:wp14="http://schemas.microsoft.com/office/word/2010/wordml" w14:paraId="325977FB" wp14:textId="77777777">
      <w:r>
        <w:t>NHS England (2023) Community Pharmacy advanced service specification: NHS Pharmacy First Service. Available at: https://www.england.nhs.uk/wp-content/uploads/2023/11/PRN00936-i-Community-pharmacy-advanced-service-specification-NHS-pharmacy-first-service-November-2023.pdf (Accessed: 28 September 2026).</w:t>
      </w:r>
    </w:p>
    <w:p xmlns:wp14="http://schemas.microsoft.com/office/word/2010/wordml" w14:paraId="2985EA32" wp14:textId="77777777">
      <w:r>
        <w:t>NHS England (2024) Update on the Pharmacy First service. Available at: https://www.england.nhs.uk/long-read/update-on-the-pharmacy-first-service/ (Accessed: 28 September 2026).</w:t>
      </w:r>
    </w:p>
    <w:p xmlns:wp14="http://schemas.microsoft.com/office/word/2010/wordml" w14:paraId="5743C2E0" wp14:textId="77777777">
      <w:r>
        <w:t>Skills for Care (2025) Birmingham Summary: Adult Social Care Workforce Data 2024/25. Available at: https://www.skillsforcare.org.uk/Adult-Social-Care-Workforce-Data/workforceintelligence/resources/Reports/Local/2025/West-Midlands/Birmingham-Summary.pdf (Accessed: 28 September 2026).</w:t>
      </w:r>
    </w:p>
    <w:sectPr w:rsidRPr="0006063C" w:rsidR="00FC693F" w:rsidSect="00034616">
      <w:footerReference w:type="default" r:id="rId9"/>
      <w:pgSz w:w="12240" w:h="15840" w:orient="portrait"/>
      <w:pgMar w:top="108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133EDD17" wp14:textId="77777777">
    <w:pPr>
      <w:pStyle w:val="Footer"/>
      <w:jc w:val="center"/>
    </w:pPr>
    <w:r>
      <w:fldChar w:fldCharType="begin"/>
    </w:r>
    <w:r>
      <w:instrText xml:space="preserve">PAGE</w:instrText>
    </w:r>
    <w: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A4A7996"/>
    <w:rsid w:val="29A26244"/>
    <w:rsid w:val="29A3A5EA"/>
    <w:rsid w:val="2F554A67"/>
    <w:rsid w:val="31A6D6F0"/>
    <w:rsid w:val="3B336E7F"/>
    <w:rsid w:val="400F27DB"/>
    <w:rsid w:val="40E296B8"/>
    <w:rsid w:val="58A6ADF2"/>
    <w:rsid w:val="691AAD73"/>
    <w:rsid w:val="727EACF2"/>
    <w:rsid w:val="7957C8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CB3C77D6-ACEB-4762-8ACE-0E777F90C1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spacing w:after="120" w:line="360" w:lineRule="auto"/>
    </w:pPr>
    <w:rPr>
      <w:rFonts w:ascii="Arial" w:hAnsi="Arial" w:eastAsia="Arial"/>
      <w:sz w:val="22"/>
    </w:rPr>
  </w:style>
  <w:style w:type="paragraph" w:styleId="Header">
    <w:name w:val="header"/>
    <w:basedOn w:val="Normal"/>
    <w:link w:val="HeaderChar"/>
    <w:uiPriority w:val="99"/>
    <w:unhideWhenUsed/>
    <w:rsid w:val="00E618BF"/>
    <w:pPr>
      <w:tabs>
        <w:tab w:val="center" w:pos="4680"/>
        <w:tab w:val="right" w:pos="9360"/>
      </w:tabs>
      <w:spacing w:after="120" w:line="36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120" w:line="36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20" w:line="360" w:lineRule="auto"/>
      <w:outlineLvl w:val="0"/>
    </w:pPr>
    <w:rPr>
      <w:rFonts w:ascii="Arial" w:hAnsi="Arial" w:eastAsia="Arial" w:asciiTheme="majorHAnsi" w:hAnsiTheme="majorHAnsi" w:eastAsiaTheme="majorEastAsia"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120" w:line="360" w:lineRule="auto"/>
      <w:outlineLvl w:val="1"/>
    </w:pPr>
    <w:rPr>
      <w:rFonts w:ascii="Arial" w:hAnsi="Arial" w:eastAsia="Arial" w:asciiTheme="majorHAnsi" w:hAnsiTheme="majorHAnsi" w:eastAsiaTheme="majorEastAsia"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120" w:line="360" w:lineRule="auto"/>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120" w:line="360" w:lineRule="auto"/>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120" w:line="360" w:lineRule="auto"/>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120" w:line="360" w:lineRule="auto"/>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120" w:line="360" w:lineRule="auto"/>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120" w:line="360" w:lineRule="auto"/>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120" w:line="360" w:lineRule="auto"/>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pPr>
      <w:spacing w:after="120" w:line="360" w:lineRule="auto"/>
    </w:pPr>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120" w:line="36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120" w:line="360" w:lineRule="auto"/>
      <w:contextualSpacing/>
    </w:pPr>
    <w:rPr>
      <w:rFonts w:ascii="Arial" w:hAnsi="Arial" w:eastAsia="Arial" w:asciiTheme="majorHAnsi" w:hAnsiTheme="majorHAnsi" w:eastAsiaTheme="majorEastAsia" w:cstheme="majorBidi"/>
      <w:color w:val="17365D" w:themeColor="text2" w:themeShade="BF"/>
      <w:spacing w:val="5"/>
      <w:kern w:val="28"/>
      <w:sz w:val="40"/>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20" w:line="360" w:lineRule="auto"/>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spacing w:after="120" w:line="360" w:lineRule="auto"/>
      <w:ind w:left="720"/>
      <w:contextualSpacing/>
    </w:pPr>
  </w:style>
  <w:style w:type="paragraph" w:styleId="BodyText">
    <w:name w:val="Body Text"/>
    <w:basedOn w:val="Normal"/>
    <w:link w:val="BodyTextChar"/>
    <w:uiPriority w:val="99"/>
    <w:unhideWhenUsed/>
    <w:rsid w:val="00AA1D8D"/>
    <w:pPr>
      <w:spacing w:after="120" w:line="360" w:lineRule="auto"/>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36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line="360" w:lineRule="auto"/>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spacing w:after="120" w:line="360" w:lineRule="auto"/>
      <w:ind w:left="360" w:hanging="360"/>
      <w:contextualSpacing/>
    </w:pPr>
  </w:style>
  <w:style w:type="paragraph" w:styleId="List2">
    <w:name w:val="List 2"/>
    <w:basedOn w:val="Normal"/>
    <w:uiPriority w:val="99"/>
    <w:unhideWhenUsed/>
    <w:rsid w:val="00326F90"/>
    <w:pPr>
      <w:spacing w:after="120" w:line="360" w:lineRule="auto"/>
      <w:ind w:left="720" w:hanging="360"/>
      <w:contextualSpacing/>
    </w:pPr>
  </w:style>
  <w:style w:type="paragraph" w:styleId="List3">
    <w:name w:val="List 3"/>
    <w:basedOn w:val="Normal"/>
    <w:uiPriority w:val="99"/>
    <w:unhideWhenUsed/>
    <w:rsid w:val="00326F90"/>
    <w:pPr>
      <w:spacing w:after="120" w:line="360" w:lineRule="auto"/>
      <w:ind w:left="1080" w:hanging="360"/>
      <w:contextualSpacing/>
    </w:pPr>
  </w:style>
  <w:style w:type="paragraph" w:styleId="ListBullet">
    <w:name w:val="List Bullet"/>
    <w:basedOn w:val="Normal"/>
    <w:uiPriority w:val="99"/>
    <w:unhideWhenUsed/>
    <w:rsid w:val="00326F90"/>
    <w:pPr>
      <w:numPr>
        <w:numId w:val="1"/>
      </w:numPr>
      <w:spacing w:after="120" w:line="360" w:lineRule="auto"/>
      <w:contextualSpacing/>
    </w:pPr>
  </w:style>
  <w:style w:type="paragraph" w:styleId="ListBullet2">
    <w:name w:val="List Bullet 2"/>
    <w:basedOn w:val="Normal"/>
    <w:uiPriority w:val="99"/>
    <w:unhideWhenUsed/>
    <w:rsid w:val="00326F90"/>
    <w:pPr>
      <w:numPr>
        <w:numId w:val="2"/>
      </w:numPr>
      <w:spacing w:after="120" w:line="360" w:lineRule="auto"/>
      <w:contextualSpacing/>
    </w:pPr>
  </w:style>
  <w:style w:type="paragraph" w:styleId="ListBullet3">
    <w:name w:val="List Bullet 3"/>
    <w:basedOn w:val="Normal"/>
    <w:uiPriority w:val="99"/>
    <w:unhideWhenUsed/>
    <w:rsid w:val="00326F90"/>
    <w:pPr>
      <w:numPr>
        <w:numId w:val="3"/>
      </w:numPr>
      <w:spacing w:after="120" w:line="360" w:lineRule="auto"/>
      <w:contextualSpacing/>
    </w:pPr>
  </w:style>
  <w:style w:type="paragraph" w:styleId="ListNumber">
    <w:name w:val="List Number"/>
    <w:basedOn w:val="Normal"/>
    <w:uiPriority w:val="99"/>
    <w:unhideWhenUsed/>
    <w:rsid w:val="00326F90"/>
    <w:pPr>
      <w:numPr>
        <w:numId w:val="5"/>
      </w:numPr>
      <w:spacing w:after="120" w:line="360" w:lineRule="auto"/>
      <w:contextualSpacing/>
    </w:pPr>
  </w:style>
  <w:style w:type="paragraph" w:styleId="ListNumber2">
    <w:name w:val="List Number 2"/>
    <w:basedOn w:val="Normal"/>
    <w:uiPriority w:val="99"/>
    <w:unhideWhenUsed/>
    <w:rsid w:val="0029639D"/>
    <w:pPr>
      <w:numPr>
        <w:numId w:val="6"/>
      </w:numPr>
      <w:spacing w:after="120" w:line="360" w:lineRule="auto"/>
      <w:contextualSpacing/>
    </w:pPr>
  </w:style>
  <w:style w:type="paragraph" w:styleId="ListNumber3">
    <w:name w:val="List Number 3"/>
    <w:basedOn w:val="Normal"/>
    <w:uiPriority w:val="99"/>
    <w:unhideWhenUsed/>
    <w:rsid w:val="0029639D"/>
    <w:pPr>
      <w:numPr>
        <w:numId w:val="7"/>
      </w:numPr>
      <w:spacing w:after="120" w:line="360" w:lineRule="auto"/>
      <w:contextualSpacing/>
    </w:pPr>
  </w:style>
  <w:style w:type="paragraph" w:styleId="ListContinue">
    <w:name w:val="List Continue"/>
    <w:basedOn w:val="Normal"/>
    <w:uiPriority w:val="99"/>
    <w:unhideWhenUsed/>
    <w:rsid w:val="0029639D"/>
    <w:pPr>
      <w:spacing w:after="120" w:line="360" w:lineRule="auto"/>
      <w:ind w:left="360"/>
      <w:contextualSpacing/>
    </w:pPr>
  </w:style>
  <w:style w:type="paragraph" w:styleId="ListContinue2">
    <w:name w:val="List Continue 2"/>
    <w:basedOn w:val="Normal"/>
    <w:uiPriority w:val="99"/>
    <w:unhideWhenUsed/>
    <w:rsid w:val="0029639D"/>
    <w:pPr>
      <w:spacing w:after="120" w:line="360" w:lineRule="auto"/>
      <w:ind w:left="720"/>
      <w:contextualSpacing/>
    </w:pPr>
  </w:style>
  <w:style w:type="paragraph" w:styleId="ListContinue3">
    <w:name w:val="List Continue 3"/>
    <w:basedOn w:val="Normal"/>
    <w:uiPriority w:val="99"/>
    <w:unhideWhenUsed/>
    <w:rsid w:val="0029639D"/>
    <w:pPr>
      <w:spacing w:after="120" w:line="360" w:lineRule="auto"/>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spacing w:after="120" w:line="360" w:lineRule="auto"/>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after="120" w:line="360" w:lineRule="auto"/>
    </w:pPr>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after="120" w:line="36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120" w:line="360" w:lineRule="auto"/>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spacing w:after="120" w:line="360" w:lineRule="auto"/>
      <w:outlineLvl w:val="9"/>
    </w:pPr>
  </w:style>
  <w:style w:type="table" w:styleId="TableGrid">
    <w:name w:val="Table Grid"/>
    <w:basedOn w:val="TableNormal"/>
    <w:uiPriority w:val="59"/>
    <w:rsid w:val="00FC693F"/>
    <w:pPr>
      <w:spacing w:after="120" w:line="36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120" w:line="36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120" w:line="36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120" w:line="36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120" w:line="36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120" w:line="36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120" w:line="36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120" w:line="36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120" w:line="36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120" w:line="36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120" w:line="36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120" w:line="36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120" w:line="36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120" w:line="36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120" w:line="36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120" w:line="36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120" w:line="36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120" w:line="36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120" w:line="36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120" w:line="36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120" w:line="36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120" w:line="36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120" w:line="36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120" w:line="36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120" w:line="36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120" w:line="36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120" w:line="36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120" w:line="36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120" w:line="36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120" w:line="36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120" w:line="36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120" w:line="36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120" w:line="36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120" w:line="36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120" w:line="36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120" w:line="36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120" w:line="36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120" w:line="36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120" w:line="36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120" w:line="36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120" w:line="36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120" w:line="36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120" w:line="36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120" w:line="36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120" w:line="36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120" w:line="36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120" w:line="36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120" w:line="36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120" w:line="36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120" w:line="36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120" w:line="36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120" w:line="36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120" w:line="36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120" w:line="36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120" w:line="36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120" w:line="36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120" w:line="36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120" w:line="36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120" w:line="36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120" w:line="36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120" w:line="36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120" w:line="36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120" w:line="36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120" w:line="36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120" w:line="36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120" w:line="36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120" w:line="36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120" w:line="36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120" w:line="36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120" w:line="36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120" w:line="36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120" w:line="36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120" w:line="36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120" w:line="36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120" w:line="36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120" w:line="36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120" w:line="36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120" w:line="36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120" w:line="36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120" w:line="36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120" w:line="36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120" w:line="36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120" w:line="36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120" w:line="36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120" w:line="36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120" w:line="36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Tabasom Zaman (2331696)</lastModifiedBy>
  <revision>2</revision>
  <dcterms:created xsi:type="dcterms:W3CDTF">2013-12-23T23:15:00.0000000Z</dcterms:created>
  <dcterms:modified xsi:type="dcterms:W3CDTF">2026-10-02T21:52:56.2664768Z</dcterms:modified>
  <category/>
</coreProperties>
</file>