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531A" w14:textId="77777777" w:rsidR="008B2A3B" w:rsidRPr="00F74F30" w:rsidRDefault="008B2A3B" w:rsidP="008B2A3B">
      <w:pPr>
        <w:rPr>
          <w:bCs/>
        </w:rPr>
      </w:pPr>
      <w:r w:rsidRPr="00F74F30">
        <w:rPr>
          <w:bCs/>
        </w:rPr>
        <w:t xml:space="preserve">IN THE HIGH COURT OF ENGLAND AND WALES </w:t>
      </w:r>
    </w:p>
    <w:p w14:paraId="7858E72E" w14:textId="77777777" w:rsidR="008B2A3B" w:rsidRPr="00F74F30" w:rsidRDefault="008B2A3B" w:rsidP="008B2A3B">
      <w:pPr>
        <w:rPr>
          <w:bCs/>
        </w:rPr>
      </w:pPr>
      <w:r w:rsidRPr="00F74F30">
        <w:rPr>
          <w:bCs/>
        </w:rPr>
        <w:t>(CHANCERY DIVISION)</w:t>
      </w:r>
    </w:p>
    <w:p w14:paraId="05A9CEA5" w14:textId="77777777" w:rsidR="008B2A3B" w:rsidRPr="00F74F30" w:rsidRDefault="008B2A3B" w:rsidP="008B2A3B">
      <w:pPr>
        <w:rPr>
          <w:bCs/>
        </w:rPr>
      </w:pPr>
      <w:r w:rsidRPr="00F74F30">
        <w:rPr>
          <w:bCs/>
        </w:rPr>
        <w:t>CLAIM NUMBER: 2024/840A3</w:t>
      </w:r>
    </w:p>
    <w:p w14:paraId="5E693807" w14:textId="77777777" w:rsidR="008B2A3B" w:rsidRPr="00F74F30" w:rsidRDefault="008B2A3B" w:rsidP="008B2A3B">
      <w:pPr>
        <w:rPr>
          <w:bCs/>
        </w:rPr>
      </w:pPr>
      <w:r w:rsidRPr="00F74F30">
        <w:rPr>
          <w:bCs/>
        </w:rPr>
        <w:t>BETWEEN:</w:t>
      </w:r>
    </w:p>
    <w:tbl>
      <w:tblPr>
        <w:tblW w:w="9030" w:type="dxa"/>
        <w:tblLayout w:type="fixed"/>
        <w:tblLook w:val="04A0" w:firstRow="1" w:lastRow="0" w:firstColumn="1" w:lastColumn="0" w:noHBand="0" w:noVBand="1"/>
      </w:tblPr>
      <w:tblGrid>
        <w:gridCol w:w="1418"/>
        <w:gridCol w:w="6233"/>
        <w:gridCol w:w="1379"/>
      </w:tblGrid>
      <w:tr w:rsidR="008B2A3B" w:rsidRPr="00F74F30" w14:paraId="49C485F7" w14:textId="77777777" w:rsidTr="00B076D0">
        <w:trPr>
          <w:trHeight w:val="757"/>
        </w:trPr>
        <w:tc>
          <w:tcPr>
            <w:tcW w:w="1418" w:type="dxa"/>
          </w:tcPr>
          <w:p w14:paraId="05974534" w14:textId="77777777" w:rsidR="008B2A3B" w:rsidRPr="00F74F30" w:rsidRDefault="008B2A3B" w:rsidP="00B076D0"/>
        </w:tc>
        <w:tc>
          <w:tcPr>
            <w:tcW w:w="6237" w:type="dxa"/>
            <w:hideMark/>
          </w:tcPr>
          <w:p w14:paraId="17469B82" w14:textId="77777777" w:rsidR="008B2A3B" w:rsidRPr="00F74F30" w:rsidRDefault="008B2A3B" w:rsidP="00B076D0">
            <w:r w:rsidRPr="00F74F30">
              <w:t>SARAH MORGAN</w:t>
            </w:r>
          </w:p>
        </w:tc>
        <w:tc>
          <w:tcPr>
            <w:tcW w:w="1380" w:type="dxa"/>
            <w:hideMark/>
          </w:tcPr>
          <w:p w14:paraId="0AC885E0" w14:textId="77777777" w:rsidR="008B2A3B" w:rsidRPr="00F74F30" w:rsidRDefault="008B2A3B" w:rsidP="00B076D0">
            <w:pPr>
              <w:rPr>
                <w:u w:val="single"/>
              </w:rPr>
            </w:pPr>
            <w:r w:rsidRPr="00F74F30">
              <w:rPr>
                <w:u w:val="single"/>
              </w:rPr>
              <w:t xml:space="preserve">Claimant </w:t>
            </w:r>
          </w:p>
        </w:tc>
      </w:tr>
      <w:tr w:rsidR="008B2A3B" w:rsidRPr="00F74F30" w14:paraId="0D2B0173" w14:textId="77777777" w:rsidTr="00B076D0">
        <w:trPr>
          <w:trHeight w:val="757"/>
        </w:trPr>
        <w:tc>
          <w:tcPr>
            <w:tcW w:w="1418" w:type="dxa"/>
          </w:tcPr>
          <w:p w14:paraId="1354394A" w14:textId="77777777" w:rsidR="008B2A3B" w:rsidRPr="00F74F30" w:rsidRDefault="008B2A3B" w:rsidP="00B076D0"/>
        </w:tc>
        <w:tc>
          <w:tcPr>
            <w:tcW w:w="6237" w:type="dxa"/>
            <w:hideMark/>
          </w:tcPr>
          <w:p w14:paraId="21267638" w14:textId="77777777" w:rsidR="008B2A3B" w:rsidRPr="00F74F30" w:rsidRDefault="008B2A3B" w:rsidP="00B076D0">
            <w:r w:rsidRPr="00F74F30">
              <w:t>-and-</w:t>
            </w:r>
          </w:p>
        </w:tc>
        <w:tc>
          <w:tcPr>
            <w:tcW w:w="1380" w:type="dxa"/>
          </w:tcPr>
          <w:p w14:paraId="5B920DDF" w14:textId="77777777" w:rsidR="008B2A3B" w:rsidRPr="00F74F30" w:rsidRDefault="008B2A3B" w:rsidP="00B076D0"/>
        </w:tc>
      </w:tr>
      <w:tr w:rsidR="008B2A3B" w:rsidRPr="00F74F30" w14:paraId="02F8A564" w14:textId="77777777" w:rsidTr="00B076D0">
        <w:trPr>
          <w:trHeight w:val="757"/>
        </w:trPr>
        <w:tc>
          <w:tcPr>
            <w:tcW w:w="1418" w:type="dxa"/>
          </w:tcPr>
          <w:p w14:paraId="45E35FA9" w14:textId="77777777" w:rsidR="008B2A3B" w:rsidRPr="00F74F30" w:rsidRDefault="008B2A3B" w:rsidP="00B076D0"/>
        </w:tc>
        <w:tc>
          <w:tcPr>
            <w:tcW w:w="6237" w:type="dxa"/>
            <w:hideMark/>
          </w:tcPr>
          <w:p w14:paraId="3ED9A9CA" w14:textId="77777777" w:rsidR="008B2A3B" w:rsidRPr="00F74F30" w:rsidRDefault="008B2A3B" w:rsidP="00B076D0">
            <w:r w:rsidRPr="00F74F30">
              <w:t>JENNIFER WILLIAMS</w:t>
            </w:r>
          </w:p>
        </w:tc>
        <w:tc>
          <w:tcPr>
            <w:tcW w:w="1380" w:type="dxa"/>
            <w:hideMark/>
          </w:tcPr>
          <w:p w14:paraId="3F538A97" w14:textId="77777777" w:rsidR="008B2A3B" w:rsidRPr="00F74F30" w:rsidRDefault="008B2A3B" w:rsidP="00B076D0">
            <w:r w:rsidRPr="00F74F30">
              <w:rPr>
                <w:u w:val="single"/>
              </w:rPr>
              <w:t>Defendant</w:t>
            </w:r>
          </w:p>
        </w:tc>
      </w:tr>
    </w:tbl>
    <w:p w14:paraId="17ED9B56" w14:textId="77777777" w:rsidR="008B2A3B" w:rsidRPr="00F74F30" w:rsidRDefault="008B2A3B" w:rsidP="008B2A3B">
      <w:pPr>
        <w:rPr>
          <w:b/>
          <w:bCs/>
        </w:rPr>
      </w:pPr>
      <w:r w:rsidRPr="00F74F30">
        <w:rPr>
          <w:b/>
          <w:bCs/>
        </w:rPr>
        <w:tab/>
      </w:r>
    </w:p>
    <w:p w14:paraId="116CF9F4" w14:textId="77777777" w:rsidR="008B2A3B" w:rsidRPr="00F74F30" w:rsidRDefault="008B2A3B" w:rsidP="008B2A3B">
      <w:pPr>
        <w:rPr>
          <w:b/>
          <w:bCs/>
        </w:rPr>
      </w:pPr>
    </w:p>
    <w:p w14:paraId="1CBDC99A" w14:textId="77777777" w:rsidR="008B2A3B" w:rsidRPr="00F74F30" w:rsidRDefault="008B2A3B" w:rsidP="008B2A3B">
      <w:pPr>
        <w:rPr>
          <w:b/>
          <w:bCs/>
        </w:rPr>
      </w:pPr>
      <w:r w:rsidRPr="00F74F30">
        <w:rPr>
          <w:b/>
          <w:bCs/>
        </w:rPr>
        <w:t xml:space="preserve">Skeleton argument on behalf of </w:t>
      </w:r>
      <w:r>
        <w:rPr>
          <w:b/>
          <w:bCs/>
        </w:rPr>
        <w:t>the Defendant, Jennifer Williams</w:t>
      </w:r>
    </w:p>
    <w:p w14:paraId="37EBE91F" w14:textId="77777777" w:rsidR="008B2A3B" w:rsidRPr="00F74F30" w:rsidRDefault="008B2A3B" w:rsidP="008B2A3B">
      <w:pPr>
        <w:rPr>
          <w:b/>
          <w:bCs/>
        </w:rPr>
      </w:pPr>
    </w:p>
    <w:p w14:paraId="71414A48" w14:textId="47FB561A" w:rsidR="008B2A3B" w:rsidRPr="00063C46" w:rsidRDefault="008B2A3B" w:rsidP="00063C46">
      <w:pPr>
        <w:pStyle w:val="ListParagraph"/>
        <w:numPr>
          <w:ilvl w:val="0"/>
          <w:numId w:val="1"/>
        </w:numPr>
        <w:spacing w:line="360" w:lineRule="auto"/>
        <w:rPr>
          <w:rFonts w:ascii="Arial" w:hAnsi="Arial" w:cs="Arial"/>
          <w:b/>
          <w:bCs/>
        </w:rPr>
      </w:pPr>
      <w:r w:rsidRPr="00063C46">
        <w:rPr>
          <w:rFonts w:ascii="Arial" w:hAnsi="Arial" w:cs="Arial"/>
          <w:b/>
          <w:bCs/>
        </w:rPr>
        <w:t>Introduction</w:t>
      </w:r>
    </w:p>
    <w:p w14:paraId="70CBA8C2" w14:textId="77777777" w:rsidR="008B2A3B" w:rsidRPr="008B2A3B" w:rsidRDefault="008B2A3B" w:rsidP="00063C46">
      <w:pPr>
        <w:spacing w:line="360" w:lineRule="auto"/>
        <w:rPr>
          <w:rFonts w:ascii="Arial" w:hAnsi="Arial" w:cs="Arial"/>
        </w:rPr>
      </w:pPr>
      <w:r w:rsidRPr="008B2A3B">
        <w:rPr>
          <w:rFonts w:ascii="Arial" w:hAnsi="Arial" w:cs="Arial"/>
        </w:rPr>
        <w:t>This Skeleton argument is filed on behalf of the defendant to refute the claimant's claim to a 50% beneficial interest in the Gatehouse. The claimant is depending on a constructive trust or proprietary estoppel. It is submitted that the defendant remains the sole owner of the Gatehouse, and either doctrine can be proved based on facts.</w:t>
      </w:r>
    </w:p>
    <w:p w14:paraId="50161D60" w14:textId="5B3474E4" w:rsidR="008B2A3B" w:rsidRPr="00063C46" w:rsidRDefault="008B2A3B" w:rsidP="00063C46">
      <w:pPr>
        <w:pStyle w:val="ListParagraph"/>
        <w:numPr>
          <w:ilvl w:val="0"/>
          <w:numId w:val="1"/>
        </w:numPr>
        <w:spacing w:line="360" w:lineRule="auto"/>
        <w:rPr>
          <w:rFonts w:ascii="Arial" w:hAnsi="Arial" w:cs="Arial"/>
          <w:b/>
          <w:bCs/>
        </w:rPr>
      </w:pPr>
      <w:r w:rsidRPr="00063C46">
        <w:rPr>
          <w:rFonts w:ascii="Arial" w:hAnsi="Arial" w:cs="Arial"/>
          <w:b/>
          <w:bCs/>
        </w:rPr>
        <w:t>The issues</w:t>
      </w:r>
    </w:p>
    <w:p w14:paraId="07B1F683" w14:textId="77777777" w:rsidR="00051166" w:rsidRPr="00063C46" w:rsidRDefault="008B2A3B" w:rsidP="00063C46">
      <w:pPr>
        <w:spacing w:line="360" w:lineRule="auto"/>
        <w:rPr>
          <w:rFonts w:ascii="Arial" w:hAnsi="Arial" w:cs="Arial"/>
        </w:rPr>
      </w:pPr>
      <w:r w:rsidRPr="008B2A3B">
        <w:rPr>
          <w:rFonts w:ascii="Arial" w:hAnsi="Arial" w:cs="Arial"/>
        </w:rPr>
        <w:t>The initial question is whether the claimant can prove a beneficial interest in a property whose legal title is registered in the defendant's sole name</w:t>
      </w:r>
      <w:r w:rsidR="0056256F" w:rsidRPr="00063C46">
        <w:rPr>
          <w:rFonts w:ascii="Arial" w:hAnsi="Arial" w:cs="Arial"/>
        </w:rPr>
        <w:t>,</w:t>
      </w:r>
      <w:r w:rsidRPr="008B2A3B">
        <w:rPr>
          <w:rFonts w:ascii="Arial" w:hAnsi="Arial" w:cs="Arial"/>
        </w:rPr>
        <w:t xml:space="preserve"> and if a constructive trust has been established by shared intention, causing detrimental reliance. The court must then determine if property estoppel elements are satisfied and whether it would be unconscionable to deny the claimant a 50% beneficial interest.</w:t>
      </w:r>
    </w:p>
    <w:p w14:paraId="65147AB7" w14:textId="77777777" w:rsidR="00CD6E1B" w:rsidRPr="00063C46" w:rsidRDefault="00051166" w:rsidP="00063C46">
      <w:pPr>
        <w:spacing w:line="360" w:lineRule="auto"/>
        <w:rPr>
          <w:rFonts w:ascii="Arial" w:hAnsi="Arial" w:cs="Arial"/>
          <w:b/>
          <w:bCs/>
        </w:rPr>
      </w:pPr>
      <w:r w:rsidRPr="00063C46">
        <w:rPr>
          <w:rFonts w:ascii="Arial" w:hAnsi="Arial" w:cs="Arial"/>
          <w:b/>
          <w:bCs/>
        </w:rPr>
        <w:t xml:space="preserve"> </w:t>
      </w:r>
    </w:p>
    <w:p w14:paraId="664AA324" w14:textId="511D2D46" w:rsidR="00CD6E1B" w:rsidRPr="00063C46" w:rsidRDefault="00CD6E1B" w:rsidP="00063C46">
      <w:pPr>
        <w:pStyle w:val="ListParagraph"/>
        <w:numPr>
          <w:ilvl w:val="0"/>
          <w:numId w:val="1"/>
        </w:numPr>
        <w:spacing w:line="360" w:lineRule="auto"/>
        <w:rPr>
          <w:rFonts w:ascii="Arial" w:hAnsi="Arial" w:cs="Arial"/>
          <w:b/>
          <w:bCs/>
        </w:rPr>
      </w:pPr>
      <w:r w:rsidRPr="00063C46">
        <w:rPr>
          <w:rFonts w:ascii="Arial" w:hAnsi="Arial" w:cs="Arial"/>
          <w:b/>
          <w:bCs/>
        </w:rPr>
        <w:t>The fact</w:t>
      </w:r>
    </w:p>
    <w:p w14:paraId="35DF6257" w14:textId="518E972E" w:rsidR="008B2A3B" w:rsidRPr="008B2A3B" w:rsidRDefault="008B2A3B" w:rsidP="00063C46">
      <w:pPr>
        <w:spacing w:line="360" w:lineRule="auto"/>
        <w:rPr>
          <w:rFonts w:ascii="Arial" w:hAnsi="Arial" w:cs="Arial"/>
        </w:rPr>
      </w:pPr>
      <w:r w:rsidRPr="008B2A3B">
        <w:rPr>
          <w:rFonts w:ascii="Arial" w:hAnsi="Arial" w:cs="Arial"/>
        </w:rPr>
        <w:t>3.1 The defendant acquired the Gatehouse using funds she inherited in 1995 and has always remained the sole proprietor; no mortgage was used, and there were no third-party contributions made to the acquisition.</w:t>
      </w:r>
    </w:p>
    <w:p w14:paraId="55CC71FB" w14:textId="77777777" w:rsidR="008B2A3B" w:rsidRPr="008B2A3B" w:rsidRDefault="008B2A3B" w:rsidP="00063C46">
      <w:pPr>
        <w:spacing w:line="360" w:lineRule="auto"/>
        <w:rPr>
          <w:rFonts w:ascii="Arial" w:hAnsi="Arial" w:cs="Arial"/>
        </w:rPr>
      </w:pPr>
      <w:r w:rsidRPr="008B2A3B">
        <w:rPr>
          <w:rFonts w:ascii="Arial" w:hAnsi="Arial" w:cs="Arial"/>
        </w:rPr>
        <w:lastRenderedPageBreak/>
        <w:t>3.2 In 2004, the claimant moved into the property, and both parties contributed to household expenditure by sharing a joint account; however, no steps were taken to differ the legal or beneficial ownership of the property.</w:t>
      </w:r>
    </w:p>
    <w:p w14:paraId="1F3D83E0" w14:textId="06617CB3" w:rsidR="008B2A3B" w:rsidRPr="008B2A3B" w:rsidRDefault="008B2A3B" w:rsidP="00063C46">
      <w:pPr>
        <w:spacing w:line="360" w:lineRule="auto"/>
        <w:rPr>
          <w:rFonts w:ascii="Arial" w:hAnsi="Arial" w:cs="Arial"/>
        </w:rPr>
      </w:pPr>
      <w:r w:rsidRPr="008B2A3B">
        <w:rPr>
          <w:rFonts w:ascii="Arial" w:hAnsi="Arial" w:cs="Arial"/>
        </w:rPr>
        <w:t xml:space="preserve">3.3 In 2014, both parties </w:t>
      </w:r>
      <w:r w:rsidRPr="00063C46">
        <w:rPr>
          <w:rFonts w:ascii="Arial" w:hAnsi="Arial" w:cs="Arial"/>
        </w:rPr>
        <w:t>received</w:t>
      </w:r>
      <w:r w:rsidRPr="008B2A3B">
        <w:rPr>
          <w:rFonts w:ascii="Arial" w:hAnsi="Arial" w:cs="Arial"/>
        </w:rPr>
        <w:t xml:space="preserve"> legal advice stating that the defendant was the sole legal and beneficial owner. It was then recommended that they should create a declaration of trust so the claimant could gain </w:t>
      </w:r>
      <w:r w:rsidRPr="00063C46">
        <w:rPr>
          <w:rFonts w:ascii="Arial" w:hAnsi="Arial" w:cs="Arial"/>
        </w:rPr>
        <w:t xml:space="preserve">a </w:t>
      </w:r>
      <w:r w:rsidRPr="008B2A3B">
        <w:rPr>
          <w:rFonts w:ascii="Arial" w:hAnsi="Arial" w:cs="Arial"/>
        </w:rPr>
        <w:t>beneficial interest; no action was taken.</w:t>
      </w:r>
    </w:p>
    <w:p w14:paraId="15F8EC1D" w14:textId="77777777" w:rsidR="008B2A3B" w:rsidRPr="008B2A3B" w:rsidRDefault="008B2A3B" w:rsidP="00063C46">
      <w:pPr>
        <w:spacing w:line="360" w:lineRule="auto"/>
        <w:rPr>
          <w:rFonts w:ascii="Arial" w:hAnsi="Arial" w:cs="Arial"/>
        </w:rPr>
      </w:pPr>
      <w:r w:rsidRPr="008B2A3B">
        <w:rPr>
          <w:rFonts w:ascii="Arial" w:hAnsi="Arial" w:cs="Arial"/>
        </w:rPr>
        <w:t>3.4 During 2019, a storm caused £40,000 worth of damage. Due to the absence of insurance, the claimant paid the cost of the damage and an additional £20,000 for property improvements; these payments were made after the acquisition and had no relation to the initial purchase of the property.</w:t>
      </w:r>
    </w:p>
    <w:p w14:paraId="0986CFCF" w14:textId="77777777" w:rsidR="008B2A3B" w:rsidRPr="008B2A3B" w:rsidRDefault="008B2A3B" w:rsidP="00063C46">
      <w:pPr>
        <w:spacing w:line="360" w:lineRule="auto"/>
        <w:rPr>
          <w:rFonts w:ascii="Arial" w:hAnsi="Arial" w:cs="Arial"/>
        </w:rPr>
      </w:pPr>
      <w:r w:rsidRPr="008B2A3B">
        <w:rPr>
          <w:rFonts w:ascii="Arial" w:hAnsi="Arial" w:cs="Arial"/>
        </w:rPr>
        <w:t>3.5 The claimant lived in the property for approximately 15 years; they did not contribute to rent or mortgage contributions, and the defendant provided financial support for the claimant while they were studying.</w:t>
      </w:r>
    </w:p>
    <w:p w14:paraId="13DEDF51" w14:textId="6D192114" w:rsidR="008B2A3B" w:rsidRPr="008B2A3B" w:rsidRDefault="008B2A3B" w:rsidP="00063C46">
      <w:pPr>
        <w:spacing w:line="360" w:lineRule="auto"/>
        <w:rPr>
          <w:rFonts w:ascii="Arial" w:hAnsi="Arial" w:cs="Arial"/>
        </w:rPr>
      </w:pPr>
      <w:r w:rsidRPr="008B2A3B">
        <w:rPr>
          <w:rFonts w:ascii="Arial" w:hAnsi="Arial" w:cs="Arial"/>
        </w:rPr>
        <w:t xml:space="preserve">3.6 Now </w:t>
      </w:r>
      <w:r w:rsidRPr="00063C46">
        <w:rPr>
          <w:rFonts w:ascii="Arial" w:hAnsi="Arial" w:cs="Arial"/>
        </w:rPr>
        <w:t>that the claimant and defendant have separated, the claimant has submitted a claim for 50% beneficial interest in the property;</w:t>
      </w:r>
      <w:r w:rsidRPr="008B2A3B">
        <w:rPr>
          <w:rFonts w:ascii="Arial" w:hAnsi="Arial" w:cs="Arial"/>
        </w:rPr>
        <w:t xml:space="preserve"> the defendant disputes this.</w:t>
      </w:r>
    </w:p>
    <w:p w14:paraId="5BAC60E8" w14:textId="77777777" w:rsidR="0056256F" w:rsidRPr="00063C46" w:rsidRDefault="0056256F" w:rsidP="00063C46">
      <w:pPr>
        <w:spacing w:line="360" w:lineRule="auto"/>
        <w:rPr>
          <w:rFonts w:ascii="Arial" w:hAnsi="Arial" w:cs="Arial"/>
        </w:rPr>
      </w:pPr>
    </w:p>
    <w:p w14:paraId="22C78567" w14:textId="77777777" w:rsidR="0056256F" w:rsidRPr="00063C46" w:rsidRDefault="0056256F" w:rsidP="00063C46">
      <w:pPr>
        <w:spacing w:line="360" w:lineRule="auto"/>
        <w:rPr>
          <w:rFonts w:ascii="Arial" w:hAnsi="Arial" w:cs="Arial"/>
          <w:b/>
          <w:bCs/>
        </w:rPr>
      </w:pPr>
      <w:r w:rsidRPr="00063C46">
        <w:rPr>
          <w:rFonts w:ascii="Arial" w:hAnsi="Arial" w:cs="Arial"/>
          <w:b/>
          <w:bCs/>
        </w:rPr>
        <w:t xml:space="preserve">Claim arising under a constructive trust. </w:t>
      </w:r>
    </w:p>
    <w:p w14:paraId="5B5586D9" w14:textId="108D91C6" w:rsidR="0056256F" w:rsidRPr="00063C46" w:rsidRDefault="0056256F" w:rsidP="00063C46">
      <w:pPr>
        <w:pStyle w:val="ListParagraph"/>
        <w:numPr>
          <w:ilvl w:val="0"/>
          <w:numId w:val="1"/>
        </w:numPr>
        <w:spacing w:line="360" w:lineRule="auto"/>
        <w:rPr>
          <w:rFonts w:ascii="Arial" w:hAnsi="Arial" w:cs="Arial"/>
          <w:b/>
          <w:bCs/>
        </w:rPr>
      </w:pPr>
      <w:r w:rsidRPr="00063C46">
        <w:rPr>
          <w:rFonts w:ascii="Arial" w:hAnsi="Arial" w:cs="Arial"/>
          <w:b/>
          <w:bCs/>
        </w:rPr>
        <w:t xml:space="preserve">The law </w:t>
      </w:r>
    </w:p>
    <w:p w14:paraId="7B232924" w14:textId="33986EFE" w:rsidR="0056256F" w:rsidRPr="00063C46" w:rsidRDefault="0056256F" w:rsidP="00063C46">
      <w:pPr>
        <w:spacing w:line="360" w:lineRule="auto"/>
        <w:rPr>
          <w:rFonts w:ascii="Arial" w:hAnsi="Arial" w:cs="Arial"/>
        </w:rPr>
      </w:pPr>
      <w:r w:rsidRPr="00063C46">
        <w:rPr>
          <w:rFonts w:ascii="Arial" w:hAnsi="Arial" w:cs="Arial"/>
        </w:rPr>
        <w:t>4.1 When property is legally held in one sole name, there is a strong starting presumption that the legal owner is the sole beneficial owner (</w:t>
      </w:r>
      <w:r w:rsidR="00770AE5" w:rsidRPr="00063C46">
        <w:rPr>
          <w:rFonts w:ascii="Arial" w:hAnsi="Arial" w:cs="Arial"/>
        </w:rPr>
        <w:t xml:space="preserve">‘Lloyds Bank plc v Rosset’ </w:t>
      </w:r>
      <w:r w:rsidR="00035FC9" w:rsidRPr="00063C46">
        <w:rPr>
          <w:rFonts w:ascii="Arial" w:hAnsi="Arial" w:cs="Arial"/>
        </w:rPr>
        <w:t>1991</w:t>
      </w:r>
      <w:r w:rsidRPr="00063C46">
        <w:rPr>
          <w:rFonts w:ascii="Arial" w:hAnsi="Arial" w:cs="Arial"/>
        </w:rPr>
        <w:t xml:space="preserve">). </w:t>
      </w:r>
    </w:p>
    <w:p w14:paraId="0EEE4304" w14:textId="6958416E" w:rsidR="0056256F" w:rsidRPr="00063C46" w:rsidRDefault="0056256F" w:rsidP="00063C46">
      <w:pPr>
        <w:spacing w:line="360" w:lineRule="auto"/>
        <w:rPr>
          <w:rFonts w:ascii="Arial" w:hAnsi="Arial" w:cs="Arial"/>
        </w:rPr>
      </w:pPr>
      <w:r w:rsidRPr="00063C46">
        <w:rPr>
          <w:rFonts w:ascii="Arial" w:hAnsi="Arial" w:cs="Arial"/>
        </w:rPr>
        <w:t>4.2 To change this presumption, the claimant must establish evidence of a common intention to share the beneficial ownership of the property and consequent detrimental reliance due to acting on that intention (</w:t>
      </w:r>
      <w:r w:rsidR="00035FC9" w:rsidRPr="00063C46">
        <w:rPr>
          <w:rFonts w:ascii="Arial" w:hAnsi="Arial" w:cs="Arial"/>
        </w:rPr>
        <w:t>‘</w:t>
      </w:r>
      <w:r w:rsidRPr="00063C46">
        <w:rPr>
          <w:rFonts w:ascii="Arial" w:hAnsi="Arial" w:cs="Arial"/>
        </w:rPr>
        <w:t>Lloyds Bank plc v Rosset</w:t>
      </w:r>
      <w:r w:rsidR="00035FC9" w:rsidRPr="00063C46">
        <w:rPr>
          <w:rFonts w:ascii="Arial" w:hAnsi="Arial" w:cs="Arial"/>
        </w:rPr>
        <w:t>’</w:t>
      </w:r>
      <w:r w:rsidRPr="00063C46">
        <w:rPr>
          <w:rFonts w:ascii="Arial" w:hAnsi="Arial" w:cs="Arial"/>
        </w:rPr>
        <w:t xml:space="preserve"> 1991)</w:t>
      </w:r>
    </w:p>
    <w:p w14:paraId="658DAA85" w14:textId="0E266EA7" w:rsidR="0056256F" w:rsidRPr="00063C46" w:rsidRDefault="0056256F" w:rsidP="00063C46">
      <w:pPr>
        <w:spacing w:line="360" w:lineRule="auto"/>
        <w:rPr>
          <w:rFonts w:ascii="Arial" w:hAnsi="Arial" w:cs="Arial"/>
        </w:rPr>
      </w:pPr>
      <w:r w:rsidRPr="00063C46">
        <w:rPr>
          <w:rFonts w:ascii="Arial" w:hAnsi="Arial" w:cs="Arial"/>
        </w:rPr>
        <w:t>4.3 A common intention cannot be inferred simply by the existence of a domestic relationship in the absence of clearly established and communicated evidence directed towards ownership (</w:t>
      </w:r>
      <w:r w:rsidR="00D17B75" w:rsidRPr="00063C46">
        <w:rPr>
          <w:rFonts w:ascii="Arial" w:hAnsi="Arial" w:cs="Arial"/>
        </w:rPr>
        <w:t>‘</w:t>
      </w:r>
      <w:r w:rsidRPr="00063C46">
        <w:rPr>
          <w:rFonts w:ascii="Arial" w:hAnsi="Arial" w:cs="Arial"/>
        </w:rPr>
        <w:t>Burns v Burns</w:t>
      </w:r>
      <w:r w:rsidR="00D17B75" w:rsidRPr="00063C46">
        <w:rPr>
          <w:rFonts w:ascii="Arial" w:hAnsi="Arial" w:cs="Arial"/>
        </w:rPr>
        <w:t>’</w:t>
      </w:r>
      <w:r w:rsidRPr="00063C46">
        <w:rPr>
          <w:rFonts w:ascii="Arial" w:hAnsi="Arial" w:cs="Arial"/>
        </w:rPr>
        <w:t xml:space="preserve"> 1984).</w:t>
      </w:r>
    </w:p>
    <w:p w14:paraId="06D3A7C2" w14:textId="614BC353" w:rsidR="0056256F" w:rsidRPr="00063C46" w:rsidRDefault="0056256F" w:rsidP="00063C46">
      <w:pPr>
        <w:spacing w:line="360" w:lineRule="auto"/>
        <w:rPr>
          <w:rFonts w:ascii="Arial" w:hAnsi="Arial" w:cs="Arial"/>
        </w:rPr>
      </w:pPr>
      <w:r w:rsidRPr="00063C46">
        <w:rPr>
          <w:rFonts w:ascii="Arial" w:hAnsi="Arial" w:cs="Arial"/>
        </w:rPr>
        <w:t>4.4 If assurances are informal, vague or relational without an apparent reference to ownership, they are insufficient in establishing a common intention trust (</w:t>
      </w:r>
      <w:r w:rsidR="006653DD" w:rsidRPr="00063C46">
        <w:rPr>
          <w:rFonts w:ascii="Arial" w:hAnsi="Arial" w:cs="Arial"/>
        </w:rPr>
        <w:t>‘</w:t>
      </w:r>
      <w:r w:rsidRPr="00063C46">
        <w:rPr>
          <w:rFonts w:ascii="Arial" w:hAnsi="Arial" w:cs="Arial"/>
        </w:rPr>
        <w:t xml:space="preserve">Geary </w:t>
      </w:r>
      <w:r w:rsidR="006653DD" w:rsidRPr="00063C46">
        <w:rPr>
          <w:rFonts w:ascii="Arial" w:hAnsi="Arial" w:cs="Arial"/>
        </w:rPr>
        <w:t xml:space="preserve">v </w:t>
      </w:r>
      <w:r w:rsidRPr="00063C46">
        <w:rPr>
          <w:rFonts w:ascii="Arial" w:hAnsi="Arial" w:cs="Arial"/>
        </w:rPr>
        <w:t>Rankine</w:t>
      </w:r>
      <w:r w:rsidR="006653DD" w:rsidRPr="00063C46">
        <w:rPr>
          <w:rFonts w:ascii="Arial" w:hAnsi="Arial" w:cs="Arial"/>
        </w:rPr>
        <w:t>’</w:t>
      </w:r>
      <w:r w:rsidRPr="00063C46">
        <w:rPr>
          <w:rFonts w:ascii="Arial" w:hAnsi="Arial" w:cs="Arial"/>
        </w:rPr>
        <w:t xml:space="preserve"> 2012) </w:t>
      </w:r>
    </w:p>
    <w:p w14:paraId="00D75F20" w14:textId="01944EA3" w:rsidR="0056256F" w:rsidRPr="00063C46" w:rsidRDefault="0056256F" w:rsidP="00063C46">
      <w:pPr>
        <w:spacing w:line="360" w:lineRule="auto"/>
        <w:rPr>
          <w:rFonts w:ascii="Arial" w:hAnsi="Arial" w:cs="Arial"/>
        </w:rPr>
      </w:pPr>
      <w:r w:rsidRPr="00063C46">
        <w:rPr>
          <w:rFonts w:ascii="Arial" w:hAnsi="Arial" w:cs="Arial"/>
        </w:rPr>
        <w:t xml:space="preserve">4.5 The court is generally reluctant when imposing a common intention that is different to the parties ' arrangements and will also consider that no steps were taken to alter beneficial </w:t>
      </w:r>
      <w:r w:rsidRPr="00063C46">
        <w:rPr>
          <w:rFonts w:ascii="Arial" w:hAnsi="Arial" w:cs="Arial"/>
        </w:rPr>
        <w:lastRenderedPageBreak/>
        <w:t xml:space="preserve">ownership, especially since both parties obtained legal advice but decided not to formalise any changes </w:t>
      </w:r>
      <w:r w:rsidR="00860A48" w:rsidRPr="00063C46">
        <w:rPr>
          <w:rFonts w:ascii="Arial" w:hAnsi="Arial" w:cs="Arial"/>
        </w:rPr>
        <w:t>(‘</w:t>
      </w:r>
      <w:r w:rsidR="00860A48" w:rsidRPr="00063C46">
        <w:rPr>
          <w:rFonts w:ascii="Arial" w:hAnsi="Arial" w:cs="Arial"/>
        </w:rPr>
        <w:t>Stack v Dowden’ 2007</w:t>
      </w:r>
      <w:r w:rsidRPr="00063C46">
        <w:rPr>
          <w:rFonts w:ascii="Arial" w:hAnsi="Arial" w:cs="Arial"/>
        </w:rPr>
        <w:t>,</w:t>
      </w:r>
      <w:r w:rsidR="008E3B5B" w:rsidRPr="00063C46">
        <w:rPr>
          <w:rFonts w:ascii="Arial" w:hAnsi="Arial" w:cs="Arial"/>
        </w:rPr>
        <w:t>’</w:t>
      </w:r>
      <w:r w:rsidRPr="00063C46">
        <w:rPr>
          <w:rFonts w:ascii="Arial" w:hAnsi="Arial" w:cs="Arial"/>
        </w:rPr>
        <w:t xml:space="preserve"> Jones v Kernott</w:t>
      </w:r>
      <w:r w:rsidR="008E3B5B" w:rsidRPr="00063C46">
        <w:rPr>
          <w:rFonts w:ascii="Arial" w:hAnsi="Arial" w:cs="Arial"/>
        </w:rPr>
        <w:t>’</w:t>
      </w:r>
      <w:r w:rsidRPr="00063C46">
        <w:rPr>
          <w:rFonts w:ascii="Arial" w:hAnsi="Arial" w:cs="Arial"/>
        </w:rPr>
        <w:t xml:space="preserve"> 2011). </w:t>
      </w:r>
    </w:p>
    <w:p w14:paraId="0ADB15B8" w14:textId="77777777" w:rsidR="0056256F" w:rsidRPr="00063C46" w:rsidRDefault="0056256F" w:rsidP="00063C46">
      <w:pPr>
        <w:spacing w:line="360" w:lineRule="auto"/>
        <w:rPr>
          <w:rFonts w:ascii="Arial" w:hAnsi="Arial" w:cs="Arial"/>
        </w:rPr>
      </w:pPr>
    </w:p>
    <w:p w14:paraId="11F5EE7A" w14:textId="470F9EE5" w:rsidR="0056256F" w:rsidRPr="00063C46" w:rsidRDefault="0056256F" w:rsidP="00063C46">
      <w:pPr>
        <w:pStyle w:val="ListParagraph"/>
        <w:numPr>
          <w:ilvl w:val="0"/>
          <w:numId w:val="1"/>
        </w:numPr>
        <w:spacing w:line="360" w:lineRule="auto"/>
        <w:rPr>
          <w:rFonts w:ascii="Arial" w:hAnsi="Arial" w:cs="Arial"/>
        </w:rPr>
      </w:pPr>
      <w:r w:rsidRPr="00063C46">
        <w:rPr>
          <w:rFonts w:ascii="Arial" w:hAnsi="Arial" w:cs="Arial"/>
          <w:b/>
          <w:bCs/>
        </w:rPr>
        <w:t>Submissions</w:t>
      </w:r>
    </w:p>
    <w:p w14:paraId="22CA8B93" w14:textId="77777777" w:rsidR="0056256F" w:rsidRPr="00063C46" w:rsidRDefault="0056256F" w:rsidP="00063C46">
      <w:pPr>
        <w:spacing w:line="360" w:lineRule="auto"/>
        <w:rPr>
          <w:rFonts w:ascii="Arial" w:hAnsi="Arial" w:cs="Arial"/>
        </w:rPr>
      </w:pPr>
      <w:r w:rsidRPr="00063C46">
        <w:rPr>
          <w:rFonts w:ascii="Arial" w:hAnsi="Arial" w:cs="Arial"/>
        </w:rPr>
        <w:t xml:space="preserve">5.1 The Defendant submits that the claimant has failed to establish a common intention constructive trust </w:t>
      </w:r>
    </w:p>
    <w:p w14:paraId="4F59444B" w14:textId="5751C05A" w:rsidR="0056256F" w:rsidRPr="00063C46" w:rsidRDefault="0056256F" w:rsidP="00063C46">
      <w:pPr>
        <w:spacing w:line="360" w:lineRule="auto"/>
        <w:rPr>
          <w:rFonts w:ascii="Arial" w:hAnsi="Arial" w:cs="Arial"/>
        </w:rPr>
      </w:pPr>
      <w:r w:rsidRPr="00063C46">
        <w:rPr>
          <w:rFonts w:ascii="Arial" w:hAnsi="Arial" w:cs="Arial"/>
        </w:rPr>
        <w:t xml:space="preserve">5.2 It is denied that the defendant gave any assurance to the effect that ownership of the property was held on a "50/50" basis. Any such statement lacks the requisite clarity and specificity to establish a common intention to share beneficial ownership and is classified as a relationship-based assurance, rather than assurance regarding proprietary ownership, which was rejected in </w:t>
      </w:r>
      <w:r w:rsidR="006653DD" w:rsidRPr="00063C46">
        <w:rPr>
          <w:rFonts w:ascii="Arial" w:hAnsi="Arial" w:cs="Arial"/>
        </w:rPr>
        <w:t>‘</w:t>
      </w:r>
      <w:r w:rsidRPr="00063C46">
        <w:rPr>
          <w:rFonts w:ascii="Arial" w:hAnsi="Arial" w:cs="Arial"/>
        </w:rPr>
        <w:t>Geary v Rankine</w:t>
      </w:r>
      <w:r w:rsidR="00E556DB" w:rsidRPr="00063C46">
        <w:rPr>
          <w:rFonts w:ascii="Arial" w:hAnsi="Arial" w:cs="Arial"/>
        </w:rPr>
        <w:t xml:space="preserve">’ </w:t>
      </w:r>
      <w:r w:rsidR="00462439" w:rsidRPr="00063C46">
        <w:rPr>
          <w:rFonts w:ascii="Arial" w:hAnsi="Arial" w:cs="Arial"/>
        </w:rPr>
        <w:t>(</w:t>
      </w:r>
      <w:r w:rsidR="00E556DB" w:rsidRPr="00063C46">
        <w:rPr>
          <w:rFonts w:ascii="Arial" w:hAnsi="Arial" w:cs="Arial"/>
        </w:rPr>
        <w:t>2012</w:t>
      </w:r>
      <w:r w:rsidR="00462439" w:rsidRPr="00063C46">
        <w:rPr>
          <w:rFonts w:ascii="Arial" w:hAnsi="Arial" w:cs="Arial"/>
        </w:rPr>
        <w:t>)</w:t>
      </w:r>
      <w:r w:rsidRPr="00063C46">
        <w:rPr>
          <w:rFonts w:ascii="Arial" w:hAnsi="Arial" w:cs="Arial"/>
        </w:rPr>
        <w:t xml:space="preserve">. Statements like these </w:t>
      </w:r>
      <w:r w:rsidRPr="00063C46">
        <w:rPr>
          <w:rFonts w:ascii="Arial" w:hAnsi="Arial" w:cs="Arial"/>
        </w:rPr>
        <w:t>are not always related to an intention to change proprietary ownership and can be used as emotional reassurance within a relationship, which the courts hold</w:t>
      </w:r>
      <w:r w:rsidRPr="00063C46">
        <w:rPr>
          <w:rFonts w:ascii="Arial" w:hAnsi="Arial" w:cs="Arial"/>
        </w:rPr>
        <w:t xml:space="preserve"> as insufficient.</w:t>
      </w:r>
    </w:p>
    <w:p w14:paraId="2E9DCC6F" w14:textId="4FEA56CA" w:rsidR="0056256F" w:rsidRPr="00063C46" w:rsidRDefault="0056256F" w:rsidP="00063C46">
      <w:pPr>
        <w:spacing w:line="360" w:lineRule="auto"/>
        <w:rPr>
          <w:rFonts w:ascii="Arial" w:hAnsi="Arial" w:cs="Arial"/>
        </w:rPr>
      </w:pPr>
      <w:r w:rsidRPr="00063C46">
        <w:rPr>
          <w:rFonts w:ascii="Arial" w:hAnsi="Arial" w:cs="Arial"/>
        </w:rPr>
        <w:t xml:space="preserve">5.3 The claimant may rely on </w:t>
      </w:r>
      <w:r w:rsidR="00462BD8" w:rsidRPr="00063C46">
        <w:rPr>
          <w:rFonts w:ascii="Arial" w:hAnsi="Arial" w:cs="Arial"/>
        </w:rPr>
        <w:t>‘Stack v Dowden’ (2007)</w:t>
      </w:r>
      <w:r w:rsidR="00462BD8" w:rsidRPr="00063C46">
        <w:rPr>
          <w:rFonts w:ascii="Arial" w:hAnsi="Arial" w:cs="Arial"/>
        </w:rPr>
        <w:t xml:space="preserve"> </w:t>
      </w:r>
      <w:r w:rsidRPr="00063C46">
        <w:rPr>
          <w:rFonts w:ascii="Arial" w:hAnsi="Arial" w:cs="Arial"/>
        </w:rPr>
        <w:t xml:space="preserve">and </w:t>
      </w:r>
      <w:r w:rsidR="003B0A63" w:rsidRPr="00063C46">
        <w:rPr>
          <w:rFonts w:ascii="Arial" w:hAnsi="Arial" w:cs="Arial"/>
        </w:rPr>
        <w:t>‘</w:t>
      </w:r>
      <w:r w:rsidRPr="00063C46">
        <w:rPr>
          <w:rFonts w:ascii="Arial" w:hAnsi="Arial" w:cs="Arial"/>
        </w:rPr>
        <w:t>Jones v Kernott</w:t>
      </w:r>
      <w:r w:rsidR="003B0A63" w:rsidRPr="00063C46">
        <w:rPr>
          <w:rFonts w:ascii="Arial" w:hAnsi="Arial" w:cs="Arial"/>
        </w:rPr>
        <w:t>’</w:t>
      </w:r>
      <w:r w:rsidRPr="00063C46">
        <w:rPr>
          <w:rFonts w:ascii="Arial" w:hAnsi="Arial" w:cs="Arial"/>
        </w:rPr>
        <w:t xml:space="preserve"> (2011) to invite the court to impute a common intention of shared ownership due to the parties' domestic arrangements. It is essential to note that both cases involve properties held in joint legal names, with the presumption being joint beneficial ownership. In this case, however, the defendant is the sole legal owner, and the presumption is that the defendant is also the sole beneficial owner (</w:t>
      </w:r>
      <w:r w:rsidR="00035FC9" w:rsidRPr="00063C46">
        <w:rPr>
          <w:rFonts w:ascii="Arial" w:hAnsi="Arial" w:cs="Arial"/>
        </w:rPr>
        <w:t>‘</w:t>
      </w:r>
      <w:r w:rsidRPr="00063C46">
        <w:rPr>
          <w:rFonts w:ascii="Arial" w:hAnsi="Arial" w:cs="Arial"/>
        </w:rPr>
        <w:t>Lloyds Bank plc v Rosset</w:t>
      </w:r>
      <w:r w:rsidR="00035FC9" w:rsidRPr="00063C46">
        <w:rPr>
          <w:rFonts w:ascii="Arial" w:hAnsi="Arial" w:cs="Arial"/>
        </w:rPr>
        <w:t xml:space="preserve">’ </w:t>
      </w:r>
      <w:r w:rsidRPr="00063C46">
        <w:rPr>
          <w:rFonts w:ascii="Arial" w:hAnsi="Arial" w:cs="Arial"/>
        </w:rPr>
        <w:t xml:space="preserve">1991). Therefore, the claimant must prove an exception. The House of Lords in </w:t>
      </w:r>
      <w:r w:rsidR="00D17B75" w:rsidRPr="00063C46">
        <w:rPr>
          <w:rFonts w:ascii="Arial" w:hAnsi="Arial" w:cs="Arial"/>
        </w:rPr>
        <w:t>‘</w:t>
      </w:r>
      <w:r w:rsidRPr="00063C46">
        <w:rPr>
          <w:rFonts w:ascii="Arial" w:hAnsi="Arial" w:cs="Arial"/>
        </w:rPr>
        <w:t>Stack v Dowden</w:t>
      </w:r>
      <w:r w:rsidR="00D17B75" w:rsidRPr="00063C46">
        <w:rPr>
          <w:rFonts w:ascii="Arial" w:hAnsi="Arial" w:cs="Arial"/>
        </w:rPr>
        <w:t>’</w:t>
      </w:r>
      <w:r w:rsidR="00CE7E8B" w:rsidRPr="00063C46">
        <w:rPr>
          <w:rFonts w:ascii="Arial" w:hAnsi="Arial" w:cs="Arial"/>
        </w:rPr>
        <w:t xml:space="preserve"> (2007)</w:t>
      </w:r>
      <w:r w:rsidRPr="00063C46">
        <w:rPr>
          <w:rFonts w:ascii="Arial" w:hAnsi="Arial" w:cs="Arial"/>
        </w:rPr>
        <w:t xml:space="preserve"> stated that courts should be slow to impute intention; this is particularly relevant here, as both parties received clear legal advice and did not act upon it.</w:t>
      </w:r>
    </w:p>
    <w:p w14:paraId="76B89A55" w14:textId="6E6FE182" w:rsidR="0056256F" w:rsidRPr="00063C46" w:rsidRDefault="0056256F" w:rsidP="00063C46">
      <w:pPr>
        <w:spacing w:line="360" w:lineRule="auto"/>
        <w:rPr>
          <w:rFonts w:ascii="Arial" w:hAnsi="Arial" w:cs="Arial"/>
        </w:rPr>
      </w:pPr>
      <w:r w:rsidRPr="00063C46">
        <w:rPr>
          <w:rFonts w:ascii="Arial" w:hAnsi="Arial" w:cs="Arial"/>
        </w:rPr>
        <w:t xml:space="preserve">5.4 The claimant could seek to rely on the </w:t>
      </w:r>
      <w:r w:rsidR="00B17AE6" w:rsidRPr="00063C46">
        <w:rPr>
          <w:rFonts w:ascii="Arial" w:hAnsi="Arial" w:cs="Arial"/>
        </w:rPr>
        <w:t>‘</w:t>
      </w:r>
      <w:r w:rsidRPr="00063C46">
        <w:rPr>
          <w:rFonts w:ascii="Arial" w:hAnsi="Arial" w:cs="Arial"/>
        </w:rPr>
        <w:t>Grant v Edwards</w:t>
      </w:r>
      <w:r w:rsidR="00B17AE6" w:rsidRPr="00063C46">
        <w:rPr>
          <w:rFonts w:ascii="Arial" w:hAnsi="Arial" w:cs="Arial"/>
        </w:rPr>
        <w:t>’</w:t>
      </w:r>
      <w:r w:rsidR="00067053" w:rsidRPr="00063C46">
        <w:rPr>
          <w:rFonts w:ascii="Arial" w:hAnsi="Arial" w:cs="Arial"/>
        </w:rPr>
        <w:t xml:space="preserve"> (1986)</w:t>
      </w:r>
      <w:r w:rsidRPr="00063C46">
        <w:rPr>
          <w:rFonts w:ascii="Arial" w:hAnsi="Arial" w:cs="Arial"/>
        </w:rPr>
        <w:t xml:space="preserve"> case; despite the case looking similar, it is distinguishable on the facts. In this case, the assurance was clear and explicit, regarding proprietary ownership rather than a relationship. Assurance was given at the time of purchase, and the claimant contributed to the acquisition of the property. In contrast, the alleged assurances from the defendant in the present case are not linked to the acquisition, were vague, and the purchase occurred years prior to the alleged assurances. The claimant in this case also received legal advice and was explicitly told she had no interest, which substantially undermines any inference that a common intention to share ownership existed. </w:t>
      </w:r>
    </w:p>
    <w:p w14:paraId="2305B12E" w14:textId="6475B1AF" w:rsidR="0056256F" w:rsidRPr="00063C46" w:rsidRDefault="0056256F" w:rsidP="00063C46">
      <w:pPr>
        <w:spacing w:line="360" w:lineRule="auto"/>
        <w:rPr>
          <w:rFonts w:ascii="Arial" w:hAnsi="Arial" w:cs="Arial"/>
        </w:rPr>
      </w:pPr>
      <w:r w:rsidRPr="00063C46">
        <w:rPr>
          <w:rFonts w:ascii="Arial" w:hAnsi="Arial" w:cs="Arial"/>
        </w:rPr>
        <w:t xml:space="preserve">5.5 The legal advice both parties received is critical to the claimant's case. Both parties were aware that the claimant had no beneficial interest and were advised to create a declaration of trust; however, they failed to </w:t>
      </w:r>
      <w:r w:rsidR="003C239B" w:rsidRPr="00063C46">
        <w:rPr>
          <w:rFonts w:ascii="Arial" w:hAnsi="Arial" w:cs="Arial"/>
        </w:rPr>
        <w:t>do so</w:t>
      </w:r>
      <w:r w:rsidRPr="00063C46">
        <w:rPr>
          <w:rFonts w:ascii="Arial" w:hAnsi="Arial" w:cs="Arial"/>
        </w:rPr>
        <w:t xml:space="preserve">, which highlights that there was no common intention </w:t>
      </w:r>
      <w:r w:rsidRPr="00063C46">
        <w:rPr>
          <w:rFonts w:ascii="Arial" w:hAnsi="Arial" w:cs="Arial"/>
        </w:rPr>
        <w:lastRenderedPageBreak/>
        <w:t>to share beneficial ownership. (</w:t>
      </w:r>
      <w:r w:rsidR="001F153E" w:rsidRPr="00063C46">
        <w:rPr>
          <w:rFonts w:ascii="Arial" w:hAnsi="Arial" w:cs="Arial"/>
        </w:rPr>
        <w:t>‘</w:t>
      </w:r>
      <w:r w:rsidRPr="00063C46">
        <w:rPr>
          <w:rFonts w:ascii="Arial" w:hAnsi="Arial" w:cs="Arial"/>
        </w:rPr>
        <w:t>Stack v Dowden</w:t>
      </w:r>
      <w:r w:rsidR="001F153E" w:rsidRPr="00063C46">
        <w:rPr>
          <w:rFonts w:ascii="Arial" w:hAnsi="Arial" w:cs="Arial"/>
        </w:rPr>
        <w:t>’</w:t>
      </w:r>
      <w:r w:rsidR="00462BD8" w:rsidRPr="00063C46">
        <w:rPr>
          <w:rFonts w:ascii="Arial" w:hAnsi="Arial" w:cs="Arial"/>
        </w:rPr>
        <w:t xml:space="preserve"> </w:t>
      </w:r>
      <w:r w:rsidRPr="00063C46">
        <w:rPr>
          <w:rFonts w:ascii="Arial" w:hAnsi="Arial" w:cs="Arial"/>
        </w:rPr>
        <w:t xml:space="preserve">2007, </w:t>
      </w:r>
      <w:r w:rsidR="001C5529" w:rsidRPr="00063C46">
        <w:rPr>
          <w:rFonts w:ascii="Arial" w:hAnsi="Arial" w:cs="Arial"/>
        </w:rPr>
        <w:t>‘</w:t>
      </w:r>
      <w:r w:rsidRPr="00063C46">
        <w:rPr>
          <w:rFonts w:ascii="Arial" w:hAnsi="Arial" w:cs="Arial"/>
        </w:rPr>
        <w:t>Jones v Kernott</w:t>
      </w:r>
      <w:r w:rsidR="001C5529" w:rsidRPr="00063C46">
        <w:rPr>
          <w:rFonts w:ascii="Arial" w:hAnsi="Arial" w:cs="Arial"/>
        </w:rPr>
        <w:t>’</w:t>
      </w:r>
      <w:r w:rsidRPr="00063C46">
        <w:rPr>
          <w:rFonts w:ascii="Arial" w:hAnsi="Arial" w:cs="Arial"/>
        </w:rPr>
        <w:t xml:space="preserve"> 2011</w:t>
      </w:r>
      <w:r w:rsidR="001C5529" w:rsidRPr="00063C46">
        <w:rPr>
          <w:rFonts w:ascii="Arial" w:hAnsi="Arial" w:cs="Arial"/>
        </w:rPr>
        <w:t>)</w:t>
      </w:r>
      <w:r w:rsidRPr="00063C46">
        <w:rPr>
          <w:rFonts w:ascii="Arial" w:hAnsi="Arial" w:cs="Arial"/>
        </w:rPr>
        <w:t xml:space="preserve">. Any reliance by the claimant is objectively unreasonable; the claimant knew how to get a beneficial </w:t>
      </w:r>
      <w:proofErr w:type="gramStart"/>
      <w:r w:rsidRPr="00063C46">
        <w:rPr>
          <w:rFonts w:ascii="Arial" w:hAnsi="Arial" w:cs="Arial"/>
        </w:rPr>
        <w:t>interest, yet</w:t>
      </w:r>
      <w:proofErr w:type="gramEnd"/>
      <w:r w:rsidRPr="00063C46">
        <w:rPr>
          <w:rFonts w:ascii="Arial" w:hAnsi="Arial" w:cs="Arial"/>
        </w:rPr>
        <w:t xml:space="preserve"> did not follow through with the declaration of trust, negating the existence of shared intention. </w:t>
      </w:r>
    </w:p>
    <w:p w14:paraId="2C6B06C2" w14:textId="67C5D79F" w:rsidR="0056256F" w:rsidRPr="00063C46" w:rsidRDefault="0056256F" w:rsidP="00063C46">
      <w:pPr>
        <w:spacing w:line="360" w:lineRule="auto"/>
        <w:rPr>
          <w:rFonts w:ascii="Arial" w:hAnsi="Arial" w:cs="Arial"/>
        </w:rPr>
      </w:pPr>
      <w:r w:rsidRPr="00063C46">
        <w:rPr>
          <w:rFonts w:ascii="Arial" w:hAnsi="Arial" w:cs="Arial"/>
        </w:rPr>
        <w:t xml:space="preserve">5.6 The claimant's financial contributions towards repairs and improvements to the home do not constitute detrimental reliance due to the expenditure occurring over a long duration after acquisition, and because of the parties' domestic relationship, this is characterised under </w:t>
      </w:r>
      <w:r w:rsidR="003C239B" w:rsidRPr="00063C46">
        <w:rPr>
          <w:rFonts w:ascii="Arial" w:hAnsi="Arial" w:cs="Arial"/>
        </w:rPr>
        <w:t>‘</w:t>
      </w:r>
      <w:r w:rsidRPr="00063C46">
        <w:rPr>
          <w:rFonts w:ascii="Arial" w:hAnsi="Arial" w:cs="Arial"/>
        </w:rPr>
        <w:t>Burns v Burns</w:t>
      </w:r>
      <w:r w:rsidR="003C239B" w:rsidRPr="00063C46">
        <w:rPr>
          <w:rFonts w:ascii="Arial" w:hAnsi="Arial" w:cs="Arial"/>
        </w:rPr>
        <w:t>’</w:t>
      </w:r>
      <w:r w:rsidRPr="00063C46">
        <w:rPr>
          <w:rFonts w:ascii="Arial" w:hAnsi="Arial" w:cs="Arial"/>
        </w:rPr>
        <w:t xml:space="preserve"> 1984.</w:t>
      </w:r>
    </w:p>
    <w:p w14:paraId="20EEFA2C" w14:textId="77777777" w:rsidR="0056256F" w:rsidRPr="00063C46" w:rsidRDefault="0056256F" w:rsidP="00063C46">
      <w:pPr>
        <w:spacing w:line="360" w:lineRule="auto"/>
        <w:rPr>
          <w:rFonts w:ascii="Arial" w:hAnsi="Arial" w:cs="Arial"/>
        </w:rPr>
      </w:pPr>
      <w:r w:rsidRPr="00063C46">
        <w:rPr>
          <w:rFonts w:ascii="Arial" w:hAnsi="Arial" w:cs="Arial"/>
        </w:rPr>
        <w:t xml:space="preserve">5.7 Due to the claimant living rent-free in the property for an extended </w:t>
      </w:r>
      <w:proofErr w:type="gramStart"/>
      <w:r w:rsidRPr="00063C46">
        <w:rPr>
          <w:rFonts w:ascii="Arial" w:hAnsi="Arial" w:cs="Arial"/>
        </w:rPr>
        <w:t>period of time</w:t>
      </w:r>
      <w:proofErr w:type="gramEnd"/>
      <w:r w:rsidRPr="00063C46">
        <w:rPr>
          <w:rFonts w:ascii="Arial" w:hAnsi="Arial" w:cs="Arial"/>
        </w:rPr>
        <w:t xml:space="preserve"> and receiving financial help from the defendant, the claim of detrimental reliance is weakened as she benefited.  </w:t>
      </w:r>
    </w:p>
    <w:p w14:paraId="0B003E95" w14:textId="77777777" w:rsidR="0056256F" w:rsidRPr="00063C46" w:rsidRDefault="0056256F" w:rsidP="00063C46">
      <w:pPr>
        <w:spacing w:line="360" w:lineRule="auto"/>
        <w:rPr>
          <w:rFonts w:ascii="Arial" w:hAnsi="Arial" w:cs="Arial"/>
        </w:rPr>
      </w:pPr>
    </w:p>
    <w:p w14:paraId="236D9061" w14:textId="2152B510" w:rsidR="0056256F" w:rsidRPr="00063C46" w:rsidRDefault="0056256F" w:rsidP="00063C46">
      <w:pPr>
        <w:pStyle w:val="ListParagraph"/>
        <w:numPr>
          <w:ilvl w:val="0"/>
          <w:numId w:val="1"/>
        </w:numPr>
        <w:spacing w:line="360" w:lineRule="auto"/>
        <w:rPr>
          <w:rFonts w:ascii="Arial" w:hAnsi="Arial" w:cs="Arial"/>
          <w:b/>
          <w:bCs/>
        </w:rPr>
      </w:pPr>
      <w:r w:rsidRPr="00063C46">
        <w:rPr>
          <w:rFonts w:ascii="Arial" w:hAnsi="Arial" w:cs="Arial"/>
          <w:b/>
          <w:bCs/>
        </w:rPr>
        <w:t xml:space="preserve">Conclusion on Constructive Trust </w:t>
      </w:r>
    </w:p>
    <w:p w14:paraId="5DA65682" w14:textId="3D48A032" w:rsidR="00421860" w:rsidRPr="00063C46" w:rsidRDefault="0056256F" w:rsidP="00063C46">
      <w:pPr>
        <w:spacing w:line="360" w:lineRule="auto"/>
        <w:rPr>
          <w:rFonts w:ascii="Arial" w:hAnsi="Arial" w:cs="Arial"/>
        </w:rPr>
      </w:pPr>
      <w:r w:rsidRPr="00063C46">
        <w:rPr>
          <w:rFonts w:ascii="Arial" w:hAnsi="Arial" w:cs="Arial"/>
        </w:rPr>
        <w:t>The claimant failed to establish a common intention to share beneficial ownership or detrimental reliance that is sufficient to change the presumption of sole ownership; accordingly, no common intention constructive trust has occurred.</w:t>
      </w:r>
    </w:p>
    <w:p w14:paraId="357994CB" w14:textId="77777777" w:rsidR="0056256F" w:rsidRPr="00063C46" w:rsidRDefault="0056256F" w:rsidP="00063C46">
      <w:pPr>
        <w:spacing w:line="360" w:lineRule="auto"/>
        <w:rPr>
          <w:rFonts w:ascii="Arial" w:hAnsi="Arial" w:cs="Arial"/>
        </w:rPr>
      </w:pPr>
    </w:p>
    <w:p w14:paraId="593E3170" w14:textId="7247544A" w:rsidR="0056256F" w:rsidRPr="00063C46" w:rsidRDefault="0056256F" w:rsidP="00063C46">
      <w:pPr>
        <w:pStyle w:val="ListParagraph"/>
        <w:spacing w:line="360" w:lineRule="auto"/>
        <w:rPr>
          <w:rFonts w:ascii="Arial" w:hAnsi="Arial" w:cs="Arial"/>
          <w:b/>
          <w:bCs/>
        </w:rPr>
      </w:pPr>
      <w:r w:rsidRPr="00063C46">
        <w:rPr>
          <w:rFonts w:ascii="Arial" w:hAnsi="Arial" w:cs="Arial"/>
          <w:b/>
          <w:bCs/>
        </w:rPr>
        <w:t xml:space="preserve">Claim arising under a proprietary estoppel. </w:t>
      </w:r>
    </w:p>
    <w:p w14:paraId="41FB7AB1" w14:textId="582692D1" w:rsidR="0056256F" w:rsidRPr="00063C46" w:rsidRDefault="0056256F" w:rsidP="00063C46">
      <w:pPr>
        <w:pStyle w:val="ListParagraph"/>
        <w:numPr>
          <w:ilvl w:val="0"/>
          <w:numId w:val="1"/>
        </w:numPr>
        <w:spacing w:line="360" w:lineRule="auto"/>
        <w:rPr>
          <w:rFonts w:ascii="Arial" w:hAnsi="Arial" w:cs="Arial"/>
          <w:b/>
          <w:bCs/>
        </w:rPr>
      </w:pPr>
      <w:r w:rsidRPr="00063C46">
        <w:rPr>
          <w:rFonts w:ascii="Arial" w:hAnsi="Arial" w:cs="Arial"/>
          <w:b/>
          <w:bCs/>
        </w:rPr>
        <w:t>The law</w:t>
      </w:r>
    </w:p>
    <w:p w14:paraId="679EAC71" w14:textId="0C17A2A1" w:rsidR="0056256F" w:rsidRPr="00063C46" w:rsidRDefault="0056256F" w:rsidP="00063C46">
      <w:pPr>
        <w:spacing w:line="360" w:lineRule="auto"/>
        <w:rPr>
          <w:rFonts w:ascii="Arial" w:hAnsi="Arial" w:cs="Arial"/>
        </w:rPr>
      </w:pPr>
      <w:r w:rsidRPr="00063C46">
        <w:rPr>
          <w:rFonts w:ascii="Arial" w:hAnsi="Arial" w:cs="Arial"/>
        </w:rPr>
        <w:t>7.1 A proprietary estoppel requires four key elements: proof of clear assurance, reliance, detriment and unconscionability (</w:t>
      </w:r>
      <w:r w:rsidR="00A441EE" w:rsidRPr="00063C46">
        <w:rPr>
          <w:rFonts w:ascii="Arial" w:hAnsi="Arial" w:cs="Arial"/>
        </w:rPr>
        <w:t>‘</w:t>
      </w:r>
      <w:r w:rsidRPr="00063C46">
        <w:rPr>
          <w:rFonts w:ascii="Arial" w:hAnsi="Arial" w:cs="Arial"/>
        </w:rPr>
        <w:t>Thorner v Major</w:t>
      </w:r>
      <w:r w:rsidR="00A441EE" w:rsidRPr="00063C46">
        <w:rPr>
          <w:rFonts w:ascii="Arial" w:hAnsi="Arial" w:cs="Arial"/>
        </w:rPr>
        <w:t>’</w:t>
      </w:r>
      <w:r w:rsidRPr="00063C46">
        <w:rPr>
          <w:rFonts w:ascii="Arial" w:hAnsi="Arial" w:cs="Arial"/>
        </w:rPr>
        <w:t xml:space="preserve"> 2009)</w:t>
      </w:r>
    </w:p>
    <w:p w14:paraId="4D4A6A94" w14:textId="2003B76A" w:rsidR="0056256F" w:rsidRPr="00063C46" w:rsidRDefault="0056256F" w:rsidP="00063C46">
      <w:pPr>
        <w:spacing w:line="360" w:lineRule="auto"/>
        <w:rPr>
          <w:rFonts w:ascii="Arial" w:hAnsi="Arial" w:cs="Arial"/>
        </w:rPr>
      </w:pPr>
      <w:r w:rsidRPr="00063C46">
        <w:rPr>
          <w:rFonts w:ascii="Arial" w:hAnsi="Arial" w:cs="Arial"/>
        </w:rPr>
        <w:t>7.2 Statements that are ambiguous or for the purpose of reassuring, particularly if they lack clarity as to proprietary right, are not sufficient (</w:t>
      </w:r>
      <w:r w:rsidR="00B122F4" w:rsidRPr="00063C46">
        <w:rPr>
          <w:rFonts w:ascii="Arial" w:hAnsi="Arial" w:cs="Arial"/>
        </w:rPr>
        <w:t>‘</w:t>
      </w:r>
      <w:r w:rsidRPr="00063C46">
        <w:rPr>
          <w:rFonts w:ascii="Arial" w:hAnsi="Arial" w:cs="Arial"/>
        </w:rPr>
        <w:t>Cobble v Yeoman's Row Management Ltd</w:t>
      </w:r>
      <w:r w:rsidR="00B122F4" w:rsidRPr="00063C46">
        <w:rPr>
          <w:rFonts w:ascii="Arial" w:hAnsi="Arial" w:cs="Arial"/>
        </w:rPr>
        <w:t>’</w:t>
      </w:r>
      <w:r w:rsidRPr="00063C46">
        <w:rPr>
          <w:rFonts w:ascii="Arial" w:hAnsi="Arial" w:cs="Arial"/>
        </w:rPr>
        <w:t xml:space="preserve"> 2008)</w:t>
      </w:r>
    </w:p>
    <w:p w14:paraId="3AE78F73" w14:textId="699F75A7" w:rsidR="0056256F" w:rsidRPr="00063C46" w:rsidRDefault="0056256F" w:rsidP="00063C46">
      <w:pPr>
        <w:spacing w:line="360" w:lineRule="auto"/>
        <w:rPr>
          <w:rFonts w:ascii="Arial" w:hAnsi="Arial" w:cs="Arial"/>
        </w:rPr>
      </w:pPr>
      <w:r w:rsidRPr="00063C46">
        <w:rPr>
          <w:rFonts w:ascii="Arial" w:hAnsi="Arial" w:cs="Arial"/>
        </w:rPr>
        <w:t>7.3 Any relief given to the claimant must be proportionate to the extent of the detriment they suffered (</w:t>
      </w:r>
      <w:r w:rsidR="00714423" w:rsidRPr="00063C46">
        <w:rPr>
          <w:rFonts w:ascii="Arial" w:hAnsi="Arial" w:cs="Arial"/>
        </w:rPr>
        <w:t>‘</w:t>
      </w:r>
      <w:r w:rsidRPr="00063C46">
        <w:rPr>
          <w:rFonts w:ascii="Arial" w:hAnsi="Arial" w:cs="Arial"/>
        </w:rPr>
        <w:t>Jennings v Rice</w:t>
      </w:r>
      <w:r w:rsidR="00714423" w:rsidRPr="00063C46">
        <w:rPr>
          <w:rFonts w:ascii="Arial" w:hAnsi="Arial" w:cs="Arial"/>
        </w:rPr>
        <w:t>’</w:t>
      </w:r>
      <w:r w:rsidRPr="00063C46">
        <w:rPr>
          <w:rFonts w:ascii="Arial" w:hAnsi="Arial" w:cs="Arial"/>
        </w:rPr>
        <w:t xml:space="preserve"> 2002) </w:t>
      </w:r>
    </w:p>
    <w:p w14:paraId="607706E4" w14:textId="77777777" w:rsidR="0056256F" w:rsidRPr="00063C46" w:rsidRDefault="0056256F" w:rsidP="00063C46">
      <w:pPr>
        <w:spacing w:line="360" w:lineRule="auto"/>
        <w:rPr>
          <w:rFonts w:ascii="Arial" w:hAnsi="Arial" w:cs="Arial"/>
        </w:rPr>
      </w:pPr>
    </w:p>
    <w:p w14:paraId="51504A0B" w14:textId="69FBEF44" w:rsidR="0056256F" w:rsidRPr="00063C46" w:rsidRDefault="0056256F" w:rsidP="00063C46">
      <w:pPr>
        <w:pStyle w:val="ListParagraph"/>
        <w:numPr>
          <w:ilvl w:val="0"/>
          <w:numId w:val="1"/>
        </w:numPr>
        <w:spacing w:line="360" w:lineRule="auto"/>
        <w:rPr>
          <w:rFonts w:ascii="Arial" w:hAnsi="Arial" w:cs="Arial"/>
          <w:b/>
          <w:bCs/>
        </w:rPr>
      </w:pPr>
      <w:r w:rsidRPr="00063C46">
        <w:rPr>
          <w:rFonts w:ascii="Arial" w:hAnsi="Arial" w:cs="Arial"/>
          <w:b/>
          <w:bCs/>
        </w:rPr>
        <w:t>Submissions</w:t>
      </w:r>
    </w:p>
    <w:p w14:paraId="10357372" w14:textId="796F9542" w:rsidR="0056256F" w:rsidRPr="00063C46" w:rsidRDefault="0056256F" w:rsidP="00063C46">
      <w:pPr>
        <w:spacing w:line="360" w:lineRule="auto"/>
        <w:rPr>
          <w:rFonts w:ascii="Arial" w:hAnsi="Arial" w:cs="Arial"/>
        </w:rPr>
      </w:pPr>
      <w:r w:rsidRPr="00063C46">
        <w:rPr>
          <w:rFonts w:ascii="Arial" w:hAnsi="Arial" w:cs="Arial"/>
        </w:rPr>
        <w:t xml:space="preserve">8.1 There was no clear assurance that was made stating the claimant would receive a proprietary interest; the relied upon statements are for emotional reassurance and are </w:t>
      </w:r>
      <w:r w:rsidRPr="00063C46">
        <w:rPr>
          <w:rFonts w:ascii="Arial" w:hAnsi="Arial" w:cs="Arial"/>
        </w:rPr>
        <w:lastRenderedPageBreak/>
        <w:t>understood on arising based on the parties' relationship rather than legal commitment (</w:t>
      </w:r>
      <w:r w:rsidR="00B122F4" w:rsidRPr="00063C46">
        <w:rPr>
          <w:rFonts w:ascii="Arial" w:hAnsi="Arial" w:cs="Arial"/>
        </w:rPr>
        <w:t>‘</w:t>
      </w:r>
      <w:r w:rsidRPr="00063C46">
        <w:rPr>
          <w:rFonts w:ascii="Arial" w:hAnsi="Arial" w:cs="Arial"/>
        </w:rPr>
        <w:t>Cobble v Yeoman's Row Management Ltd</w:t>
      </w:r>
      <w:r w:rsidR="00B122F4" w:rsidRPr="00063C46">
        <w:rPr>
          <w:rFonts w:ascii="Arial" w:hAnsi="Arial" w:cs="Arial"/>
        </w:rPr>
        <w:t>’</w:t>
      </w:r>
      <w:r w:rsidRPr="00063C46">
        <w:rPr>
          <w:rFonts w:ascii="Arial" w:hAnsi="Arial" w:cs="Arial"/>
        </w:rPr>
        <w:t xml:space="preserve"> 2008).</w:t>
      </w:r>
    </w:p>
    <w:p w14:paraId="6D9AA205" w14:textId="49B46991" w:rsidR="0056256F" w:rsidRPr="00063C46" w:rsidRDefault="0056256F" w:rsidP="00063C46">
      <w:pPr>
        <w:spacing w:line="360" w:lineRule="auto"/>
        <w:rPr>
          <w:rFonts w:ascii="Arial" w:hAnsi="Arial" w:cs="Arial"/>
        </w:rPr>
      </w:pPr>
      <w:r w:rsidRPr="00063C46">
        <w:rPr>
          <w:rFonts w:ascii="Arial" w:hAnsi="Arial" w:cs="Arial"/>
        </w:rPr>
        <w:t xml:space="preserve">8.2 The claimant may rely on </w:t>
      </w:r>
      <w:r w:rsidR="001E559C" w:rsidRPr="00063C46">
        <w:rPr>
          <w:rFonts w:ascii="Arial" w:hAnsi="Arial" w:cs="Arial"/>
        </w:rPr>
        <w:t>‘</w:t>
      </w:r>
      <w:r w:rsidRPr="00063C46">
        <w:rPr>
          <w:rFonts w:ascii="Arial" w:hAnsi="Arial" w:cs="Arial"/>
        </w:rPr>
        <w:t>Thorner v Major</w:t>
      </w:r>
      <w:r w:rsidR="001E559C" w:rsidRPr="00063C46">
        <w:rPr>
          <w:rFonts w:ascii="Arial" w:hAnsi="Arial" w:cs="Arial"/>
        </w:rPr>
        <w:t>’ (2009)</w:t>
      </w:r>
      <w:r w:rsidRPr="00063C46">
        <w:rPr>
          <w:rFonts w:ascii="Arial" w:hAnsi="Arial" w:cs="Arial"/>
        </w:rPr>
        <w:t xml:space="preserve"> to argue that informal assurances can still create a proprietary estoppel. Despite this, the case differs due to the assurances being repetitive over multiple years and clearly referring to a specific proprietary expectation. whereas in this case</w:t>
      </w:r>
      <w:r w:rsidR="00714423" w:rsidRPr="00063C46">
        <w:rPr>
          <w:rFonts w:ascii="Arial" w:hAnsi="Arial" w:cs="Arial"/>
        </w:rPr>
        <w:t>,</w:t>
      </w:r>
      <w:r w:rsidRPr="00063C46">
        <w:rPr>
          <w:rFonts w:ascii="Arial" w:hAnsi="Arial" w:cs="Arial"/>
        </w:rPr>
        <w:t xml:space="preserve"> the assurances here are vague and intended for emotional reassurance, with no clear direct link to the land. The claimant knew she held no beneficial interest, having sought legal advice and knowing how to obtain it, but did not act, making any claim objectively unreasonable. </w:t>
      </w:r>
    </w:p>
    <w:p w14:paraId="60469034" w14:textId="23107710" w:rsidR="0056256F" w:rsidRPr="00063C46" w:rsidRDefault="0056256F" w:rsidP="00063C46">
      <w:pPr>
        <w:spacing w:line="360" w:lineRule="auto"/>
        <w:rPr>
          <w:rFonts w:ascii="Arial" w:hAnsi="Arial" w:cs="Arial"/>
        </w:rPr>
      </w:pPr>
      <w:r w:rsidRPr="00063C46">
        <w:rPr>
          <w:rFonts w:ascii="Arial" w:hAnsi="Arial" w:cs="Arial"/>
        </w:rPr>
        <w:t>8.3 Due to the legal advice both parties received in 2014, the claimant was aware of the absence of beneficial ownership, and any reliance upon this was unreasonable</w:t>
      </w:r>
      <w:r w:rsidR="00714423" w:rsidRPr="00063C46">
        <w:rPr>
          <w:rFonts w:ascii="Arial" w:hAnsi="Arial" w:cs="Arial"/>
        </w:rPr>
        <w:t xml:space="preserve"> (‘</w:t>
      </w:r>
      <w:r w:rsidRPr="00063C46">
        <w:rPr>
          <w:rFonts w:ascii="Arial" w:hAnsi="Arial" w:cs="Arial"/>
        </w:rPr>
        <w:t>Thorner v Major</w:t>
      </w:r>
      <w:r w:rsidR="00714423" w:rsidRPr="00063C46">
        <w:rPr>
          <w:rFonts w:ascii="Arial" w:hAnsi="Arial" w:cs="Arial"/>
        </w:rPr>
        <w:t>’</w:t>
      </w:r>
      <w:r w:rsidRPr="00063C46">
        <w:rPr>
          <w:rFonts w:ascii="Arial" w:hAnsi="Arial" w:cs="Arial"/>
        </w:rPr>
        <w:t xml:space="preserve"> 2009</w:t>
      </w:r>
      <w:r w:rsidR="00714423" w:rsidRPr="00063C46">
        <w:rPr>
          <w:rFonts w:ascii="Arial" w:hAnsi="Arial" w:cs="Arial"/>
        </w:rPr>
        <w:t>)</w:t>
      </w:r>
      <w:r w:rsidRPr="00063C46">
        <w:rPr>
          <w:rFonts w:ascii="Arial" w:hAnsi="Arial" w:cs="Arial"/>
        </w:rPr>
        <w:t>.</w:t>
      </w:r>
    </w:p>
    <w:p w14:paraId="0E16F46F" w14:textId="212FFA6C" w:rsidR="0056256F" w:rsidRPr="00063C46" w:rsidRDefault="0056256F" w:rsidP="00063C46">
      <w:pPr>
        <w:spacing w:line="360" w:lineRule="auto"/>
        <w:rPr>
          <w:rFonts w:ascii="Arial" w:hAnsi="Arial" w:cs="Arial"/>
        </w:rPr>
      </w:pPr>
      <w:r w:rsidRPr="00063C46">
        <w:rPr>
          <w:rFonts w:ascii="Arial" w:hAnsi="Arial" w:cs="Arial"/>
        </w:rPr>
        <w:t xml:space="preserve">8.4 When countervailing the benefits that the claimant received are considered, including that the claimant was living rent-free for an extended </w:t>
      </w:r>
      <w:proofErr w:type="gramStart"/>
      <w:r w:rsidRPr="00063C46">
        <w:rPr>
          <w:rFonts w:ascii="Arial" w:hAnsi="Arial" w:cs="Arial"/>
        </w:rPr>
        <w:t>period of time</w:t>
      </w:r>
      <w:proofErr w:type="gramEnd"/>
      <w:r w:rsidRPr="00063C46">
        <w:rPr>
          <w:rFonts w:ascii="Arial" w:hAnsi="Arial" w:cs="Arial"/>
        </w:rPr>
        <w:t xml:space="preserve"> within the property and that the defendant contributed financially while the claimant was studying, denying the relief the claimant sought would not be unconscionable (</w:t>
      </w:r>
      <w:r w:rsidR="00714423" w:rsidRPr="00063C46">
        <w:rPr>
          <w:rFonts w:ascii="Arial" w:hAnsi="Arial" w:cs="Arial"/>
        </w:rPr>
        <w:t>‘</w:t>
      </w:r>
      <w:r w:rsidRPr="00063C46">
        <w:rPr>
          <w:rFonts w:ascii="Arial" w:hAnsi="Arial" w:cs="Arial"/>
        </w:rPr>
        <w:t>Jennings v Rice</w:t>
      </w:r>
      <w:r w:rsidR="00714423" w:rsidRPr="00063C46">
        <w:rPr>
          <w:rFonts w:ascii="Arial" w:hAnsi="Arial" w:cs="Arial"/>
        </w:rPr>
        <w:t>’</w:t>
      </w:r>
      <w:r w:rsidRPr="00063C46">
        <w:rPr>
          <w:rFonts w:ascii="Arial" w:hAnsi="Arial" w:cs="Arial"/>
        </w:rPr>
        <w:t xml:space="preserve"> 2002).</w:t>
      </w:r>
    </w:p>
    <w:p w14:paraId="21ABFC20" w14:textId="77777777" w:rsidR="0056256F" w:rsidRPr="00063C46" w:rsidRDefault="0056256F" w:rsidP="00063C46">
      <w:pPr>
        <w:spacing w:line="360" w:lineRule="auto"/>
        <w:rPr>
          <w:rFonts w:ascii="Arial" w:hAnsi="Arial" w:cs="Arial"/>
        </w:rPr>
      </w:pPr>
    </w:p>
    <w:p w14:paraId="5DF41B22" w14:textId="6D1B987E" w:rsidR="0056256F" w:rsidRPr="00063C46" w:rsidRDefault="0056256F" w:rsidP="00063C46">
      <w:pPr>
        <w:pStyle w:val="ListParagraph"/>
        <w:numPr>
          <w:ilvl w:val="0"/>
          <w:numId w:val="1"/>
        </w:numPr>
        <w:spacing w:line="360" w:lineRule="auto"/>
        <w:rPr>
          <w:rFonts w:ascii="Arial" w:hAnsi="Arial" w:cs="Arial"/>
          <w:b/>
          <w:bCs/>
        </w:rPr>
      </w:pPr>
      <w:r w:rsidRPr="00063C46">
        <w:rPr>
          <w:rFonts w:ascii="Arial" w:hAnsi="Arial" w:cs="Arial"/>
          <w:b/>
          <w:bCs/>
        </w:rPr>
        <w:t xml:space="preserve">Conclusion on Proprietary Estoppel </w:t>
      </w:r>
    </w:p>
    <w:p w14:paraId="78C1DA70" w14:textId="77777777" w:rsidR="0056256F" w:rsidRPr="00063C46" w:rsidRDefault="0056256F" w:rsidP="00063C46">
      <w:pPr>
        <w:spacing w:line="360" w:lineRule="auto"/>
        <w:rPr>
          <w:rFonts w:ascii="Arial" w:hAnsi="Arial" w:cs="Arial"/>
        </w:rPr>
      </w:pPr>
      <w:r w:rsidRPr="00063C46">
        <w:rPr>
          <w:rFonts w:ascii="Arial" w:hAnsi="Arial" w:cs="Arial"/>
        </w:rPr>
        <w:t xml:space="preserve">The claimant has not established assurance, reliance or unconscionability; therefore, the proprietary estoppel claim has failed. </w:t>
      </w:r>
    </w:p>
    <w:p w14:paraId="3FE5FAE4" w14:textId="77777777" w:rsidR="0056256F" w:rsidRPr="00063C46" w:rsidRDefault="0056256F" w:rsidP="00063C46">
      <w:pPr>
        <w:spacing w:line="360" w:lineRule="auto"/>
        <w:rPr>
          <w:rFonts w:ascii="Arial" w:hAnsi="Arial" w:cs="Arial"/>
        </w:rPr>
      </w:pPr>
    </w:p>
    <w:p w14:paraId="74D6CE92" w14:textId="14BCD6C7" w:rsidR="0056256F" w:rsidRPr="00063C46" w:rsidRDefault="0056256F" w:rsidP="00063C46">
      <w:pPr>
        <w:pStyle w:val="ListParagraph"/>
        <w:numPr>
          <w:ilvl w:val="0"/>
          <w:numId w:val="1"/>
        </w:numPr>
        <w:spacing w:line="360" w:lineRule="auto"/>
        <w:rPr>
          <w:rFonts w:ascii="Arial" w:hAnsi="Arial" w:cs="Arial"/>
          <w:b/>
          <w:bCs/>
        </w:rPr>
      </w:pPr>
      <w:r w:rsidRPr="00063C46">
        <w:rPr>
          <w:rFonts w:ascii="Arial" w:hAnsi="Arial" w:cs="Arial"/>
          <w:b/>
          <w:bCs/>
        </w:rPr>
        <w:t xml:space="preserve">Overall Conclusion </w:t>
      </w:r>
    </w:p>
    <w:p w14:paraId="0AC51C7F" w14:textId="6FBFBDC2" w:rsidR="0056256F" w:rsidRPr="00063C46" w:rsidRDefault="0056256F" w:rsidP="00063C46">
      <w:pPr>
        <w:spacing w:line="360" w:lineRule="auto"/>
        <w:rPr>
          <w:rFonts w:ascii="Arial" w:hAnsi="Arial" w:cs="Arial"/>
        </w:rPr>
      </w:pPr>
      <w:r w:rsidRPr="00063C46">
        <w:rPr>
          <w:rFonts w:ascii="Arial" w:hAnsi="Arial" w:cs="Arial"/>
        </w:rPr>
        <w:t xml:space="preserve">For the reasons set out in this skeleton argument, the defendant submits that the claimant has not established a common intention constructive trust or proprietary estoppel. The defendant invites the court to dismiss both the claims and declare that the defendant remains the sole legal and beneficial owner of the Gatehouse. </w:t>
      </w:r>
    </w:p>
    <w:p w14:paraId="45B1757D" w14:textId="77777777" w:rsidR="0056256F" w:rsidRPr="00063C46" w:rsidRDefault="0056256F" w:rsidP="00063C46">
      <w:pPr>
        <w:spacing w:line="360" w:lineRule="auto"/>
        <w:rPr>
          <w:rFonts w:ascii="Arial" w:hAnsi="Arial" w:cs="Arial"/>
        </w:rPr>
      </w:pPr>
    </w:p>
    <w:p w14:paraId="2E772EFF" w14:textId="77777777" w:rsidR="0056256F" w:rsidRPr="00063C46" w:rsidRDefault="0056256F" w:rsidP="00063C46">
      <w:pPr>
        <w:spacing w:line="360" w:lineRule="auto"/>
        <w:rPr>
          <w:rFonts w:ascii="Arial" w:hAnsi="Arial" w:cs="Arial"/>
        </w:rPr>
      </w:pPr>
    </w:p>
    <w:p w14:paraId="5C3EA05C" w14:textId="77777777" w:rsidR="0056256F" w:rsidRPr="00063C46" w:rsidRDefault="0056256F" w:rsidP="00063C46">
      <w:pPr>
        <w:spacing w:line="360" w:lineRule="auto"/>
        <w:rPr>
          <w:rFonts w:ascii="Arial" w:hAnsi="Arial" w:cs="Arial"/>
        </w:rPr>
      </w:pPr>
    </w:p>
    <w:p w14:paraId="74FEE7F1" w14:textId="77777777" w:rsidR="0056256F" w:rsidRPr="00063C46" w:rsidRDefault="0056256F" w:rsidP="00063C46">
      <w:pPr>
        <w:spacing w:line="360" w:lineRule="auto"/>
        <w:rPr>
          <w:rFonts w:ascii="Arial" w:hAnsi="Arial" w:cs="Arial"/>
        </w:rPr>
      </w:pPr>
    </w:p>
    <w:p w14:paraId="60364C0D" w14:textId="77777777" w:rsidR="00063C46" w:rsidRDefault="00063C46" w:rsidP="00063C46">
      <w:pPr>
        <w:spacing w:line="360" w:lineRule="auto"/>
        <w:rPr>
          <w:rFonts w:ascii="Arial" w:hAnsi="Arial" w:cs="Arial"/>
        </w:rPr>
      </w:pPr>
    </w:p>
    <w:p w14:paraId="2CE8FBE4" w14:textId="3B1643DD" w:rsidR="0056256F" w:rsidRPr="00063C46" w:rsidRDefault="0056256F" w:rsidP="00063C46">
      <w:pPr>
        <w:spacing w:line="360" w:lineRule="auto"/>
        <w:rPr>
          <w:rFonts w:ascii="Arial" w:hAnsi="Arial" w:cs="Arial"/>
          <w:b/>
          <w:bCs/>
        </w:rPr>
      </w:pPr>
      <w:r w:rsidRPr="00063C46">
        <w:rPr>
          <w:rFonts w:ascii="Arial" w:hAnsi="Arial" w:cs="Arial"/>
          <w:b/>
          <w:bCs/>
        </w:rPr>
        <w:lastRenderedPageBreak/>
        <w:t xml:space="preserve">Case </w:t>
      </w:r>
      <w:proofErr w:type="gramStart"/>
      <w:r w:rsidRPr="00063C46">
        <w:rPr>
          <w:rFonts w:ascii="Arial" w:hAnsi="Arial" w:cs="Arial"/>
          <w:b/>
          <w:bCs/>
        </w:rPr>
        <w:t>note</w:t>
      </w:r>
      <w:proofErr w:type="gramEnd"/>
    </w:p>
    <w:p w14:paraId="01141A92" w14:textId="77777777" w:rsidR="0056256F" w:rsidRPr="002B006E" w:rsidRDefault="0056256F" w:rsidP="00063C46">
      <w:pPr>
        <w:pStyle w:val="ListParagraph"/>
        <w:spacing w:line="360" w:lineRule="auto"/>
        <w:rPr>
          <w:rFonts w:ascii="Arial" w:hAnsi="Arial" w:cs="Arial"/>
          <w:b/>
          <w:bCs/>
        </w:rPr>
      </w:pPr>
    </w:p>
    <w:p w14:paraId="7B4C041D" w14:textId="444ADDD1" w:rsidR="0056256F" w:rsidRPr="00063C46" w:rsidRDefault="0078407F" w:rsidP="00063C46">
      <w:pPr>
        <w:pStyle w:val="ListParagraph"/>
        <w:spacing w:line="360" w:lineRule="auto"/>
        <w:jc w:val="center"/>
        <w:rPr>
          <w:rFonts w:ascii="Arial" w:hAnsi="Arial" w:cs="Arial"/>
          <w:b/>
          <w:bCs/>
        </w:rPr>
      </w:pPr>
      <w:r w:rsidRPr="00063C46">
        <w:rPr>
          <w:rFonts w:ascii="Arial" w:hAnsi="Arial" w:cs="Arial"/>
          <w:b/>
          <w:bCs/>
        </w:rPr>
        <w:t>‘</w:t>
      </w:r>
      <w:r w:rsidR="0056256F" w:rsidRPr="00063C46">
        <w:rPr>
          <w:rFonts w:ascii="Arial" w:hAnsi="Arial" w:cs="Arial"/>
          <w:b/>
          <w:bCs/>
        </w:rPr>
        <w:t>Grant v Edwards</w:t>
      </w:r>
      <w:r w:rsidRPr="00063C46">
        <w:rPr>
          <w:rFonts w:ascii="Arial" w:hAnsi="Arial" w:cs="Arial"/>
          <w:b/>
          <w:bCs/>
        </w:rPr>
        <w:t>’</w:t>
      </w:r>
      <w:r w:rsidR="0056256F" w:rsidRPr="00063C46">
        <w:rPr>
          <w:rFonts w:ascii="Arial" w:hAnsi="Arial" w:cs="Arial"/>
          <w:b/>
          <w:bCs/>
        </w:rPr>
        <w:t xml:space="preserve"> </w:t>
      </w:r>
      <w:r w:rsidRPr="00063C46">
        <w:rPr>
          <w:rFonts w:ascii="Arial" w:hAnsi="Arial" w:cs="Arial"/>
          <w:b/>
          <w:bCs/>
        </w:rPr>
        <w:t>(</w:t>
      </w:r>
      <w:r w:rsidR="0056256F" w:rsidRPr="00063C46">
        <w:rPr>
          <w:rFonts w:ascii="Arial" w:hAnsi="Arial" w:cs="Arial"/>
          <w:b/>
          <w:bCs/>
        </w:rPr>
        <w:t>1986</w:t>
      </w:r>
      <w:r w:rsidRPr="00063C46">
        <w:rPr>
          <w:rFonts w:ascii="Arial" w:hAnsi="Arial" w:cs="Arial"/>
          <w:b/>
          <w:bCs/>
        </w:rPr>
        <w:t>)</w:t>
      </w:r>
    </w:p>
    <w:p w14:paraId="2E46CBC4" w14:textId="77777777" w:rsidR="0056256F" w:rsidRPr="00063C46" w:rsidRDefault="0056256F" w:rsidP="00063C46">
      <w:pPr>
        <w:pStyle w:val="ListParagraph"/>
        <w:spacing w:line="360" w:lineRule="auto"/>
        <w:jc w:val="center"/>
        <w:rPr>
          <w:rFonts w:ascii="Arial" w:hAnsi="Arial" w:cs="Arial"/>
          <w:b/>
          <w:bCs/>
        </w:rPr>
      </w:pPr>
      <w:r w:rsidRPr="00063C46">
        <w:rPr>
          <w:rFonts w:ascii="Arial" w:hAnsi="Arial" w:cs="Arial"/>
          <w:b/>
          <w:bCs/>
        </w:rPr>
        <w:t>Ch 638</w:t>
      </w:r>
    </w:p>
    <w:p w14:paraId="6D03ED8D" w14:textId="77777777" w:rsidR="0056256F" w:rsidRPr="002B006E" w:rsidRDefault="0056256F" w:rsidP="00063C46">
      <w:pPr>
        <w:pStyle w:val="ListParagraph"/>
        <w:spacing w:line="360" w:lineRule="auto"/>
        <w:jc w:val="center"/>
        <w:rPr>
          <w:rFonts w:ascii="Arial" w:hAnsi="Arial" w:cs="Arial"/>
          <w:b/>
          <w:bCs/>
        </w:rPr>
      </w:pPr>
      <w:r w:rsidRPr="002B006E">
        <w:rPr>
          <w:rFonts w:ascii="Arial" w:hAnsi="Arial" w:cs="Arial"/>
          <w:b/>
          <w:bCs/>
        </w:rPr>
        <w:t>Court</w:t>
      </w:r>
      <w:r w:rsidRPr="00063C46">
        <w:rPr>
          <w:rFonts w:ascii="Arial" w:hAnsi="Arial" w:cs="Arial"/>
          <w:b/>
          <w:bCs/>
        </w:rPr>
        <w:t xml:space="preserve"> of Appeal</w:t>
      </w:r>
    </w:p>
    <w:p w14:paraId="4ABD21C6" w14:textId="77777777" w:rsidR="0056256F" w:rsidRPr="002B006E" w:rsidRDefault="0056256F" w:rsidP="00063C46">
      <w:pPr>
        <w:pStyle w:val="ListParagraph"/>
        <w:spacing w:line="360" w:lineRule="auto"/>
        <w:rPr>
          <w:rFonts w:ascii="Arial" w:hAnsi="Arial" w:cs="Arial"/>
          <w:b/>
          <w:bCs/>
        </w:rPr>
      </w:pPr>
    </w:p>
    <w:p w14:paraId="6B63F12E" w14:textId="77777777" w:rsidR="0056256F" w:rsidRPr="00063C46" w:rsidRDefault="0056256F" w:rsidP="00063C46">
      <w:pPr>
        <w:spacing w:line="360" w:lineRule="auto"/>
        <w:rPr>
          <w:rFonts w:ascii="Arial" w:hAnsi="Arial" w:cs="Arial"/>
        </w:rPr>
      </w:pPr>
      <w:r w:rsidRPr="00063C46">
        <w:rPr>
          <w:rFonts w:ascii="Arial" w:hAnsi="Arial" w:cs="Arial"/>
        </w:rPr>
        <w:t>Parties</w:t>
      </w:r>
    </w:p>
    <w:p w14:paraId="74285284" w14:textId="77777777" w:rsidR="0056256F" w:rsidRPr="00063C46" w:rsidRDefault="0056256F" w:rsidP="00063C46">
      <w:pPr>
        <w:spacing w:line="360" w:lineRule="auto"/>
        <w:rPr>
          <w:rFonts w:ascii="Arial" w:hAnsi="Arial" w:cs="Arial"/>
        </w:rPr>
      </w:pPr>
      <w:r w:rsidRPr="00063C46">
        <w:rPr>
          <w:rFonts w:ascii="Arial" w:hAnsi="Arial" w:cs="Arial"/>
        </w:rPr>
        <w:t>Mr Edward (Appellant)</w:t>
      </w:r>
    </w:p>
    <w:p w14:paraId="49F285DE" w14:textId="77777777" w:rsidR="0056256F" w:rsidRPr="00063C46" w:rsidRDefault="0056256F" w:rsidP="00063C46">
      <w:pPr>
        <w:spacing w:line="360" w:lineRule="auto"/>
        <w:rPr>
          <w:rFonts w:ascii="Arial" w:hAnsi="Arial" w:cs="Arial"/>
        </w:rPr>
      </w:pPr>
      <w:r w:rsidRPr="00063C46">
        <w:rPr>
          <w:rFonts w:ascii="Arial" w:hAnsi="Arial" w:cs="Arial"/>
        </w:rPr>
        <w:t>Ms Grant (Respondent)</w:t>
      </w:r>
    </w:p>
    <w:p w14:paraId="78066F7C" w14:textId="77777777" w:rsidR="0056256F" w:rsidRPr="00063C46" w:rsidRDefault="0056256F" w:rsidP="00063C46">
      <w:pPr>
        <w:spacing w:line="360" w:lineRule="auto"/>
        <w:rPr>
          <w:rFonts w:ascii="Arial" w:hAnsi="Arial" w:cs="Arial"/>
        </w:rPr>
      </w:pPr>
    </w:p>
    <w:p w14:paraId="29EFE015" w14:textId="77777777" w:rsidR="0056256F" w:rsidRPr="00063C46" w:rsidRDefault="0056256F" w:rsidP="00063C46">
      <w:pPr>
        <w:spacing w:line="360" w:lineRule="auto"/>
        <w:rPr>
          <w:rFonts w:ascii="Arial" w:hAnsi="Arial" w:cs="Arial"/>
        </w:rPr>
      </w:pPr>
      <w:r w:rsidRPr="00063C46">
        <w:rPr>
          <w:rFonts w:ascii="Arial" w:hAnsi="Arial" w:cs="Arial"/>
        </w:rPr>
        <w:t>Procedural History</w:t>
      </w:r>
    </w:p>
    <w:p w14:paraId="72745F2A" w14:textId="77777777" w:rsidR="0056256F" w:rsidRPr="00063C46" w:rsidRDefault="0056256F" w:rsidP="00063C46">
      <w:pPr>
        <w:spacing w:line="360" w:lineRule="auto"/>
        <w:rPr>
          <w:rFonts w:ascii="Arial" w:hAnsi="Arial" w:cs="Arial"/>
        </w:rPr>
      </w:pPr>
      <w:r w:rsidRPr="00063C46">
        <w:rPr>
          <w:rFonts w:ascii="Arial" w:hAnsi="Arial" w:cs="Arial"/>
        </w:rPr>
        <w:t>Initially, Ms Grant succeeded in establishing a beneficial interest through a constructive trust, Mr Edwards then appealed to the Court of Appeal.</w:t>
      </w:r>
    </w:p>
    <w:p w14:paraId="23919D7C" w14:textId="77777777" w:rsidR="0056256F" w:rsidRPr="00063C46" w:rsidRDefault="0056256F" w:rsidP="00063C46">
      <w:pPr>
        <w:spacing w:line="360" w:lineRule="auto"/>
        <w:rPr>
          <w:rFonts w:ascii="Arial" w:hAnsi="Arial" w:cs="Arial"/>
        </w:rPr>
      </w:pPr>
    </w:p>
    <w:p w14:paraId="771D72AD" w14:textId="2A3A8F21" w:rsidR="0056256F" w:rsidRPr="00063C46" w:rsidRDefault="0056256F" w:rsidP="00063C46">
      <w:pPr>
        <w:spacing w:line="360" w:lineRule="auto"/>
        <w:rPr>
          <w:rFonts w:ascii="Arial" w:hAnsi="Arial" w:cs="Arial"/>
        </w:rPr>
      </w:pPr>
      <w:r w:rsidRPr="00063C46">
        <w:rPr>
          <w:rFonts w:ascii="Arial" w:hAnsi="Arial" w:cs="Arial"/>
        </w:rPr>
        <w:t>Material Fact</w:t>
      </w:r>
    </w:p>
    <w:p w14:paraId="3FC557F3" w14:textId="77777777" w:rsidR="0056256F" w:rsidRPr="00063C46" w:rsidRDefault="0056256F" w:rsidP="00063C46">
      <w:pPr>
        <w:spacing w:line="360" w:lineRule="auto"/>
        <w:rPr>
          <w:rFonts w:ascii="Arial" w:hAnsi="Arial" w:cs="Arial"/>
        </w:rPr>
      </w:pPr>
      <w:r w:rsidRPr="00063C46">
        <w:rPr>
          <w:rFonts w:ascii="Arial" w:hAnsi="Arial" w:cs="Arial"/>
        </w:rPr>
        <w:t>In 1969, Mr Edwards purchased a property, and the legal title was in his and his brother's name. The respondent and appellant were in a long-term cohabiting relationship, and the purchase of the home was intended for them to live in with their children. Ms Grant contended that Mr Edwards gave her assurance that she could not be named on the legal title because she was still married to a different man and he did not want it to affect any divorce proceedings. Mr Edwards paid for the deposit and the mortgage payments; however, Ms Grant contributed to household expenses and looked after the home and children.</w:t>
      </w:r>
    </w:p>
    <w:p w14:paraId="10CBDDEC" w14:textId="77777777" w:rsidR="0056256F" w:rsidRPr="00063C46" w:rsidRDefault="0056256F" w:rsidP="00063C46">
      <w:pPr>
        <w:spacing w:line="360" w:lineRule="auto"/>
        <w:rPr>
          <w:rFonts w:ascii="Arial" w:hAnsi="Arial" w:cs="Arial"/>
        </w:rPr>
      </w:pPr>
    </w:p>
    <w:p w14:paraId="780D55A3" w14:textId="77777777" w:rsidR="0056256F" w:rsidRPr="00063C46" w:rsidRDefault="0056256F" w:rsidP="00063C46">
      <w:pPr>
        <w:spacing w:line="360" w:lineRule="auto"/>
        <w:rPr>
          <w:rFonts w:ascii="Arial" w:hAnsi="Arial" w:cs="Arial"/>
        </w:rPr>
      </w:pPr>
      <w:r w:rsidRPr="00063C46">
        <w:rPr>
          <w:rFonts w:ascii="Arial" w:hAnsi="Arial" w:cs="Arial"/>
        </w:rPr>
        <w:t>Legal Issue</w:t>
      </w:r>
    </w:p>
    <w:p w14:paraId="329B432E" w14:textId="77777777" w:rsidR="0056256F" w:rsidRPr="00063C46" w:rsidRDefault="0056256F" w:rsidP="00063C46">
      <w:pPr>
        <w:spacing w:line="360" w:lineRule="auto"/>
        <w:rPr>
          <w:rFonts w:ascii="Arial" w:hAnsi="Arial" w:cs="Arial"/>
        </w:rPr>
      </w:pPr>
      <w:r w:rsidRPr="00063C46">
        <w:rPr>
          <w:rFonts w:ascii="Arial" w:hAnsi="Arial" w:cs="Arial"/>
        </w:rPr>
        <w:t>If an express common intention constructive trust can be formed when a property is held in the sole legal name of one party and the other party was reliant on assurances related to ownership.</w:t>
      </w:r>
    </w:p>
    <w:p w14:paraId="096D0405" w14:textId="77777777" w:rsidR="0056256F" w:rsidRPr="00063C46" w:rsidRDefault="0056256F" w:rsidP="00063C46">
      <w:pPr>
        <w:spacing w:line="360" w:lineRule="auto"/>
        <w:rPr>
          <w:rFonts w:ascii="Arial" w:hAnsi="Arial" w:cs="Arial"/>
        </w:rPr>
      </w:pPr>
    </w:p>
    <w:p w14:paraId="363FF228" w14:textId="77777777" w:rsidR="0056256F" w:rsidRPr="00063C46" w:rsidRDefault="0056256F" w:rsidP="00063C46">
      <w:pPr>
        <w:spacing w:line="360" w:lineRule="auto"/>
        <w:rPr>
          <w:rFonts w:ascii="Arial" w:hAnsi="Arial" w:cs="Arial"/>
        </w:rPr>
      </w:pPr>
      <w:r w:rsidRPr="00063C46">
        <w:rPr>
          <w:rFonts w:ascii="Arial" w:hAnsi="Arial" w:cs="Arial"/>
        </w:rPr>
        <w:t xml:space="preserve">Appellant Argument </w:t>
      </w:r>
    </w:p>
    <w:p w14:paraId="4E39C72A" w14:textId="77777777" w:rsidR="0056256F" w:rsidRPr="00063C46" w:rsidRDefault="0056256F" w:rsidP="00063C46">
      <w:pPr>
        <w:spacing w:line="360" w:lineRule="auto"/>
        <w:rPr>
          <w:rFonts w:ascii="Arial" w:hAnsi="Arial" w:cs="Arial"/>
        </w:rPr>
      </w:pPr>
      <w:r w:rsidRPr="00063C46">
        <w:rPr>
          <w:rFonts w:ascii="Arial" w:hAnsi="Arial" w:cs="Arial"/>
        </w:rPr>
        <w:lastRenderedPageBreak/>
        <w:t xml:space="preserve">Mr Edwards submitted to the court that there was no common intention that the property would be owned jointly, and any contributions that Ms Grant made were due to their relationship, rather than being related to ownership of the property. </w:t>
      </w:r>
    </w:p>
    <w:p w14:paraId="199A7FE9" w14:textId="77777777" w:rsidR="0056256F" w:rsidRPr="00063C46" w:rsidRDefault="0056256F" w:rsidP="00063C46">
      <w:pPr>
        <w:spacing w:line="360" w:lineRule="auto"/>
        <w:rPr>
          <w:rFonts w:ascii="Arial" w:hAnsi="Arial" w:cs="Arial"/>
        </w:rPr>
      </w:pPr>
    </w:p>
    <w:p w14:paraId="5729C577" w14:textId="77777777" w:rsidR="0056256F" w:rsidRPr="00063C46" w:rsidRDefault="0056256F" w:rsidP="00063C46">
      <w:pPr>
        <w:spacing w:line="360" w:lineRule="auto"/>
        <w:rPr>
          <w:rFonts w:ascii="Arial" w:hAnsi="Arial" w:cs="Arial"/>
        </w:rPr>
      </w:pPr>
      <w:r w:rsidRPr="00063C46">
        <w:rPr>
          <w:rFonts w:ascii="Arial" w:hAnsi="Arial" w:cs="Arial"/>
        </w:rPr>
        <w:t xml:space="preserve">Respondent Argument </w:t>
      </w:r>
    </w:p>
    <w:p w14:paraId="78894C6E" w14:textId="77777777" w:rsidR="0056256F" w:rsidRPr="00063C46" w:rsidRDefault="0056256F" w:rsidP="00063C46">
      <w:pPr>
        <w:spacing w:line="360" w:lineRule="auto"/>
        <w:rPr>
          <w:rFonts w:ascii="Arial" w:hAnsi="Arial" w:cs="Arial"/>
        </w:rPr>
      </w:pPr>
      <w:r w:rsidRPr="00063C46">
        <w:rPr>
          <w:rFonts w:ascii="Arial" w:hAnsi="Arial" w:cs="Arial"/>
        </w:rPr>
        <w:t xml:space="preserve">Ms Grant submitted that the explanation Mr Edwards gave her regarding her divorce being the reason she was excluded from the legal title was an express assurance that the property was intended to be owned jointly. Ms Grant argued that her contributions to the home were made due to her reliance on the assurance, and it would be unconscionable for Mr Edwards to deny her a beneficial interest in the home. </w:t>
      </w:r>
    </w:p>
    <w:p w14:paraId="46460EDF" w14:textId="77777777" w:rsidR="0056256F" w:rsidRPr="00063C46" w:rsidRDefault="0056256F" w:rsidP="00063C46">
      <w:pPr>
        <w:spacing w:line="360" w:lineRule="auto"/>
        <w:rPr>
          <w:rFonts w:ascii="Arial" w:hAnsi="Arial" w:cs="Arial"/>
        </w:rPr>
      </w:pPr>
    </w:p>
    <w:p w14:paraId="08B5650B" w14:textId="77777777" w:rsidR="0056256F" w:rsidRPr="00063C46" w:rsidRDefault="0056256F" w:rsidP="00063C46">
      <w:pPr>
        <w:spacing w:line="360" w:lineRule="auto"/>
        <w:rPr>
          <w:rFonts w:ascii="Arial" w:hAnsi="Arial" w:cs="Arial"/>
        </w:rPr>
      </w:pPr>
      <w:r w:rsidRPr="00063C46">
        <w:rPr>
          <w:rFonts w:ascii="Arial" w:hAnsi="Arial" w:cs="Arial"/>
        </w:rPr>
        <w:t>Decision</w:t>
      </w:r>
    </w:p>
    <w:p w14:paraId="31F21D48" w14:textId="77777777" w:rsidR="0056256F" w:rsidRPr="00063C46" w:rsidRDefault="0056256F" w:rsidP="00063C46">
      <w:pPr>
        <w:spacing w:line="360" w:lineRule="auto"/>
        <w:rPr>
          <w:rFonts w:ascii="Arial" w:hAnsi="Arial" w:cs="Arial"/>
        </w:rPr>
      </w:pPr>
      <w:r w:rsidRPr="00063C46">
        <w:rPr>
          <w:rFonts w:ascii="Arial" w:hAnsi="Arial" w:cs="Arial"/>
        </w:rPr>
        <w:t>The appeal was dismissed.</w:t>
      </w:r>
    </w:p>
    <w:p w14:paraId="305A152B" w14:textId="77777777" w:rsidR="0056256F" w:rsidRPr="00063C46" w:rsidRDefault="0056256F" w:rsidP="00063C46">
      <w:pPr>
        <w:spacing w:line="360" w:lineRule="auto"/>
        <w:rPr>
          <w:rFonts w:ascii="Arial" w:hAnsi="Arial" w:cs="Arial"/>
        </w:rPr>
      </w:pPr>
    </w:p>
    <w:p w14:paraId="0AEAED70" w14:textId="77777777" w:rsidR="0056256F" w:rsidRPr="00063C46" w:rsidRDefault="0056256F" w:rsidP="00063C46">
      <w:pPr>
        <w:spacing w:line="360" w:lineRule="auto"/>
        <w:rPr>
          <w:rFonts w:ascii="Arial" w:hAnsi="Arial" w:cs="Arial"/>
        </w:rPr>
      </w:pPr>
      <w:r w:rsidRPr="00063C46">
        <w:rPr>
          <w:rFonts w:ascii="Arial" w:hAnsi="Arial" w:cs="Arial"/>
        </w:rPr>
        <w:t>Rule of Law</w:t>
      </w:r>
    </w:p>
    <w:p w14:paraId="71A39ADB" w14:textId="77777777" w:rsidR="0056256F" w:rsidRPr="00063C46" w:rsidRDefault="0056256F" w:rsidP="00063C46">
      <w:pPr>
        <w:spacing w:line="360" w:lineRule="auto"/>
        <w:rPr>
          <w:rFonts w:ascii="Arial" w:hAnsi="Arial" w:cs="Arial"/>
        </w:rPr>
      </w:pPr>
      <w:r w:rsidRPr="00063C46">
        <w:rPr>
          <w:rFonts w:ascii="Arial" w:hAnsi="Arial" w:cs="Arial"/>
        </w:rPr>
        <w:t>An express common intention constructive trust can occur when there is a sole name on the legal title, but there must be clear assurance that is directed at joint ownership of the property. There must be detrimental reliance on that assurance.</w:t>
      </w:r>
    </w:p>
    <w:p w14:paraId="2C78B41A" w14:textId="77777777" w:rsidR="0056256F" w:rsidRPr="00063C46" w:rsidRDefault="0056256F" w:rsidP="00063C46">
      <w:pPr>
        <w:spacing w:line="360" w:lineRule="auto"/>
        <w:rPr>
          <w:rFonts w:ascii="Arial" w:hAnsi="Arial" w:cs="Arial"/>
        </w:rPr>
      </w:pPr>
    </w:p>
    <w:p w14:paraId="2DA21CB1" w14:textId="77777777" w:rsidR="0056256F" w:rsidRPr="00063C46" w:rsidRDefault="0056256F" w:rsidP="00063C46">
      <w:pPr>
        <w:spacing w:line="360" w:lineRule="auto"/>
        <w:rPr>
          <w:rFonts w:ascii="Arial" w:hAnsi="Arial" w:cs="Arial"/>
        </w:rPr>
      </w:pPr>
      <w:r w:rsidRPr="00063C46">
        <w:rPr>
          <w:rFonts w:ascii="Arial" w:hAnsi="Arial" w:cs="Arial"/>
        </w:rPr>
        <w:t xml:space="preserve">Reasoning </w:t>
      </w:r>
    </w:p>
    <w:p w14:paraId="3F338493" w14:textId="77777777" w:rsidR="0056256F" w:rsidRPr="00063C46" w:rsidRDefault="0056256F" w:rsidP="00063C46">
      <w:pPr>
        <w:spacing w:line="360" w:lineRule="auto"/>
        <w:rPr>
          <w:rFonts w:ascii="Arial" w:hAnsi="Arial" w:cs="Arial"/>
        </w:rPr>
      </w:pPr>
      <w:r w:rsidRPr="00063C46">
        <w:rPr>
          <w:rFonts w:ascii="Arial" w:hAnsi="Arial" w:cs="Arial"/>
        </w:rPr>
        <w:t xml:space="preserve">The Court of Appeal decided that Mr Edwards' reasoning for not listing Ms Grant on the legal title was the reason an express common intention was established. The explanation was highlighted that the reason Ms Grant was not on the legal title was due to her divorce and not to deny her any proprietary rights, the court determined that Ms Grant relied on this assurance to her detriment due to her basing her life around their relationship and making contributions to household costs, the court decided it amounted to detrimental reliance and concluded that denying Ms Grant a beneficial interest would be unconscionable. </w:t>
      </w:r>
    </w:p>
    <w:p w14:paraId="3671BFD0" w14:textId="77777777" w:rsidR="0056256F" w:rsidRPr="00063C46" w:rsidRDefault="0056256F" w:rsidP="00063C46">
      <w:pPr>
        <w:spacing w:line="360" w:lineRule="auto"/>
        <w:rPr>
          <w:rFonts w:ascii="Arial" w:hAnsi="Arial" w:cs="Arial"/>
        </w:rPr>
      </w:pPr>
    </w:p>
    <w:p w14:paraId="44D8622F" w14:textId="77777777" w:rsidR="0056256F" w:rsidRPr="00063C46" w:rsidRDefault="0056256F" w:rsidP="00063C46">
      <w:pPr>
        <w:spacing w:line="360" w:lineRule="auto"/>
        <w:rPr>
          <w:rFonts w:ascii="Arial" w:hAnsi="Arial" w:cs="Arial"/>
        </w:rPr>
      </w:pPr>
    </w:p>
    <w:p w14:paraId="5EA5AD2A" w14:textId="77777777" w:rsidR="00063C46" w:rsidRDefault="00063C46" w:rsidP="00063C46">
      <w:pPr>
        <w:spacing w:line="360" w:lineRule="auto"/>
        <w:rPr>
          <w:rFonts w:ascii="Arial" w:hAnsi="Arial" w:cs="Arial"/>
        </w:rPr>
      </w:pPr>
    </w:p>
    <w:p w14:paraId="6442ECFD" w14:textId="5DC4B6CD" w:rsidR="00AC2CD1" w:rsidRPr="00063C46" w:rsidRDefault="00AC2CD1" w:rsidP="00063C46">
      <w:pPr>
        <w:spacing w:line="360" w:lineRule="auto"/>
        <w:rPr>
          <w:rFonts w:ascii="Arial" w:hAnsi="Arial" w:cs="Arial"/>
          <w:b/>
          <w:bCs/>
        </w:rPr>
      </w:pPr>
      <w:r w:rsidRPr="00063C46">
        <w:rPr>
          <w:rFonts w:ascii="Arial" w:hAnsi="Arial" w:cs="Arial"/>
          <w:b/>
          <w:bCs/>
        </w:rPr>
        <w:lastRenderedPageBreak/>
        <w:t>References</w:t>
      </w:r>
    </w:p>
    <w:p w14:paraId="775B2883" w14:textId="5E33B6E9" w:rsidR="00AC2CD1" w:rsidRPr="00063C46" w:rsidRDefault="003C239B" w:rsidP="00063C46">
      <w:pPr>
        <w:spacing w:line="360" w:lineRule="auto"/>
        <w:rPr>
          <w:rFonts w:ascii="Arial" w:hAnsi="Arial" w:cs="Arial"/>
        </w:rPr>
      </w:pPr>
      <w:r w:rsidRPr="00063C46">
        <w:rPr>
          <w:rFonts w:ascii="Arial" w:hAnsi="Arial" w:cs="Arial"/>
        </w:rPr>
        <w:t xml:space="preserve">‘Burns v Burns’ </w:t>
      </w:r>
      <w:r w:rsidR="002900D2" w:rsidRPr="00063C46">
        <w:rPr>
          <w:rFonts w:ascii="Arial" w:hAnsi="Arial" w:cs="Arial"/>
        </w:rPr>
        <w:t>(1984</w:t>
      </w:r>
      <w:r w:rsidR="006653DD" w:rsidRPr="00063C46">
        <w:rPr>
          <w:rFonts w:ascii="Arial" w:hAnsi="Arial" w:cs="Arial"/>
        </w:rPr>
        <w:t>) Ch 317</w:t>
      </w:r>
    </w:p>
    <w:p w14:paraId="75043E0B" w14:textId="2B560FD5" w:rsidR="0070542C" w:rsidRPr="00063C46" w:rsidRDefault="0070542C" w:rsidP="00063C46">
      <w:pPr>
        <w:spacing w:line="360" w:lineRule="auto"/>
        <w:rPr>
          <w:rFonts w:ascii="Arial" w:hAnsi="Arial" w:cs="Arial"/>
        </w:rPr>
      </w:pPr>
      <w:r w:rsidRPr="00063C46">
        <w:rPr>
          <w:rFonts w:ascii="Arial" w:hAnsi="Arial" w:cs="Arial"/>
        </w:rPr>
        <w:t>‘Cobble v Yeoman’s Row management</w:t>
      </w:r>
      <w:r w:rsidR="00733379" w:rsidRPr="00063C46">
        <w:rPr>
          <w:rFonts w:ascii="Arial" w:hAnsi="Arial" w:cs="Arial"/>
        </w:rPr>
        <w:t xml:space="preserve"> Ltd (2008) UKHL, 55</w:t>
      </w:r>
      <w:r w:rsidR="000628AB" w:rsidRPr="00063C46">
        <w:rPr>
          <w:rFonts w:ascii="Arial" w:hAnsi="Arial" w:cs="Arial"/>
          <w:i/>
          <w:iCs/>
        </w:rPr>
        <w:t xml:space="preserve">. </w:t>
      </w:r>
      <w:r w:rsidR="00714423" w:rsidRPr="00063C46">
        <w:rPr>
          <w:rFonts w:ascii="Arial" w:hAnsi="Arial" w:cs="Arial"/>
          <w:i/>
          <w:iCs/>
        </w:rPr>
        <w:t>Parliament.uk</w:t>
      </w:r>
      <w:r w:rsidR="000628AB" w:rsidRPr="00063C46">
        <w:rPr>
          <w:rFonts w:ascii="Arial" w:hAnsi="Arial" w:cs="Arial"/>
        </w:rPr>
        <w:t xml:space="preserve"> (Accessed:06/01/2026) Available at: </w:t>
      </w:r>
      <w:hyperlink r:id="rId8" w:history="1">
        <w:r w:rsidR="00714423" w:rsidRPr="00063C46">
          <w:rPr>
            <w:rStyle w:val="Hyperlink"/>
            <w:rFonts w:ascii="Arial" w:hAnsi="Arial" w:cs="Arial"/>
          </w:rPr>
          <w:t>https://publications.parliament.uk/pa/ld200708/ldjudgmt/jd080730/yeoman-1.htm</w:t>
        </w:r>
      </w:hyperlink>
    </w:p>
    <w:p w14:paraId="4521EBAA" w14:textId="12EA3673" w:rsidR="00444D12" w:rsidRPr="00063C46" w:rsidRDefault="00444D12" w:rsidP="00063C46">
      <w:pPr>
        <w:spacing w:line="360" w:lineRule="auto"/>
        <w:rPr>
          <w:rFonts w:ascii="Arial" w:hAnsi="Arial" w:cs="Arial"/>
        </w:rPr>
      </w:pPr>
      <w:r w:rsidRPr="00063C46">
        <w:rPr>
          <w:rFonts w:ascii="Arial" w:hAnsi="Arial" w:cs="Arial"/>
        </w:rPr>
        <w:t>‘</w:t>
      </w:r>
      <w:r w:rsidR="00370D4A" w:rsidRPr="00063C46">
        <w:rPr>
          <w:rFonts w:ascii="Arial" w:hAnsi="Arial" w:cs="Arial"/>
        </w:rPr>
        <w:t>Geary v Rankine’ (2012)</w:t>
      </w:r>
      <w:r w:rsidR="008E3B5B" w:rsidRPr="00063C46">
        <w:rPr>
          <w:rFonts w:ascii="Arial" w:hAnsi="Arial" w:cs="Arial"/>
        </w:rPr>
        <w:t xml:space="preserve"> Civ 555</w:t>
      </w:r>
    </w:p>
    <w:p w14:paraId="5642D16E" w14:textId="452D4BA9" w:rsidR="00067053" w:rsidRPr="00063C46" w:rsidRDefault="00067053" w:rsidP="00063C46">
      <w:pPr>
        <w:spacing w:line="360" w:lineRule="auto"/>
        <w:rPr>
          <w:rFonts w:ascii="Arial" w:hAnsi="Arial" w:cs="Arial"/>
        </w:rPr>
      </w:pPr>
      <w:r w:rsidRPr="00063C46">
        <w:rPr>
          <w:rFonts w:ascii="Arial" w:hAnsi="Arial" w:cs="Arial"/>
        </w:rPr>
        <w:t xml:space="preserve">‘Grant v </w:t>
      </w:r>
      <w:r w:rsidR="00462439" w:rsidRPr="00063C46">
        <w:rPr>
          <w:rFonts w:ascii="Arial" w:hAnsi="Arial" w:cs="Arial"/>
        </w:rPr>
        <w:t>Edwards’ (1986) Ch 638</w:t>
      </w:r>
    </w:p>
    <w:p w14:paraId="41215CC0" w14:textId="072ABB1A" w:rsidR="00714423" w:rsidRPr="00063C46" w:rsidRDefault="00714423" w:rsidP="00063C46">
      <w:pPr>
        <w:spacing w:line="360" w:lineRule="auto"/>
        <w:rPr>
          <w:rFonts w:ascii="Arial" w:hAnsi="Arial" w:cs="Arial"/>
        </w:rPr>
      </w:pPr>
      <w:r w:rsidRPr="00063C46">
        <w:rPr>
          <w:rFonts w:ascii="Arial" w:hAnsi="Arial" w:cs="Arial"/>
        </w:rPr>
        <w:t xml:space="preserve">‘Jennings v </w:t>
      </w:r>
      <w:r w:rsidR="00FA7B75" w:rsidRPr="00063C46">
        <w:rPr>
          <w:rFonts w:ascii="Arial" w:hAnsi="Arial" w:cs="Arial"/>
        </w:rPr>
        <w:t>Rice’ (2002)</w:t>
      </w:r>
      <w:r w:rsidR="00025E45" w:rsidRPr="00063C46">
        <w:rPr>
          <w:rFonts w:ascii="Arial" w:hAnsi="Arial" w:cs="Arial"/>
        </w:rPr>
        <w:t xml:space="preserve"> Civ</w:t>
      </w:r>
      <w:r w:rsidR="009E0E11" w:rsidRPr="00063C46">
        <w:rPr>
          <w:rFonts w:ascii="Arial" w:hAnsi="Arial" w:cs="Arial"/>
        </w:rPr>
        <w:t xml:space="preserve">, 156. </w:t>
      </w:r>
      <w:proofErr w:type="spellStart"/>
      <w:r w:rsidR="009E0E11" w:rsidRPr="00063C46">
        <w:rPr>
          <w:rFonts w:ascii="Arial" w:hAnsi="Arial" w:cs="Arial"/>
          <w:i/>
          <w:iCs/>
        </w:rPr>
        <w:t>Lexisnexis</w:t>
      </w:r>
      <w:proofErr w:type="spellEnd"/>
      <w:r w:rsidR="009E0E11" w:rsidRPr="00063C46">
        <w:rPr>
          <w:rFonts w:ascii="Arial" w:hAnsi="Arial" w:cs="Arial"/>
          <w:i/>
          <w:iCs/>
        </w:rPr>
        <w:t xml:space="preserve"> </w:t>
      </w:r>
      <w:r w:rsidR="009E0E11" w:rsidRPr="00063C46">
        <w:rPr>
          <w:rFonts w:ascii="Arial" w:hAnsi="Arial" w:cs="Arial"/>
        </w:rPr>
        <w:t xml:space="preserve">(accessed 06/01/2026) Available at: </w:t>
      </w:r>
      <w:hyperlink r:id="rId9" w:history="1">
        <w:r w:rsidR="00063C46" w:rsidRPr="00063C46">
          <w:rPr>
            <w:rStyle w:val="Hyperlink"/>
            <w:rFonts w:ascii="Arial" w:hAnsi="Arial" w:cs="Arial"/>
          </w:rPr>
          <w:t>https://plus-lexis-com.uwtsd.idm.oclc.org/uk/cases-uk/jennings-v-rice_2/?crid=e8734266-1ccf-44a7-9b2f-46fa61de6061&amp;pddocumentnumber=1</w:t>
        </w:r>
      </w:hyperlink>
    </w:p>
    <w:p w14:paraId="42B1127D" w14:textId="77777777" w:rsidR="006653DD" w:rsidRPr="00063C46" w:rsidRDefault="006653DD" w:rsidP="00063C46">
      <w:pPr>
        <w:spacing w:line="360" w:lineRule="auto"/>
        <w:rPr>
          <w:rFonts w:ascii="Arial" w:hAnsi="Arial" w:cs="Arial"/>
        </w:rPr>
      </w:pPr>
      <w:r w:rsidRPr="00063C46">
        <w:rPr>
          <w:rFonts w:ascii="Arial" w:hAnsi="Arial" w:cs="Arial"/>
        </w:rPr>
        <w:t>‘Lloyds Bank plc v Rosset’ (1991) 1 AC 107</w:t>
      </w:r>
    </w:p>
    <w:p w14:paraId="7954CA0E" w14:textId="77777777" w:rsidR="00AC2CD1" w:rsidRPr="00063C46" w:rsidRDefault="00AC2CD1" w:rsidP="00063C46">
      <w:pPr>
        <w:spacing w:line="360" w:lineRule="auto"/>
        <w:rPr>
          <w:rFonts w:ascii="Arial" w:hAnsi="Arial" w:cs="Arial"/>
        </w:rPr>
      </w:pPr>
      <w:r w:rsidRPr="00063C46">
        <w:rPr>
          <w:rFonts w:ascii="Arial" w:hAnsi="Arial" w:cs="Arial"/>
        </w:rPr>
        <w:t>‘Stack v Dowden’ (2007) 2 AC 432</w:t>
      </w:r>
    </w:p>
    <w:p w14:paraId="65814733" w14:textId="12115B41" w:rsidR="00F11F23" w:rsidRPr="00063C46" w:rsidRDefault="00C806F3" w:rsidP="00063C46">
      <w:pPr>
        <w:spacing w:line="360" w:lineRule="auto"/>
        <w:rPr>
          <w:rFonts w:ascii="Arial" w:hAnsi="Arial" w:cs="Arial"/>
        </w:rPr>
      </w:pPr>
      <w:r w:rsidRPr="00063C46">
        <w:rPr>
          <w:rFonts w:ascii="Arial" w:hAnsi="Arial" w:cs="Arial"/>
        </w:rPr>
        <w:t>'Thorner v Major' (2009) UKHL, 18. </w:t>
      </w:r>
      <w:proofErr w:type="spellStart"/>
      <w:r w:rsidR="00714423" w:rsidRPr="00063C46">
        <w:rPr>
          <w:rFonts w:ascii="Arial" w:hAnsi="Arial" w:cs="Arial"/>
          <w:i/>
          <w:iCs/>
        </w:rPr>
        <w:t>Lexisnexis</w:t>
      </w:r>
      <w:proofErr w:type="spellEnd"/>
      <w:r w:rsidRPr="00063C46">
        <w:rPr>
          <w:rFonts w:ascii="Arial" w:hAnsi="Arial" w:cs="Arial"/>
          <w:i/>
          <w:iCs/>
        </w:rPr>
        <w:t> </w:t>
      </w:r>
      <w:r w:rsidRPr="00063C46">
        <w:rPr>
          <w:rFonts w:ascii="Arial" w:hAnsi="Arial" w:cs="Arial"/>
        </w:rPr>
        <w:t xml:space="preserve">(Accessed: </w:t>
      </w:r>
      <w:r w:rsidR="00F11F23" w:rsidRPr="00063C46">
        <w:rPr>
          <w:rFonts w:ascii="Arial" w:hAnsi="Arial" w:cs="Arial"/>
        </w:rPr>
        <w:t>05/01/2026) available at:</w:t>
      </w:r>
      <w:r w:rsidR="000122A1" w:rsidRPr="00063C46">
        <w:rPr>
          <w:rFonts w:ascii="Arial" w:hAnsi="Arial" w:cs="Arial"/>
        </w:rPr>
        <w:t xml:space="preserve"> </w:t>
      </w:r>
      <w:hyperlink r:id="rId10" w:history="1">
        <w:r w:rsidR="000122A1" w:rsidRPr="00063C46">
          <w:rPr>
            <w:rStyle w:val="Hyperlink"/>
            <w:rFonts w:ascii="Arial" w:hAnsi="Arial" w:cs="Arial"/>
          </w:rPr>
          <w:t>https://plus-lexis-com.uwtsd.idm.oclc.org/uk/cases-uk/thorner-v-major-sub-nom-thorner-v-curtis/?crid=6c1605ff-a7e2-4291-bc0f-d1a0f3b32fcc&amp;pddocumentnumber=1</w:t>
        </w:r>
      </w:hyperlink>
    </w:p>
    <w:p w14:paraId="603E666B" w14:textId="77777777" w:rsidR="000122A1" w:rsidRPr="00063C46" w:rsidRDefault="000122A1" w:rsidP="00063C46">
      <w:pPr>
        <w:spacing w:line="360" w:lineRule="auto"/>
        <w:rPr>
          <w:rFonts w:ascii="Arial" w:hAnsi="Arial" w:cs="Arial"/>
        </w:rPr>
      </w:pPr>
    </w:p>
    <w:p w14:paraId="2C8A52BE" w14:textId="77777777" w:rsidR="000122A1" w:rsidRPr="00063C46" w:rsidRDefault="000122A1" w:rsidP="00063C46">
      <w:pPr>
        <w:spacing w:line="360" w:lineRule="auto"/>
        <w:rPr>
          <w:rFonts w:ascii="Arial" w:hAnsi="Arial" w:cs="Arial"/>
        </w:rPr>
      </w:pPr>
    </w:p>
    <w:p w14:paraId="28344C03" w14:textId="2BE78173" w:rsidR="00AC2CD1" w:rsidRPr="00063C46" w:rsidRDefault="00AC2CD1" w:rsidP="00063C46">
      <w:pPr>
        <w:spacing w:line="360" w:lineRule="auto"/>
        <w:rPr>
          <w:rFonts w:ascii="Arial" w:hAnsi="Arial" w:cs="Arial"/>
        </w:rPr>
      </w:pPr>
    </w:p>
    <w:sectPr w:rsidR="00AC2CD1" w:rsidRPr="00063C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2288C"/>
    <w:multiLevelType w:val="hybridMultilevel"/>
    <w:tmpl w:val="DF44F6C0"/>
    <w:lvl w:ilvl="0" w:tplc="EC2E358E">
      <w:start w:val="1"/>
      <w:numFmt w:val="decimal"/>
      <w:lvlText w:val="%1."/>
      <w:lvlJc w:val="left"/>
      <w:pPr>
        <w:ind w:left="644"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1032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A3B"/>
    <w:rsid w:val="000122A1"/>
    <w:rsid w:val="00025E45"/>
    <w:rsid w:val="00035FC9"/>
    <w:rsid w:val="00051166"/>
    <w:rsid w:val="000628AB"/>
    <w:rsid w:val="00063C46"/>
    <w:rsid w:val="00067053"/>
    <w:rsid w:val="001C5529"/>
    <w:rsid w:val="001E559C"/>
    <w:rsid w:val="001F153E"/>
    <w:rsid w:val="00285F7D"/>
    <w:rsid w:val="002900D2"/>
    <w:rsid w:val="00370D4A"/>
    <w:rsid w:val="003B0A63"/>
    <w:rsid w:val="003C239B"/>
    <w:rsid w:val="00421860"/>
    <w:rsid w:val="00444D12"/>
    <w:rsid w:val="00462439"/>
    <w:rsid w:val="00462BD8"/>
    <w:rsid w:val="0056256F"/>
    <w:rsid w:val="00583F44"/>
    <w:rsid w:val="006653DD"/>
    <w:rsid w:val="00700534"/>
    <w:rsid w:val="0070542C"/>
    <w:rsid w:val="00714423"/>
    <w:rsid w:val="00733379"/>
    <w:rsid w:val="00744735"/>
    <w:rsid w:val="00770AE5"/>
    <w:rsid w:val="0078407F"/>
    <w:rsid w:val="00860A48"/>
    <w:rsid w:val="008B2A3B"/>
    <w:rsid w:val="008E3B5B"/>
    <w:rsid w:val="00912D5F"/>
    <w:rsid w:val="009D39F3"/>
    <w:rsid w:val="009E0E11"/>
    <w:rsid w:val="00A441EE"/>
    <w:rsid w:val="00AC2CD1"/>
    <w:rsid w:val="00B122F4"/>
    <w:rsid w:val="00B17AE6"/>
    <w:rsid w:val="00BA1BD0"/>
    <w:rsid w:val="00C806F3"/>
    <w:rsid w:val="00CD6E1B"/>
    <w:rsid w:val="00CE7E8B"/>
    <w:rsid w:val="00D17B75"/>
    <w:rsid w:val="00D550B7"/>
    <w:rsid w:val="00DB1CAD"/>
    <w:rsid w:val="00E27DDB"/>
    <w:rsid w:val="00E556DB"/>
    <w:rsid w:val="00EA6EF6"/>
    <w:rsid w:val="00F11F23"/>
    <w:rsid w:val="00F547B6"/>
    <w:rsid w:val="00F54AD8"/>
    <w:rsid w:val="00FA7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1F65C"/>
  <w15:chartTrackingRefBased/>
  <w15:docId w15:val="{ED08FC38-3609-48EB-A61B-3E1705DDE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A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B2A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B2A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B2A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B2A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B2A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A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A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A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A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B2A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B2A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B2A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B2A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B2A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2A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2A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2A3B"/>
    <w:rPr>
      <w:rFonts w:eastAsiaTheme="majorEastAsia" w:cstheme="majorBidi"/>
      <w:color w:val="272727" w:themeColor="text1" w:themeTint="D8"/>
    </w:rPr>
  </w:style>
  <w:style w:type="paragraph" w:styleId="Title">
    <w:name w:val="Title"/>
    <w:basedOn w:val="Normal"/>
    <w:next w:val="Normal"/>
    <w:link w:val="TitleChar"/>
    <w:uiPriority w:val="10"/>
    <w:qFormat/>
    <w:rsid w:val="008B2A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2A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2A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2A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2A3B"/>
    <w:pPr>
      <w:spacing w:before="160"/>
      <w:jc w:val="center"/>
    </w:pPr>
    <w:rPr>
      <w:i/>
      <w:iCs/>
      <w:color w:val="404040" w:themeColor="text1" w:themeTint="BF"/>
    </w:rPr>
  </w:style>
  <w:style w:type="character" w:customStyle="1" w:styleId="QuoteChar">
    <w:name w:val="Quote Char"/>
    <w:basedOn w:val="DefaultParagraphFont"/>
    <w:link w:val="Quote"/>
    <w:uiPriority w:val="29"/>
    <w:rsid w:val="008B2A3B"/>
    <w:rPr>
      <w:i/>
      <w:iCs/>
      <w:color w:val="404040" w:themeColor="text1" w:themeTint="BF"/>
    </w:rPr>
  </w:style>
  <w:style w:type="paragraph" w:styleId="ListParagraph">
    <w:name w:val="List Paragraph"/>
    <w:basedOn w:val="Normal"/>
    <w:uiPriority w:val="34"/>
    <w:qFormat/>
    <w:rsid w:val="008B2A3B"/>
    <w:pPr>
      <w:ind w:left="720"/>
      <w:contextualSpacing/>
    </w:pPr>
  </w:style>
  <w:style w:type="character" w:styleId="IntenseEmphasis">
    <w:name w:val="Intense Emphasis"/>
    <w:basedOn w:val="DefaultParagraphFont"/>
    <w:uiPriority w:val="21"/>
    <w:qFormat/>
    <w:rsid w:val="008B2A3B"/>
    <w:rPr>
      <w:i/>
      <w:iCs/>
      <w:color w:val="2F5496" w:themeColor="accent1" w:themeShade="BF"/>
    </w:rPr>
  </w:style>
  <w:style w:type="paragraph" w:styleId="IntenseQuote">
    <w:name w:val="Intense Quote"/>
    <w:basedOn w:val="Normal"/>
    <w:next w:val="Normal"/>
    <w:link w:val="IntenseQuoteChar"/>
    <w:uiPriority w:val="30"/>
    <w:qFormat/>
    <w:rsid w:val="008B2A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2A3B"/>
    <w:rPr>
      <w:i/>
      <w:iCs/>
      <w:color w:val="2F5496" w:themeColor="accent1" w:themeShade="BF"/>
    </w:rPr>
  </w:style>
  <w:style w:type="character" w:styleId="IntenseReference">
    <w:name w:val="Intense Reference"/>
    <w:basedOn w:val="DefaultParagraphFont"/>
    <w:uiPriority w:val="32"/>
    <w:qFormat/>
    <w:rsid w:val="008B2A3B"/>
    <w:rPr>
      <w:b/>
      <w:bCs/>
      <w:smallCaps/>
      <w:color w:val="2F5496" w:themeColor="accent1" w:themeShade="BF"/>
      <w:spacing w:val="5"/>
    </w:rPr>
  </w:style>
  <w:style w:type="character" w:styleId="Hyperlink">
    <w:name w:val="Hyperlink"/>
    <w:basedOn w:val="DefaultParagraphFont"/>
    <w:uiPriority w:val="99"/>
    <w:unhideWhenUsed/>
    <w:rsid w:val="000122A1"/>
    <w:rPr>
      <w:color w:val="0563C1" w:themeColor="hyperlink"/>
      <w:u w:val="single"/>
    </w:rPr>
  </w:style>
  <w:style w:type="character" w:styleId="UnresolvedMention">
    <w:name w:val="Unresolved Mention"/>
    <w:basedOn w:val="DefaultParagraphFont"/>
    <w:uiPriority w:val="99"/>
    <w:semiHidden/>
    <w:unhideWhenUsed/>
    <w:rsid w:val="000122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ld200708/ldjudgmt/jd080730/yeoman-1.ht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plus-lexis-com.uwtsd.idm.oclc.org/uk/cases-uk/thorner-v-major-sub-nom-thorner-v-curtis/?crid=6c1605ff-a7e2-4291-bc0f-d1a0f3b32fcc&amp;pddocumentnumber=1" TargetMode="External"/><Relationship Id="rId4" Type="http://schemas.openxmlformats.org/officeDocument/2006/relationships/numbering" Target="numbering.xml"/><Relationship Id="rId9" Type="http://schemas.openxmlformats.org/officeDocument/2006/relationships/hyperlink" Target="https://plus-lexis-com.uwtsd.idm.oclc.org/uk/cases-uk/jennings-v-rice_2/?crid=e8734266-1ccf-44a7-9b2f-46fa61de6061&amp;pddocumentnumbe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6f1ff22670c927ffe8cdf496c65a4eb2">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415c0f86ed1df1ca4a6fe185a42c1c7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F657B98A-0D03-47F1-A80E-547D9A11B7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F51077-305A-4D3A-B596-0E808F4F7651}">
  <ds:schemaRefs>
    <ds:schemaRef ds:uri="http://schemas.microsoft.com/sharepoint/v3/contenttype/forms"/>
  </ds:schemaRefs>
</ds:datastoreItem>
</file>

<file path=customXml/itemProps3.xml><?xml version="1.0" encoding="utf-8"?>
<ds:datastoreItem xmlns:ds="http://schemas.openxmlformats.org/officeDocument/2006/customXml" ds:itemID="{897BC21E-23D5-42B8-832F-4ACA9678B387}">
  <ds:schemaRefs>
    <ds:schemaRef ds:uri="http://purl.org/dc/elements/1.1/"/>
    <ds:schemaRef ds:uri="http://schemas.openxmlformats.org/package/2006/metadata/core-properties"/>
    <ds:schemaRef ds:uri="http://schemas.microsoft.com/office/2006/documentManagement/types"/>
    <ds:schemaRef ds:uri="http://purl.org/dc/terms/"/>
    <ds:schemaRef ds:uri="bd2b2a82-bc2e-4fcc-b8ad-fd63686c78d2"/>
    <ds:schemaRef ds:uri="http://schemas.microsoft.com/office/2006/metadata/properties"/>
    <ds:schemaRef ds:uri="ad7316b1-23f1-480c-8fa6-cbf037f4db9c"/>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2045</Words>
  <Characters>11580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dc:creator>
  <cp:keywords/>
  <dc:description/>
  <cp:lastModifiedBy>Shannon Davies</cp:lastModifiedBy>
  <cp:revision>2</cp:revision>
  <dcterms:created xsi:type="dcterms:W3CDTF">2026-01-09T16:54:00Z</dcterms:created>
  <dcterms:modified xsi:type="dcterms:W3CDTF">2026-01-09T16:54:00Z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f91498f5-039e-480d-849d-b1c166ba0b9c</vt:lpwstr>
  </property>
  <property fmtid="{D5CDD505-2E9C-101B-9397-08002B2CF9AE}" pid="3" name="ContentTypeId">
    <vt:lpwstr>0x01010096C48B67E562FF45ADD1FE43E2BC7706</vt:lpwstr>
  </property>
</Properties>
</file>