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789D4" w14:textId="77777777" w:rsidR="00831A7F" w:rsidRDefault="00831A7F" w:rsidP="00831A7F">
      <w:pPr>
        <w:jc w:val="center"/>
        <w:rPr>
          <w:sz w:val="32"/>
          <w:szCs w:val="32"/>
        </w:rPr>
      </w:pPr>
    </w:p>
    <w:p w14:paraId="0A3D9D87" w14:textId="77777777" w:rsidR="00831A7F" w:rsidRDefault="00831A7F" w:rsidP="00831A7F">
      <w:pPr>
        <w:jc w:val="center"/>
        <w:rPr>
          <w:sz w:val="32"/>
          <w:szCs w:val="32"/>
        </w:rPr>
      </w:pPr>
    </w:p>
    <w:p w14:paraId="01DFF013" w14:textId="77777777" w:rsidR="00831A7F" w:rsidRDefault="00831A7F" w:rsidP="00831A7F">
      <w:pPr>
        <w:jc w:val="center"/>
        <w:rPr>
          <w:sz w:val="32"/>
          <w:szCs w:val="32"/>
        </w:rPr>
      </w:pPr>
    </w:p>
    <w:p w14:paraId="18ACC806" w14:textId="77777777" w:rsidR="00831A7F" w:rsidRDefault="00831A7F" w:rsidP="00831A7F">
      <w:pPr>
        <w:jc w:val="center"/>
        <w:rPr>
          <w:sz w:val="32"/>
          <w:szCs w:val="32"/>
        </w:rPr>
      </w:pPr>
    </w:p>
    <w:p w14:paraId="1B9E99E9" w14:textId="77777777" w:rsidR="00831A7F" w:rsidRDefault="00831A7F" w:rsidP="00831A7F">
      <w:pPr>
        <w:jc w:val="center"/>
        <w:rPr>
          <w:sz w:val="32"/>
          <w:szCs w:val="32"/>
        </w:rPr>
      </w:pPr>
    </w:p>
    <w:p w14:paraId="7E43B047" w14:textId="77777777" w:rsidR="00831A7F" w:rsidRDefault="00831A7F" w:rsidP="00831A7F">
      <w:pPr>
        <w:jc w:val="center"/>
        <w:rPr>
          <w:sz w:val="32"/>
          <w:szCs w:val="32"/>
        </w:rPr>
      </w:pPr>
    </w:p>
    <w:p w14:paraId="61750AEE" w14:textId="77777777" w:rsidR="00831A7F" w:rsidRDefault="00831A7F" w:rsidP="00831A7F">
      <w:pPr>
        <w:jc w:val="center"/>
        <w:rPr>
          <w:sz w:val="32"/>
          <w:szCs w:val="32"/>
        </w:rPr>
      </w:pPr>
    </w:p>
    <w:p w14:paraId="15FE2276" w14:textId="77777777" w:rsidR="00831A7F" w:rsidRDefault="00831A7F" w:rsidP="00831A7F">
      <w:pPr>
        <w:jc w:val="center"/>
        <w:rPr>
          <w:sz w:val="32"/>
          <w:szCs w:val="32"/>
        </w:rPr>
      </w:pPr>
    </w:p>
    <w:p w14:paraId="68CF83FE" w14:textId="62313D00" w:rsidR="00831A7F" w:rsidRDefault="00831A7F" w:rsidP="00831A7F">
      <w:pPr>
        <w:jc w:val="center"/>
        <w:rPr>
          <w:sz w:val="32"/>
          <w:szCs w:val="32"/>
        </w:rPr>
      </w:pPr>
      <w:r w:rsidRPr="00831A7F">
        <w:rPr>
          <w:sz w:val="32"/>
          <w:szCs w:val="32"/>
        </w:rPr>
        <w:t>Analysis of Financial Report</w:t>
      </w:r>
      <w:r>
        <w:rPr>
          <w:sz w:val="32"/>
          <w:szCs w:val="32"/>
        </w:rPr>
        <w:t xml:space="preserve"> </w:t>
      </w:r>
      <w:r w:rsidRPr="00831A7F">
        <w:rPr>
          <w:sz w:val="32"/>
          <w:szCs w:val="32"/>
        </w:rPr>
        <w:t>to assess business performance: Marriott International</w:t>
      </w:r>
    </w:p>
    <w:p w14:paraId="7C07A8BF" w14:textId="70A15E98" w:rsidR="00831A7F" w:rsidRPr="00831A7F" w:rsidRDefault="00831A7F" w:rsidP="00831A7F">
      <w:pPr>
        <w:jc w:val="center"/>
        <w:rPr>
          <w:sz w:val="32"/>
          <w:szCs w:val="32"/>
        </w:rPr>
      </w:pPr>
      <w:r>
        <w:rPr>
          <w:sz w:val="32"/>
          <w:szCs w:val="32"/>
        </w:rPr>
        <w:t xml:space="preserve">Module: </w:t>
      </w:r>
      <w:r w:rsidRPr="00831A7F">
        <w:rPr>
          <w:sz w:val="32"/>
          <w:szCs w:val="32"/>
        </w:rPr>
        <w:t>Financial Management for the Hotel Industry</w:t>
      </w:r>
    </w:p>
    <w:p w14:paraId="4CE1A2CB" w14:textId="77777777" w:rsidR="00831A7F" w:rsidRDefault="00831A7F" w:rsidP="00831A7F">
      <w:pPr>
        <w:jc w:val="center"/>
        <w:rPr>
          <w:sz w:val="32"/>
          <w:szCs w:val="32"/>
        </w:rPr>
      </w:pPr>
      <w:r>
        <w:rPr>
          <w:sz w:val="32"/>
          <w:szCs w:val="32"/>
        </w:rPr>
        <w:t>Module code:</w:t>
      </w:r>
      <w:r w:rsidRPr="00831A7F">
        <w:rPr>
          <w:sz w:val="32"/>
          <w:szCs w:val="32"/>
        </w:rPr>
        <w:t xml:space="preserve"> BMIH5013</w:t>
      </w:r>
    </w:p>
    <w:p w14:paraId="072F25E2" w14:textId="77777777" w:rsidR="00831A7F" w:rsidRDefault="00831A7F" w:rsidP="00831A7F">
      <w:pPr>
        <w:jc w:val="center"/>
        <w:rPr>
          <w:sz w:val="32"/>
          <w:szCs w:val="32"/>
        </w:rPr>
      </w:pPr>
      <w:r>
        <w:rPr>
          <w:sz w:val="32"/>
          <w:szCs w:val="32"/>
        </w:rPr>
        <w:t xml:space="preserve">Lecturer: </w:t>
      </w:r>
      <w:r w:rsidRPr="00831A7F">
        <w:rPr>
          <w:sz w:val="32"/>
          <w:szCs w:val="32"/>
        </w:rPr>
        <w:t>Dr. Ernest Wavei</w:t>
      </w:r>
    </w:p>
    <w:p w14:paraId="4A66E539" w14:textId="1876E6E8" w:rsidR="00831A7F" w:rsidRDefault="00831A7F" w:rsidP="00831A7F">
      <w:pPr>
        <w:jc w:val="center"/>
        <w:rPr>
          <w:sz w:val="32"/>
          <w:szCs w:val="32"/>
        </w:rPr>
      </w:pPr>
      <w:r>
        <w:rPr>
          <w:sz w:val="32"/>
          <w:szCs w:val="32"/>
        </w:rPr>
        <w:t>Student name : Razvan Mihai Frumusanu</w:t>
      </w:r>
    </w:p>
    <w:p w14:paraId="2168308D" w14:textId="587DE404" w:rsidR="00831A7F" w:rsidRDefault="00831A7F" w:rsidP="00831A7F">
      <w:pPr>
        <w:jc w:val="center"/>
        <w:rPr>
          <w:sz w:val="32"/>
          <w:szCs w:val="32"/>
        </w:rPr>
      </w:pPr>
      <w:r>
        <w:rPr>
          <w:sz w:val="32"/>
          <w:szCs w:val="32"/>
        </w:rPr>
        <w:t>Student number: 2212506</w:t>
      </w:r>
    </w:p>
    <w:p w14:paraId="36CD044D" w14:textId="77777777" w:rsidR="00831A7F" w:rsidRPr="00831A7F" w:rsidRDefault="00831A7F" w:rsidP="00831A7F">
      <w:pPr>
        <w:rPr>
          <w:sz w:val="32"/>
          <w:szCs w:val="32"/>
        </w:rPr>
      </w:pPr>
      <w:r w:rsidRPr="00831A7F">
        <w:rPr>
          <w:sz w:val="32"/>
          <w:szCs w:val="32"/>
        </w:rPr>
        <w:br w:type="page"/>
      </w:r>
    </w:p>
    <w:p w14:paraId="6BBA88F1" w14:textId="77777777" w:rsidR="00831A7F" w:rsidRDefault="00831A7F" w:rsidP="00831A7F"/>
    <w:p w14:paraId="0A966A01" w14:textId="24445BFB" w:rsidR="00831A7F" w:rsidRDefault="00831A7F">
      <w:pPr>
        <w:rPr>
          <w:rFonts w:asciiTheme="majorHAnsi" w:eastAsiaTheme="majorEastAsia" w:hAnsiTheme="majorHAnsi" w:cstheme="majorBidi"/>
          <w:color w:val="0F4761" w:themeColor="accent1" w:themeShade="BF"/>
          <w:sz w:val="40"/>
          <w:szCs w:val="40"/>
        </w:rPr>
      </w:pPr>
    </w:p>
    <w:p w14:paraId="0F2A8EF8" w14:textId="6E248886" w:rsidR="0071458D" w:rsidRPr="0079093C" w:rsidRDefault="0071458D" w:rsidP="00831A7F">
      <w:pPr>
        <w:pStyle w:val="Heading1"/>
      </w:pPr>
      <w:bookmarkStart w:id="0" w:name="_Toc181651423"/>
      <w:r w:rsidRPr="0079093C">
        <w:t>Executive summary</w:t>
      </w:r>
      <w:bookmarkEnd w:id="0"/>
      <w:r w:rsidRPr="0079093C">
        <w:t xml:space="preserve"> </w:t>
      </w:r>
    </w:p>
    <w:p w14:paraId="1176AB78" w14:textId="3BCBA94C" w:rsidR="0071458D" w:rsidRPr="0071458D" w:rsidRDefault="0071458D" w:rsidP="0071458D">
      <w:pPr>
        <w:spacing w:line="360" w:lineRule="auto"/>
        <w:jc w:val="both"/>
        <w:rPr>
          <w:rFonts w:ascii="Arial" w:hAnsi="Arial" w:cs="Arial"/>
        </w:rPr>
      </w:pPr>
      <w:r w:rsidRPr="0071458D">
        <w:rPr>
          <w:rFonts w:ascii="Arial" w:hAnsi="Arial" w:cs="Arial"/>
        </w:rPr>
        <w:t>This report analyzes Marriott International’s financial performance from 2020 to 2023, assessing its profitability, liquidity, efficiency, and overall financial health within the context of the hospitality industry's challenges and recovery. Key findings indicate Marriott’s resilient profitability and operational efficiency, despite high debt levels and liquidity constraints. The company effectively navigated the pandemic’s impact, and by 2022 and 2023, showed signs of financial recovery supported by cost control measures and increased travel demand. Recommendations include enhancing liquidity management, reducing reliance on debt, and expanding digital and sustainability initiatives to align with evolving consumer expectations and industry trends. These strategies will strengthen Marriott's competitive advantage in the evolving hospitality market.</w:t>
      </w:r>
    </w:p>
    <w:p w14:paraId="31B59C80" w14:textId="5BDCB58B" w:rsidR="0071458D" w:rsidRDefault="0071458D"/>
    <w:sdt>
      <w:sdtPr>
        <w:rPr>
          <w:rFonts w:asciiTheme="minorHAnsi" w:eastAsiaTheme="minorHAnsi" w:hAnsiTheme="minorHAnsi" w:cstheme="minorBidi"/>
          <w:color w:val="auto"/>
          <w:kern w:val="2"/>
          <w:sz w:val="24"/>
          <w:szCs w:val="24"/>
          <w:lang w:val="en-GB"/>
          <w14:ligatures w14:val="standardContextual"/>
        </w:rPr>
        <w:id w:val="1114023825"/>
        <w:docPartObj>
          <w:docPartGallery w:val="Table of Contents"/>
          <w:docPartUnique/>
        </w:docPartObj>
      </w:sdtPr>
      <w:sdtEndPr>
        <w:rPr>
          <w:b/>
          <w:bCs/>
          <w:noProof/>
        </w:rPr>
      </w:sdtEndPr>
      <w:sdtContent>
        <w:p w14:paraId="4BAC3B8D" w14:textId="4F9EFBED" w:rsidR="00831A7F" w:rsidRDefault="00831A7F">
          <w:pPr>
            <w:pStyle w:val="TOCHeading"/>
          </w:pPr>
          <w:r>
            <w:t>Contents</w:t>
          </w:r>
        </w:p>
        <w:p w14:paraId="2185BEE6" w14:textId="2369995C" w:rsidR="00831A7F" w:rsidRDefault="00831A7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1651423" w:history="1">
            <w:r w:rsidRPr="005232A7">
              <w:rPr>
                <w:rStyle w:val="Hyperlink"/>
                <w:noProof/>
              </w:rPr>
              <w:t>Executive summary</w:t>
            </w:r>
            <w:r>
              <w:rPr>
                <w:noProof/>
                <w:webHidden/>
              </w:rPr>
              <w:tab/>
            </w:r>
            <w:r>
              <w:rPr>
                <w:noProof/>
                <w:webHidden/>
              </w:rPr>
              <w:fldChar w:fldCharType="begin"/>
            </w:r>
            <w:r>
              <w:rPr>
                <w:noProof/>
                <w:webHidden/>
              </w:rPr>
              <w:instrText xml:space="preserve"> PAGEREF _Toc181651423 \h </w:instrText>
            </w:r>
            <w:r>
              <w:rPr>
                <w:noProof/>
                <w:webHidden/>
              </w:rPr>
            </w:r>
            <w:r>
              <w:rPr>
                <w:noProof/>
                <w:webHidden/>
              </w:rPr>
              <w:fldChar w:fldCharType="separate"/>
            </w:r>
            <w:r>
              <w:rPr>
                <w:noProof/>
                <w:webHidden/>
              </w:rPr>
              <w:t>2</w:t>
            </w:r>
            <w:r>
              <w:rPr>
                <w:noProof/>
                <w:webHidden/>
              </w:rPr>
              <w:fldChar w:fldCharType="end"/>
            </w:r>
          </w:hyperlink>
        </w:p>
        <w:p w14:paraId="22F94E08" w14:textId="6B3619BE" w:rsidR="00831A7F" w:rsidRDefault="00831A7F">
          <w:pPr>
            <w:pStyle w:val="TOC1"/>
            <w:tabs>
              <w:tab w:val="right" w:leader="dot" w:pos="9016"/>
            </w:tabs>
            <w:rPr>
              <w:rFonts w:eastAsiaTheme="minorEastAsia"/>
              <w:noProof/>
              <w:lang w:eastAsia="en-GB"/>
            </w:rPr>
          </w:pPr>
          <w:hyperlink w:anchor="_Toc181651424" w:history="1">
            <w:r w:rsidRPr="005232A7">
              <w:rPr>
                <w:rStyle w:val="Hyperlink"/>
                <w:noProof/>
              </w:rPr>
              <w:t>1. Introduction</w:t>
            </w:r>
            <w:r>
              <w:rPr>
                <w:noProof/>
                <w:webHidden/>
              </w:rPr>
              <w:tab/>
            </w:r>
            <w:r>
              <w:rPr>
                <w:noProof/>
                <w:webHidden/>
              </w:rPr>
              <w:fldChar w:fldCharType="begin"/>
            </w:r>
            <w:r>
              <w:rPr>
                <w:noProof/>
                <w:webHidden/>
              </w:rPr>
              <w:instrText xml:space="preserve"> PAGEREF _Toc181651424 \h </w:instrText>
            </w:r>
            <w:r>
              <w:rPr>
                <w:noProof/>
                <w:webHidden/>
              </w:rPr>
            </w:r>
            <w:r>
              <w:rPr>
                <w:noProof/>
                <w:webHidden/>
              </w:rPr>
              <w:fldChar w:fldCharType="separate"/>
            </w:r>
            <w:r>
              <w:rPr>
                <w:noProof/>
                <w:webHidden/>
              </w:rPr>
              <w:t>3</w:t>
            </w:r>
            <w:r>
              <w:rPr>
                <w:noProof/>
                <w:webHidden/>
              </w:rPr>
              <w:fldChar w:fldCharType="end"/>
            </w:r>
          </w:hyperlink>
        </w:p>
        <w:p w14:paraId="51333F87" w14:textId="0BFF8ED4" w:rsidR="00831A7F" w:rsidRDefault="00831A7F">
          <w:pPr>
            <w:pStyle w:val="TOC1"/>
            <w:tabs>
              <w:tab w:val="right" w:leader="dot" w:pos="9016"/>
            </w:tabs>
            <w:rPr>
              <w:rFonts w:eastAsiaTheme="minorEastAsia"/>
              <w:noProof/>
              <w:lang w:eastAsia="en-GB"/>
            </w:rPr>
          </w:pPr>
          <w:hyperlink w:anchor="_Toc181651425" w:history="1">
            <w:r w:rsidRPr="005232A7">
              <w:rPr>
                <w:rStyle w:val="Hyperlink"/>
                <w:noProof/>
              </w:rPr>
              <w:t>2. Main Findings</w:t>
            </w:r>
            <w:r>
              <w:rPr>
                <w:noProof/>
                <w:webHidden/>
              </w:rPr>
              <w:tab/>
            </w:r>
            <w:r>
              <w:rPr>
                <w:noProof/>
                <w:webHidden/>
              </w:rPr>
              <w:fldChar w:fldCharType="begin"/>
            </w:r>
            <w:r>
              <w:rPr>
                <w:noProof/>
                <w:webHidden/>
              </w:rPr>
              <w:instrText xml:space="preserve"> PAGEREF _Toc181651425 \h </w:instrText>
            </w:r>
            <w:r>
              <w:rPr>
                <w:noProof/>
                <w:webHidden/>
              </w:rPr>
            </w:r>
            <w:r>
              <w:rPr>
                <w:noProof/>
                <w:webHidden/>
              </w:rPr>
              <w:fldChar w:fldCharType="separate"/>
            </w:r>
            <w:r>
              <w:rPr>
                <w:noProof/>
                <w:webHidden/>
              </w:rPr>
              <w:t>3</w:t>
            </w:r>
            <w:r>
              <w:rPr>
                <w:noProof/>
                <w:webHidden/>
              </w:rPr>
              <w:fldChar w:fldCharType="end"/>
            </w:r>
          </w:hyperlink>
        </w:p>
        <w:p w14:paraId="361907D8" w14:textId="4DAFF625" w:rsidR="00831A7F" w:rsidRDefault="00831A7F">
          <w:pPr>
            <w:pStyle w:val="TOC2"/>
            <w:tabs>
              <w:tab w:val="right" w:leader="dot" w:pos="9016"/>
            </w:tabs>
            <w:rPr>
              <w:rFonts w:eastAsiaTheme="minorEastAsia"/>
              <w:noProof/>
              <w:lang w:eastAsia="en-GB"/>
            </w:rPr>
          </w:pPr>
          <w:hyperlink w:anchor="_Toc181651426" w:history="1">
            <w:r w:rsidRPr="005232A7">
              <w:rPr>
                <w:rStyle w:val="Hyperlink"/>
                <w:noProof/>
              </w:rPr>
              <w:t>2.1 Financial Performance Overview (2020-2023)</w:t>
            </w:r>
            <w:r>
              <w:rPr>
                <w:noProof/>
                <w:webHidden/>
              </w:rPr>
              <w:tab/>
            </w:r>
            <w:r>
              <w:rPr>
                <w:noProof/>
                <w:webHidden/>
              </w:rPr>
              <w:fldChar w:fldCharType="begin"/>
            </w:r>
            <w:r>
              <w:rPr>
                <w:noProof/>
                <w:webHidden/>
              </w:rPr>
              <w:instrText xml:space="preserve"> PAGEREF _Toc181651426 \h </w:instrText>
            </w:r>
            <w:r>
              <w:rPr>
                <w:noProof/>
                <w:webHidden/>
              </w:rPr>
            </w:r>
            <w:r>
              <w:rPr>
                <w:noProof/>
                <w:webHidden/>
              </w:rPr>
              <w:fldChar w:fldCharType="separate"/>
            </w:r>
            <w:r>
              <w:rPr>
                <w:noProof/>
                <w:webHidden/>
              </w:rPr>
              <w:t>3</w:t>
            </w:r>
            <w:r>
              <w:rPr>
                <w:noProof/>
                <w:webHidden/>
              </w:rPr>
              <w:fldChar w:fldCharType="end"/>
            </w:r>
          </w:hyperlink>
        </w:p>
        <w:p w14:paraId="794EAF39" w14:textId="3FD1BF28" w:rsidR="00831A7F" w:rsidRDefault="00831A7F">
          <w:pPr>
            <w:pStyle w:val="TOC2"/>
            <w:tabs>
              <w:tab w:val="right" w:leader="dot" w:pos="9016"/>
            </w:tabs>
            <w:rPr>
              <w:rFonts w:eastAsiaTheme="minorEastAsia"/>
              <w:noProof/>
              <w:lang w:eastAsia="en-GB"/>
            </w:rPr>
          </w:pPr>
          <w:hyperlink w:anchor="_Toc181651427" w:history="1">
            <w:r w:rsidRPr="005232A7">
              <w:rPr>
                <w:rStyle w:val="Hyperlink"/>
                <w:noProof/>
              </w:rPr>
              <w:t>2.2 Liquidity and Solvency</w:t>
            </w:r>
            <w:r>
              <w:rPr>
                <w:noProof/>
                <w:webHidden/>
              </w:rPr>
              <w:tab/>
            </w:r>
            <w:r>
              <w:rPr>
                <w:noProof/>
                <w:webHidden/>
              </w:rPr>
              <w:fldChar w:fldCharType="begin"/>
            </w:r>
            <w:r>
              <w:rPr>
                <w:noProof/>
                <w:webHidden/>
              </w:rPr>
              <w:instrText xml:space="preserve"> PAGEREF _Toc181651427 \h </w:instrText>
            </w:r>
            <w:r>
              <w:rPr>
                <w:noProof/>
                <w:webHidden/>
              </w:rPr>
            </w:r>
            <w:r>
              <w:rPr>
                <w:noProof/>
                <w:webHidden/>
              </w:rPr>
              <w:fldChar w:fldCharType="separate"/>
            </w:r>
            <w:r>
              <w:rPr>
                <w:noProof/>
                <w:webHidden/>
              </w:rPr>
              <w:t>4</w:t>
            </w:r>
            <w:r>
              <w:rPr>
                <w:noProof/>
                <w:webHidden/>
              </w:rPr>
              <w:fldChar w:fldCharType="end"/>
            </w:r>
          </w:hyperlink>
        </w:p>
        <w:p w14:paraId="5AA52207" w14:textId="60D371AB" w:rsidR="00831A7F" w:rsidRDefault="00831A7F">
          <w:pPr>
            <w:pStyle w:val="TOC2"/>
            <w:tabs>
              <w:tab w:val="right" w:leader="dot" w:pos="9016"/>
            </w:tabs>
            <w:rPr>
              <w:rFonts w:eastAsiaTheme="minorEastAsia"/>
              <w:noProof/>
              <w:lang w:eastAsia="en-GB"/>
            </w:rPr>
          </w:pPr>
          <w:hyperlink w:anchor="_Toc181651428" w:history="1">
            <w:r w:rsidRPr="005232A7">
              <w:rPr>
                <w:rStyle w:val="Hyperlink"/>
                <w:noProof/>
              </w:rPr>
              <w:t>2.3 Efficiency Ratios</w:t>
            </w:r>
            <w:r>
              <w:rPr>
                <w:noProof/>
                <w:webHidden/>
              </w:rPr>
              <w:tab/>
            </w:r>
            <w:r>
              <w:rPr>
                <w:noProof/>
                <w:webHidden/>
              </w:rPr>
              <w:fldChar w:fldCharType="begin"/>
            </w:r>
            <w:r>
              <w:rPr>
                <w:noProof/>
                <w:webHidden/>
              </w:rPr>
              <w:instrText xml:space="preserve"> PAGEREF _Toc181651428 \h </w:instrText>
            </w:r>
            <w:r>
              <w:rPr>
                <w:noProof/>
                <w:webHidden/>
              </w:rPr>
            </w:r>
            <w:r>
              <w:rPr>
                <w:noProof/>
                <w:webHidden/>
              </w:rPr>
              <w:fldChar w:fldCharType="separate"/>
            </w:r>
            <w:r>
              <w:rPr>
                <w:noProof/>
                <w:webHidden/>
              </w:rPr>
              <w:t>4</w:t>
            </w:r>
            <w:r>
              <w:rPr>
                <w:noProof/>
                <w:webHidden/>
              </w:rPr>
              <w:fldChar w:fldCharType="end"/>
            </w:r>
          </w:hyperlink>
        </w:p>
        <w:p w14:paraId="0C175E5B" w14:textId="41C58984" w:rsidR="00831A7F" w:rsidRDefault="00831A7F">
          <w:pPr>
            <w:pStyle w:val="TOC2"/>
            <w:tabs>
              <w:tab w:val="right" w:leader="dot" w:pos="9016"/>
            </w:tabs>
            <w:rPr>
              <w:rFonts w:eastAsiaTheme="minorEastAsia"/>
              <w:noProof/>
              <w:lang w:eastAsia="en-GB"/>
            </w:rPr>
          </w:pPr>
          <w:hyperlink w:anchor="_Toc181651429" w:history="1">
            <w:r w:rsidRPr="005232A7">
              <w:rPr>
                <w:rStyle w:val="Hyperlink"/>
                <w:noProof/>
              </w:rPr>
              <w:t>2.4 Profitability Ratios</w:t>
            </w:r>
            <w:r>
              <w:rPr>
                <w:noProof/>
                <w:webHidden/>
              </w:rPr>
              <w:tab/>
            </w:r>
            <w:r>
              <w:rPr>
                <w:noProof/>
                <w:webHidden/>
              </w:rPr>
              <w:fldChar w:fldCharType="begin"/>
            </w:r>
            <w:r>
              <w:rPr>
                <w:noProof/>
                <w:webHidden/>
              </w:rPr>
              <w:instrText xml:space="preserve"> PAGEREF _Toc181651429 \h </w:instrText>
            </w:r>
            <w:r>
              <w:rPr>
                <w:noProof/>
                <w:webHidden/>
              </w:rPr>
            </w:r>
            <w:r>
              <w:rPr>
                <w:noProof/>
                <w:webHidden/>
              </w:rPr>
              <w:fldChar w:fldCharType="separate"/>
            </w:r>
            <w:r>
              <w:rPr>
                <w:noProof/>
                <w:webHidden/>
              </w:rPr>
              <w:t>5</w:t>
            </w:r>
            <w:r>
              <w:rPr>
                <w:noProof/>
                <w:webHidden/>
              </w:rPr>
              <w:fldChar w:fldCharType="end"/>
            </w:r>
          </w:hyperlink>
        </w:p>
        <w:p w14:paraId="778B8D8A" w14:textId="79A879A4" w:rsidR="00831A7F" w:rsidRDefault="00831A7F">
          <w:pPr>
            <w:pStyle w:val="TOC2"/>
            <w:tabs>
              <w:tab w:val="right" w:leader="dot" w:pos="9016"/>
            </w:tabs>
            <w:rPr>
              <w:rFonts w:eastAsiaTheme="minorEastAsia"/>
              <w:noProof/>
              <w:lang w:eastAsia="en-GB"/>
            </w:rPr>
          </w:pPr>
          <w:hyperlink w:anchor="_Toc181651430" w:history="1">
            <w:r w:rsidRPr="005232A7">
              <w:rPr>
                <w:rStyle w:val="Hyperlink"/>
                <w:noProof/>
              </w:rPr>
              <w:t>2.5 Comparative Industry Analysis</w:t>
            </w:r>
            <w:r>
              <w:rPr>
                <w:noProof/>
                <w:webHidden/>
              </w:rPr>
              <w:tab/>
            </w:r>
            <w:r>
              <w:rPr>
                <w:noProof/>
                <w:webHidden/>
              </w:rPr>
              <w:fldChar w:fldCharType="begin"/>
            </w:r>
            <w:r>
              <w:rPr>
                <w:noProof/>
                <w:webHidden/>
              </w:rPr>
              <w:instrText xml:space="preserve"> PAGEREF _Toc181651430 \h </w:instrText>
            </w:r>
            <w:r>
              <w:rPr>
                <w:noProof/>
                <w:webHidden/>
              </w:rPr>
            </w:r>
            <w:r>
              <w:rPr>
                <w:noProof/>
                <w:webHidden/>
              </w:rPr>
              <w:fldChar w:fldCharType="separate"/>
            </w:r>
            <w:r>
              <w:rPr>
                <w:noProof/>
                <w:webHidden/>
              </w:rPr>
              <w:t>5</w:t>
            </w:r>
            <w:r>
              <w:rPr>
                <w:noProof/>
                <w:webHidden/>
              </w:rPr>
              <w:fldChar w:fldCharType="end"/>
            </w:r>
          </w:hyperlink>
        </w:p>
        <w:p w14:paraId="3FC1E816" w14:textId="24FA52D1" w:rsidR="00831A7F" w:rsidRDefault="00831A7F">
          <w:pPr>
            <w:pStyle w:val="TOC2"/>
            <w:tabs>
              <w:tab w:val="right" w:leader="dot" w:pos="9016"/>
            </w:tabs>
            <w:rPr>
              <w:rFonts w:eastAsiaTheme="minorEastAsia"/>
              <w:noProof/>
              <w:lang w:eastAsia="en-GB"/>
            </w:rPr>
          </w:pPr>
          <w:hyperlink w:anchor="_Toc181651431" w:history="1">
            <w:r w:rsidRPr="005232A7">
              <w:rPr>
                <w:rStyle w:val="Hyperlink"/>
                <w:noProof/>
              </w:rPr>
              <w:t>2.6 Sustainability and Corporate Responsibility</w:t>
            </w:r>
            <w:r>
              <w:rPr>
                <w:noProof/>
                <w:webHidden/>
              </w:rPr>
              <w:tab/>
            </w:r>
            <w:r>
              <w:rPr>
                <w:noProof/>
                <w:webHidden/>
              </w:rPr>
              <w:fldChar w:fldCharType="begin"/>
            </w:r>
            <w:r>
              <w:rPr>
                <w:noProof/>
                <w:webHidden/>
              </w:rPr>
              <w:instrText xml:space="preserve"> PAGEREF _Toc181651431 \h </w:instrText>
            </w:r>
            <w:r>
              <w:rPr>
                <w:noProof/>
                <w:webHidden/>
              </w:rPr>
            </w:r>
            <w:r>
              <w:rPr>
                <w:noProof/>
                <w:webHidden/>
              </w:rPr>
              <w:fldChar w:fldCharType="separate"/>
            </w:r>
            <w:r>
              <w:rPr>
                <w:noProof/>
                <w:webHidden/>
              </w:rPr>
              <w:t>6</w:t>
            </w:r>
            <w:r>
              <w:rPr>
                <w:noProof/>
                <w:webHidden/>
              </w:rPr>
              <w:fldChar w:fldCharType="end"/>
            </w:r>
          </w:hyperlink>
        </w:p>
        <w:p w14:paraId="0CF15EB3" w14:textId="6F96253F" w:rsidR="00831A7F" w:rsidRDefault="00831A7F">
          <w:pPr>
            <w:pStyle w:val="TOC1"/>
            <w:tabs>
              <w:tab w:val="right" w:leader="dot" w:pos="9016"/>
            </w:tabs>
            <w:rPr>
              <w:rFonts w:eastAsiaTheme="minorEastAsia"/>
              <w:noProof/>
              <w:lang w:eastAsia="en-GB"/>
            </w:rPr>
          </w:pPr>
          <w:hyperlink w:anchor="_Toc181651432" w:history="1">
            <w:r w:rsidRPr="005232A7">
              <w:rPr>
                <w:rStyle w:val="Hyperlink"/>
                <w:noProof/>
              </w:rPr>
              <w:t>3. Conclusion</w:t>
            </w:r>
            <w:r>
              <w:rPr>
                <w:noProof/>
                <w:webHidden/>
              </w:rPr>
              <w:tab/>
            </w:r>
            <w:r>
              <w:rPr>
                <w:noProof/>
                <w:webHidden/>
              </w:rPr>
              <w:fldChar w:fldCharType="begin"/>
            </w:r>
            <w:r>
              <w:rPr>
                <w:noProof/>
                <w:webHidden/>
              </w:rPr>
              <w:instrText xml:space="preserve"> PAGEREF _Toc181651432 \h </w:instrText>
            </w:r>
            <w:r>
              <w:rPr>
                <w:noProof/>
                <w:webHidden/>
              </w:rPr>
            </w:r>
            <w:r>
              <w:rPr>
                <w:noProof/>
                <w:webHidden/>
              </w:rPr>
              <w:fldChar w:fldCharType="separate"/>
            </w:r>
            <w:r>
              <w:rPr>
                <w:noProof/>
                <w:webHidden/>
              </w:rPr>
              <w:t>6</w:t>
            </w:r>
            <w:r>
              <w:rPr>
                <w:noProof/>
                <w:webHidden/>
              </w:rPr>
              <w:fldChar w:fldCharType="end"/>
            </w:r>
          </w:hyperlink>
        </w:p>
        <w:p w14:paraId="22CAB02D" w14:textId="6B81B273" w:rsidR="00831A7F" w:rsidRDefault="00831A7F">
          <w:pPr>
            <w:pStyle w:val="TOC1"/>
            <w:tabs>
              <w:tab w:val="right" w:leader="dot" w:pos="9016"/>
            </w:tabs>
            <w:rPr>
              <w:rFonts w:eastAsiaTheme="minorEastAsia"/>
              <w:noProof/>
              <w:lang w:eastAsia="en-GB"/>
            </w:rPr>
          </w:pPr>
          <w:hyperlink w:anchor="_Toc181651433" w:history="1">
            <w:r w:rsidRPr="005232A7">
              <w:rPr>
                <w:rStyle w:val="Hyperlink"/>
                <w:noProof/>
              </w:rPr>
              <w:t>4. Recommendations</w:t>
            </w:r>
            <w:r>
              <w:rPr>
                <w:noProof/>
                <w:webHidden/>
              </w:rPr>
              <w:tab/>
            </w:r>
            <w:r>
              <w:rPr>
                <w:noProof/>
                <w:webHidden/>
              </w:rPr>
              <w:fldChar w:fldCharType="begin"/>
            </w:r>
            <w:r>
              <w:rPr>
                <w:noProof/>
                <w:webHidden/>
              </w:rPr>
              <w:instrText xml:space="preserve"> PAGEREF _Toc181651433 \h </w:instrText>
            </w:r>
            <w:r>
              <w:rPr>
                <w:noProof/>
                <w:webHidden/>
              </w:rPr>
            </w:r>
            <w:r>
              <w:rPr>
                <w:noProof/>
                <w:webHidden/>
              </w:rPr>
              <w:fldChar w:fldCharType="separate"/>
            </w:r>
            <w:r>
              <w:rPr>
                <w:noProof/>
                <w:webHidden/>
              </w:rPr>
              <w:t>8</w:t>
            </w:r>
            <w:r>
              <w:rPr>
                <w:noProof/>
                <w:webHidden/>
              </w:rPr>
              <w:fldChar w:fldCharType="end"/>
            </w:r>
          </w:hyperlink>
        </w:p>
        <w:p w14:paraId="54D57C32" w14:textId="5E2A58BC" w:rsidR="00831A7F" w:rsidRDefault="00831A7F">
          <w:pPr>
            <w:pStyle w:val="TOC1"/>
            <w:tabs>
              <w:tab w:val="right" w:leader="dot" w:pos="9016"/>
            </w:tabs>
            <w:rPr>
              <w:rFonts w:eastAsiaTheme="minorEastAsia"/>
              <w:noProof/>
              <w:lang w:eastAsia="en-GB"/>
            </w:rPr>
          </w:pPr>
          <w:hyperlink w:anchor="_Toc181651434" w:history="1">
            <w:r w:rsidRPr="005232A7">
              <w:rPr>
                <w:rStyle w:val="Hyperlink"/>
                <w:noProof/>
              </w:rPr>
              <w:t>References</w:t>
            </w:r>
            <w:r>
              <w:rPr>
                <w:noProof/>
                <w:webHidden/>
              </w:rPr>
              <w:tab/>
            </w:r>
            <w:r>
              <w:rPr>
                <w:noProof/>
                <w:webHidden/>
              </w:rPr>
              <w:fldChar w:fldCharType="begin"/>
            </w:r>
            <w:r>
              <w:rPr>
                <w:noProof/>
                <w:webHidden/>
              </w:rPr>
              <w:instrText xml:space="preserve"> PAGEREF _Toc181651434 \h </w:instrText>
            </w:r>
            <w:r>
              <w:rPr>
                <w:noProof/>
                <w:webHidden/>
              </w:rPr>
            </w:r>
            <w:r>
              <w:rPr>
                <w:noProof/>
                <w:webHidden/>
              </w:rPr>
              <w:fldChar w:fldCharType="separate"/>
            </w:r>
            <w:r>
              <w:rPr>
                <w:noProof/>
                <w:webHidden/>
              </w:rPr>
              <w:t>10</w:t>
            </w:r>
            <w:r>
              <w:rPr>
                <w:noProof/>
                <w:webHidden/>
              </w:rPr>
              <w:fldChar w:fldCharType="end"/>
            </w:r>
          </w:hyperlink>
        </w:p>
        <w:p w14:paraId="718C0337" w14:textId="1D0A7FCE" w:rsidR="0079093C" w:rsidRPr="00831A7F" w:rsidRDefault="00831A7F" w:rsidP="00831A7F">
          <w:r>
            <w:rPr>
              <w:b/>
              <w:bCs/>
              <w:noProof/>
            </w:rPr>
            <w:fldChar w:fldCharType="end"/>
          </w:r>
        </w:p>
      </w:sdtContent>
    </w:sdt>
    <w:p w14:paraId="3DF904F4" w14:textId="77777777" w:rsidR="0071458D" w:rsidRPr="0079093C" w:rsidRDefault="0071458D" w:rsidP="00831A7F">
      <w:pPr>
        <w:pStyle w:val="Heading1"/>
      </w:pPr>
      <w:bookmarkStart w:id="1" w:name="_Toc181651424"/>
      <w:r w:rsidRPr="0079093C">
        <w:lastRenderedPageBreak/>
        <w:t>1. Introduction</w:t>
      </w:r>
      <w:bookmarkEnd w:id="1"/>
    </w:p>
    <w:p w14:paraId="6E4BB5F1" w14:textId="3870AD37" w:rsidR="00844958" w:rsidRPr="0071458D" w:rsidRDefault="00844958" w:rsidP="00844958">
      <w:pPr>
        <w:spacing w:line="360" w:lineRule="auto"/>
        <w:jc w:val="both"/>
        <w:rPr>
          <w:rFonts w:ascii="Arial" w:hAnsi="Arial" w:cs="Arial"/>
        </w:rPr>
      </w:pPr>
      <w:r w:rsidRPr="00844958">
        <w:rPr>
          <w:rFonts w:ascii="Arial" w:hAnsi="Arial" w:cs="Arial"/>
        </w:rPr>
        <w:t>Marriott International is one of the largest and most recognized names in the global hospitality industry, operating over 7,000 properties across 131 countries. Founded in 1927, the company has consistently adapted to market trends, and its asset-light business model—relying heavily on management and franchise agreements—has been central to its success. This approach allows Marriott to expand efficiently without the high capital requirements associated with property ownership, offering flexibility and resilience in a capital-intensive sector (Marriott International, 2023).The period from 2020 to 2023 was transformative for the hospitality industry due to the COVID-19 pandemic, which led to unprecedented declines in global travel and hotel occupancy. Marriott, like many in the sector, faced significant financial challenges, including reduced revenue and profitability, as well as pressures on liquidity and solvency. However, with the gradual reopening of borders and the resurgence in travel demand, Marriott showed a steady recovery in revenue and operational performance by 2022 and 2023.This report evaluates Marriott’s financial health during these years, focusing on key performance indicators such as profitability, liquidity, and efficiency. Additionally, it compares Marriott’s performance against industry benchmarks to assess its market position relative to major competitors, including Hilton Worldwide. The analysis also considers Marriott’s strategic initiatives in sustainability and corporate responsibility, critical areas for maintaining competitive advantage in an industry increasingly influenced by consumer demand for ethical and environmentally conscious brands.The objective of this report is to provide a comprehensive overview of Marriott’s financial performance, identify areas of strength and vulnerability, and offer recommendations for enhancing financial stability and growth. This analysis aims to inform Marriott’s strategic direction as it navigates the post-pandemic market landscape and responds to evolving consumer preferences.</w:t>
      </w:r>
    </w:p>
    <w:p w14:paraId="0C3427F8" w14:textId="77777777" w:rsidR="0071458D" w:rsidRPr="0079093C" w:rsidRDefault="0071458D" w:rsidP="00831A7F">
      <w:pPr>
        <w:pStyle w:val="Heading1"/>
      </w:pPr>
      <w:bookmarkStart w:id="2" w:name="_Toc181651425"/>
      <w:r w:rsidRPr="0079093C">
        <w:t>2. Main Findings</w:t>
      </w:r>
      <w:bookmarkEnd w:id="2"/>
    </w:p>
    <w:p w14:paraId="47EE10F6" w14:textId="77777777" w:rsidR="0071458D" w:rsidRPr="0071458D" w:rsidRDefault="0071458D" w:rsidP="00831A7F">
      <w:pPr>
        <w:pStyle w:val="Heading2"/>
      </w:pPr>
      <w:bookmarkStart w:id="3" w:name="_Toc181651426"/>
      <w:r w:rsidRPr="0071458D">
        <w:t xml:space="preserve">2.1 </w:t>
      </w:r>
      <w:r w:rsidRPr="0079093C">
        <w:t>Financial Performance Overview (2020-2023)</w:t>
      </w:r>
      <w:bookmarkEnd w:id="3"/>
    </w:p>
    <w:p w14:paraId="130D8C3B" w14:textId="77777777" w:rsidR="0071458D" w:rsidRPr="0071458D" w:rsidRDefault="0071458D" w:rsidP="0071458D">
      <w:pPr>
        <w:spacing w:line="360" w:lineRule="auto"/>
        <w:jc w:val="both"/>
        <w:rPr>
          <w:rFonts w:ascii="Arial" w:hAnsi="Arial" w:cs="Arial"/>
        </w:rPr>
      </w:pPr>
      <w:r w:rsidRPr="0071458D">
        <w:rPr>
          <w:rFonts w:ascii="Arial" w:hAnsi="Arial" w:cs="Arial"/>
        </w:rPr>
        <w:t>Marriott’s financial performance from 2020 to 2023 illustrates the impact of the pandemic on the hospitality sector and the company’s recovery trajectory. In 2020, Marriott’s revenue dropped sharply to $10.6 billion, a significant decrease from its pre-</w:t>
      </w:r>
      <w:r w:rsidRPr="0071458D">
        <w:rPr>
          <w:rFonts w:ascii="Arial" w:hAnsi="Arial" w:cs="Arial"/>
        </w:rPr>
        <w:lastRenderedPageBreak/>
        <w:t>pandemic levels, driven by a reduction in global travel and occupancy rates (Marriott International, 2021). However, as travel restrictions began to ease, Marriott saw a steady increase in revenue, reaching approximately $15.4 billion in 2022 and $18 billion in 2023 (Marriott International, 2023). This growth trajectory reflects the company’s ability to capitalize on the rebound in travel demand.</w:t>
      </w:r>
    </w:p>
    <w:p w14:paraId="09C96544" w14:textId="77777777" w:rsidR="0071458D" w:rsidRPr="0071458D" w:rsidRDefault="0071458D" w:rsidP="0071458D">
      <w:pPr>
        <w:spacing w:line="360" w:lineRule="auto"/>
        <w:jc w:val="both"/>
        <w:rPr>
          <w:rFonts w:ascii="Arial" w:hAnsi="Arial" w:cs="Arial"/>
        </w:rPr>
      </w:pPr>
      <w:r w:rsidRPr="0071458D">
        <w:rPr>
          <w:rFonts w:ascii="Arial" w:hAnsi="Arial" w:cs="Arial"/>
        </w:rPr>
        <w:t>Revenue per available room (RevPAR), a critical metric in the hospitality industry, declined significantly in 2020 but demonstrated consistent recovery from 2021 onward. By 2023, RevPAR for Marriott’s properties in North America and Europe approached pre-pandemic levels, largely driven by increased occupancy rates and a higher average daily rate (ADR). These trends indicate Marriott’s strong positioning in key markets, allowing it to capture the resurgence in global travel demand effectively.</w:t>
      </w:r>
    </w:p>
    <w:p w14:paraId="0E3E8D2A" w14:textId="77777777" w:rsidR="0071458D" w:rsidRPr="0079093C" w:rsidRDefault="0071458D" w:rsidP="00831A7F">
      <w:pPr>
        <w:pStyle w:val="Heading2"/>
      </w:pPr>
      <w:bookmarkStart w:id="4" w:name="_Toc181651427"/>
      <w:r w:rsidRPr="0071458D">
        <w:t xml:space="preserve">2.2 </w:t>
      </w:r>
      <w:r w:rsidRPr="0079093C">
        <w:t>Liquidity and Solvency</w:t>
      </w:r>
      <w:bookmarkEnd w:id="4"/>
    </w:p>
    <w:p w14:paraId="10BA4539" w14:textId="77777777" w:rsidR="0071458D" w:rsidRPr="0071458D" w:rsidRDefault="0071458D" w:rsidP="0071458D">
      <w:pPr>
        <w:spacing w:line="360" w:lineRule="auto"/>
        <w:jc w:val="both"/>
        <w:rPr>
          <w:rFonts w:ascii="Arial" w:hAnsi="Arial" w:cs="Arial"/>
        </w:rPr>
      </w:pPr>
      <w:r w:rsidRPr="0071458D">
        <w:rPr>
          <w:rFonts w:ascii="Arial" w:hAnsi="Arial" w:cs="Arial"/>
        </w:rPr>
        <w:t>Liquidity has remained a critical issue for Marriott throughout this period. The company’s current ratio remained low, consistently below 1.0 and reported around 0.6 in both 2022 and 2023. This figure is below the industry average of approximately 1.2, which indicates potential risks related to Marriott’s ability to meet short-term obligations without relying on external financing sources (Hilton Financial Report, 2023). The quick ratio, which excludes inventory from liquid assets, similarly reflects Marriott’s liquidity constraints, highlighting the need for efficient cash flow management.</w:t>
      </w:r>
    </w:p>
    <w:p w14:paraId="54FE61B0" w14:textId="77777777" w:rsidR="0071458D" w:rsidRPr="0071458D" w:rsidRDefault="0071458D" w:rsidP="0071458D">
      <w:pPr>
        <w:spacing w:line="360" w:lineRule="auto"/>
        <w:jc w:val="both"/>
        <w:rPr>
          <w:rFonts w:ascii="Arial" w:hAnsi="Arial" w:cs="Arial"/>
        </w:rPr>
      </w:pPr>
      <w:r w:rsidRPr="0071458D">
        <w:rPr>
          <w:rFonts w:ascii="Arial" w:hAnsi="Arial" w:cs="Arial"/>
        </w:rPr>
        <w:t>Marriott’s solvency, as measured by its debt-to-equity ratio, also remained a focal point. The company increased its debt during the pandemic to sustain operations, leading to a debt-to-equity ratio above 5.0 by the end of 2021. While this ratio improved slightly as revenue recovered, Marriott’s debt levels remained high in 2023, driven by the need to fund recovery efforts and maintain liquidity. This high leverage poses financial risk, particularly in an environment of rising interest rates, which increase debt servicing costs. Marriott’s capital structure emphasizes the need for strategic debt reduction to mitigate long-term risk and improve financial stability.</w:t>
      </w:r>
    </w:p>
    <w:p w14:paraId="3DF68FCE" w14:textId="77777777" w:rsidR="0071458D" w:rsidRPr="0079093C" w:rsidRDefault="0071458D" w:rsidP="00831A7F">
      <w:pPr>
        <w:pStyle w:val="Heading2"/>
      </w:pPr>
      <w:bookmarkStart w:id="5" w:name="_Toc181651428"/>
      <w:r w:rsidRPr="0071458D">
        <w:t xml:space="preserve">2.3 </w:t>
      </w:r>
      <w:r w:rsidRPr="0079093C">
        <w:t>Efficiency Ratios</w:t>
      </w:r>
      <w:bookmarkEnd w:id="5"/>
    </w:p>
    <w:p w14:paraId="36F796C5" w14:textId="77777777" w:rsidR="0071458D" w:rsidRPr="0071458D" w:rsidRDefault="0071458D" w:rsidP="0071458D">
      <w:pPr>
        <w:spacing w:line="360" w:lineRule="auto"/>
        <w:jc w:val="both"/>
        <w:rPr>
          <w:rFonts w:ascii="Arial" w:hAnsi="Arial" w:cs="Arial"/>
        </w:rPr>
      </w:pPr>
      <w:r w:rsidRPr="0071458D">
        <w:rPr>
          <w:rFonts w:ascii="Arial" w:hAnsi="Arial" w:cs="Arial"/>
        </w:rPr>
        <w:t xml:space="preserve">Marriott’s efficiency ratios from 2020 to 2023 demonstrate its operational adaptability and resource optimization, despite challenges. The asset turnover ratio, which indicates the efficiency with which Marriott generates revenue from its assets, was </w:t>
      </w:r>
      <w:r w:rsidRPr="0071458D">
        <w:rPr>
          <w:rFonts w:ascii="Arial" w:hAnsi="Arial" w:cs="Arial"/>
        </w:rPr>
        <w:lastRenderedPageBreak/>
        <w:t>around 0.4 in 2021 but rose to approximately 0.5 by 2023. This recovery in asset turnover suggests Marriott’s ability to use its assets effectively, a positive indicator in a capital-intensive industry like hospitality (Smith, 2023).</w:t>
      </w:r>
    </w:p>
    <w:p w14:paraId="535FE19A" w14:textId="77777777" w:rsidR="0071458D" w:rsidRPr="0071458D" w:rsidRDefault="0071458D" w:rsidP="0071458D">
      <w:pPr>
        <w:spacing w:line="360" w:lineRule="auto"/>
        <w:jc w:val="both"/>
        <w:rPr>
          <w:rFonts w:ascii="Arial" w:hAnsi="Arial" w:cs="Arial"/>
        </w:rPr>
      </w:pPr>
      <w:r w:rsidRPr="0071458D">
        <w:rPr>
          <w:rFonts w:ascii="Arial" w:hAnsi="Arial" w:cs="Arial"/>
        </w:rPr>
        <w:t>Days Sales Outstanding (DSO) for Marriott averaged 35 days during this period, reflecting a strong receivables management strategy that helped maintain cash flow. Efficient receivables management is particularly important in the hospitality sector, where cash flow stability is essential to cover operational costs and invest in growth opportunities. Marriott’s effective DSO management enabled it to improve cash flow, which was crucial during periods of lower revenue in 2020 and 2021.</w:t>
      </w:r>
    </w:p>
    <w:p w14:paraId="205EA937" w14:textId="77777777" w:rsidR="0071458D" w:rsidRPr="0079093C" w:rsidRDefault="0071458D" w:rsidP="00831A7F">
      <w:pPr>
        <w:pStyle w:val="Heading2"/>
      </w:pPr>
      <w:bookmarkStart w:id="6" w:name="_Toc181651429"/>
      <w:r w:rsidRPr="0071458D">
        <w:t xml:space="preserve">2.4 </w:t>
      </w:r>
      <w:r w:rsidRPr="0079093C">
        <w:t>Profitability Ratios</w:t>
      </w:r>
      <w:bookmarkEnd w:id="6"/>
    </w:p>
    <w:p w14:paraId="6A8E5568" w14:textId="77777777" w:rsidR="0071458D" w:rsidRPr="0071458D" w:rsidRDefault="0071458D" w:rsidP="0071458D">
      <w:pPr>
        <w:spacing w:line="360" w:lineRule="auto"/>
        <w:jc w:val="both"/>
        <w:rPr>
          <w:rFonts w:ascii="Arial" w:hAnsi="Arial" w:cs="Arial"/>
        </w:rPr>
      </w:pPr>
      <w:r w:rsidRPr="0071458D">
        <w:rPr>
          <w:rFonts w:ascii="Arial" w:hAnsi="Arial" w:cs="Arial"/>
        </w:rPr>
        <w:t>Profitability ratios provide insight into Marriott’s resilience and ability to recover from pandemic-related losses. Marriott’s return on assets (ROA) declined to around 2% in 2020 but showed significant improvement, reaching 5% by 2023. This increase in ROA underscores Marriott’s effectiveness in utilizing its asset base to generate profit, despite the disruptions in global travel (Jones, 2023).</w:t>
      </w:r>
    </w:p>
    <w:p w14:paraId="716F59FC" w14:textId="77777777" w:rsidR="0071458D" w:rsidRPr="0071458D" w:rsidRDefault="0071458D" w:rsidP="0071458D">
      <w:pPr>
        <w:spacing w:line="360" w:lineRule="auto"/>
        <w:jc w:val="both"/>
        <w:rPr>
          <w:rFonts w:ascii="Arial" w:hAnsi="Arial" w:cs="Arial"/>
        </w:rPr>
      </w:pPr>
      <w:r w:rsidRPr="0071458D">
        <w:rPr>
          <w:rFonts w:ascii="Arial" w:hAnsi="Arial" w:cs="Arial"/>
        </w:rPr>
        <w:t>Return on equity (ROE) followed a similar pattern, initially impacted by decreased revenue but improving steadily as the company recovered. By 2023, Marriott’s ROE reached approximately 15%, reflecting a strong capacity to generate returns for shareholders despite the challenging economic environment. Marriott’s operating margin, which hovered around 10% in 2021, increased to 13% by 2023, driven by cost control measures and increased occupancy rates. Marriott’s focus on managing operating expenses, combined with its asset-light model, helped preserve profitability and contributed to its competitive positioning.</w:t>
      </w:r>
    </w:p>
    <w:p w14:paraId="57DC0544" w14:textId="77777777" w:rsidR="0071458D" w:rsidRPr="0071458D" w:rsidRDefault="0071458D" w:rsidP="00831A7F">
      <w:pPr>
        <w:pStyle w:val="Heading2"/>
      </w:pPr>
      <w:bookmarkStart w:id="7" w:name="_Toc181651430"/>
      <w:r w:rsidRPr="0071458D">
        <w:t xml:space="preserve">2.5 </w:t>
      </w:r>
      <w:r w:rsidRPr="0079093C">
        <w:t>Comparative Industry Analysis</w:t>
      </w:r>
      <w:bookmarkEnd w:id="7"/>
    </w:p>
    <w:p w14:paraId="2EC2F11F" w14:textId="77777777" w:rsidR="0071458D" w:rsidRPr="0071458D" w:rsidRDefault="0071458D" w:rsidP="0071458D">
      <w:pPr>
        <w:spacing w:line="360" w:lineRule="auto"/>
        <w:jc w:val="both"/>
        <w:rPr>
          <w:rFonts w:ascii="Arial" w:hAnsi="Arial" w:cs="Arial"/>
        </w:rPr>
      </w:pPr>
      <w:r w:rsidRPr="0071458D">
        <w:rPr>
          <w:rFonts w:ascii="Arial" w:hAnsi="Arial" w:cs="Arial"/>
        </w:rPr>
        <w:t>Marriott’s financial performance from 2020 to 2023 highlights competitive strengths and challenges relative to other major players, such as Hilton Worldwide. While both companies faced substantial revenue declines in 2020, Marriott’s revenue growth outpaced Hilton’s from 2021 onward, particularly in North America and Asia, where it has a strong brand presence and established loyalty programs (Hilton Financial Report, 2023).</w:t>
      </w:r>
    </w:p>
    <w:p w14:paraId="07A90FED" w14:textId="77777777" w:rsidR="0071458D" w:rsidRPr="0071458D" w:rsidRDefault="0071458D" w:rsidP="0071458D">
      <w:pPr>
        <w:spacing w:line="360" w:lineRule="auto"/>
        <w:jc w:val="both"/>
        <w:rPr>
          <w:rFonts w:ascii="Arial" w:hAnsi="Arial" w:cs="Arial"/>
        </w:rPr>
      </w:pPr>
      <w:r w:rsidRPr="0071458D">
        <w:rPr>
          <w:rFonts w:ascii="Arial" w:hAnsi="Arial" w:cs="Arial"/>
        </w:rPr>
        <w:lastRenderedPageBreak/>
        <w:t>However, Marriott’s debt-to-equity ratio remained significantly higher than Hilton’s during this period, reflecting a difference in capital structure strategy. While Hilton managed to maintain a more conservative debt level, Marriott’s high leverage increased its exposure to financial risk. This difference in financial approach suggests Marriott’s aggressive expansion strategy, while advantageous in capturing market share, may reduce its financial flexibility during economic downturns.</w:t>
      </w:r>
    </w:p>
    <w:p w14:paraId="7BD4AC85" w14:textId="77777777" w:rsidR="0071458D" w:rsidRPr="0071458D" w:rsidRDefault="0071458D" w:rsidP="0071458D">
      <w:pPr>
        <w:spacing w:line="360" w:lineRule="auto"/>
        <w:jc w:val="both"/>
        <w:rPr>
          <w:rFonts w:ascii="Arial" w:hAnsi="Arial" w:cs="Arial"/>
        </w:rPr>
      </w:pPr>
      <w:r w:rsidRPr="0071458D">
        <w:rPr>
          <w:rFonts w:ascii="Arial" w:hAnsi="Arial" w:cs="Arial"/>
        </w:rPr>
        <w:t>The hospitality industry faced common challenges during these years, including labor shortages, rising operational costs, and a shift in consumer demand toward environmentally responsible brands. Marriott’s response to these trends, including adopting sustainable practices and enhancing digital capabilities, aligned with evolving consumer preferences. However, continuous investment in these areas will be essential for Marriott to sustain its recovery and build resilience.</w:t>
      </w:r>
    </w:p>
    <w:p w14:paraId="28EB57B7" w14:textId="77777777" w:rsidR="0071458D" w:rsidRPr="0071458D" w:rsidRDefault="0071458D" w:rsidP="00831A7F">
      <w:pPr>
        <w:pStyle w:val="Heading2"/>
      </w:pPr>
      <w:bookmarkStart w:id="8" w:name="_Toc181651431"/>
      <w:r w:rsidRPr="0071458D">
        <w:t xml:space="preserve">2.6 </w:t>
      </w:r>
      <w:r w:rsidRPr="0079093C">
        <w:t>Sustainability and Corporate Responsibility</w:t>
      </w:r>
      <w:bookmarkEnd w:id="8"/>
    </w:p>
    <w:p w14:paraId="6790C272" w14:textId="77777777" w:rsidR="0071458D" w:rsidRPr="0071458D" w:rsidRDefault="0071458D" w:rsidP="0071458D">
      <w:pPr>
        <w:spacing w:line="360" w:lineRule="auto"/>
        <w:jc w:val="both"/>
        <w:rPr>
          <w:rFonts w:ascii="Arial" w:hAnsi="Arial" w:cs="Arial"/>
        </w:rPr>
      </w:pPr>
      <w:r w:rsidRPr="0071458D">
        <w:rPr>
          <w:rFonts w:ascii="Arial" w:hAnsi="Arial" w:cs="Arial"/>
        </w:rPr>
        <w:t>From 2020 to 2023, Marriott intensified its focus on sustainability and corporate responsibility, areas increasingly prioritized by both consumers and investors. Marriott’s “Serve 360” initiative outlines its commitment to reducing environmental impact, including goals to cut carbon emissions by 30% and increase renewable energy use by 2030 (Marriott CSR Report, 2023). These efforts reflect Marriott’s response to consumer demand for sustainable practices, which have become critical in influencing booking decisions.</w:t>
      </w:r>
    </w:p>
    <w:p w14:paraId="37808DBE" w14:textId="77777777" w:rsidR="0071458D" w:rsidRPr="0071458D" w:rsidRDefault="0071458D" w:rsidP="0071458D">
      <w:pPr>
        <w:spacing w:line="360" w:lineRule="auto"/>
        <w:jc w:val="both"/>
        <w:rPr>
          <w:rFonts w:ascii="Arial" w:hAnsi="Arial" w:cs="Arial"/>
        </w:rPr>
      </w:pPr>
      <w:r w:rsidRPr="0071458D">
        <w:rPr>
          <w:rFonts w:ascii="Arial" w:hAnsi="Arial" w:cs="Arial"/>
        </w:rPr>
        <w:t>Corporate social responsibility (CSR) has also been a key aspect of Marriott’s strategy, with initiatives focusing on community engagement, workforce diversity, and ethical sourcing. For example, Marriott’s workforce programs aim to enhance diversity and inclusion, which strengthens corporate culture and attracts socially conscious consumers. These CSR efforts enhance Marriott’s brand reputation and align with industry-wide trends that emphasize social responsibility. By embedding these values into its operations, Marriott not only meets regulatory standards but also strengthens customer loyalty and brand differentiation.</w:t>
      </w:r>
    </w:p>
    <w:p w14:paraId="4BCE9EA9" w14:textId="77777777" w:rsidR="0071458D" w:rsidRPr="0079093C" w:rsidRDefault="0071458D" w:rsidP="00831A7F">
      <w:pPr>
        <w:pStyle w:val="Heading1"/>
      </w:pPr>
      <w:bookmarkStart w:id="9" w:name="_Toc181651432"/>
      <w:r w:rsidRPr="0071458D">
        <w:t xml:space="preserve">3. </w:t>
      </w:r>
      <w:r w:rsidRPr="0079093C">
        <w:t>Conclusion</w:t>
      </w:r>
      <w:bookmarkEnd w:id="9"/>
    </w:p>
    <w:p w14:paraId="000CA100" w14:textId="2AF0094A" w:rsidR="0071458D" w:rsidRPr="0071458D" w:rsidRDefault="0071458D" w:rsidP="0071458D">
      <w:pPr>
        <w:spacing w:line="360" w:lineRule="auto"/>
        <w:jc w:val="both"/>
        <w:rPr>
          <w:rFonts w:ascii="Arial" w:hAnsi="Arial" w:cs="Arial"/>
        </w:rPr>
      </w:pPr>
      <w:r w:rsidRPr="0071458D">
        <w:rPr>
          <w:rFonts w:ascii="Arial" w:hAnsi="Arial" w:cs="Arial"/>
        </w:rPr>
        <w:t xml:space="preserve">Marriott International’s financial performance from 2020 to 2023 reflects a company that has adeptly navigated unprecedented challenges in the hospitality industry, </w:t>
      </w:r>
      <w:r w:rsidRPr="0071458D">
        <w:rPr>
          <w:rFonts w:ascii="Arial" w:hAnsi="Arial" w:cs="Arial"/>
        </w:rPr>
        <w:lastRenderedPageBreak/>
        <w:t>emerging with strengthened operational resilience and strategic adaptability. The COVID-19 pandemic severely impacted Marriott’s revenue and profitability, as it did across the industry. However, Marriott’s asset-light model, relying heavily on management and franchise agreements, has provided it with the flexibility to scale operations, manage costs, and swiftly adjust to fluctuating demand. This approach has been a cornerstone of Marriott’s resilience, enabling it to recover rapidly as global travel demand rebounded.The analysis reveals several strengths in Marriott’s financial structure, notably in its profitability and efficiency metrics. Despite the pandemic, Marriott maintained relatively high operating margins and demonstrated effective asset utilization, as seen in its improving return on assets (ROA) and return on equity (ROE) ratios by 2023. These indicators underscore Marriott’s robust management practices and its ability to leverage assets efficiently in generating revenue and profit. Additionally, Marriott’s cost control measures have been pivotal in preserving profitability, even as operational costs rose industry-wide due to inflation and labor shortages.</w:t>
      </w:r>
    </w:p>
    <w:p w14:paraId="69D60104" w14:textId="4AF0A041" w:rsidR="0071458D" w:rsidRPr="0071458D" w:rsidRDefault="0071458D" w:rsidP="0071458D">
      <w:pPr>
        <w:spacing w:line="360" w:lineRule="auto"/>
        <w:jc w:val="both"/>
        <w:rPr>
          <w:rFonts w:ascii="Arial" w:hAnsi="Arial" w:cs="Arial"/>
        </w:rPr>
      </w:pPr>
      <w:r w:rsidRPr="0071458D">
        <w:rPr>
          <w:rFonts w:ascii="Arial" w:hAnsi="Arial" w:cs="Arial"/>
        </w:rPr>
        <w:t>However, Marriott’s liquidity and solvency ratios highlight areas for improvement. The current and quick ratios, consistently below industry standards, point to potential liquidity constraints, suggesting that Marriott may struggle to meet short-term obligations without external financing. High leverage, reflected in a debt-to-equity ratio above industry norms, further compounds this risk, particularly in an environment of rising interest rates that increase debt-servicing costs. Addressing these financial vulnerabilities will be essential for Marriott’s stability, as reliance on debt financing could expose it to substantial risk during economic downturns.Marriott’s commitment to sustainability and corporate social responsibility (CSR) enhances its brand image and aligns it with evolving consumer expectations. The “Serve 360” initiative, targeting reductions in carbon emissions and waste, and workforce diversity programs demonstrate Marriott’s dedication to ethical practices and environmental stewardship. These efforts not only strengthen customer loyalty but also align Marriott with broader societal shifts towards sustainable and socially responsible business practices, setting it apart in a competitive landscape.</w:t>
      </w:r>
    </w:p>
    <w:p w14:paraId="51F1E040" w14:textId="77777777" w:rsidR="0071458D" w:rsidRPr="0071458D" w:rsidRDefault="0071458D" w:rsidP="0071458D">
      <w:pPr>
        <w:spacing w:line="360" w:lineRule="auto"/>
        <w:jc w:val="both"/>
        <w:rPr>
          <w:rFonts w:ascii="Arial" w:hAnsi="Arial" w:cs="Arial"/>
        </w:rPr>
      </w:pPr>
    </w:p>
    <w:p w14:paraId="5240699E" w14:textId="4734E35F" w:rsidR="0071458D" w:rsidRPr="0071458D" w:rsidRDefault="0071458D" w:rsidP="0071458D">
      <w:pPr>
        <w:spacing w:line="360" w:lineRule="auto"/>
        <w:jc w:val="both"/>
        <w:rPr>
          <w:rFonts w:ascii="Arial" w:hAnsi="Arial" w:cs="Arial"/>
        </w:rPr>
      </w:pPr>
      <w:r w:rsidRPr="0071458D">
        <w:rPr>
          <w:rFonts w:ascii="Arial" w:hAnsi="Arial" w:cs="Arial"/>
        </w:rPr>
        <w:lastRenderedPageBreak/>
        <w:t>In summary, Marriott is well-positioned for growth, provided it addresses its liquidity and leverage challenges. By enhancing liquidity management, reducing debt, and continuing its investment in sustainability and digital transformation, Marriott can solidify its position as a leader in the hospitality industry. These strategic priorities will enable Marriott to build on its recovery momentum and adapt to the evolving demands of a post-pandemic market.</w:t>
      </w:r>
    </w:p>
    <w:p w14:paraId="0C20AAD1" w14:textId="77777777" w:rsidR="0071458D" w:rsidRPr="0079093C" w:rsidRDefault="0071458D" w:rsidP="00831A7F">
      <w:pPr>
        <w:pStyle w:val="Heading1"/>
      </w:pPr>
      <w:bookmarkStart w:id="10" w:name="_Toc181651433"/>
      <w:r w:rsidRPr="0079093C">
        <w:t>4. Recommendations</w:t>
      </w:r>
      <w:bookmarkEnd w:id="10"/>
    </w:p>
    <w:p w14:paraId="5C45D44A" w14:textId="77777777" w:rsidR="0071458D" w:rsidRPr="0071458D" w:rsidRDefault="0071458D" w:rsidP="0071458D">
      <w:pPr>
        <w:spacing w:line="360" w:lineRule="auto"/>
        <w:jc w:val="both"/>
        <w:rPr>
          <w:rFonts w:ascii="Arial" w:hAnsi="Arial" w:cs="Arial"/>
        </w:rPr>
      </w:pPr>
      <w:r w:rsidRPr="0071458D">
        <w:rPr>
          <w:rFonts w:ascii="Arial" w:hAnsi="Arial" w:cs="Arial"/>
        </w:rPr>
        <w:t>Enhance Liquidity: Marriott should focus on optimizing working capital and securing additional credit lines to create a financial buffer. Enhanced liquidity will allow Marriott to manage operational needs more effectively, especially in the event of another industry downturn.</w:t>
      </w:r>
    </w:p>
    <w:p w14:paraId="7DEDF5D8" w14:textId="77777777" w:rsidR="0071458D" w:rsidRPr="0071458D" w:rsidRDefault="0071458D" w:rsidP="0071458D">
      <w:pPr>
        <w:spacing w:line="360" w:lineRule="auto"/>
        <w:jc w:val="both"/>
        <w:rPr>
          <w:rFonts w:ascii="Arial" w:hAnsi="Arial" w:cs="Arial"/>
        </w:rPr>
      </w:pPr>
      <w:r w:rsidRPr="0071458D">
        <w:rPr>
          <w:rFonts w:ascii="Arial" w:hAnsi="Arial" w:cs="Arial"/>
        </w:rPr>
        <w:t>Reduce Leverage: High debt levels expose Marriott to interest rate fluctuations and financial risk. Marriott should prioritize debt repayment or consider alternative financing options, such as equity financing, to reduce its reliance on debt and improve financial stability.</w:t>
      </w:r>
    </w:p>
    <w:p w14:paraId="2CFD4CF1" w14:textId="77777777" w:rsidR="0071458D" w:rsidRPr="0071458D" w:rsidRDefault="0071458D" w:rsidP="0071458D">
      <w:pPr>
        <w:spacing w:line="360" w:lineRule="auto"/>
        <w:jc w:val="both"/>
        <w:rPr>
          <w:rFonts w:ascii="Arial" w:hAnsi="Arial" w:cs="Arial"/>
        </w:rPr>
      </w:pPr>
      <w:r w:rsidRPr="0071458D">
        <w:rPr>
          <w:rFonts w:ascii="Arial" w:hAnsi="Arial" w:cs="Arial"/>
        </w:rPr>
        <w:t>Expand Cost-Control Measures: Marriott should continue exploring avenues to control costs, such as negotiating supplier contracts and implementing energy-efficient practices across its properties. These measures will support margin expansion and strengthen profitability.</w:t>
      </w:r>
    </w:p>
    <w:p w14:paraId="0C7D7B91" w14:textId="77777777" w:rsidR="0071458D" w:rsidRPr="0071458D" w:rsidRDefault="0071458D" w:rsidP="0071458D">
      <w:pPr>
        <w:spacing w:line="360" w:lineRule="auto"/>
        <w:jc w:val="both"/>
        <w:rPr>
          <w:rFonts w:ascii="Arial" w:hAnsi="Arial" w:cs="Arial"/>
        </w:rPr>
      </w:pPr>
      <w:r w:rsidRPr="0071458D">
        <w:rPr>
          <w:rFonts w:ascii="Arial" w:hAnsi="Arial" w:cs="Arial"/>
        </w:rPr>
        <w:t>Strengthen Sustainability Efforts: Marriott should expand its sustainability initiatives by increasing renewable energy usage, reducing plastic waste, and enhancing environmental practices. Enhanced sustainability will align Marriott with consumer expectations and create a competitive edge as demand for eco-friendly brands grows.</w:t>
      </w:r>
    </w:p>
    <w:p w14:paraId="44FA1E20" w14:textId="77777777" w:rsidR="0071458D" w:rsidRPr="0071458D" w:rsidRDefault="0071458D" w:rsidP="0071458D">
      <w:pPr>
        <w:spacing w:line="360" w:lineRule="auto"/>
        <w:jc w:val="both"/>
        <w:rPr>
          <w:rFonts w:ascii="Arial" w:hAnsi="Arial" w:cs="Arial"/>
        </w:rPr>
      </w:pPr>
      <w:r w:rsidRPr="0071458D">
        <w:rPr>
          <w:rFonts w:ascii="Arial" w:hAnsi="Arial" w:cs="Arial"/>
        </w:rPr>
        <w:t>Invest in Digital Transformation: Marriott should continue to leverage digital technologies, such as personalized booking systems and AI-driven customer service, to enhance the customer experience. By embracing digital transformation, Marriott can improve customer satisfaction, streamline operations, and boost revenue.</w:t>
      </w:r>
    </w:p>
    <w:p w14:paraId="4A629129" w14:textId="77777777" w:rsidR="0071458D" w:rsidRPr="0071458D" w:rsidRDefault="0071458D" w:rsidP="0071458D">
      <w:pPr>
        <w:spacing w:line="360" w:lineRule="auto"/>
        <w:jc w:val="both"/>
        <w:rPr>
          <w:rFonts w:ascii="Arial" w:hAnsi="Arial" w:cs="Arial"/>
        </w:rPr>
      </w:pPr>
      <w:r w:rsidRPr="0071458D">
        <w:rPr>
          <w:rFonts w:ascii="Arial" w:hAnsi="Arial" w:cs="Arial"/>
        </w:rPr>
        <w:t xml:space="preserve">Enhance Community Engagement: Marriott should deepen its community-driven CSR programs, focusing on local partnerships and workforce diversity initiatives. Such </w:t>
      </w:r>
      <w:r w:rsidRPr="0071458D">
        <w:rPr>
          <w:rFonts w:ascii="Arial" w:hAnsi="Arial" w:cs="Arial"/>
        </w:rPr>
        <w:lastRenderedPageBreak/>
        <w:t>efforts will build brand loyalty, attract socially conscious customers, and contribute to sustainable community development.</w:t>
      </w:r>
    </w:p>
    <w:p w14:paraId="04D636CB" w14:textId="77777777" w:rsidR="005A57EA" w:rsidRDefault="005A57EA" w:rsidP="0071458D">
      <w:pPr>
        <w:spacing w:line="360" w:lineRule="auto"/>
        <w:jc w:val="both"/>
        <w:rPr>
          <w:rFonts w:ascii="Arial" w:hAnsi="Arial" w:cs="Arial"/>
        </w:rPr>
      </w:pPr>
    </w:p>
    <w:p w14:paraId="233D3ED2" w14:textId="77777777" w:rsidR="00844958" w:rsidRDefault="00844958" w:rsidP="0071458D">
      <w:pPr>
        <w:spacing w:line="360" w:lineRule="auto"/>
        <w:jc w:val="both"/>
        <w:rPr>
          <w:rFonts w:ascii="Arial" w:hAnsi="Arial" w:cs="Arial"/>
        </w:rPr>
      </w:pPr>
    </w:p>
    <w:p w14:paraId="2FEBB5EA" w14:textId="77777777" w:rsidR="00844958" w:rsidRDefault="00844958" w:rsidP="0071458D">
      <w:pPr>
        <w:spacing w:line="360" w:lineRule="auto"/>
        <w:jc w:val="both"/>
        <w:rPr>
          <w:rFonts w:ascii="Arial" w:hAnsi="Arial" w:cs="Arial"/>
        </w:rPr>
      </w:pPr>
    </w:p>
    <w:p w14:paraId="46D882F4" w14:textId="77777777" w:rsidR="00844958" w:rsidRDefault="00844958" w:rsidP="0071458D">
      <w:pPr>
        <w:spacing w:line="360" w:lineRule="auto"/>
        <w:jc w:val="both"/>
        <w:rPr>
          <w:rFonts w:ascii="Arial" w:hAnsi="Arial" w:cs="Arial"/>
        </w:rPr>
      </w:pPr>
    </w:p>
    <w:p w14:paraId="2F0AAC6C" w14:textId="77777777" w:rsidR="00844958" w:rsidRDefault="00844958" w:rsidP="0071458D">
      <w:pPr>
        <w:spacing w:line="360" w:lineRule="auto"/>
        <w:jc w:val="both"/>
        <w:rPr>
          <w:rFonts w:ascii="Arial" w:hAnsi="Arial" w:cs="Arial"/>
        </w:rPr>
      </w:pPr>
    </w:p>
    <w:p w14:paraId="7315EB47" w14:textId="77777777" w:rsidR="00831A7F" w:rsidRDefault="00831A7F" w:rsidP="0071458D">
      <w:pPr>
        <w:spacing w:line="360" w:lineRule="auto"/>
        <w:jc w:val="both"/>
        <w:rPr>
          <w:rFonts w:ascii="Arial" w:hAnsi="Arial" w:cs="Arial"/>
        </w:rPr>
      </w:pPr>
    </w:p>
    <w:p w14:paraId="24DBC8C7" w14:textId="77777777" w:rsidR="00831A7F" w:rsidRDefault="00831A7F" w:rsidP="0071458D">
      <w:pPr>
        <w:spacing w:line="360" w:lineRule="auto"/>
        <w:jc w:val="both"/>
        <w:rPr>
          <w:rFonts w:ascii="Arial" w:hAnsi="Arial" w:cs="Arial"/>
        </w:rPr>
      </w:pPr>
    </w:p>
    <w:p w14:paraId="36EE5515" w14:textId="77777777" w:rsidR="00831A7F" w:rsidRDefault="00831A7F" w:rsidP="0071458D">
      <w:pPr>
        <w:spacing w:line="360" w:lineRule="auto"/>
        <w:jc w:val="both"/>
        <w:rPr>
          <w:rFonts w:ascii="Arial" w:hAnsi="Arial" w:cs="Arial"/>
        </w:rPr>
      </w:pPr>
    </w:p>
    <w:p w14:paraId="4D62D307" w14:textId="77777777" w:rsidR="00831A7F" w:rsidRDefault="00831A7F" w:rsidP="0071458D">
      <w:pPr>
        <w:spacing w:line="360" w:lineRule="auto"/>
        <w:jc w:val="both"/>
        <w:rPr>
          <w:rFonts w:ascii="Arial" w:hAnsi="Arial" w:cs="Arial"/>
        </w:rPr>
      </w:pPr>
    </w:p>
    <w:p w14:paraId="26BBA27B" w14:textId="77777777" w:rsidR="00831A7F" w:rsidRDefault="00831A7F" w:rsidP="0071458D">
      <w:pPr>
        <w:spacing w:line="360" w:lineRule="auto"/>
        <w:jc w:val="both"/>
        <w:rPr>
          <w:rFonts w:ascii="Arial" w:hAnsi="Arial" w:cs="Arial"/>
        </w:rPr>
      </w:pPr>
    </w:p>
    <w:p w14:paraId="63A233D2" w14:textId="77777777" w:rsidR="00831A7F" w:rsidRDefault="00831A7F" w:rsidP="0071458D">
      <w:pPr>
        <w:spacing w:line="360" w:lineRule="auto"/>
        <w:jc w:val="both"/>
        <w:rPr>
          <w:rFonts w:ascii="Arial" w:hAnsi="Arial" w:cs="Arial"/>
        </w:rPr>
      </w:pPr>
    </w:p>
    <w:p w14:paraId="199CE785" w14:textId="77777777" w:rsidR="00831A7F" w:rsidRDefault="00831A7F" w:rsidP="0071458D">
      <w:pPr>
        <w:spacing w:line="360" w:lineRule="auto"/>
        <w:jc w:val="both"/>
        <w:rPr>
          <w:rFonts w:ascii="Arial" w:hAnsi="Arial" w:cs="Arial"/>
        </w:rPr>
      </w:pPr>
    </w:p>
    <w:p w14:paraId="1A9F4E4C" w14:textId="77777777" w:rsidR="00831A7F" w:rsidRDefault="00831A7F" w:rsidP="0071458D">
      <w:pPr>
        <w:spacing w:line="360" w:lineRule="auto"/>
        <w:jc w:val="both"/>
        <w:rPr>
          <w:rFonts w:ascii="Arial" w:hAnsi="Arial" w:cs="Arial"/>
        </w:rPr>
      </w:pPr>
    </w:p>
    <w:p w14:paraId="40348501" w14:textId="77777777" w:rsidR="00831A7F" w:rsidRDefault="00831A7F" w:rsidP="0071458D">
      <w:pPr>
        <w:spacing w:line="360" w:lineRule="auto"/>
        <w:jc w:val="both"/>
        <w:rPr>
          <w:rFonts w:ascii="Arial" w:hAnsi="Arial" w:cs="Arial"/>
        </w:rPr>
      </w:pPr>
    </w:p>
    <w:p w14:paraId="45BF9AA2" w14:textId="77777777" w:rsidR="00831A7F" w:rsidRDefault="00831A7F" w:rsidP="0071458D">
      <w:pPr>
        <w:spacing w:line="360" w:lineRule="auto"/>
        <w:jc w:val="both"/>
        <w:rPr>
          <w:rFonts w:ascii="Arial" w:hAnsi="Arial" w:cs="Arial"/>
        </w:rPr>
      </w:pPr>
    </w:p>
    <w:p w14:paraId="197D16DA" w14:textId="77777777" w:rsidR="00831A7F" w:rsidRDefault="00831A7F" w:rsidP="0071458D">
      <w:pPr>
        <w:spacing w:line="360" w:lineRule="auto"/>
        <w:jc w:val="both"/>
        <w:rPr>
          <w:rFonts w:ascii="Arial" w:hAnsi="Arial" w:cs="Arial"/>
        </w:rPr>
      </w:pPr>
    </w:p>
    <w:p w14:paraId="0159D280" w14:textId="77777777" w:rsidR="00831A7F" w:rsidRDefault="00831A7F" w:rsidP="0071458D">
      <w:pPr>
        <w:spacing w:line="360" w:lineRule="auto"/>
        <w:jc w:val="both"/>
        <w:rPr>
          <w:rFonts w:ascii="Arial" w:hAnsi="Arial" w:cs="Arial"/>
        </w:rPr>
      </w:pPr>
    </w:p>
    <w:p w14:paraId="3D417891" w14:textId="77777777" w:rsidR="00831A7F" w:rsidRDefault="00831A7F" w:rsidP="0071458D">
      <w:pPr>
        <w:spacing w:line="360" w:lineRule="auto"/>
        <w:jc w:val="both"/>
        <w:rPr>
          <w:rFonts w:ascii="Arial" w:hAnsi="Arial" w:cs="Arial"/>
        </w:rPr>
      </w:pPr>
    </w:p>
    <w:p w14:paraId="6D0AFE8E" w14:textId="77777777" w:rsidR="00844958" w:rsidRDefault="00844958" w:rsidP="0071458D">
      <w:pPr>
        <w:spacing w:line="360" w:lineRule="auto"/>
        <w:jc w:val="both"/>
        <w:rPr>
          <w:rFonts w:ascii="Arial" w:hAnsi="Arial" w:cs="Arial"/>
        </w:rPr>
      </w:pPr>
    </w:p>
    <w:p w14:paraId="2B430AF8" w14:textId="77777777" w:rsidR="00831A7F" w:rsidRDefault="00831A7F" w:rsidP="0071458D">
      <w:pPr>
        <w:spacing w:line="360" w:lineRule="auto"/>
        <w:jc w:val="both"/>
        <w:rPr>
          <w:rFonts w:ascii="Arial" w:hAnsi="Arial" w:cs="Arial"/>
        </w:rPr>
      </w:pPr>
    </w:p>
    <w:p w14:paraId="3D508AD5" w14:textId="55EAE605" w:rsidR="00724835" w:rsidRPr="00724835" w:rsidRDefault="00844958" w:rsidP="00724835">
      <w:pPr>
        <w:pStyle w:val="Heading1"/>
      </w:pPr>
      <w:bookmarkStart w:id="11" w:name="_Toc181651434"/>
      <w:r>
        <w:lastRenderedPageBreak/>
        <w:t>R</w:t>
      </w:r>
      <w:r w:rsidRPr="00844958">
        <w:t>eferences</w:t>
      </w:r>
      <w:bookmarkEnd w:id="11"/>
    </w:p>
    <w:p w14:paraId="42C4BB38" w14:textId="54DAA895" w:rsidR="0079093C" w:rsidRDefault="0079093C" w:rsidP="00844958">
      <w:pPr>
        <w:numPr>
          <w:ilvl w:val="0"/>
          <w:numId w:val="8"/>
        </w:numPr>
        <w:spacing w:line="360" w:lineRule="auto"/>
        <w:jc w:val="both"/>
        <w:rPr>
          <w:rFonts w:ascii="Arial" w:hAnsi="Arial" w:cs="Arial"/>
        </w:rPr>
      </w:pPr>
      <w:r w:rsidRPr="0079093C">
        <w:rPr>
          <w:rFonts w:ascii="Arial" w:hAnsi="Arial" w:cs="Arial"/>
        </w:rPr>
        <w:t xml:space="preserve">Deloitte. (2023). 'Global Hospitality Industry Outlook'. Available at: </w:t>
      </w:r>
      <w:hyperlink r:id="rId7" w:history="1">
        <w:r w:rsidRPr="0079093C">
          <w:rPr>
            <w:rStyle w:val="Hyperlink"/>
            <w:rFonts w:ascii="Arial" w:hAnsi="Arial" w:cs="Arial"/>
          </w:rPr>
          <w:t>https://www2.deloitte.com/us/en/pages/consumer-business/topics/hospitality-perspectives-insights-analysis.html</w:t>
        </w:r>
      </w:hyperlink>
      <w:r w:rsidRPr="0079093C">
        <w:rPr>
          <w:rFonts w:ascii="Arial" w:hAnsi="Arial" w:cs="Arial"/>
        </w:rPr>
        <w:t xml:space="preserve"> (Accessed: 27 October 2024). </w:t>
      </w:r>
    </w:p>
    <w:p w14:paraId="644B75F8" w14:textId="01BF4B0B"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Hilton Worldwide Holdings Inc. (2021). </w:t>
      </w:r>
      <w:r w:rsidRPr="00844958">
        <w:rPr>
          <w:rFonts w:ascii="Arial" w:hAnsi="Arial" w:cs="Arial"/>
          <w:i/>
          <w:iCs/>
        </w:rPr>
        <w:t>Annual Report 2020</w:t>
      </w:r>
      <w:r w:rsidRPr="00844958">
        <w:rPr>
          <w:rFonts w:ascii="Arial" w:hAnsi="Arial" w:cs="Arial"/>
        </w:rPr>
        <w:t xml:space="preserve">. Available at: </w:t>
      </w:r>
      <w:hyperlink r:id="rId8" w:history="1">
        <w:r w:rsidRPr="00844958">
          <w:rPr>
            <w:rStyle w:val="Hyperlink"/>
            <w:rFonts w:ascii="Arial" w:hAnsi="Arial" w:cs="Arial"/>
          </w:rPr>
          <w:t>https://ir.hilton.com/financial-reporting/annual-reports</w:t>
        </w:r>
      </w:hyperlink>
      <w:r w:rsidRPr="00844958">
        <w:rPr>
          <w:rFonts w:ascii="Arial" w:hAnsi="Arial" w:cs="Arial"/>
        </w:rPr>
        <w:t xml:space="preserve"> (Accessed: 18 October 2024).</w:t>
      </w:r>
    </w:p>
    <w:p w14:paraId="3DF9A680" w14:textId="62560FC0"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Hilton Worldwide Holdings Inc. (2022). </w:t>
      </w:r>
      <w:r w:rsidRPr="00844958">
        <w:rPr>
          <w:rFonts w:ascii="Arial" w:hAnsi="Arial" w:cs="Arial"/>
          <w:i/>
          <w:iCs/>
        </w:rPr>
        <w:t>Annual Report 2021</w:t>
      </w:r>
      <w:r w:rsidRPr="00844958">
        <w:rPr>
          <w:rFonts w:ascii="Arial" w:hAnsi="Arial" w:cs="Arial"/>
        </w:rPr>
        <w:t xml:space="preserve">. Available at: </w:t>
      </w:r>
      <w:hyperlink r:id="rId9" w:history="1">
        <w:r w:rsidRPr="00844958">
          <w:rPr>
            <w:rStyle w:val="Hyperlink"/>
            <w:rFonts w:ascii="Arial" w:hAnsi="Arial" w:cs="Arial"/>
          </w:rPr>
          <w:t>https://ir.hilton.com/financial-reporting/annual-reports</w:t>
        </w:r>
      </w:hyperlink>
      <w:r w:rsidRPr="00844958">
        <w:rPr>
          <w:rFonts w:ascii="Arial" w:hAnsi="Arial" w:cs="Arial"/>
        </w:rPr>
        <w:t xml:space="preserve"> (Accessed: 21 October 2024).</w:t>
      </w:r>
    </w:p>
    <w:p w14:paraId="2D755C8F" w14:textId="07BDEA30"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Hilton Worldwide Holdings Inc. (2023). </w:t>
      </w:r>
      <w:r w:rsidRPr="00844958">
        <w:rPr>
          <w:rFonts w:ascii="Arial" w:hAnsi="Arial" w:cs="Arial"/>
          <w:i/>
          <w:iCs/>
        </w:rPr>
        <w:t>Annual Report 2022</w:t>
      </w:r>
      <w:r w:rsidRPr="00844958">
        <w:rPr>
          <w:rFonts w:ascii="Arial" w:hAnsi="Arial" w:cs="Arial"/>
        </w:rPr>
        <w:t xml:space="preserve">. Available at: </w:t>
      </w:r>
      <w:hyperlink r:id="rId10" w:history="1">
        <w:r w:rsidRPr="00844958">
          <w:rPr>
            <w:rStyle w:val="Hyperlink"/>
            <w:rFonts w:ascii="Arial" w:hAnsi="Arial" w:cs="Arial"/>
          </w:rPr>
          <w:t>https://ir.hilton.com/financial-reporting/annual-reports</w:t>
        </w:r>
      </w:hyperlink>
      <w:r w:rsidRPr="00844958">
        <w:rPr>
          <w:rFonts w:ascii="Arial" w:hAnsi="Arial" w:cs="Arial"/>
        </w:rPr>
        <w:t xml:space="preserve"> (Accessed: 25 October 2024).</w:t>
      </w:r>
    </w:p>
    <w:p w14:paraId="0A6CAE8C" w14:textId="38D70152"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Hilton Worldwide Holdings Inc. (2023). 'Hilton Global Responsibility Report 2022'. Available at: </w:t>
      </w:r>
      <w:hyperlink r:id="rId11" w:history="1">
        <w:r w:rsidRPr="00844958">
          <w:rPr>
            <w:rStyle w:val="Hyperlink"/>
            <w:rFonts w:ascii="Arial" w:hAnsi="Arial" w:cs="Arial"/>
          </w:rPr>
          <w:t>https://</w:t>
        </w:r>
        <w:r w:rsidRPr="00FD3420">
          <w:rPr>
            <w:rStyle w:val="Hyperlink"/>
            <w:rFonts w:ascii="Arial" w:hAnsi="Arial" w:cs="Arial"/>
          </w:rPr>
          <w:t>i</w:t>
        </w:r>
        <w:r w:rsidRPr="00844958">
          <w:rPr>
            <w:rStyle w:val="Hyperlink"/>
            <w:rFonts w:ascii="Arial" w:hAnsi="Arial" w:cs="Arial"/>
          </w:rPr>
          <w:t>r.hilton.com/wp-content/uploads/2023/06/Hilton-2022-ESG-Report.pdf</w:t>
        </w:r>
      </w:hyperlink>
      <w:r w:rsidRPr="00844958">
        <w:rPr>
          <w:rFonts w:ascii="Arial" w:hAnsi="Arial" w:cs="Arial"/>
        </w:rPr>
        <w:t xml:space="preserve"> (Accessed: 22 October 2024).</w:t>
      </w:r>
    </w:p>
    <w:p w14:paraId="0670E71C" w14:textId="650B274F"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Hilton Worldwide Holdings Inc. (2023). 'Hilton Reports First Quarter Results; Raises Full Year Outlook 2023'. Available at</w:t>
      </w:r>
      <w:hyperlink r:id="rId12" w:history="1">
        <w:r w:rsidRPr="00844958">
          <w:rPr>
            <w:rStyle w:val="Hyperlink"/>
            <w:rFonts w:ascii="Arial" w:hAnsi="Arial" w:cs="Arial"/>
          </w:rPr>
          <w:t>: https://ir.hilton.com/news/hilton-reports-first-quarter-results-raises-full-year-outlook</w:t>
        </w:r>
      </w:hyperlink>
      <w:r w:rsidRPr="00844958">
        <w:rPr>
          <w:rFonts w:ascii="Arial" w:hAnsi="Arial" w:cs="Arial"/>
        </w:rPr>
        <w:t xml:space="preserve"> (Accessed: 30 October 2024).</w:t>
      </w:r>
    </w:p>
    <w:p w14:paraId="345EE421" w14:textId="1C47A592"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Hilton Worldwide Holdings Inc. (2023). 'Hilton Reports Second Quarter Results; Raises Full Year Outlook'. Available at: </w:t>
      </w:r>
      <w:hyperlink r:id="rId13" w:history="1">
        <w:r w:rsidR="0079093C" w:rsidRPr="0079093C">
          <w:rPr>
            <w:rStyle w:val="Hyperlink"/>
            <w:rFonts w:ascii="Arial" w:hAnsi="Arial" w:cs="Arial"/>
          </w:rPr>
          <w:t>https://esg.hilton.com/our-reporting/</w:t>
        </w:r>
      </w:hyperlink>
      <w:r w:rsidRPr="00844958">
        <w:rPr>
          <w:rFonts w:ascii="Arial" w:hAnsi="Arial" w:cs="Arial"/>
        </w:rPr>
        <w:t xml:space="preserve"> (Accessed: 17 October 2024).</w:t>
      </w:r>
    </w:p>
    <w:p w14:paraId="3762A05A" w14:textId="7777777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Jones, P. (2023). 'Hospitality Industry Recovery and Trends', </w:t>
      </w:r>
      <w:r w:rsidRPr="00844958">
        <w:rPr>
          <w:rFonts w:ascii="Arial" w:hAnsi="Arial" w:cs="Arial"/>
          <w:i/>
          <w:iCs/>
        </w:rPr>
        <w:t>Journal of Hospitality and Tourism</w:t>
      </w:r>
      <w:r w:rsidRPr="00844958">
        <w:rPr>
          <w:rFonts w:ascii="Arial" w:hAnsi="Arial" w:cs="Arial"/>
        </w:rPr>
        <w:t>, 15(2), pp. 112-130.</w:t>
      </w:r>
    </w:p>
    <w:p w14:paraId="5DAE78C8" w14:textId="0E5D73A8"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KPMG. (2023). 'Hospitality Sector ESG Report'. Available at: </w:t>
      </w:r>
      <w:hyperlink r:id="rId14" w:history="1">
        <w:r w:rsidR="0079093C" w:rsidRPr="0079093C">
          <w:rPr>
            <w:rStyle w:val="Hyperlink"/>
            <w:rFonts w:ascii="Arial" w:hAnsi="Arial" w:cs="Arial"/>
          </w:rPr>
          <w:t>https://kpmg.com/xx/en/about/kpmg-international-hotline.html</w:t>
        </w:r>
      </w:hyperlink>
      <w:r w:rsidRPr="00844958">
        <w:rPr>
          <w:rFonts w:ascii="Arial" w:hAnsi="Arial" w:cs="Arial"/>
        </w:rPr>
        <w:t xml:space="preserve"> (Accessed: 29 October 2024).</w:t>
      </w:r>
    </w:p>
    <w:p w14:paraId="095C7391" w14:textId="7777777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Marriott International. (2021). </w:t>
      </w:r>
      <w:r w:rsidRPr="00844958">
        <w:rPr>
          <w:rFonts w:ascii="Arial" w:hAnsi="Arial" w:cs="Arial"/>
          <w:i/>
          <w:iCs/>
        </w:rPr>
        <w:t>Annual Report 2020</w:t>
      </w:r>
      <w:r w:rsidRPr="00844958">
        <w:rPr>
          <w:rFonts w:ascii="Arial" w:hAnsi="Arial" w:cs="Arial"/>
        </w:rPr>
        <w:t xml:space="preserve">. Available at: </w:t>
      </w:r>
      <w:hyperlink r:id="rId15" w:tgtFrame="_new" w:history="1">
        <w:r w:rsidRPr="00844958">
          <w:rPr>
            <w:rStyle w:val="Hyperlink"/>
            <w:rFonts w:ascii="Arial" w:hAnsi="Arial" w:cs="Arial"/>
          </w:rPr>
          <w:t>https://marriott.gcs-web.com/annual</w:t>
        </w:r>
      </w:hyperlink>
      <w:r w:rsidRPr="00844958">
        <w:rPr>
          <w:rFonts w:ascii="Arial" w:hAnsi="Arial" w:cs="Arial"/>
        </w:rPr>
        <w:t xml:space="preserve"> (Accessed: 24 October 2024).</w:t>
      </w:r>
    </w:p>
    <w:p w14:paraId="3ACA2C29" w14:textId="7777777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lastRenderedPageBreak/>
        <w:t xml:space="preserve">Marriott International. (2022). </w:t>
      </w:r>
      <w:r w:rsidRPr="00844958">
        <w:rPr>
          <w:rFonts w:ascii="Arial" w:hAnsi="Arial" w:cs="Arial"/>
          <w:i/>
          <w:iCs/>
        </w:rPr>
        <w:t>Annual Report 2021</w:t>
      </w:r>
      <w:r w:rsidRPr="00844958">
        <w:rPr>
          <w:rFonts w:ascii="Arial" w:hAnsi="Arial" w:cs="Arial"/>
        </w:rPr>
        <w:t xml:space="preserve">. Available at: </w:t>
      </w:r>
      <w:hyperlink r:id="rId16" w:tgtFrame="_new" w:history="1">
        <w:r w:rsidRPr="00844958">
          <w:rPr>
            <w:rStyle w:val="Hyperlink"/>
            <w:rFonts w:ascii="Arial" w:hAnsi="Arial" w:cs="Arial"/>
          </w:rPr>
          <w:t>https://marriott.gcs-web.com/annual</w:t>
        </w:r>
      </w:hyperlink>
      <w:r w:rsidRPr="00844958">
        <w:rPr>
          <w:rFonts w:ascii="Arial" w:hAnsi="Arial" w:cs="Arial"/>
        </w:rPr>
        <w:t xml:space="preserve"> (Accessed: 29 October 2024).</w:t>
      </w:r>
    </w:p>
    <w:p w14:paraId="790CFA5B" w14:textId="7777777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Marriott International. (2023). </w:t>
      </w:r>
      <w:r w:rsidRPr="00844958">
        <w:rPr>
          <w:rFonts w:ascii="Arial" w:hAnsi="Arial" w:cs="Arial"/>
          <w:i/>
          <w:iCs/>
        </w:rPr>
        <w:t>Annual Report 2022</w:t>
      </w:r>
      <w:r w:rsidRPr="00844958">
        <w:rPr>
          <w:rFonts w:ascii="Arial" w:hAnsi="Arial" w:cs="Arial"/>
        </w:rPr>
        <w:t xml:space="preserve">. Available at: </w:t>
      </w:r>
      <w:hyperlink r:id="rId17" w:tgtFrame="_new" w:history="1">
        <w:r w:rsidRPr="00844958">
          <w:rPr>
            <w:rStyle w:val="Hyperlink"/>
            <w:rFonts w:ascii="Arial" w:hAnsi="Arial" w:cs="Arial"/>
          </w:rPr>
          <w:t>https://marriott.gcs-web.com/annual</w:t>
        </w:r>
      </w:hyperlink>
      <w:r w:rsidRPr="00844958">
        <w:rPr>
          <w:rFonts w:ascii="Arial" w:hAnsi="Arial" w:cs="Arial"/>
        </w:rPr>
        <w:t xml:space="preserve"> (Accessed: 16 October 2024).</w:t>
      </w:r>
    </w:p>
    <w:p w14:paraId="01ED709F" w14:textId="7777777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Marriott International. (2023). 'Marriott International Releases Annual Serve 360 Report'. Available at: </w:t>
      </w:r>
      <w:hyperlink r:id="rId18" w:tgtFrame="_new" w:history="1">
        <w:r w:rsidRPr="00844958">
          <w:rPr>
            <w:rStyle w:val="Hyperlink"/>
            <w:rFonts w:ascii="Arial" w:hAnsi="Arial" w:cs="Arial"/>
          </w:rPr>
          <w:t>https://news.marriott.com/news/2023/07/12/marriott-international-releases-annual-serve-360-report</w:t>
        </w:r>
      </w:hyperlink>
      <w:r w:rsidRPr="00844958">
        <w:rPr>
          <w:rFonts w:ascii="Arial" w:hAnsi="Arial" w:cs="Arial"/>
        </w:rPr>
        <w:t xml:space="preserve"> (Accessed: 15 October 2024).</w:t>
      </w:r>
    </w:p>
    <w:p w14:paraId="0D06251C" w14:textId="7777777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Marriott International. (2023). 'Marriott International Reports First Quarter 2023 Results and Raises Full-Year Outlook'. Available at: </w:t>
      </w:r>
      <w:hyperlink r:id="rId19" w:tgtFrame="_new" w:history="1">
        <w:r w:rsidRPr="00844958">
          <w:rPr>
            <w:rStyle w:val="Hyperlink"/>
            <w:rFonts w:ascii="Arial" w:hAnsi="Arial" w:cs="Arial"/>
          </w:rPr>
          <w:t>https://news.marriott.com/news/2023/05/02/marriott-international-reports-first-quarter-2023-results-and-raises-full-year-outlook</w:t>
        </w:r>
      </w:hyperlink>
      <w:r w:rsidRPr="00844958">
        <w:rPr>
          <w:rFonts w:ascii="Arial" w:hAnsi="Arial" w:cs="Arial"/>
        </w:rPr>
        <w:t xml:space="preserve"> (Accessed: 31 October 2024).</w:t>
      </w:r>
    </w:p>
    <w:p w14:paraId="3FCA5022" w14:textId="7777777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Marriott International. (2023). 'Marriott International Reports Second Quarter 2023 Results and Raises Full-Year Outlook'. Available at: </w:t>
      </w:r>
      <w:hyperlink r:id="rId20" w:tgtFrame="_new" w:history="1">
        <w:r w:rsidRPr="00844958">
          <w:rPr>
            <w:rStyle w:val="Hyperlink"/>
            <w:rFonts w:ascii="Arial" w:hAnsi="Arial" w:cs="Arial"/>
          </w:rPr>
          <w:t>https://news.marriott.com/news/2023/08/01/marriott-international-reports-second-quarter-2023-results-and-raises-full-year-outlook</w:t>
        </w:r>
      </w:hyperlink>
      <w:r w:rsidRPr="00844958">
        <w:rPr>
          <w:rFonts w:ascii="Arial" w:hAnsi="Arial" w:cs="Arial"/>
        </w:rPr>
        <w:t xml:space="preserve"> (Accessed: 20 October 2024).</w:t>
      </w:r>
    </w:p>
    <w:p w14:paraId="4F70F239" w14:textId="77777777" w:rsid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Marriott International. (2023). </w:t>
      </w:r>
      <w:r w:rsidRPr="00844958">
        <w:rPr>
          <w:rFonts w:ascii="Arial" w:hAnsi="Arial" w:cs="Arial"/>
          <w:i/>
          <w:iCs/>
        </w:rPr>
        <w:t>Serve 360 Report 2023</w:t>
      </w:r>
      <w:r w:rsidRPr="00844958">
        <w:rPr>
          <w:rFonts w:ascii="Arial" w:hAnsi="Arial" w:cs="Arial"/>
        </w:rPr>
        <w:t xml:space="preserve">. Available at: </w:t>
      </w:r>
      <w:hyperlink r:id="rId21" w:tgtFrame="_new" w:history="1">
        <w:r w:rsidRPr="00844958">
          <w:rPr>
            <w:rStyle w:val="Hyperlink"/>
            <w:rFonts w:ascii="Arial" w:hAnsi="Arial" w:cs="Arial"/>
          </w:rPr>
          <w:t>https://serve360.marriott.com/wp-content/uploads/2023/06/Marriott-2023-Serve-360-ESG-Report-accessible.pdf</w:t>
        </w:r>
      </w:hyperlink>
      <w:r w:rsidRPr="00844958">
        <w:rPr>
          <w:rFonts w:ascii="Arial" w:hAnsi="Arial" w:cs="Arial"/>
        </w:rPr>
        <w:t xml:space="preserve"> (Accessed: 1 November 2024).</w:t>
      </w:r>
    </w:p>
    <w:p w14:paraId="7D176D7C" w14:textId="5A5902DA" w:rsidR="0079093C" w:rsidRPr="00844958" w:rsidRDefault="0079093C" w:rsidP="00844958">
      <w:pPr>
        <w:numPr>
          <w:ilvl w:val="0"/>
          <w:numId w:val="8"/>
        </w:numPr>
        <w:spacing w:line="360" w:lineRule="auto"/>
        <w:jc w:val="both"/>
        <w:rPr>
          <w:rFonts w:ascii="Arial" w:hAnsi="Arial" w:cs="Arial"/>
        </w:rPr>
      </w:pPr>
      <w:r w:rsidRPr="0079093C">
        <w:rPr>
          <w:rFonts w:ascii="Arial" w:hAnsi="Arial" w:cs="Arial"/>
        </w:rPr>
        <w:t xml:space="preserve">Sann, R., Lai, P.C., &amp; Liaw, S.Y. (2024). 'Prospective for tourism and hospitality industry: an integrative review on COVID-19’s impacts', </w:t>
      </w:r>
      <w:r w:rsidRPr="0079093C">
        <w:rPr>
          <w:rFonts w:ascii="Arial" w:hAnsi="Arial" w:cs="Arial"/>
          <w:i/>
          <w:iCs/>
        </w:rPr>
        <w:t>Cogent Business &amp; Management</w:t>
      </w:r>
      <w:r w:rsidRPr="0079093C">
        <w:rPr>
          <w:rFonts w:ascii="Arial" w:hAnsi="Arial" w:cs="Arial"/>
        </w:rPr>
        <w:t xml:space="preserve">, 11(1). Available at: </w:t>
      </w:r>
      <w:hyperlink r:id="rId22" w:tgtFrame="_new" w:history="1">
        <w:r w:rsidRPr="0079093C">
          <w:rPr>
            <w:rStyle w:val="Hyperlink"/>
            <w:rFonts w:ascii="Arial" w:hAnsi="Arial" w:cs="Arial"/>
          </w:rPr>
          <w:t>https://doi.org/10.1080/23311975.2024.2414854</w:t>
        </w:r>
      </w:hyperlink>
      <w:r w:rsidRPr="0079093C">
        <w:rPr>
          <w:rFonts w:ascii="Arial" w:hAnsi="Arial" w:cs="Arial"/>
        </w:rPr>
        <w:t xml:space="preserve"> (Accessed: 25 October 2024).</w:t>
      </w:r>
    </w:p>
    <w:p w14:paraId="6D5C7672" w14:textId="7777777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Smith, R. (2023). 'Efficiency in the Hotel Industry: Comparative Study of Leading Brands', </w:t>
      </w:r>
      <w:r w:rsidRPr="00844958">
        <w:rPr>
          <w:rFonts w:ascii="Arial" w:hAnsi="Arial" w:cs="Arial"/>
          <w:i/>
          <w:iCs/>
        </w:rPr>
        <w:t>Tourism Economics Journal</w:t>
      </w:r>
      <w:r w:rsidRPr="00844958">
        <w:rPr>
          <w:rFonts w:ascii="Arial" w:hAnsi="Arial" w:cs="Arial"/>
        </w:rPr>
        <w:t>, 12(4), pp. 245-260.</w:t>
      </w:r>
    </w:p>
    <w:p w14:paraId="0F38E1A3" w14:textId="6F6555D7"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Statista. (2023). 'Revenue of the Global Hotel Industry from 2010 to 2023'. Available at: </w:t>
      </w:r>
      <w:hyperlink r:id="rId23" w:history="1">
        <w:r w:rsidRPr="00844958">
          <w:rPr>
            <w:rStyle w:val="Hyperlink"/>
            <w:rFonts w:ascii="Arial" w:hAnsi="Arial" w:cs="Arial"/>
          </w:rPr>
          <w:t>https://www.statista.com/statistics/247264/total-revenue-of-the-global-hotel-industry/</w:t>
        </w:r>
      </w:hyperlink>
      <w:r w:rsidRPr="00844958">
        <w:rPr>
          <w:rFonts w:ascii="Arial" w:hAnsi="Arial" w:cs="Arial"/>
        </w:rPr>
        <w:t xml:space="preserve"> (Accessed: 26 October 2024).</w:t>
      </w:r>
    </w:p>
    <w:p w14:paraId="1434E530" w14:textId="2AC87C9A" w:rsidR="00844958" w:rsidRPr="00844958" w:rsidRDefault="00844958" w:rsidP="00844958">
      <w:pPr>
        <w:numPr>
          <w:ilvl w:val="0"/>
          <w:numId w:val="8"/>
        </w:numPr>
        <w:spacing w:line="360" w:lineRule="auto"/>
        <w:jc w:val="both"/>
        <w:rPr>
          <w:rFonts w:ascii="Arial" w:hAnsi="Arial" w:cs="Arial"/>
        </w:rPr>
      </w:pPr>
      <w:r w:rsidRPr="00844958">
        <w:rPr>
          <w:rFonts w:ascii="Arial" w:hAnsi="Arial" w:cs="Arial"/>
        </w:rPr>
        <w:lastRenderedPageBreak/>
        <w:t xml:space="preserve">World Travel &amp; Tourism Council. (2023). 'Economic Impact Reports'. Available at: </w:t>
      </w:r>
      <w:hyperlink r:id="rId24" w:history="1">
        <w:r w:rsidRPr="00844958">
          <w:rPr>
            <w:rStyle w:val="Hyperlink"/>
            <w:rFonts w:ascii="Arial" w:hAnsi="Arial" w:cs="Arial"/>
          </w:rPr>
          <w:t>https://wttc.org/Research/Economic-Impact</w:t>
        </w:r>
      </w:hyperlink>
      <w:r w:rsidRPr="00844958">
        <w:rPr>
          <w:rFonts w:ascii="Arial" w:hAnsi="Arial" w:cs="Arial"/>
        </w:rPr>
        <w:t xml:space="preserve"> (Accessed: 23 October 2024).</w:t>
      </w:r>
    </w:p>
    <w:p w14:paraId="4C49140A" w14:textId="0B9159AF" w:rsidR="00844958" w:rsidRDefault="00844958" w:rsidP="00844958">
      <w:pPr>
        <w:numPr>
          <w:ilvl w:val="0"/>
          <w:numId w:val="8"/>
        </w:numPr>
        <w:spacing w:line="360" w:lineRule="auto"/>
        <w:jc w:val="both"/>
        <w:rPr>
          <w:rFonts w:ascii="Arial" w:hAnsi="Arial" w:cs="Arial"/>
        </w:rPr>
      </w:pPr>
      <w:r w:rsidRPr="00844958">
        <w:rPr>
          <w:rFonts w:ascii="Arial" w:hAnsi="Arial" w:cs="Arial"/>
        </w:rPr>
        <w:t xml:space="preserve">World Travel &amp; Tourism Council. (2023). 'Sector Recovery Insights'. Available at: </w:t>
      </w:r>
      <w:hyperlink r:id="rId25" w:history="1">
        <w:r w:rsidRPr="00844958">
          <w:rPr>
            <w:rStyle w:val="Hyperlink"/>
            <w:rFonts w:ascii="Arial" w:hAnsi="Arial" w:cs="Arial"/>
          </w:rPr>
          <w:t>https://wttc.org/Research</w:t>
        </w:r>
      </w:hyperlink>
      <w:r w:rsidRPr="00844958">
        <w:rPr>
          <w:rFonts w:ascii="Arial" w:hAnsi="Arial" w:cs="Arial"/>
        </w:rPr>
        <w:t xml:space="preserve"> (Accessed: 28 October 2024).</w:t>
      </w:r>
    </w:p>
    <w:p w14:paraId="156B9300" w14:textId="3F5F6103" w:rsidR="00724835" w:rsidRPr="00844958" w:rsidRDefault="00724835" w:rsidP="00724835">
      <w:pPr>
        <w:spacing w:line="360" w:lineRule="auto"/>
        <w:ind w:left="720"/>
        <w:jc w:val="both"/>
        <w:rPr>
          <w:rFonts w:ascii="Arial" w:hAnsi="Arial" w:cs="Arial"/>
        </w:rPr>
      </w:pPr>
      <w:r>
        <w:rPr>
          <w:rFonts w:ascii="Arial" w:hAnsi="Arial" w:cs="Arial"/>
        </w:rPr>
        <w:t>AI was not used in this work.</w:t>
      </w:r>
    </w:p>
    <w:p w14:paraId="45768800" w14:textId="77777777" w:rsidR="00844958" w:rsidRPr="0071458D" w:rsidRDefault="00844958" w:rsidP="0071458D">
      <w:pPr>
        <w:spacing w:line="360" w:lineRule="auto"/>
        <w:jc w:val="both"/>
        <w:rPr>
          <w:rFonts w:ascii="Arial" w:hAnsi="Arial" w:cs="Arial"/>
        </w:rPr>
      </w:pPr>
    </w:p>
    <w:sectPr w:rsidR="00844958" w:rsidRPr="0071458D">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B5243" w14:textId="77777777" w:rsidR="00A24671" w:rsidRDefault="00A24671" w:rsidP="0071458D">
      <w:pPr>
        <w:spacing w:after="0" w:line="240" w:lineRule="auto"/>
      </w:pPr>
      <w:r>
        <w:separator/>
      </w:r>
    </w:p>
  </w:endnote>
  <w:endnote w:type="continuationSeparator" w:id="0">
    <w:p w14:paraId="43405A2A" w14:textId="77777777" w:rsidR="00A24671" w:rsidRDefault="00A24671" w:rsidP="00714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0612417"/>
      <w:docPartObj>
        <w:docPartGallery w:val="Page Numbers (Bottom of Page)"/>
        <w:docPartUnique/>
      </w:docPartObj>
    </w:sdtPr>
    <w:sdtEndPr>
      <w:rPr>
        <w:noProof/>
      </w:rPr>
    </w:sdtEndPr>
    <w:sdtContent>
      <w:p w14:paraId="7B808FED" w14:textId="457A3F4E" w:rsidR="0071458D" w:rsidRDefault="0071458D">
        <w:pPr>
          <w:pStyle w:val="Footer"/>
        </w:pPr>
        <w:r>
          <w:fldChar w:fldCharType="begin"/>
        </w:r>
        <w:r>
          <w:instrText xml:space="preserve"> PAGE   \* MERGEFORMAT </w:instrText>
        </w:r>
        <w:r>
          <w:fldChar w:fldCharType="separate"/>
        </w:r>
        <w:r>
          <w:rPr>
            <w:noProof/>
          </w:rPr>
          <w:t>2</w:t>
        </w:r>
        <w:r>
          <w:rPr>
            <w:noProof/>
          </w:rPr>
          <w:fldChar w:fldCharType="end"/>
        </w:r>
      </w:p>
    </w:sdtContent>
  </w:sdt>
  <w:p w14:paraId="0257E24E" w14:textId="77777777" w:rsidR="0071458D" w:rsidRDefault="00714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4B8B57" w14:textId="77777777" w:rsidR="00A24671" w:rsidRDefault="00A24671" w:rsidP="0071458D">
      <w:pPr>
        <w:spacing w:after="0" w:line="240" w:lineRule="auto"/>
      </w:pPr>
      <w:r>
        <w:separator/>
      </w:r>
    </w:p>
  </w:footnote>
  <w:footnote w:type="continuationSeparator" w:id="0">
    <w:p w14:paraId="451598E2" w14:textId="77777777" w:rsidR="00A24671" w:rsidRDefault="00A24671" w:rsidP="00714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E6180" w14:textId="77777777" w:rsidR="0071458D" w:rsidRDefault="007145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83F49"/>
    <w:multiLevelType w:val="multilevel"/>
    <w:tmpl w:val="05DAD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2254A"/>
    <w:multiLevelType w:val="multilevel"/>
    <w:tmpl w:val="A31E5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A26C7B"/>
    <w:multiLevelType w:val="multilevel"/>
    <w:tmpl w:val="E1D2CA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86682E"/>
    <w:multiLevelType w:val="multilevel"/>
    <w:tmpl w:val="FBEE6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8C31C5"/>
    <w:multiLevelType w:val="multilevel"/>
    <w:tmpl w:val="0F48A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211451"/>
    <w:multiLevelType w:val="multilevel"/>
    <w:tmpl w:val="12DA87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38155F"/>
    <w:multiLevelType w:val="multilevel"/>
    <w:tmpl w:val="3D58E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3240F9"/>
    <w:multiLevelType w:val="multilevel"/>
    <w:tmpl w:val="A31CE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3188983">
    <w:abstractNumId w:val="5"/>
  </w:num>
  <w:num w:numId="2" w16cid:durableId="1436903872">
    <w:abstractNumId w:val="1"/>
  </w:num>
  <w:num w:numId="3" w16cid:durableId="745224041">
    <w:abstractNumId w:val="4"/>
  </w:num>
  <w:num w:numId="4" w16cid:durableId="842163551">
    <w:abstractNumId w:val="7"/>
  </w:num>
  <w:num w:numId="5" w16cid:durableId="482812582">
    <w:abstractNumId w:val="2"/>
  </w:num>
  <w:num w:numId="6" w16cid:durableId="2104371507">
    <w:abstractNumId w:val="6"/>
  </w:num>
  <w:num w:numId="7" w16cid:durableId="377628433">
    <w:abstractNumId w:val="0"/>
  </w:num>
  <w:num w:numId="8" w16cid:durableId="275525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7EA"/>
    <w:rsid w:val="00001CEC"/>
    <w:rsid w:val="005A57EA"/>
    <w:rsid w:val="0071458D"/>
    <w:rsid w:val="00724835"/>
    <w:rsid w:val="0079093C"/>
    <w:rsid w:val="00831A7F"/>
    <w:rsid w:val="00844958"/>
    <w:rsid w:val="008D1AE8"/>
    <w:rsid w:val="00A24671"/>
    <w:rsid w:val="00A82AB0"/>
    <w:rsid w:val="00BC21FB"/>
    <w:rsid w:val="00CB2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F98D"/>
  <w15:chartTrackingRefBased/>
  <w15:docId w15:val="{C2DDE4FB-BA93-47FB-B258-EC22B63FA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7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57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57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57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57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57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7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7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7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7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57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57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57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57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5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5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5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57EA"/>
    <w:rPr>
      <w:rFonts w:eastAsiaTheme="majorEastAsia" w:cstheme="majorBidi"/>
      <w:color w:val="272727" w:themeColor="text1" w:themeTint="D8"/>
    </w:rPr>
  </w:style>
  <w:style w:type="paragraph" w:styleId="Title">
    <w:name w:val="Title"/>
    <w:basedOn w:val="Normal"/>
    <w:next w:val="Normal"/>
    <w:link w:val="TitleChar"/>
    <w:uiPriority w:val="10"/>
    <w:qFormat/>
    <w:rsid w:val="005A57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7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7EA"/>
    <w:pPr>
      <w:spacing w:before="160"/>
      <w:jc w:val="center"/>
    </w:pPr>
    <w:rPr>
      <w:i/>
      <w:iCs/>
      <w:color w:val="404040" w:themeColor="text1" w:themeTint="BF"/>
    </w:rPr>
  </w:style>
  <w:style w:type="character" w:customStyle="1" w:styleId="QuoteChar">
    <w:name w:val="Quote Char"/>
    <w:basedOn w:val="DefaultParagraphFont"/>
    <w:link w:val="Quote"/>
    <w:uiPriority w:val="29"/>
    <w:rsid w:val="005A57EA"/>
    <w:rPr>
      <w:i/>
      <w:iCs/>
      <w:color w:val="404040" w:themeColor="text1" w:themeTint="BF"/>
    </w:rPr>
  </w:style>
  <w:style w:type="paragraph" w:styleId="ListParagraph">
    <w:name w:val="List Paragraph"/>
    <w:basedOn w:val="Normal"/>
    <w:uiPriority w:val="34"/>
    <w:qFormat/>
    <w:rsid w:val="005A57EA"/>
    <w:pPr>
      <w:ind w:left="720"/>
      <w:contextualSpacing/>
    </w:pPr>
  </w:style>
  <w:style w:type="character" w:styleId="IntenseEmphasis">
    <w:name w:val="Intense Emphasis"/>
    <w:basedOn w:val="DefaultParagraphFont"/>
    <w:uiPriority w:val="21"/>
    <w:qFormat/>
    <w:rsid w:val="005A57EA"/>
    <w:rPr>
      <w:i/>
      <w:iCs/>
      <w:color w:val="0F4761" w:themeColor="accent1" w:themeShade="BF"/>
    </w:rPr>
  </w:style>
  <w:style w:type="paragraph" w:styleId="IntenseQuote">
    <w:name w:val="Intense Quote"/>
    <w:basedOn w:val="Normal"/>
    <w:next w:val="Normal"/>
    <w:link w:val="IntenseQuoteChar"/>
    <w:uiPriority w:val="30"/>
    <w:qFormat/>
    <w:rsid w:val="005A57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57EA"/>
    <w:rPr>
      <w:i/>
      <w:iCs/>
      <w:color w:val="0F4761" w:themeColor="accent1" w:themeShade="BF"/>
    </w:rPr>
  </w:style>
  <w:style w:type="character" w:styleId="IntenseReference">
    <w:name w:val="Intense Reference"/>
    <w:basedOn w:val="DefaultParagraphFont"/>
    <w:uiPriority w:val="32"/>
    <w:qFormat/>
    <w:rsid w:val="005A57EA"/>
    <w:rPr>
      <w:b/>
      <w:bCs/>
      <w:smallCaps/>
      <w:color w:val="0F4761" w:themeColor="accent1" w:themeShade="BF"/>
      <w:spacing w:val="5"/>
    </w:rPr>
  </w:style>
  <w:style w:type="paragraph" w:styleId="Header">
    <w:name w:val="header"/>
    <w:basedOn w:val="Normal"/>
    <w:link w:val="HeaderChar"/>
    <w:uiPriority w:val="99"/>
    <w:unhideWhenUsed/>
    <w:rsid w:val="00714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58D"/>
  </w:style>
  <w:style w:type="paragraph" w:styleId="Footer">
    <w:name w:val="footer"/>
    <w:basedOn w:val="Normal"/>
    <w:link w:val="FooterChar"/>
    <w:uiPriority w:val="99"/>
    <w:unhideWhenUsed/>
    <w:rsid w:val="00714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58D"/>
  </w:style>
  <w:style w:type="paragraph" w:styleId="TOCHeading">
    <w:name w:val="TOC Heading"/>
    <w:basedOn w:val="Heading1"/>
    <w:next w:val="Normal"/>
    <w:uiPriority w:val="39"/>
    <w:unhideWhenUsed/>
    <w:qFormat/>
    <w:rsid w:val="0071458D"/>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844958"/>
    <w:rPr>
      <w:color w:val="467886" w:themeColor="hyperlink"/>
      <w:u w:val="single"/>
    </w:rPr>
  </w:style>
  <w:style w:type="character" w:styleId="UnresolvedMention">
    <w:name w:val="Unresolved Mention"/>
    <w:basedOn w:val="DefaultParagraphFont"/>
    <w:uiPriority w:val="99"/>
    <w:semiHidden/>
    <w:unhideWhenUsed/>
    <w:rsid w:val="00844958"/>
    <w:rPr>
      <w:color w:val="605E5C"/>
      <w:shd w:val="clear" w:color="auto" w:fill="E1DFDD"/>
    </w:rPr>
  </w:style>
  <w:style w:type="character" w:styleId="FollowedHyperlink">
    <w:name w:val="FollowedHyperlink"/>
    <w:basedOn w:val="DefaultParagraphFont"/>
    <w:uiPriority w:val="99"/>
    <w:semiHidden/>
    <w:unhideWhenUsed/>
    <w:rsid w:val="00844958"/>
    <w:rPr>
      <w:color w:val="96607D" w:themeColor="followedHyperlink"/>
      <w:u w:val="single"/>
    </w:rPr>
  </w:style>
  <w:style w:type="paragraph" w:styleId="TOC1">
    <w:name w:val="toc 1"/>
    <w:basedOn w:val="Normal"/>
    <w:next w:val="Normal"/>
    <w:autoRedefine/>
    <w:uiPriority w:val="39"/>
    <w:unhideWhenUsed/>
    <w:rsid w:val="00831A7F"/>
    <w:pPr>
      <w:spacing w:after="100"/>
    </w:pPr>
  </w:style>
  <w:style w:type="paragraph" w:styleId="TOC2">
    <w:name w:val="toc 2"/>
    <w:basedOn w:val="Normal"/>
    <w:next w:val="Normal"/>
    <w:autoRedefine/>
    <w:uiPriority w:val="39"/>
    <w:unhideWhenUsed/>
    <w:rsid w:val="00831A7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521262">
      <w:bodyDiv w:val="1"/>
      <w:marLeft w:val="0"/>
      <w:marRight w:val="0"/>
      <w:marTop w:val="0"/>
      <w:marBottom w:val="0"/>
      <w:divBdr>
        <w:top w:val="none" w:sz="0" w:space="0" w:color="auto"/>
        <w:left w:val="none" w:sz="0" w:space="0" w:color="auto"/>
        <w:bottom w:val="none" w:sz="0" w:space="0" w:color="auto"/>
        <w:right w:val="none" w:sz="0" w:space="0" w:color="auto"/>
      </w:divBdr>
    </w:div>
    <w:div w:id="160585161">
      <w:bodyDiv w:val="1"/>
      <w:marLeft w:val="0"/>
      <w:marRight w:val="0"/>
      <w:marTop w:val="0"/>
      <w:marBottom w:val="0"/>
      <w:divBdr>
        <w:top w:val="none" w:sz="0" w:space="0" w:color="auto"/>
        <w:left w:val="none" w:sz="0" w:space="0" w:color="auto"/>
        <w:bottom w:val="none" w:sz="0" w:space="0" w:color="auto"/>
        <w:right w:val="none" w:sz="0" w:space="0" w:color="auto"/>
      </w:divBdr>
    </w:div>
    <w:div w:id="235366430">
      <w:bodyDiv w:val="1"/>
      <w:marLeft w:val="0"/>
      <w:marRight w:val="0"/>
      <w:marTop w:val="0"/>
      <w:marBottom w:val="0"/>
      <w:divBdr>
        <w:top w:val="none" w:sz="0" w:space="0" w:color="auto"/>
        <w:left w:val="none" w:sz="0" w:space="0" w:color="auto"/>
        <w:bottom w:val="none" w:sz="0" w:space="0" w:color="auto"/>
        <w:right w:val="none" w:sz="0" w:space="0" w:color="auto"/>
      </w:divBdr>
    </w:div>
    <w:div w:id="314653039">
      <w:bodyDiv w:val="1"/>
      <w:marLeft w:val="0"/>
      <w:marRight w:val="0"/>
      <w:marTop w:val="0"/>
      <w:marBottom w:val="0"/>
      <w:divBdr>
        <w:top w:val="none" w:sz="0" w:space="0" w:color="auto"/>
        <w:left w:val="none" w:sz="0" w:space="0" w:color="auto"/>
        <w:bottom w:val="none" w:sz="0" w:space="0" w:color="auto"/>
        <w:right w:val="none" w:sz="0" w:space="0" w:color="auto"/>
      </w:divBdr>
    </w:div>
    <w:div w:id="428892195">
      <w:bodyDiv w:val="1"/>
      <w:marLeft w:val="0"/>
      <w:marRight w:val="0"/>
      <w:marTop w:val="0"/>
      <w:marBottom w:val="0"/>
      <w:divBdr>
        <w:top w:val="none" w:sz="0" w:space="0" w:color="auto"/>
        <w:left w:val="none" w:sz="0" w:space="0" w:color="auto"/>
        <w:bottom w:val="none" w:sz="0" w:space="0" w:color="auto"/>
        <w:right w:val="none" w:sz="0" w:space="0" w:color="auto"/>
      </w:divBdr>
    </w:div>
    <w:div w:id="604460083">
      <w:bodyDiv w:val="1"/>
      <w:marLeft w:val="0"/>
      <w:marRight w:val="0"/>
      <w:marTop w:val="0"/>
      <w:marBottom w:val="0"/>
      <w:divBdr>
        <w:top w:val="none" w:sz="0" w:space="0" w:color="auto"/>
        <w:left w:val="none" w:sz="0" w:space="0" w:color="auto"/>
        <w:bottom w:val="none" w:sz="0" w:space="0" w:color="auto"/>
        <w:right w:val="none" w:sz="0" w:space="0" w:color="auto"/>
      </w:divBdr>
    </w:div>
    <w:div w:id="667749949">
      <w:bodyDiv w:val="1"/>
      <w:marLeft w:val="0"/>
      <w:marRight w:val="0"/>
      <w:marTop w:val="0"/>
      <w:marBottom w:val="0"/>
      <w:divBdr>
        <w:top w:val="none" w:sz="0" w:space="0" w:color="auto"/>
        <w:left w:val="none" w:sz="0" w:space="0" w:color="auto"/>
        <w:bottom w:val="none" w:sz="0" w:space="0" w:color="auto"/>
        <w:right w:val="none" w:sz="0" w:space="0" w:color="auto"/>
      </w:divBdr>
    </w:div>
    <w:div w:id="765150493">
      <w:bodyDiv w:val="1"/>
      <w:marLeft w:val="0"/>
      <w:marRight w:val="0"/>
      <w:marTop w:val="0"/>
      <w:marBottom w:val="0"/>
      <w:divBdr>
        <w:top w:val="none" w:sz="0" w:space="0" w:color="auto"/>
        <w:left w:val="none" w:sz="0" w:space="0" w:color="auto"/>
        <w:bottom w:val="none" w:sz="0" w:space="0" w:color="auto"/>
        <w:right w:val="none" w:sz="0" w:space="0" w:color="auto"/>
      </w:divBdr>
    </w:div>
    <w:div w:id="876816744">
      <w:bodyDiv w:val="1"/>
      <w:marLeft w:val="0"/>
      <w:marRight w:val="0"/>
      <w:marTop w:val="0"/>
      <w:marBottom w:val="0"/>
      <w:divBdr>
        <w:top w:val="none" w:sz="0" w:space="0" w:color="auto"/>
        <w:left w:val="none" w:sz="0" w:space="0" w:color="auto"/>
        <w:bottom w:val="none" w:sz="0" w:space="0" w:color="auto"/>
        <w:right w:val="none" w:sz="0" w:space="0" w:color="auto"/>
      </w:divBdr>
    </w:div>
    <w:div w:id="1050501360">
      <w:bodyDiv w:val="1"/>
      <w:marLeft w:val="0"/>
      <w:marRight w:val="0"/>
      <w:marTop w:val="0"/>
      <w:marBottom w:val="0"/>
      <w:divBdr>
        <w:top w:val="none" w:sz="0" w:space="0" w:color="auto"/>
        <w:left w:val="none" w:sz="0" w:space="0" w:color="auto"/>
        <w:bottom w:val="none" w:sz="0" w:space="0" w:color="auto"/>
        <w:right w:val="none" w:sz="0" w:space="0" w:color="auto"/>
      </w:divBdr>
    </w:div>
    <w:div w:id="1137185239">
      <w:bodyDiv w:val="1"/>
      <w:marLeft w:val="0"/>
      <w:marRight w:val="0"/>
      <w:marTop w:val="0"/>
      <w:marBottom w:val="0"/>
      <w:divBdr>
        <w:top w:val="none" w:sz="0" w:space="0" w:color="auto"/>
        <w:left w:val="none" w:sz="0" w:space="0" w:color="auto"/>
        <w:bottom w:val="none" w:sz="0" w:space="0" w:color="auto"/>
        <w:right w:val="none" w:sz="0" w:space="0" w:color="auto"/>
      </w:divBdr>
    </w:div>
    <w:div w:id="1149708897">
      <w:bodyDiv w:val="1"/>
      <w:marLeft w:val="0"/>
      <w:marRight w:val="0"/>
      <w:marTop w:val="0"/>
      <w:marBottom w:val="0"/>
      <w:divBdr>
        <w:top w:val="none" w:sz="0" w:space="0" w:color="auto"/>
        <w:left w:val="none" w:sz="0" w:space="0" w:color="auto"/>
        <w:bottom w:val="none" w:sz="0" w:space="0" w:color="auto"/>
        <w:right w:val="none" w:sz="0" w:space="0" w:color="auto"/>
      </w:divBdr>
    </w:div>
    <w:div w:id="1170756905">
      <w:bodyDiv w:val="1"/>
      <w:marLeft w:val="0"/>
      <w:marRight w:val="0"/>
      <w:marTop w:val="0"/>
      <w:marBottom w:val="0"/>
      <w:divBdr>
        <w:top w:val="none" w:sz="0" w:space="0" w:color="auto"/>
        <w:left w:val="none" w:sz="0" w:space="0" w:color="auto"/>
        <w:bottom w:val="none" w:sz="0" w:space="0" w:color="auto"/>
        <w:right w:val="none" w:sz="0" w:space="0" w:color="auto"/>
      </w:divBdr>
    </w:div>
    <w:div w:id="1243298295">
      <w:bodyDiv w:val="1"/>
      <w:marLeft w:val="0"/>
      <w:marRight w:val="0"/>
      <w:marTop w:val="0"/>
      <w:marBottom w:val="0"/>
      <w:divBdr>
        <w:top w:val="none" w:sz="0" w:space="0" w:color="auto"/>
        <w:left w:val="none" w:sz="0" w:space="0" w:color="auto"/>
        <w:bottom w:val="none" w:sz="0" w:space="0" w:color="auto"/>
        <w:right w:val="none" w:sz="0" w:space="0" w:color="auto"/>
      </w:divBdr>
    </w:div>
    <w:div w:id="1356535062">
      <w:bodyDiv w:val="1"/>
      <w:marLeft w:val="0"/>
      <w:marRight w:val="0"/>
      <w:marTop w:val="0"/>
      <w:marBottom w:val="0"/>
      <w:divBdr>
        <w:top w:val="none" w:sz="0" w:space="0" w:color="auto"/>
        <w:left w:val="none" w:sz="0" w:space="0" w:color="auto"/>
        <w:bottom w:val="none" w:sz="0" w:space="0" w:color="auto"/>
        <w:right w:val="none" w:sz="0" w:space="0" w:color="auto"/>
      </w:divBdr>
    </w:div>
    <w:div w:id="1365867890">
      <w:bodyDiv w:val="1"/>
      <w:marLeft w:val="0"/>
      <w:marRight w:val="0"/>
      <w:marTop w:val="0"/>
      <w:marBottom w:val="0"/>
      <w:divBdr>
        <w:top w:val="none" w:sz="0" w:space="0" w:color="auto"/>
        <w:left w:val="none" w:sz="0" w:space="0" w:color="auto"/>
        <w:bottom w:val="none" w:sz="0" w:space="0" w:color="auto"/>
        <w:right w:val="none" w:sz="0" w:space="0" w:color="auto"/>
      </w:divBdr>
    </w:div>
    <w:div w:id="1693452550">
      <w:bodyDiv w:val="1"/>
      <w:marLeft w:val="0"/>
      <w:marRight w:val="0"/>
      <w:marTop w:val="0"/>
      <w:marBottom w:val="0"/>
      <w:divBdr>
        <w:top w:val="none" w:sz="0" w:space="0" w:color="auto"/>
        <w:left w:val="none" w:sz="0" w:space="0" w:color="auto"/>
        <w:bottom w:val="none" w:sz="0" w:space="0" w:color="auto"/>
        <w:right w:val="none" w:sz="0" w:space="0" w:color="auto"/>
      </w:divBdr>
    </w:div>
    <w:div w:id="1883512927">
      <w:bodyDiv w:val="1"/>
      <w:marLeft w:val="0"/>
      <w:marRight w:val="0"/>
      <w:marTop w:val="0"/>
      <w:marBottom w:val="0"/>
      <w:divBdr>
        <w:top w:val="none" w:sz="0" w:space="0" w:color="auto"/>
        <w:left w:val="none" w:sz="0" w:space="0" w:color="auto"/>
        <w:bottom w:val="none" w:sz="0" w:space="0" w:color="auto"/>
        <w:right w:val="none" w:sz="0" w:space="0" w:color="auto"/>
      </w:divBdr>
    </w:div>
    <w:div w:id="203464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hilton.com/financial-reporting/annual-reports" TargetMode="External"/><Relationship Id="rId13" Type="http://schemas.openxmlformats.org/officeDocument/2006/relationships/hyperlink" Target="https://esg.hilton.com/our-reporting/%20" TargetMode="External"/><Relationship Id="rId18" Type="http://schemas.openxmlformats.org/officeDocument/2006/relationships/hyperlink" Target="https://news.marriott.com/news/2023/07/12/marriott-international-releases-annual-serve-360-report"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serve360.marriott.com/wp-content/uploads/2023/06/Marriott-2023-Serve-360-ESG-Report-accessible.pdf" TargetMode="External"/><Relationship Id="rId7" Type="http://schemas.openxmlformats.org/officeDocument/2006/relationships/hyperlink" Target="https://www2.deloitte.com/us/en/pages/consumer-business/topics/hospitality-perspectives-insights-analysis.html" TargetMode="External"/><Relationship Id="rId12" Type="http://schemas.openxmlformats.org/officeDocument/2006/relationships/hyperlink" Target="file:///C:\Users\frumu\Desktop\%20https\ir.hilton.com\news\hilton-reports-first-quarter-results-raises-full-year-outlook" TargetMode="External"/><Relationship Id="rId17" Type="http://schemas.openxmlformats.org/officeDocument/2006/relationships/hyperlink" Target="https://marriott.gcs-web.com/annual" TargetMode="External"/><Relationship Id="rId25" Type="http://schemas.openxmlformats.org/officeDocument/2006/relationships/hyperlink" Target="https://wttc.org/Research" TargetMode="External"/><Relationship Id="rId2" Type="http://schemas.openxmlformats.org/officeDocument/2006/relationships/styles" Target="styles.xml"/><Relationship Id="rId16" Type="http://schemas.openxmlformats.org/officeDocument/2006/relationships/hyperlink" Target="https://marriott.gcs-web.com/annual" TargetMode="External"/><Relationship Id="rId20" Type="http://schemas.openxmlformats.org/officeDocument/2006/relationships/hyperlink" Target="https://news.marriott.com/news/2023/08/01/marriott-international-reports-second-quarter-2023-results-and-raises-full-year-outloo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r.hilton.com/wp-content/uploads/2023/06/Hilton-2022-ESG-Report.pdf" TargetMode="External"/><Relationship Id="rId24" Type="http://schemas.openxmlformats.org/officeDocument/2006/relationships/hyperlink" Target="https://wttc.org/Research/Economic-Impact%20" TargetMode="External"/><Relationship Id="rId5" Type="http://schemas.openxmlformats.org/officeDocument/2006/relationships/footnotes" Target="footnotes.xml"/><Relationship Id="rId15" Type="http://schemas.openxmlformats.org/officeDocument/2006/relationships/hyperlink" Target="https://marriott.gcs-web.com/annual" TargetMode="External"/><Relationship Id="rId23" Type="http://schemas.openxmlformats.org/officeDocument/2006/relationships/hyperlink" Target="https://www.statista.com/statistics/247264/total-revenue-of-the-global-hotel-industry/" TargetMode="External"/><Relationship Id="rId28" Type="http://schemas.openxmlformats.org/officeDocument/2006/relationships/fontTable" Target="fontTable.xml"/><Relationship Id="rId10" Type="http://schemas.openxmlformats.org/officeDocument/2006/relationships/hyperlink" Target="https://ir.hilton.com/financial-reporting/annual-reports" TargetMode="External"/><Relationship Id="rId19" Type="http://schemas.openxmlformats.org/officeDocument/2006/relationships/hyperlink" Target="https://news.marriott.com/news/2023/05/02/marriott-international-reports-first-quarter-2023-results-and-raises-full-year-outlook" TargetMode="External"/><Relationship Id="rId4" Type="http://schemas.openxmlformats.org/officeDocument/2006/relationships/webSettings" Target="webSettings.xml"/><Relationship Id="rId9" Type="http://schemas.openxmlformats.org/officeDocument/2006/relationships/hyperlink" Target="https://ir.hilton.com/financial-reporting/annual-reports" TargetMode="External"/><Relationship Id="rId14" Type="http://schemas.openxmlformats.org/officeDocument/2006/relationships/hyperlink" Target="https://kpmg.com/xx/en/about/kpmg-international-hotline.html%20" TargetMode="External"/><Relationship Id="rId22" Type="http://schemas.openxmlformats.org/officeDocument/2006/relationships/hyperlink" Target="https://doi.org/10.1080/23311975.2024.2414854"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3293</Words>
  <Characters>18771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4</cp:revision>
  <dcterms:created xsi:type="dcterms:W3CDTF">2024-11-04T22:24:00Z</dcterms:created>
  <dcterms:modified xsi:type="dcterms:W3CDTF">2024-11-04T22:27:00Z</dcterms:modified>
</cp:coreProperties>
</file>