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49F2B" w14:textId="77777777" w:rsidR="00323973" w:rsidRPr="00EF02EA" w:rsidRDefault="00323973" w:rsidP="00323973">
      <w:pPr>
        <w:spacing w:line="480" w:lineRule="auto"/>
        <w:jc w:val="center"/>
        <w:rPr>
          <w:rFonts w:ascii="Times New Roman" w:hAnsi="Times New Roman" w:cs="Times New Roman"/>
          <w:sz w:val="24"/>
          <w:szCs w:val="24"/>
        </w:rPr>
      </w:pPr>
    </w:p>
    <w:p w14:paraId="4EFAF908" w14:textId="77777777" w:rsidR="00323973" w:rsidRPr="00EF02EA" w:rsidRDefault="00323973" w:rsidP="00323973">
      <w:pPr>
        <w:spacing w:line="480" w:lineRule="auto"/>
        <w:jc w:val="center"/>
        <w:rPr>
          <w:rFonts w:ascii="Times New Roman" w:hAnsi="Times New Roman" w:cs="Times New Roman"/>
          <w:sz w:val="24"/>
          <w:szCs w:val="24"/>
        </w:rPr>
      </w:pPr>
    </w:p>
    <w:p w14:paraId="0D307B88" w14:textId="77777777" w:rsidR="00323973" w:rsidRPr="00EF02EA" w:rsidRDefault="00323973" w:rsidP="00323973">
      <w:pPr>
        <w:spacing w:line="480" w:lineRule="auto"/>
        <w:jc w:val="center"/>
        <w:rPr>
          <w:rFonts w:ascii="Times New Roman" w:hAnsi="Times New Roman" w:cs="Times New Roman"/>
          <w:sz w:val="24"/>
          <w:szCs w:val="24"/>
        </w:rPr>
      </w:pPr>
    </w:p>
    <w:p w14:paraId="425C4101" w14:textId="20215CF2" w:rsidR="00323973" w:rsidRPr="00E121DC" w:rsidRDefault="008750FB" w:rsidP="0052089C">
      <w:pPr>
        <w:spacing w:line="480" w:lineRule="auto"/>
        <w:jc w:val="center"/>
        <w:rPr>
          <w:rFonts w:ascii="Times New Roman" w:hAnsi="Times New Roman" w:cs="Times New Roman"/>
          <w:b/>
          <w:bCs/>
          <w:sz w:val="32"/>
          <w:szCs w:val="32"/>
        </w:rPr>
      </w:pPr>
      <w:r w:rsidRPr="00E121DC">
        <w:rPr>
          <w:rFonts w:ascii="Times New Roman" w:hAnsi="Times New Roman" w:cs="Times New Roman"/>
          <w:b/>
          <w:bCs/>
          <w:sz w:val="32"/>
          <w:szCs w:val="32"/>
        </w:rPr>
        <w:t>Accounting Fundamentals</w:t>
      </w:r>
    </w:p>
    <w:p w14:paraId="3508CB7B" w14:textId="77777777" w:rsidR="00323973" w:rsidRPr="00EF02EA" w:rsidRDefault="00323973" w:rsidP="00323973">
      <w:pPr>
        <w:spacing w:line="480" w:lineRule="auto"/>
        <w:jc w:val="both"/>
        <w:rPr>
          <w:rFonts w:ascii="Times New Roman" w:hAnsi="Times New Roman" w:cs="Times New Roman"/>
          <w:sz w:val="24"/>
          <w:szCs w:val="24"/>
        </w:rPr>
      </w:pPr>
    </w:p>
    <w:p w14:paraId="09F5FB92" w14:textId="77777777" w:rsidR="00F27CC4" w:rsidRPr="004B6E26" w:rsidRDefault="00F27CC4" w:rsidP="009C48AF">
      <w:pPr>
        <w:pStyle w:val="ListParagraph"/>
        <w:numPr>
          <w:ilvl w:val="0"/>
          <w:numId w:val="1"/>
        </w:numPr>
        <w:spacing w:after="0" w:line="240" w:lineRule="auto"/>
        <w:rPr>
          <w:rFonts w:ascii="Times New Roman" w:hAnsi="Times New Roman" w:cs="Times New Roman"/>
          <w:color w:val="F07F09"/>
          <w:sz w:val="32"/>
          <w:szCs w:val="32"/>
        </w:rPr>
      </w:pPr>
      <w:r w:rsidRPr="004B6E26">
        <w:rPr>
          <w:rFonts w:ascii="Times New Roman" w:eastAsia="+mn-ea" w:hAnsi="Times New Roman" w:cs="Times New Roman"/>
          <w:color w:val="323232"/>
          <w:kern w:val="24"/>
          <w:sz w:val="32"/>
          <w:szCs w:val="32"/>
        </w:rPr>
        <w:t xml:space="preserve">STUDENT </w:t>
      </w:r>
      <w:proofErr w:type="gramStart"/>
      <w:r w:rsidRPr="004B6E26">
        <w:rPr>
          <w:rFonts w:ascii="Times New Roman" w:eastAsia="+mn-ea" w:hAnsi="Times New Roman" w:cs="Times New Roman"/>
          <w:color w:val="323232"/>
          <w:kern w:val="24"/>
          <w:sz w:val="32"/>
          <w:szCs w:val="32"/>
        </w:rPr>
        <w:t>NAME:VERONICA</w:t>
      </w:r>
      <w:proofErr w:type="gramEnd"/>
      <w:r w:rsidRPr="004B6E26">
        <w:rPr>
          <w:rFonts w:ascii="Times New Roman" w:eastAsia="+mn-ea" w:hAnsi="Times New Roman" w:cs="Times New Roman"/>
          <w:color w:val="323232"/>
          <w:kern w:val="24"/>
          <w:sz w:val="32"/>
          <w:szCs w:val="32"/>
        </w:rPr>
        <w:t>-DANIELA FLORIA</w:t>
      </w:r>
    </w:p>
    <w:p w14:paraId="3CC0D93F" w14:textId="77777777" w:rsidR="00F27CC4" w:rsidRPr="004B6E26" w:rsidRDefault="00F27CC4" w:rsidP="009C48AF">
      <w:pPr>
        <w:pStyle w:val="ListParagraph"/>
        <w:numPr>
          <w:ilvl w:val="0"/>
          <w:numId w:val="1"/>
        </w:numPr>
        <w:spacing w:after="0" w:line="240" w:lineRule="auto"/>
        <w:rPr>
          <w:rFonts w:ascii="Times New Roman" w:hAnsi="Times New Roman" w:cs="Times New Roman"/>
          <w:color w:val="F07F09"/>
          <w:sz w:val="32"/>
          <w:szCs w:val="32"/>
        </w:rPr>
      </w:pPr>
      <w:r w:rsidRPr="004B6E26">
        <w:rPr>
          <w:rFonts w:ascii="Times New Roman" w:eastAsia="+mn-ea" w:hAnsi="Times New Roman" w:cs="Times New Roman"/>
          <w:color w:val="323232"/>
          <w:kern w:val="24"/>
          <w:sz w:val="32"/>
          <w:szCs w:val="32"/>
        </w:rPr>
        <w:t>STUDENT ID:2115140</w:t>
      </w:r>
    </w:p>
    <w:p w14:paraId="4D5B0B1F" w14:textId="5B97F904" w:rsidR="00F27CC4" w:rsidRPr="004B6E26" w:rsidRDefault="00F27CC4" w:rsidP="009C48AF">
      <w:pPr>
        <w:pStyle w:val="ListParagraph"/>
        <w:numPr>
          <w:ilvl w:val="0"/>
          <w:numId w:val="1"/>
        </w:numPr>
        <w:spacing w:after="0" w:line="240" w:lineRule="auto"/>
        <w:rPr>
          <w:rFonts w:ascii="Times New Roman" w:hAnsi="Times New Roman" w:cs="Times New Roman"/>
          <w:color w:val="F07F09"/>
          <w:sz w:val="32"/>
          <w:szCs w:val="32"/>
        </w:rPr>
      </w:pPr>
      <w:r w:rsidRPr="004B6E26">
        <w:rPr>
          <w:rFonts w:ascii="Times New Roman" w:eastAsia="+mn-ea" w:hAnsi="Times New Roman" w:cs="Times New Roman"/>
          <w:color w:val="323232"/>
          <w:kern w:val="24"/>
          <w:sz w:val="32"/>
          <w:szCs w:val="32"/>
        </w:rPr>
        <w:t xml:space="preserve">MODULE </w:t>
      </w:r>
      <w:proofErr w:type="gramStart"/>
      <w:r w:rsidRPr="004B6E26">
        <w:rPr>
          <w:rFonts w:ascii="Times New Roman" w:eastAsia="+mn-ea" w:hAnsi="Times New Roman" w:cs="Times New Roman"/>
          <w:color w:val="323232"/>
          <w:kern w:val="24"/>
          <w:sz w:val="32"/>
          <w:szCs w:val="32"/>
        </w:rPr>
        <w:t>CODE:LCBB</w:t>
      </w:r>
      <w:proofErr w:type="gramEnd"/>
      <w:r w:rsidRPr="004B6E26">
        <w:rPr>
          <w:rFonts w:ascii="Times New Roman" w:eastAsia="+mn-ea" w:hAnsi="Times New Roman" w:cs="Times New Roman"/>
          <w:color w:val="323232"/>
          <w:kern w:val="24"/>
          <w:sz w:val="32"/>
          <w:szCs w:val="32"/>
        </w:rPr>
        <w:t>400</w:t>
      </w:r>
      <w:r w:rsidR="00B878D2" w:rsidRPr="004B6E26">
        <w:rPr>
          <w:rFonts w:ascii="Times New Roman" w:eastAsia="+mn-ea" w:hAnsi="Times New Roman" w:cs="Times New Roman"/>
          <w:color w:val="323232"/>
          <w:kern w:val="24"/>
          <w:sz w:val="32"/>
          <w:szCs w:val="32"/>
        </w:rPr>
        <w:t>1</w:t>
      </w:r>
    </w:p>
    <w:p w14:paraId="38C677CF" w14:textId="04850175" w:rsidR="00F27CC4" w:rsidRPr="004B6E26" w:rsidRDefault="00F27CC4" w:rsidP="009C48AF">
      <w:pPr>
        <w:pStyle w:val="ListParagraph"/>
        <w:numPr>
          <w:ilvl w:val="0"/>
          <w:numId w:val="1"/>
        </w:numPr>
        <w:spacing w:after="0" w:line="240" w:lineRule="auto"/>
        <w:rPr>
          <w:rFonts w:ascii="Times New Roman" w:hAnsi="Times New Roman" w:cs="Times New Roman"/>
          <w:color w:val="F07F09"/>
          <w:sz w:val="32"/>
          <w:szCs w:val="32"/>
        </w:rPr>
      </w:pPr>
      <w:r w:rsidRPr="004B6E26">
        <w:rPr>
          <w:rFonts w:ascii="Times New Roman" w:eastAsia="+mn-ea" w:hAnsi="Times New Roman" w:cs="Times New Roman"/>
          <w:color w:val="323232"/>
          <w:kern w:val="24"/>
          <w:sz w:val="32"/>
          <w:szCs w:val="32"/>
        </w:rPr>
        <w:t xml:space="preserve">LECTURER </w:t>
      </w:r>
      <w:proofErr w:type="gramStart"/>
      <w:r w:rsidRPr="004B6E26">
        <w:rPr>
          <w:rFonts w:ascii="Times New Roman" w:eastAsia="+mn-ea" w:hAnsi="Times New Roman" w:cs="Times New Roman"/>
          <w:color w:val="323232"/>
          <w:kern w:val="24"/>
          <w:sz w:val="32"/>
          <w:szCs w:val="32"/>
        </w:rPr>
        <w:t>NAME:</w:t>
      </w:r>
      <w:r w:rsidR="00D07CAA" w:rsidRPr="004B6E26">
        <w:rPr>
          <w:rFonts w:ascii="Times New Roman" w:eastAsia="+mn-ea" w:hAnsi="Times New Roman" w:cs="Times New Roman"/>
          <w:color w:val="323232"/>
          <w:kern w:val="24"/>
          <w:sz w:val="32"/>
          <w:szCs w:val="32"/>
        </w:rPr>
        <w:t>IVANA</w:t>
      </w:r>
      <w:proofErr w:type="gramEnd"/>
      <w:r w:rsidR="00D07CAA" w:rsidRPr="004B6E26">
        <w:rPr>
          <w:rFonts w:ascii="Times New Roman" w:eastAsia="+mn-ea" w:hAnsi="Times New Roman" w:cs="Times New Roman"/>
          <w:color w:val="323232"/>
          <w:kern w:val="24"/>
          <w:sz w:val="32"/>
          <w:szCs w:val="32"/>
        </w:rPr>
        <w:t xml:space="preserve"> </w:t>
      </w:r>
      <w:r w:rsidR="00F93145" w:rsidRPr="004B6E26">
        <w:rPr>
          <w:rFonts w:ascii="Times New Roman" w:eastAsia="+mn-ea" w:hAnsi="Times New Roman" w:cs="Times New Roman"/>
          <w:color w:val="323232"/>
          <w:kern w:val="24"/>
          <w:sz w:val="32"/>
          <w:szCs w:val="32"/>
        </w:rPr>
        <w:t>ROZIC</w:t>
      </w:r>
    </w:p>
    <w:p w14:paraId="1F39220D" w14:textId="77777777" w:rsidR="009C48AF" w:rsidRPr="004B6E26" w:rsidRDefault="009C48AF" w:rsidP="00270C32">
      <w:pPr>
        <w:pStyle w:val="ListParagraph"/>
        <w:numPr>
          <w:ilvl w:val="0"/>
          <w:numId w:val="1"/>
        </w:numPr>
        <w:spacing w:after="0" w:line="240" w:lineRule="auto"/>
        <w:rPr>
          <w:rFonts w:ascii="Times New Roman" w:hAnsi="Times New Roman" w:cs="Times New Roman"/>
          <w:color w:val="F07F09"/>
          <w:sz w:val="32"/>
          <w:szCs w:val="32"/>
        </w:rPr>
      </w:pPr>
      <w:r w:rsidRPr="004B6E26">
        <w:rPr>
          <w:rFonts w:ascii="Times New Roman" w:hAnsi="Times New Roman" w:cs="Times New Roman"/>
          <w:sz w:val="32"/>
          <w:szCs w:val="32"/>
        </w:rPr>
        <w:t>DATE:27.08.2023</w:t>
      </w:r>
    </w:p>
    <w:p w14:paraId="4D9E5C8F" w14:textId="77777777" w:rsidR="009C48AF" w:rsidRPr="004B6E26" w:rsidRDefault="009C48AF" w:rsidP="009C48AF">
      <w:pPr>
        <w:spacing w:line="480" w:lineRule="auto"/>
        <w:rPr>
          <w:rFonts w:ascii="Times New Roman" w:hAnsi="Times New Roman" w:cs="Times New Roman"/>
          <w:sz w:val="32"/>
          <w:szCs w:val="32"/>
        </w:rPr>
      </w:pPr>
    </w:p>
    <w:p w14:paraId="74102FF2" w14:textId="77777777" w:rsidR="00323973" w:rsidRPr="00EF02EA" w:rsidRDefault="00323973" w:rsidP="00323973">
      <w:pPr>
        <w:spacing w:line="480" w:lineRule="auto"/>
        <w:jc w:val="both"/>
        <w:rPr>
          <w:rFonts w:ascii="Times New Roman" w:hAnsi="Times New Roman" w:cs="Times New Roman"/>
          <w:sz w:val="24"/>
          <w:szCs w:val="24"/>
        </w:rPr>
      </w:pPr>
    </w:p>
    <w:p w14:paraId="75CCADC2" w14:textId="77777777" w:rsidR="00323973" w:rsidRPr="00EF02EA" w:rsidRDefault="00323973" w:rsidP="00323973">
      <w:pPr>
        <w:spacing w:line="480" w:lineRule="auto"/>
        <w:jc w:val="both"/>
        <w:rPr>
          <w:rFonts w:ascii="Times New Roman" w:hAnsi="Times New Roman" w:cs="Times New Roman"/>
          <w:sz w:val="24"/>
          <w:szCs w:val="24"/>
        </w:rPr>
      </w:pPr>
    </w:p>
    <w:p w14:paraId="41AA1971" w14:textId="77777777" w:rsidR="0052089C" w:rsidRDefault="0052089C" w:rsidP="00323973">
      <w:pPr>
        <w:pStyle w:val="Heading1"/>
        <w:spacing w:line="480" w:lineRule="auto"/>
        <w:jc w:val="center"/>
        <w:rPr>
          <w:rFonts w:ascii="Times New Roman" w:hAnsi="Times New Roman" w:cs="Times New Roman"/>
          <w:b/>
          <w:color w:val="auto"/>
          <w:sz w:val="24"/>
          <w:szCs w:val="24"/>
        </w:rPr>
      </w:pPr>
      <w:bookmarkStart w:id="0" w:name="_Toc140061199"/>
    </w:p>
    <w:p w14:paraId="12331074" w14:textId="77777777" w:rsidR="00577D14" w:rsidRPr="00577D14" w:rsidRDefault="00577D14" w:rsidP="00577D14"/>
    <w:p w14:paraId="2A6E489B" w14:textId="77777777" w:rsidR="0052089C" w:rsidRDefault="0052089C" w:rsidP="00323973">
      <w:pPr>
        <w:pStyle w:val="Heading1"/>
        <w:spacing w:line="480" w:lineRule="auto"/>
        <w:jc w:val="center"/>
        <w:rPr>
          <w:rFonts w:ascii="Times New Roman" w:hAnsi="Times New Roman" w:cs="Times New Roman"/>
          <w:b/>
          <w:color w:val="auto"/>
          <w:sz w:val="24"/>
          <w:szCs w:val="24"/>
        </w:rPr>
      </w:pPr>
    </w:p>
    <w:p w14:paraId="5633DCB1" w14:textId="77777777" w:rsidR="00577D14" w:rsidRDefault="00577D14" w:rsidP="00577D14">
      <w:pPr>
        <w:pStyle w:val="Heading1"/>
        <w:spacing w:line="480" w:lineRule="auto"/>
        <w:rPr>
          <w:rFonts w:ascii="Times New Roman" w:hAnsi="Times New Roman" w:cs="Times New Roman"/>
          <w:b/>
          <w:color w:val="auto"/>
          <w:sz w:val="24"/>
          <w:szCs w:val="24"/>
        </w:rPr>
      </w:pPr>
    </w:p>
    <w:bookmarkEnd w:id="0"/>
    <w:p w14:paraId="6EDCE349" w14:textId="77777777" w:rsidR="004B6E26" w:rsidRDefault="004B6E26" w:rsidP="00E02ED8"/>
    <w:p w14:paraId="3A3D33AC" w14:textId="77777777" w:rsidR="004B6E26" w:rsidRDefault="004B6E26" w:rsidP="00E02ED8"/>
    <w:p w14:paraId="2764E60B" w14:textId="77777777" w:rsidR="004B6E26" w:rsidRDefault="004B6E26" w:rsidP="00E02ED8"/>
    <w:p w14:paraId="1BF2C0AF" w14:textId="77777777" w:rsidR="004B6E26" w:rsidRPr="00E02ED8" w:rsidRDefault="004B6E26" w:rsidP="00E02ED8"/>
    <w:p w14:paraId="62C7D821" w14:textId="6CDB9AE0" w:rsidR="00BA3BC7" w:rsidRPr="00EA6D69" w:rsidRDefault="00E02ED8" w:rsidP="00323973">
      <w:pPr>
        <w:spacing w:line="480" w:lineRule="auto"/>
        <w:jc w:val="both"/>
        <w:rPr>
          <w:rFonts w:ascii="Times New Roman" w:hAnsi="Times New Roman" w:cs="Times New Roman"/>
          <w:color w:val="000000" w:themeColor="text1"/>
          <w:sz w:val="24"/>
          <w:szCs w:val="24"/>
        </w:rPr>
      </w:pPr>
      <w:r w:rsidRPr="00EA6D69">
        <w:rPr>
          <w:rFonts w:ascii="Times New Roman" w:hAnsi="Times New Roman" w:cs="Times New Roman"/>
          <w:b/>
          <w:color w:val="000000" w:themeColor="text1"/>
          <w:sz w:val="24"/>
          <w:szCs w:val="24"/>
        </w:rPr>
        <w:lastRenderedPageBreak/>
        <w:t>Introduction</w:t>
      </w:r>
      <w:r w:rsidRPr="00EA6D69">
        <w:rPr>
          <w:rFonts w:ascii="Times New Roman" w:hAnsi="Times New Roman" w:cs="Times New Roman"/>
          <w:color w:val="000000" w:themeColor="text1"/>
          <w:sz w:val="24"/>
          <w:szCs w:val="24"/>
        </w:rPr>
        <w:t xml:space="preserve"> </w:t>
      </w:r>
      <w:r w:rsidR="004B6E26" w:rsidRPr="00EA6D69">
        <w:rPr>
          <w:rFonts w:ascii="Times New Roman" w:hAnsi="Times New Roman" w:cs="Times New Roman"/>
          <w:color w:val="000000" w:themeColor="text1"/>
          <w:sz w:val="24"/>
          <w:szCs w:val="24"/>
        </w:rPr>
        <w:t xml:space="preserve">                                                                                                                                                                                        </w:t>
      </w:r>
      <w:r w:rsidR="008750FB" w:rsidRPr="00EA6D69">
        <w:rPr>
          <w:rFonts w:ascii="Times New Roman" w:hAnsi="Times New Roman" w:cs="Times New Roman"/>
          <w:color w:val="000000" w:themeColor="text1"/>
          <w:sz w:val="24"/>
          <w:szCs w:val="24"/>
        </w:rPr>
        <w:t>This report is aimed at exhibiting fundamental accounting skills through developing financial statements for provided cases. It is divided into two sections with each section addressing specific case scenarios as directed.</w:t>
      </w:r>
    </w:p>
    <w:p w14:paraId="27BB676C" w14:textId="77777777" w:rsidR="00BA3BC7" w:rsidRPr="00EA6D69" w:rsidRDefault="008750FB" w:rsidP="004B6E26">
      <w:pPr>
        <w:pStyle w:val="Heading1"/>
        <w:spacing w:line="480" w:lineRule="auto"/>
        <w:rPr>
          <w:rFonts w:ascii="Times New Roman" w:hAnsi="Times New Roman" w:cs="Times New Roman"/>
          <w:b/>
          <w:color w:val="000000" w:themeColor="text1"/>
          <w:sz w:val="24"/>
          <w:szCs w:val="24"/>
        </w:rPr>
      </w:pPr>
      <w:bookmarkStart w:id="1" w:name="_Toc140061200"/>
      <w:r w:rsidRPr="00EA6D69">
        <w:rPr>
          <w:rFonts w:ascii="Times New Roman" w:hAnsi="Times New Roman" w:cs="Times New Roman"/>
          <w:b/>
          <w:color w:val="000000" w:themeColor="text1"/>
          <w:sz w:val="24"/>
          <w:szCs w:val="24"/>
        </w:rPr>
        <w:t>Question 1</w:t>
      </w:r>
      <w:bookmarkEnd w:id="1"/>
    </w:p>
    <w:p w14:paraId="5B7B5042" w14:textId="77777777" w:rsidR="00BA3BC7" w:rsidRPr="00EA6D69" w:rsidRDefault="008750FB" w:rsidP="00323973">
      <w:pPr>
        <w:spacing w:line="480" w:lineRule="auto"/>
        <w:jc w:val="both"/>
        <w:rPr>
          <w:rFonts w:ascii="Times New Roman" w:hAnsi="Times New Roman" w:cs="Times New Roman"/>
          <w:b/>
          <w:color w:val="000000" w:themeColor="text1"/>
          <w:sz w:val="24"/>
          <w:szCs w:val="24"/>
        </w:rPr>
      </w:pPr>
      <w:r w:rsidRPr="00EA6D69">
        <w:rPr>
          <w:rFonts w:ascii="Times New Roman" w:hAnsi="Times New Roman" w:cs="Times New Roman"/>
          <w:b/>
          <w:color w:val="000000" w:themeColor="text1"/>
          <w:sz w:val="24"/>
          <w:szCs w:val="24"/>
        </w:rPr>
        <w:t>a. Income statement and a statement of financial position for Wales PLC for the year ended 31</w:t>
      </w:r>
      <w:r w:rsidRPr="00EA6D69">
        <w:rPr>
          <w:rFonts w:ascii="Times New Roman" w:hAnsi="Times New Roman" w:cs="Times New Roman"/>
          <w:b/>
          <w:color w:val="000000" w:themeColor="text1"/>
          <w:sz w:val="24"/>
          <w:szCs w:val="24"/>
          <w:vertAlign w:val="superscript"/>
        </w:rPr>
        <w:t>st</w:t>
      </w:r>
      <w:r w:rsidRPr="00EA6D69">
        <w:rPr>
          <w:rFonts w:ascii="Times New Roman" w:hAnsi="Times New Roman" w:cs="Times New Roman"/>
          <w:b/>
          <w:color w:val="000000" w:themeColor="text1"/>
          <w:sz w:val="24"/>
          <w:szCs w:val="24"/>
        </w:rPr>
        <w:t xml:space="preserve"> December 2022.</w:t>
      </w:r>
    </w:p>
    <w:p w14:paraId="24C2CC65" w14:textId="77777777" w:rsidR="00BA3BC7" w:rsidRPr="00EA6D69" w:rsidRDefault="008750FB" w:rsidP="00323973">
      <w:pPr>
        <w:spacing w:line="480" w:lineRule="auto"/>
        <w:jc w:val="both"/>
        <w:rPr>
          <w:rFonts w:ascii="Times New Roman" w:hAnsi="Times New Roman" w:cs="Times New Roman"/>
          <w:b/>
          <w:i/>
          <w:color w:val="000000" w:themeColor="text1"/>
          <w:sz w:val="24"/>
          <w:szCs w:val="24"/>
        </w:rPr>
      </w:pPr>
      <w:r w:rsidRPr="00EA6D69">
        <w:rPr>
          <w:rFonts w:ascii="Times New Roman" w:hAnsi="Times New Roman" w:cs="Times New Roman"/>
          <w:b/>
          <w:i/>
          <w:color w:val="000000" w:themeColor="text1"/>
          <w:sz w:val="24"/>
          <w:szCs w:val="24"/>
        </w:rPr>
        <w:t xml:space="preserve">Income statement </w:t>
      </w:r>
    </w:p>
    <w:p w14:paraId="6027FF0E" w14:textId="77777777" w:rsidR="00BA3BC7" w:rsidRPr="00EA6D69" w:rsidRDefault="008750FB" w:rsidP="00323973">
      <w:pPr>
        <w:spacing w:line="480" w:lineRule="auto"/>
        <w:jc w:val="both"/>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shd w:val="clear" w:color="auto" w:fill="FFFFFF"/>
        </w:rPr>
        <w:t>Griffin and Mahajan (2019</w:t>
      </w:r>
      <w:r w:rsidRPr="00EA6D69">
        <w:rPr>
          <w:rFonts w:ascii="Times New Roman" w:hAnsi="Times New Roman" w:cs="Times New Roman"/>
          <w:color w:val="000000" w:themeColor="text1"/>
          <w:sz w:val="24"/>
          <w:szCs w:val="24"/>
        </w:rPr>
        <w:t>) noted that an income statement is a detailed financial document that details an organisation's expenditures and income thus exhibiting whether the organisation is making losses or profits over a given time. An income statement is pivotal to any organisation as it helps the management make decisions on strategies to be adopted for profit maximisation. In addition, financial institutions may also decide to evaluate an organisation's income to determine whether the company is eligible for financing. Below is an income statement for Wales PLC for the period ended 31</w:t>
      </w:r>
      <w:r w:rsidRPr="00EA6D69">
        <w:rPr>
          <w:rFonts w:ascii="Times New Roman" w:hAnsi="Times New Roman" w:cs="Times New Roman"/>
          <w:color w:val="000000" w:themeColor="text1"/>
          <w:sz w:val="24"/>
          <w:szCs w:val="24"/>
          <w:vertAlign w:val="superscript"/>
        </w:rPr>
        <w:t>st</w:t>
      </w:r>
      <w:r w:rsidRPr="00EA6D69">
        <w:rPr>
          <w:rFonts w:ascii="Times New Roman" w:hAnsi="Times New Roman" w:cs="Times New Roman"/>
          <w:color w:val="000000" w:themeColor="text1"/>
          <w:sz w:val="24"/>
          <w:szCs w:val="24"/>
        </w:rPr>
        <w:t xml:space="preserve"> December 2022.</w:t>
      </w:r>
    </w:p>
    <w:p w14:paraId="7970970C" w14:textId="77777777" w:rsidR="00BC6AE2" w:rsidRPr="00EA6D69" w:rsidRDefault="008750FB" w:rsidP="00323973">
      <w:pPr>
        <w:spacing w:line="480" w:lineRule="auto"/>
        <w:jc w:val="both"/>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Calculations:</w:t>
      </w:r>
    </w:p>
    <w:p w14:paraId="6F5F94D4" w14:textId="77777777" w:rsidR="00BC6AE2" w:rsidRPr="00EA6D69" w:rsidRDefault="008750FB" w:rsidP="00323973">
      <w:pPr>
        <w:spacing w:line="480" w:lineRule="auto"/>
        <w:jc w:val="both"/>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Gross Profit: sales – cost of sales</w:t>
      </w:r>
    </w:p>
    <w:p w14:paraId="40DD7164" w14:textId="77777777" w:rsidR="00BC6AE2" w:rsidRPr="00EA6D69" w:rsidRDefault="008750FB" w:rsidP="00323973">
      <w:pPr>
        <w:spacing w:line="480" w:lineRule="auto"/>
        <w:jc w:val="both"/>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w:t>
      </w:r>
      <w:r w:rsidRPr="00EA6D69">
        <w:rPr>
          <w:rFonts w:ascii="Times New Roman" w:hAnsi="Times New Roman" w:cs="Times New Roman"/>
          <w:color w:val="000000" w:themeColor="text1"/>
          <w:sz w:val="24"/>
          <w:szCs w:val="24"/>
        </w:rPr>
        <w:t xml:space="preserve">800,000 – </w:t>
      </w:r>
      <w:r w:rsidRPr="00EA6D69">
        <w:rPr>
          <w:rFonts w:ascii="Times New Roman" w:hAnsi="Times New Roman" w:cs="Times New Roman"/>
          <w:color w:val="000000" w:themeColor="text1"/>
          <w:sz w:val="24"/>
          <w:szCs w:val="24"/>
          <w:shd w:val="clear" w:color="auto" w:fill="FFFFFF"/>
        </w:rPr>
        <w:t>£</w:t>
      </w:r>
      <w:r w:rsidRPr="00EA6D69">
        <w:rPr>
          <w:rFonts w:ascii="Times New Roman" w:hAnsi="Times New Roman" w:cs="Times New Roman"/>
          <w:color w:val="000000" w:themeColor="text1"/>
          <w:sz w:val="24"/>
          <w:szCs w:val="24"/>
        </w:rPr>
        <w:t xml:space="preserve">578,650 = </w:t>
      </w:r>
      <w:r w:rsidRPr="00EA6D69">
        <w:rPr>
          <w:rFonts w:ascii="Times New Roman" w:hAnsi="Times New Roman" w:cs="Times New Roman"/>
          <w:color w:val="000000" w:themeColor="text1"/>
          <w:sz w:val="24"/>
          <w:szCs w:val="24"/>
          <w:shd w:val="clear" w:color="auto" w:fill="FFFFFF"/>
        </w:rPr>
        <w:t>£221,350</w:t>
      </w:r>
    </w:p>
    <w:p w14:paraId="0A53E438" w14:textId="77777777" w:rsidR="00BC6AE2" w:rsidRPr="00EA6D69" w:rsidRDefault="008750FB" w:rsidP="00323973">
      <w:pPr>
        <w:spacing w:line="480" w:lineRule="auto"/>
        <w:jc w:val="both"/>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Income before tax: gross profit – expenses</w:t>
      </w:r>
    </w:p>
    <w:p w14:paraId="4F66F87B" w14:textId="77777777" w:rsidR="00BC6AE2" w:rsidRPr="00EA6D69" w:rsidRDefault="008750FB" w:rsidP="00323973">
      <w:pPr>
        <w:spacing w:line="480" w:lineRule="auto"/>
        <w:jc w:val="both"/>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£221,350 - £115,000 = £106,350</w:t>
      </w:r>
    </w:p>
    <w:p w14:paraId="3C57731B" w14:textId="77777777" w:rsidR="00BC6AE2" w:rsidRPr="00EA6D69" w:rsidRDefault="008750FB" w:rsidP="00323973">
      <w:pPr>
        <w:spacing w:line="480" w:lineRule="auto"/>
        <w:jc w:val="both"/>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Income after tax: income before tax – corporate tax</w:t>
      </w:r>
    </w:p>
    <w:p w14:paraId="01E7A648" w14:textId="77777777" w:rsidR="00BC6AE2" w:rsidRPr="00EA6D69" w:rsidRDefault="008750FB" w:rsidP="00323973">
      <w:pPr>
        <w:spacing w:line="480" w:lineRule="auto"/>
        <w:jc w:val="both"/>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lastRenderedPageBreak/>
        <w:t>£106,350 - £100,000 = £6,350</w:t>
      </w:r>
    </w:p>
    <w:tbl>
      <w:tblPr>
        <w:tblStyle w:val="TableGrid"/>
        <w:tblW w:w="0" w:type="auto"/>
        <w:tblLook w:val="04A0" w:firstRow="1" w:lastRow="0" w:firstColumn="1" w:lastColumn="0" w:noHBand="0" w:noVBand="1"/>
      </w:tblPr>
      <w:tblGrid>
        <w:gridCol w:w="4957"/>
        <w:gridCol w:w="2268"/>
        <w:gridCol w:w="2125"/>
      </w:tblGrid>
      <w:tr w:rsidR="00065BB5" w:rsidRPr="00EA6D69" w14:paraId="5B10C09C" w14:textId="77777777" w:rsidTr="008F22DE">
        <w:tc>
          <w:tcPr>
            <w:tcW w:w="9350" w:type="dxa"/>
            <w:gridSpan w:val="3"/>
          </w:tcPr>
          <w:p w14:paraId="2EE2D8F8" w14:textId="77777777" w:rsidR="009D1F60" w:rsidRPr="00EA6D69" w:rsidRDefault="008750FB" w:rsidP="009D1F60">
            <w:pPr>
              <w:jc w:val="cente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Wales PLC</w:t>
            </w:r>
          </w:p>
          <w:p w14:paraId="4FAA8081" w14:textId="77777777" w:rsidR="009D1F60" w:rsidRPr="00EA6D69" w:rsidRDefault="008750FB" w:rsidP="009D1F60">
            <w:pPr>
              <w:jc w:val="cente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Income statement for the period ended 31</w:t>
            </w:r>
            <w:r w:rsidRPr="00EA6D69">
              <w:rPr>
                <w:rFonts w:ascii="Times New Roman" w:hAnsi="Times New Roman" w:cs="Times New Roman"/>
                <w:color w:val="000000" w:themeColor="text1"/>
                <w:sz w:val="24"/>
                <w:szCs w:val="24"/>
                <w:vertAlign w:val="superscript"/>
              </w:rPr>
              <w:t>st</w:t>
            </w:r>
            <w:r w:rsidRPr="00EA6D69">
              <w:rPr>
                <w:rFonts w:ascii="Times New Roman" w:hAnsi="Times New Roman" w:cs="Times New Roman"/>
                <w:color w:val="000000" w:themeColor="text1"/>
                <w:sz w:val="24"/>
                <w:szCs w:val="24"/>
              </w:rPr>
              <w:t xml:space="preserve"> December 2022</w:t>
            </w:r>
          </w:p>
        </w:tc>
      </w:tr>
      <w:tr w:rsidR="00065BB5" w:rsidRPr="00EA6D69" w14:paraId="6FE66CEA" w14:textId="77777777" w:rsidTr="009D1F60">
        <w:tc>
          <w:tcPr>
            <w:tcW w:w="4957" w:type="dxa"/>
          </w:tcPr>
          <w:p w14:paraId="2CBA0228" w14:textId="77777777" w:rsidR="009D1F60" w:rsidRPr="00EA6D69" w:rsidRDefault="009D1F60">
            <w:pPr>
              <w:rPr>
                <w:rFonts w:ascii="Times New Roman" w:hAnsi="Times New Roman" w:cs="Times New Roman"/>
                <w:color w:val="000000" w:themeColor="text1"/>
                <w:sz w:val="24"/>
                <w:szCs w:val="24"/>
              </w:rPr>
            </w:pPr>
          </w:p>
        </w:tc>
        <w:tc>
          <w:tcPr>
            <w:tcW w:w="2268" w:type="dxa"/>
          </w:tcPr>
          <w:p w14:paraId="76F17811" w14:textId="77777777" w:rsidR="009D1F60" w:rsidRPr="00EA6D69" w:rsidRDefault="008750FB" w:rsidP="009D1F60">
            <w:pPr>
              <w:jc w:val="cente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shd w:val="clear" w:color="auto" w:fill="FFFFFF"/>
              </w:rPr>
              <w:t>£</w:t>
            </w:r>
          </w:p>
        </w:tc>
        <w:tc>
          <w:tcPr>
            <w:tcW w:w="2125" w:type="dxa"/>
          </w:tcPr>
          <w:p w14:paraId="28982594" w14:textId="77777777" w:rsidR="009D1F60" w:rsidRPr="00EA6D69" w:rsidRDefault="008750FB" w:rsidP="009D1F60">
            <w:pPr>
              <w:jc w:val="cente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shd w:val="clear" w:color="auto" w:fill="FFFFFF"/>
              </w:rPr>
              <w:t>£</w:t>
            </w:r>
          </w:p>
        </w:tc>
      </w:tr>
      <w:tr w:rsidR="00065BB5" w:rsidRPr="00EA6D69" w14:paraId="716F9854" w14:textId="77777777" w:rsidTr="009D1F60">
        <w:tc>
          <w:tcPr>
            <w:tcW w:w="4957" w:type="dxa"/>
          </w:tcPr>
          <w:p w14:paraId="75ED3827" w14:textId="77777777" w:rsidR="009D1F60" w:rsidRPr="00EA6D69" w:rsidRDefault="008750FB">
            <w:pPr>
              <w:rPr>
                <w:rFonts w:ascii="Times New Roman" w:hAnsi="Times New Roman" w:cs="Times New Roman"/>
                <w:b/>
                <w:color w:val="000000" w:themeColor="text1"/>
                <w:sz w:val="24"/>
                <w:szCs w:val="24"/>
              </w:rPr>
            </w:pPr>
            <w:r w:rsidRPr="00EA6D69">
              <w:rPr>
                <w:rFonts w:ascii="Times New Roman" w:hAnsi="Times New Roman" w:cs="Times New Roman"/>
                <w:b/>
                <w:color w:val="000000" w:themeColor="text1"/>
                <w:sz w:val="24"/>
                <w:szCs w:val="24"/>
              </w:rPr>
              <w:t>Revenue</w:t>
            </w:r>
          </w:p>
        </w:tc>
        <w:tc>
          <w:tcPr>
            <w:tcW w:w="2268" w:type="dxa"/>
          </w:tcPr>
          <w:p w14:paraId="289026C8" w14:textId="77777777" w:rsidR="009D1F60" w:rsidRPr="00EA6D69" w:rsidRDefault="009D1F60">
            <w:pPr>
              <w:rPr>
                <w:rFonts w:ascii="Times New Roman" w:hAnsi="Times New Roman" w:cs="Times New Roman"/>
                <w:color w:val="000000" w:themeColor="text1"/>
                <w:sz w:val="24"/>
                <w:szCs w:val="24"/>
              </w:rPr>
            </w:pPr>
          </w:p>
        </w:tc>
        <w:tc>
          <w:tcPr>
            <w:tcW w:w="2125" w:type="dxa"/>
          </w:tcPr>
          <w:p w14:paraId="3D2C8ED0" w14:textId="77777777" w:rsidR="009D1F60" w:rsidRPr="00EA6D69" w:rsidRDefault="009D1F60">
            <w:pPr>
              <w:rPr>
                <w:rFonts w:ascii="Times New Roman" w:hAnsi="Times New Roman" w:cs="Times New Roman"/>
                <w:color w:val="000000" w:themeColor="text1"/>
                <w:sz w:val="24"/>
                <w:szCs w:val="24"/>
              </w:rPr>
            </w:pPr>
          </w:p>
        </w:tc>
      </w:tr>
      <w:tr w:rsidR="00065BB5" w:rsidRPr="00EA6D69" w14:paraId="4ADC8A8D" w14:textId="77777777" w:rsidTr="009D1F60">
        <w:tc>
          <w:tcPr>
            <w:tcW w:w="4957" w:type="dxa"/>
          </w:tcPr>
          <w:p w14:paraId="6133B564"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Sales</w:t>
            </w:r>
          </w:p>
        </w:tc>
        <w:tc>
          <w:tcPr>
            <w:tcW w:w="2268" w:type="dxa"/>
          </w:tcPr>
          <w:p w14:paraId="17C2A64E"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800,000.00</w:t>
            </w:r>
          </w:p>
        </w:tc>
        <w:tc>
          <w:tcPr>
            <w:tcW w:w="2125" w:type="dxa"/>
          </w:tcPr>
          <w:p w14:paraId="2172C42C" w14:textId="77777777" w:rsidR="009D1F60" w:rsidRPr="00EA6D69" w:rsidRDefault="009D1F60">
            <w:pPr>
              <w:rPr>
                <w:rFonts w:ascii="Times New Roman" w:hAnsi="Times New Roman" w:cs="Times New Roman"/>
                <w:color w:val="000000" w:themeColor="text1"/>
                <w:sz w:val="24"/>
                <w:szCs w:val="24"/>
              </w:rPr>
            </w:pPr>
          </w:p>
        </w:tc>
      </w:tr>
      <w:tr w:rsidR="00065BB5" w:rsidRPr="00EA6D69" w14:paraId="045D5AA6" w14:textId="77777777" w:rsidTr="009D1F60">
        <w:tc>
          <w:tcPr>
            <w:tcW w:w="4957" w:type="dxa"/>
          </w:tcPr>
          <w:p w14:paraId="09BC1067"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Cost of Sales</w:t>
            </w:r>
          </w:p>
        </w:tc>
        <w:tc>
          <w:tcPr>
            <w:tcW w:w="2268" w:type="dxa"/>
          </w:tcPr>
          <w:p w14:paraId="0ECDF658"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(578,650.00)</w:t>
            </w:r>
          </w:p>
        </w:tc>
        <w:tc>
          <w:tcPr>
            <w:tcW w:w="2125" w:type="dxa"/>
          </w:tcPr>
          <w:p w14:paraId="0E7046EB" w14:textId="77777777" w:rsidR="009D1F60" w:rsidRPr="00EA6D69" w:rsidRDefault="009D1F60">
            <w:pPr>
              <w:rPr>
                <w:rFonts w:ascii="Times New Roman" w:hAnsi="Times New Roman" w:cs="Times New Roman"/>
                <w:color w:val="000000" w:themeColor="text1"/>
                <w:sz w:val="24"/>
                <w:szCs w:val="24"/>
              </w:rPr>
            </w:pPr>
          </w:p>
        </w:tc>
      </w:tr>
      <w:tr w:rsidR="00065BB5" w:rsidRPr="00EA6D69" w14:paraId="3DFD57B7" w14:textId="77777777" w:rsidTr="009D1F60">
        <w:tc>
          <w:tcPr>
            <w:tcW w:w="4957" w:type="dxa"/>
          </w:tcPr>
          <w:p w14:paraId="0C6B4B67"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Gross Profit</w:t>
            </w:r>
          </w:p>
        </w:tc>
        <w:tc>
          <w:tcPr>
            <w:tcW w:w="2268" w:type="dxa"/>
          </w:tcPr>
          <w:p w14:paraId="0B3871A2"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221,350.00</w:t>
            </w:r>
          </w:p>
        </w:tc>
        <w:tc>
          <w:tcPr>
            <w:tcW w:w="2125" w:type="dxa"/>
          </w:tcPr>
          <w:p w14:paraId="0F6C04B5"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221,350.00</w:t>
            </w:r>
          </w:p>
        </w:tc>
      </w:tr>
      <w:tr w:rsidR="00065BB5" w:rsidRPr="00EA6D69" w14:paraId="62DD480B" w14:textId="77777777" w:rsidTr="009D1F60">
        <w:tc>
          <w:tcPr>
            <w:tcW w:w="4957" w:type="dxa"/>
          </w:tcPr>
          <w:p w14:paraId="3B1AD7A8" w14:textId="77777777" w:rsidR="009D1F60" w:rsidRPr="00EA6D69" w:rsidRDefault="008750FB">
            <w:pPr>
              <w:rPr>
                <w:rFonts w:ascii="Times New Roman" w:hAnsi="Times New Roman" w:cs="Times New Roman"/>
                <w:b/>
                <w:color w:val="000000" w:themeColor="text1"/>
                <w:sz w:val="24"/>
                <w:szCs w:val="24"/>
              </w:rPr>
            </w:pPr>
            <w:r w:rsidRPr="00EA6D69">
              <w:rPr>
                <w:rFonts w:ascii="Times New Roman" w:hAnsi="Times New Roman" w:cs="Times New Roman"/>
                <w:b/>
                <w:color w:val="000000" w:themeColor="text1"/>
                <w:sz w:val="24"/>
                <w:szCs w:val="24"/>
              </w:rPr>
              <w:t>Expenses</w:t>
            </w:r>
          </w:p>
        </w:tc>
        <w:tc>
          <w:tcPr>
            <w:tcW w:w="2268" w:type="dxa"/>
          </w:tcPr>
          <w:p w14:paraId="0FD00926" w14:textId="77777777" w:rsidR="009D1F60" w:rsidRPr="00EA6D69" w:rsidRDefault="009D1F60">
            <w:pPr>
              <w:rPr>
                <w:rFonts w:ascii="Times New Roman" w:hAnsi="Times New Roman" w:cs="Times New Roman"/>
                <w:color w:val="000000" w:themeColor="text1"/>
                <w:sz w:val="24"/>
                <w:szCs w:val="24"/>
              </w:rPr>
            </w:pPr>
          </w:p>
        </w:tc>
        <w:tc>
          <w:tcPr>
            <w:tcW w:w="2125" w:type="dxa"/>
          </w:tcPr>
          <w:p w14:paraId="3AFBA45D" w14:textId="77777777" w:rsidR="009D1F60" w:rsidRPr="00EA6D69" w:rsidRDefault="009D1F60">
            <w:pPr>
              <w:rPr>
                <w:rFonts w:ascii="Times New Roman" w:hAnsi="Times New Roman" w:cs="Times New Roman"/>
                <w:color w:val="000000" w:themeColor="text1"/>
                <w:sz w:val="24"/>
                <w:szCs w:val="24"/>
              </w:rPr>
            </w:pPr>
          </w:p>
        </w:tc>
      </w:tr>
      <w:tr w:rsidR="00065BB5" w:rsidRPr="00EA6D69" w14:paraId="76C6D40D" w14:textId="77777777" w:rsidTr="009D1F60">
        <w:tc>
          <w:tcPr>
            <w:tcW w:w="4957" w:type="dxa"/>
          </w:tcPr>
          <w:p w14:paraId="5E21BA0B"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Administration Expenses</w:t>
            </w:r>
          </w:p>
        </w:tc>
        <w:tc>
          <w:tcPr>
            <w:tcW w:w="2268" w:type="dxa"/>
          </w:tcPr>
          <w:p w14:paraId="4EEB0EFD"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30,000.00</w:t>
            </w:r>
          </w:p>
        </w:tc>
        <w:tc>
          <w:tcPr>
            <w:tcW w:w="2125" w:type="dxa"/>
          </w:tcPr>
          <w:p w14:paraId="2AAAD554" w14:textId="77777777" w:rsidR="009D1F60" w:rsidRPr="00EA6D69" w:rsidRDefault="009D1F60">
            <w:pPr>
              <w:rPr>
                <w:rFonts w:ascii="Times New Roman" w:hAnsi="Times New Roman" w:cs="Times New Roman"/>
                <w:color w:val="000000" w:themeColor="text1"/>
                <w:sz w:val="24"/>
                <w:szCs w:val="24"/>
              </w:rPr>
            </w:pPr>
          </w:p>
        </w:tc>
      </w:tr>
      <w:tr w:rsidR="00065BB5" w:rsidRPr="00EA6D69" w14:paraId="42EBF40E" w14:textId="77777777" w:rsidTr="009D1F60">
        <w:tc>
          <w:tcPr>
            <w:tcW w:w="4957" w:type="dxa"/>
          </w:tcPr>
          <w:p w14:paraId="44C1DD13"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Interest Paid</w:t>
            </w:r>
          </w:p>
        </w:tc>
        <w:tc>
          <w:tcPr>
            <w:tcW w:w="2268" w:type="dxa"/>
          </w:tcPr>
          <w:p w14:paraId="5C4B0089"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2,000.00</w:t>
            </w:r>
          </w:p>
        </w:tc>
        <w:tc>
          <w:tcPr>
            <w:tcW w:w="2125" w:type="dxa"/>
          </w:tcPr>
          <w:p w14:paraId="4460716B" w14:textId="77777777" w:rsidR="009D1F60" w:rsidRPr="00EA6D69" w:rsidRDefault="009D1F60">
            <w:pPr>
              <w:rPr>
                <w:rFonts w:ascii="Times New Roman" w:hAnsi="Times New Roman" w:cs="Times New Roman"/>
                <w:color w:val="000000" w:themeColor="text1"/>
                <w:sz w:val="24"/>
                <w:szCs w:val="24"/>
              </w:rPr>
            </w:pPr>
          </w:p>
        </w:tc>
      </w:tr>
      <w:tr w:rsidR="00065BB5" w:rsidRPr="00EA6D69" w14:paraId="1298E7A2" w14:textId="77777777" w:rsidTr="009D1F60">
        <w:tc>
          <w:tcPr>
            <w:tcW w:w="4957" w:type="dxa"/>
          </w:tcPr>
          <w:p w14:paraId="70FEA349" w14:textId="77777777" w:rsidR="009D1F60" w:rsidRPr="00EA6D69" w:rsidRDefault="008750FB">
            <w:pPr>
              <w:rPr>
                <w:rFonts w:ascii="Times New Roman" w:hAnsi="Times New Roman" w:cs="Times New Roman"/>
                <w:color w:val="000000" w:themeColor="text1"/>
                <w:sz w:val="24"/>
                <w:szCs w:val="24"/>
              </w:rPr>
            </w:pPr>
            <w:proofErr w:type="gramStart"/>
            <w:r w:rsidRPr="00EA6D69">
              <w:rPr>
                <w:rFonts w:ascii="Times New Roman" w:hAnsi="Times New Roman" w:cs="Times New Roman"/>
                <w:color w:val="000000" w:themeColor="text1"/>
                <w:sz w:val="24"/>
                <w:szCs w:val="24"/>
              </w:rPr>
              <w:t>Directors</w:t>
            </w:r>
            <w:proofErr w:type="gramEnd"/>
            <w:r w:rsidRPr="00EA6D69">
              <w:rPr>
                <w:rFonts w:ascii="Times New Roman" w:hAnsi="Times New Roman" w:cs="Times New Roman"/>
                <w:color w:val="000000" w:themeColor="text1"/>
                <w:sz w:val="24"/>
                <w:szCs w:val="24"/>
              </w:rPr>
              <w:t xml:space="preserve"> remuneration</w:t>
            </w:r>
          </w:p>
        </w:tc>
        <w:tc>
          <w:tcPr>
            <w:tcW w:w="2268" w:type="dxa"/>
          </w:tcPr>
          <w:p w14:paraId="73CB1E6E"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5,000.00</w:t>
            </w:r>
          </w:p>
        </w:tc>
        <w:tc>
          <w:tcPr>
            <w:tcW w:w="2125" w:type="dxa"/>
          </w:tcPr>
          <w:p w14:paraId="525B45FD" w14:textId="77777777" w:rsidR="009D1F60" w:rsidRPr="00EA6D69" w:rsidRDefault="009D1F60">
            <w:pPr>
              <w:rPr>
                <w:rFonts w:ascii="Times New Roman" w:hAnsi="Times New Roman" w:cs="Times New Roman"/>
                <w:color w:val="000000" w:themeColor="text1"/>
                <w:sz w:val="24"/>
                <w:szCs w:val="24"/>
              </w:rPr>
            </w:pPr>
          </w:p>
        </w:tc>
      </w:tr>
      <w:tr w:rsidR="00065BB5" w:rsidRPr="00EA6D69" w14:paraId="4B07406F" w14:textId="77777777" w:rsidTr="009D1F60">
        <w:tc>
          <w:tcPr>
            <w:tcW w:w="4957" w:type="dxa"/>
          </w:tcPr>
          <w:p w14:paraId="0EFAFAD6"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Distribution Costs</w:t>
            </w:r>
          </w:p>
        </w:tc>
        <w:tc>
          <w:tcPr>
            <w:tcW w:w="2268" w:type="dxa"/>
          </w:tcPr>
          <w:p w14:paraId="4D759412"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28,000.00</w:t>
            </w:r>
          </w:p>
        </w:tc>
        <w:tc>
          <w:tcPr>
            <w:tcW w:w="2125" w:type="dxa"/>
          </w:tcPr>
          <w:p w14:paraId="32BE5673" w14:textId="77777777" w:rsidR="009D1F60" w:rsidRPr="00EA6D69" w:rsidRDefault="009D1F60">
            <w:pPr>
              <w:rPr>
                <w:rFonts w:ascii="Times New Roman" w:hAnsi="Times New Roman" w:cs="Times New Roman"/>
                <w:color w:val="000000" w:themeColor="text1"/>
                <w:sz w:val="24"/>
                <w:szCs w:val="24"/>
              </w:rPr>
            </w:pPr>
          </w:p>
        </w:tc>
      </w:tr>
      <w:tr w:rsidR="00065BB5" w:rsidRPr="00EA6D69" w14:paraId="45DFA619" w14:textId="77777777" w:rsidTr="009D1F60">
        <w:tc>
          <w:tcPr>
            <w:tcW w:w="4957" w:type="dxa"/>
          </w:tcPr>
          <w:p w14:paraId="703FC72D" w14:textId="77777777" w:rsidR="009D1F60" w:rsidRPr="00EA6D69" w:rsidRDefault="008750FB">
            <w:pPr>
              <w:rPr>
                <w:rFonts w:ascii="Times New Roman" w:hAnsi="Times New Roman" w:cs="Times New Roman"/>
                <w:b/>
                <w:color w:val="000000" w:themeColor="text1"/>
                <w:sz w:val="24"/>
                <w:szCs w:val="24"/>
              </w:rPr>
            </w:pPr>
            <w:r w:rsidRPr="00EA6D69">
              <w:rPr>
                <w:rFonts w:ascii="Times New Roman" w:hAnsi="Times New Roman" w:cs="Times New Roman"/>
                <w:b/>
                <w:color w:val="000000" w:themeColor="text1"/>
                <w:sz w:val="24"/>
                <w:szCs w:val="24"/>
              </w:rPr>
              <w:t>Total expenses</w:t>
            </w:r>
          </w:p>
        </w:tc>
        <w:tc>
          <w:tcPr>
            <w:tcW w:w="2268" w:type="dxa"/>
          </w:tcPr>
          <w:p w14:paraId="59C8F5EB"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65,000.00</w:t>
            </w:r>
          </w:p>
        </w:tc>
        <w:tc>
          <w:tcPr>
            <w:tcW w:w="2125" w:type="dxa"/>
          </w:tcPr>
          <w:p w14:paraId="0D8F19DB"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w:t>
            </w:r>
            <w:r w:rsidR="00962D02" w:rsidRPr="00EA6D69">
              <w:rPr>
                <w:rFonts w:ascii="Times New Roman" w:hAnsi="Times New Roman" w:cs="Times New Roman"/>
                <w:color w:val="000000" w:themeColor="text1"/>
                <w:sz w:val="24"/>
                <w:szCs w:val="24"/>
              </w:rPr>
              <w:t>65</w:t>
            </w:r>
            <w:r w:rsidRPr="00EA6D69">
              <w:rPr>
                <w:rFonts w:ascii="Times New Roman" w:hAnsi="Times New Roman" w:cs="Times New Roman"/>
                <w:color w:val="000000" w:themeColor="text1"/>
                <w:sz w:val="24"/>
                <w:szCs w:val="24"/>
              </w:rPr>
              <w:t>,000.00)</w:t>
            </w:r>
          </w:p>
        </w:tc>
      </w:tr>
      <w:tr w:rsidR="00065BB5" w:rsidRPr="00EA6D69" w14:paraId="6BA22174" w14:textId="77777777" w:rsidTr="009D1F60">
        <w:tc>
          <w:tcPr>
            <w:tcW w:w="4957" w:type="dxa"/>
          </w:tcPr>
          <w:p w14:paraId="2FF3E81F"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Income before Tax</w:t>
            </w:r>
          </w:p>
        </w:tc>
        <w:tc>
          <w:tcPr>
            <w:tcW w:w="2268" w:type="dxa"/>
          </w:tcPr>
          <w:p w14:paraId="3B1CBB56" w14:textId="77777777" w:rsidR="009D1F60" w:rsidRPr="00EA6D69" w:rsidRDefault="009D1F60">
            <w:pPr>
              <w:rPr>
                <w:rFonts w:ascii="Times New Roman" w:hAnsi="Times New Roman" w:cs="Times New Roman"/>
                <w:color w:val="000000" w:themeColor="text1"/>
                <w:sz w:val="24"/>
                <w:szCs w:val="24"/>
              </w:rPr>
            </w:pPr>
          </w:p>
        </w:tc>
        <w:tc>
          <w:tcPr>
            <w:tcW w:w="2125" w:type="dxa"/>
          </w:tcPr>
          <w:p w14:paraId="584BB66C"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1</w:t>
            </w:r>
            <w:r w:rsidR="00962D02" w:rsidRPr="00EA6D69">
              <w:rPr>
                <w:rFonts w:ascii="Times New Roman" w:hAnsi="Times New Roman" w:cs="Times New Roman"/>
                <w:color w:val="000000" w:themeColor="text1"/>
                <w:sz w:val="24"/>
                <w:szCs w:val="24"/>
              </w:rPr>
              <w:t>56</w:t>
            </w:r>
            <w:r w:rsidRPr="00EA6D69">
              <w:rPr>
                <w:rFonts w:ascii="Times New Roman" w:hAnsi="Times New Roman" w:cs="Times New Roman"/>
                <w:color w:val="000000" w:themeColor="text1"/>
                <w:sz w:val="24"/>
                <w:szCs w:val="24"/>
              </w:rPr>
              <w:t>,350.00</w:t>
            </w:r>
          </w:p>
        </w:tc>
      </w:tr>
      <w:tr w:rsidR="00065BB5" w:rsidRPr="00EA6D69" w14:paraId="6E762B6C" w14:textId="77777777" w:rsidTr="009D1F60">
        <w:tc>
          <w:tcPr>
            <w:tcW w:w="4957" w:type="dxa"/>
          </w:tcPr>
          <w:p w14:paraId="45EA3F46"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Corporate Tax</w:t>
            </w:r>
          </w:p>
        </w:tc>
        <w:tc>
          <w:tcPr>
            <w:tcW w:w="2268" w:type="dxa"/>
          </w:tcPr>
          <w:p w14:paraId="468A3C11" w14:textId="77777777" w:rsidR="009D1F60" w:rsidRPr="00EA6D69" w:rsidRDefault="009D1F60">
            <w:pPr>
              <w:rPr>
                <w:rFonts w:ascii="Times New Roman" w:hAnsi="Times New Roman" w:cs="Times New Roman"/>
                <w:color w:val="000000" w:themeColor="text1"/>
                <w:sz w:val="24"/>
                <w:szCs w:val="24"/>
              </w:rPr>
            </w:pPr>
          </w:p>
        </w:tc>
        <w:tc>
          <w:tcPr>
            <w:tcW w:w="2125" w:type="dxa"/>
          </w:tcPr>
          <w:p w14:paraId="402F37A2"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(100,000.00)</w:t>
            </w:r>
          </w:p>
        </w:tc>
      </w:tr>
      <w:tr w:rsidR="00065BB5" w:rsidRPr="00EA6D69" w14:paraId="2A75CCB1" w14:textId="77777777" w:rsidTr="009D1F60">
        <w:tc>
          <w:tcPr>
            <w:tcW w:w="4957" w:type="dxa"/>
          </w:tcPr>
          <w:p w14:paraId="466CCBD0" w14:textId="77777777" w:rsidR="009D1F60" w:rsidRPr="00EA6D69" w:rsidRDefault="008750FB">
            <w:pPr>
              <w:rPr>
                <w:rFonts w:ascii="Times New Roman" w:hAnsi="Times New Roman" w:cs="Times New Roman"/>
                <w:b/>
                <w:color w:val="000000" w:themeColor="text1"/>
                <w:sz w:val="24"/>
                <w:szCs w:val="24"/>
              </w:rPr>
            </w:pPr>
            <w:r w:rsidRPr="00EA6D69">
              <w:rPr>
                <w:rFonts w:ascii="Times New Roman" w:hAnsi="Times New Roman" w:cs="Times New Roman"/>
                <w:b/>
                <w:color w:val="000000" w:themeColor="text1"/>
                <w:sz w:val="24"/>
                <w:szCs w:val="24"/>
              </w:rPr>
              <w:t>Income After Tax</w:t>
            </w:r>
          </w:p>
        </w:tc>
        <w:tc>
          <w:tcPr>
            <w:tcW w:w="2268" w:type="dxa"/>
          </w:tcPr>
          <w:p w14:paraId="56D3D4E2" w14:textId="77777777" w:rsidR="009D1F60" w:rsidRPr="00EA6D69" w:rsidRDefault="009D1F60">
            <w:pPr>
              <w:rPr>
                <w:rFonts w:ascii="Times New Roman" w:hAnsi="Times New Roman" w:cs="Times New Roman"/>
                <w:color w:val="000000" w:themeColor="text1"/>
                <w:sz w:val="24"/>
                <w:szCs w:val="24"/>
              </w:rPr>
            </w:pPr>
          </w:p>
        </w:tc>
        <w:tc>
          <w:tcPr>
            <w:tcW w:w="2125" w:type="dxa"/>
          </w:tcPr>
          <w:p w14:paraId="179AD8A4" w14:textId="77777777" w:rsidR="009D1F6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56,350.00</w:t>
            </w:r>
          </w:p>
        </w:tc>
      </w:tr>
      <w:tr w:rsidR="00065BB5" w:rsidRPr="00EA6D69" w14:paraId="196D084A" w14:textId="77777777" w:rsidTr="009D1F60">
        <w:tc>
          <w:tcPr>
            <w:tcW w:w="4957" w:type="dxa"/>
          </w:tcPr>
          <w:p w14:paraId="043A7639" w14:textId="77777777" w:rsidR="0067501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Preference dividends paid</w:t>
            </w:r>
          </w:p>
        </w:tc>
        <w:tc>
          <w:tcPr>
            <w:tcW w:w="2268" w:type="dxa"/>
          </w:tcPr>
          <w:p w14:paraId="51D62CF7" w14:textId="77777777" w:rsidR="00675010" w:rsidRPr="00EA6D69" w:rsidRDefault="00675010">
            <w:pPr>
              <w:rPr>
                <w:rFonts w:ascii="Times New Roman" w:hAnsi="Times New Roman" w:cs="Times New Roman"/>
                <w:color w:val="000000" w:themeColor="text1"/>
                <w:sz w:val="24"/>
                <w:szCs w:val="24"/>
              </w:rPr>
            </w:pPr>
          </w:p>
        </w:tc>
        <w:tc>
          <w:tcPr>
            <w:tcW w:w="2125" w:type="dxa"/>
          </w:tcPr>
          <w:p w14:paraId="2087EBC8" w14:textId="77777777" w:rsidR="0067501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(30,000.00)</w:t>
            </w:r>
          </w:p>
        </w:tc>
      </w:tr>
      <w:tr w:rsidR="00690C4D" w:rsidRPr="00EA6D69" w14:paraId="6B351B6E" w14:textId="77777777" w:rsidTr="009D1F60">
        <w:tc>
          <w:tcPr>
            <w:tcW w:w="4957" w:type="dxa"/>
          </w:tcPr>
          <w:p w14:paraId="06E3ADF1" w14:textId="77777777" w:rsidR="00675010" w:rsidRPr="00EA6D69" w:rsidRDefault="008750FB">
            <w:pPr>
              <w:rPr>
                <w:rFonts w:ascii="Times New Roman" w:hAnsi="Times New Roman" w:cs="Times New Roman"/>
                <w:b/>
                <w:color w:val="000000" w:themeColor="text1"/>
                <w:sz w:val="24"/>
                <w:szCs w:val="24"/>
              </w:rPr>
            </w:pPr>
            <w:r w:rsidRPr="00EA6D69">
              <w:rPr>
                <w:rFonts w:ascii="Times New Roman" w:hAnsi="Times New Roman" w:cs="Times New Roman"/>
                <w:b/>
                <w:color w:val="000000" w:themeColor="text1"/>
                <w:sz w:val="24"/>
                <w:szCs w:val="24"/>
              </w:rPr>
              <w:t>Net income</w:t>
            </w:r>
          </w:p>
        </w:tc>
        <w:tc>
          <w:tcPr>
            <w:tcW w:w="2268" w:type="dxa"/>
          </w:tcPr>
          <w:p w14:paraId="6794ACB9" w14:textId="77777777" w:rsidR="00675010" w:rsidRPr="00EA6D69" w:rsidRDefault="00675010">
            <w:pPr>
              <w:rPr>
                <w:rFonts w:ascii="Times New Roman" w:hAnsi="Times New Roman" w:cs="Times New Roman"/>
                <w:color w:val="000000" w:themeColor="text1"/>
                <w:sz w:val="24"/>
                <w:szCs w:val="24"/>
              </w:rPr>
            </w:pPr>
          </w:p>
        </w:tc>
        <w:tc>
          <w:tcPr>
            <w:tcW w:w="2125" w:type="dxa"/>
          </w:tcPr>
          <w:p w14:paraId="4DB31B8F" w14:textId="77777777" w:rsidR="00675010" w:rsidRPr="00EA6D69" w:rsidRDefault="008750FB">
            <w:pP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26,350.00</w:t>
            </w:r>
          </w:p>
        </w:tc>
      </w:tr>
    </w:tbl>
    <w:p w14:paraId="6F6A4D09" w14:textId="77777777" w:rsidR="00BA3BC7" w:rsidRPr="00EA6D69" w:rsidRDefault="00BA3BC7">
      <w:pPr>
        <w:rPr>
          <w:rFonts w:ascii="Times New Roman" w:hAnsi="Times New Roman" w:cs="Times New Roman"/>
          <w:color w:val="000000" w:themeColor="text1"/>
          <w:sz w:val="24"/>
          <w:szCs w:val="24"/>
        </w:rPr>
      </w:pPr>
    </w:p>
    <w:p w14:paraId="5C1A38B2" w14:textId="77777777" w:rsidR="00BA3BC7" w:rsidRPr="00EA6D69" w:rsidRDefault="008750FB" w:rsidP="00323973">
      <w:pPr>
        <w:spacing w:line="480" w:lineRule="auto"/>
        <w:jc w:val="both"/>
        <w:rPr>
          <w:rFonts w:ascii="Times New Roman" w:hAnsi="Times New Roman" w:cs="Times New Roman"/>
          <w:b/>
          <w:i/>
          <w:color w:val="000000" w:themeColor="text1"/>
          <w:sz w:val="24"/>
          <w:szCs w:val="24"/>
        </w:rPr>
      </w:pPr>
      <w:r w:rsidRPr="00EA6D69">
        <w:rPr>
          <w:rFonts w:ascii="Times New Roman" w:hAnsi="Times New Roman" w:cs="Times New Roman"/>
          <w:b/>
          <w:i/>
          <w:color w:val="000000" w:themeColor="text1"/>
          <w:sz w:val="24"/>
          <w:szCs w:val="24"/>
        </w:rPr>
        <w:t>Statement of Financial Position</w:t>
      </w:r>
    </w:p>
    <w:p w14:paraId="74FDEA30" w14:textId="77777777" w:rsidR="00ED324A" w:rsidRPr="00EA6D69" w:rsidRDefault="008750FB" w:rsidP="00323973">
      <w:pPr>
        <w:spacing w:line="480" w:lineRule="auto"/>
        <w:jc w:val="both"/>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A statement of financial position is also called a balance sheet and it provides a summary of an organisation’s financial position at a given period (</w:t>
      </w:r>
      <w:r w:rsidR="008F22DE" w:rsidRPr="00EA6D69">
        <w:rPr>
          <w:rFonts w:ascii="Times New Roman" w:hAnsi="Times New Roman" w:cs="Times New Roman"/>
          <w:color w:val="000000" w:themeColor="text1"/>
          <w:sz w:val="24"/>
          <w:szCs w:val="24"/>
          <w:shd w:val="clear" w:color="auto" w:fill="FFFFFF"/>
        </w:rPr>
        <w:t>Griffin and Mahajan, 2019</w:t>
      </w:r>
      <w:r w:rsidRPr="00EA6D69">
        <w:rPr>
          <w:rFonts w:ascii="Times New Roman" w:hAnsi="Times New Roman" w:cs="Times New Roman"/>
          <w:color w:val="000000" w:themeColor="text1"/>
          <w:sz w:val="24"/>
          <w:szCs w:val="24"/>
        </w:rPr>
        <w:t xml:space="preserve">). According to </w:t>
      </w:r>
      <w:r w:rsidR="008F22DE" w:rsidRPr="00EA6D69">
        <w:rPr>
          <w:rFonts w:ascii="Times New Roman" w:hAnsi="Times New Roman" w:cs="Times New Roman"/>
          <w:color w:val="000000" w:themeColor="text1"/>
          <w:sz w:val="24"/>
          <w:szCs w:val="24"/>
          <w:shd w:val="clear" w:color="auto" w:fill="FFFFFF"/>
        </w:rPr>
        <w:t>Barker et al. (2022</w:t>
      </w:r>
      <w:r w:rsidRPr="00EA6D69">
        <w:rPr>
          <w:rFonts w:ascii="Times New Roman" w:hAnsi="Times New Roman" w:cs="Times New Roman"/>
          <w:color w:val="000000" w:themeColor="text1"/>
          <w:sz w:val="24"/>
          <w:szCs w:val="24"/>
        </w:rPr>
        <w:t>), a balance sheet is made up of three essential entries; assets, liabilities, and shareholder’s equity. Assets refer to the resources an organisation has while liabilities refer to the amount an organisation owes its creditors and lenders. Shareholder’s equity refers to the net assets an organisation has after the subtraction of all available liabilities. This financial document is mostly utilised by the management to make resource allocation decisions as well as the business owners and stakeholders to determine the financial health of the organisation.</w:t>
      </w:r>
      <w:r w:rsidR="0000554D" w:rsidRPr="00EA6D69">
        <w:rPr>
          <w:rFonts w:ascii="Times New Roman" w:hAnsi="Times New Roman" w:cs="Times New Roman"/>
          <w:color w:val="000000" w:themeColor="text1"/>
          <w:sz w:val="24"/>
          <w:szCs w:val="24"/>
        </w:rPr>
        <w:t xml:space="preserve"> Below is a statement of financial position for Wales PLC for the period ended 31</w:t>
      </w:r>
      <w:r w:rsidR="0000554D" w:rsidRPr="00EA6D69">
        <w:rPr>
          <w:rFonts w:ascii="Times New Roman" w:hAnsi="Times New Roman" w:cs="Times New Roman"/>
          <w:color w:val="000000" w:themeColor="text1"/>
          <w:sz w:val="24"/>
          <w:szCs w:val="24"/>
          <w:vertAlign w:val="superscript"/>
        </w:rPr>
        <w:t>st</w:t>
      </w:r>
      <w:r w:rsidR="0000554D" w:rsidRPr="00EA6D69">
        <w:rPr>
          <w:rFonts w:ascii="Times New Roman" w:hAnsi="Times New Roman" w:cs="Times New Roman"/>
          <w:color w:val="000000" w:themeColor="text1"/>
          <w:sz w:val="24"/>
          <w:szCs w:val="24"/>
        </w:rPr>
        <w:t xml:space="preserve"> December 2022.</w:t>
      </w:r>
    </w:p>
    <w:p w14:paraId="4C0E385C" w14:textId="77777777" w:rsidR="00323973" w:rsidRPr="00EA6D69" w:rsidRDefault="00323973" w:rsidP="00323973">
      <w:pPr>
        <w:spacing w:line="480" w:lineRule="auto"/>
        <w:jc w:val="both"/>
        <w:rPr>
          <w:rFonts w:ascii="Times New Roman" w:hAnsi="Times New Roman" w:cs="Times New Roman"/>
          <w:color w:val="000000" w:themeColor="text1"/>
          <w:sz w:val="24"/>
          <w:szCs w:val="24"/>
        </w:rPr>
      </w:pPr>
    </w:p>
    <w:p w14:paraId="58950440" w14:textId="39AA0CDF" w:rsidR="00F33A81" w:rsidRPr="00EA6D69" w:rsidRDefault="008750FB" w:rsidP="00323973">
      <w:pPr>
        <w:spacing w:line="480" w:lineRule="auto"/>
        <w:jc w:val="both"/>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lastRenderedPageBreak/>
        <w:t>Total retained earnings: retained profits as at January 1 202</w:t>
      </w:r>
      <w:r w:rsidR="00CF27AD" w:rsidRPr="00EA6D69">
        <w:rPr>
          <w:rFonts w:ascii="Times New Roman" w:hAnsi="Times New Roman" w:cs="Times New Roman"/>
          <w:color w:val="000000" w:themeColor="text1"/>
          <w:sz w:val="24"/>
          <w:szCs w:val="24"/>
        </w:rPr>
        <w:t>2</w:t>
      </w:r>
      <w:r w:rsidRPr="00EA6D69">
        <w:rPr>
          <w:rFonts w:ascii="Times New Roman" w:hAnsi="Times New Roman" w:cs="Times New Roman"/>
          <w:color w:val="000000" w:themeColor="text1"/>
          <w:sz w:val="24"/>
          <w:szCs w:val="24"/>
        </w:rPr>
        <w:t xml:space="preserve"> + net income</w:t>
      </w:r>
      <w:r w:rsidR="00675010" w:rsidRPr="00EA6D69">
        <w:rPr>
          <w:rFonts w:ascii="Times New Roman" w:hAnsi="Times New Roman" w:cs="Times New Roman"/>
          <w:color w:val="000000" w:themeColor="text1"/>
          <w:sz w:val="24"/>
          <w:szCs w:val="24"/>
        </w:rPr>
        <w:t xml:space="preserve"> less ordinary dividend paid</w:t>
      </w:r>
    </w:p>
    <w:p w14:paraId="67D0FB7E" w14:textId="77777777" w:rsidR="00B022FC" w:rsidRPr="00EA6D69" w:rsidRDefault="008750FB" w:rsidP="00323973">
      <w:pPr>
        <w:spacing w:line="480" w:lineRule="auto"/>
        <w:jc w:val="both"/>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rPr>
        <w:t xml:space="preserve">Total Ordinary dividends paid: </w:t>
      </w:r>
      <w:r w:rsidRPr="00EA6D69">
        <w:rPr>
          <w:rFonts w:ascii="Times New Roman" w:hAnsi="Times New Roman" w:cs="Times New Roman"/>
          <w:color w:val="000000" w:themeColor="text1"/>
          <w:sz w:val="24"/>
          <w:szCs w:val="24"/>
          <w:shd w:val="clear" w:color="auto" w:fill="FFFFFF"/>
        </w:rPr>
        <w:t>£20,000</w:t>
      </w:r>
    </w:p>
    <w:p w14:paraId="574CEE5C" w14:textId="77777777" w:rsidR="00F33A81" w:rsidRPr="00EA6D69" w:rsidRDefault="008750FB" w:rsidP="00323973">
      <w:pPr>
        <w:spacing w:line="480" w:lineRule="auto"/>
        <w:jc w:val="both"/>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shd w:val="clear" w:color="auto" w:fill="FFFFFF"/>
        </w:rPr>
        <w:t>(£</w:t>
      </w:r>
      <w:r w:rsidRPr="00EA6D69">
        <w:rPr>
          <w:rFonts w:ascii="Times New Roman" w:hAnsi="Times New Roman" w:cs="Times New Roman"/>
          <w:color w:val="000000" w:themeColor="text1"/>
          <w:sz w:val="24"/>
          <w:szCs w:val="24"/>
        </w:rPr>
        <w:t xml:space="preserve">132,000 + </w:t>
      </w:r>
      <w:r w:rsidRPr="00EA6D69">
        <w:rPr>
          <w:rFonts w:ascii="Times New Roman" w:hAnsi="Times New Roman" w:cs="Times New Roman"/>
          <w:color w:val="000000" w:themeColor="text1"/>
          <w:sz w:val="24"/>
          <w:szCs w:val="24"/>
          <w:shd w:val="clear" w:color="auto" w:fill="FFFFFF"/>
        </w:rPr>
        <w:t>£2</w:t>
      </w:r>
      <w:r w:rsidRPr="00EA6D69">
        <w:rPr>
          <w:rFonts w:ascii="Times New Roman" w:hAnsi="Times New Roman" w:cs="Times New Roman"/>
          <w:color w:val="000000" w:themeColor="text1"/>
          <w:sz w:val="24"/>
          <w:szCs w:val="24"/>
        </w:rPr>
        <w:t>6,350) – (</w:t>
      </w:r>
      <w:r w:rsidRPr="00EA6D69">
        <w:rPr>
          <w:rFonts w:ascii="Times New Roman" w:hAnsi="Times New Roman" w:cs="Times New Roman"/>
          <w:color w:val="000000" w:themeColor="text1"/>
          <w:sz w:val="24"/>
          <w:szCs w:val="24"/>
          <w:shd w:val="clear" w:color="auto" w:fill="FFFFFF"/>
        </w:rPr>
        <w:t>£</w:t>
      </w:r>
      <w:r w:rsidRPr="00EA6D69">
        <w:rPr>
          <w:rFonts w:ascii="Times New Roman" w:hAnsi="Times New Roman" w:cs="Times New Roman"/>
          <w:color w:val="000000" w:themeColor="text1"/>
          <w:sz w:val="24"/>
          <w:szCs w:val="24"/>
        </w:rPr>
        <w:t xml:space="preserve">20,000) = </w:t>
      </w:r>
      <w:r w:rsidRPr="00EA6D69">
        <w:rPr>
          <w:rFonts w:ascii="Times New Roman" w:hAnsi="Times New Roman" w:cs="Times New Roman"/>
          <w:color w:val="000000" w:themeColor="text1"/>
          <w:sz w:val="24"/>
          <w:szCs w:val="24"/>
          <w:shd w:val="clear" w:color="auto" w:fill="FFFFFF"/>
        </w:rPr>
        <w:t>£</w:t>
      </w:r>
      <w:r w:rsidRPr="00EA6D69">
        <w:rPr>
          <w:rFonts w:ascii="Times New Roman" w:hAnsi="Times New Roman" w:cs="Times New Roman"/>
          <w:color w:val="000000" w:themeColor="text1"/>
          <w:sz w:val="24"/>
          <w:szCs w:val="24"/>
        </w:rPr>
        <w:t>138,350</w:t>
      </w:r>
    </w:p>
    <w:p w14:paraId="3D61143E" w14:textId="5368C865" w:rsidR="00F33A81" w:rsidRPr="00EA6D69" w:rsidRDefault="008750FB" w:rsidP="00323973">
      <w:pPr>
        <w:spacing w:line="480" w:lineRule="auto"/>
        <w:jc w:val="both"/>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rPr>
        <w:t>Reduction in stock due to goods released</w:t>
      </w:r>
      <w:r w:rsidR="00CF27AD" w:rsidRPr="00EA6D69">
        <w:rPr>
          <w:rFonts w:ascii="Times New Roman" w:hAnsi="Times New Roman" w:cs="Times New Roman"/>
          <w:color w:val="000000" w:themeColor="text1"/>
          <w:sz w:val="24"/>
          <w:szCs w:val="24"/>
        </w:rPr>
        <w:t xml:space="preserve"> on 31</w:t>
      </w:r>
      <w:r w:rsidR="00CF27AD" w:rsidRPr="00EA6D69">
        <w:rPr>
          <w:rFonts w:ascii="Times New Roman" w:hAnsi="Times New Roman" w:cs="Times New Roman"/>
          <w:color w:val="000000" w:themeColor="text1"/>
          <w:sz w:val="24"/>
          <w:szCs w:val="24"/>
          <w:vertAlign w:val="superscript"/>
        </w:rPr>
        <w:t>st</w:t>
      </w:r>
      <w:r w:rsidR="00CF27AD" w:rsidRPr="00EA6D69">
        <w:rPr>
          <w:rFonts w:ascii="Times New Roman" w:hAnsi="Times New Roman" w:cs="Times New Roman"/>
          <w:color w:val="000000" w:themeColor="text1"/>
          <w:sz w:val="24"/>
          <w:szCs w:val="24"/>
        </w:rPr>
        <w:t xml:space="preserve"> December 2022</w:t>
      </w:r>
      <w:r w:rsidRPr="00EA6D69">
        <w:rPr>
          <w:rFonts w:ascii="Times New Roman" w:hAnsi="Times New Roman" w:cs="Times New Roman"/>
          <w:color w:val="000000" w:themeColor="text1"/>
          <w:sz w:val="24"/>
          <w:szCs w:val="24"/>
        </w:rPr>
        <w:t xml:space="preserve">: </w:t>
      </w:r>
      <w:r w:rsidRPr="00EA6D69">
        <w:rPr>
          <w:rFonts w:ascii="Times New Roman" w:hAnsi="Times New Roman" w:cs="Times New Roman"/>
          <w:color w:val="000000" w:themeColor="text1"/>
          <w:sz w:val="24"/>
          <w:szCs w:val="24"/>
          <w:shd w:val="clear" w:color="auto" w:fill="FFFFFF"/>
        </w:rPr>
        <w:t>£510,850 - £980 = £509,870</w:t>
      </w:r>
    </w:p>
    <w:p w14:paraId="505259AD" w14:textId="77777777" w:rsidR="00675010" w:rsidRPr="00EA6D69" w:rsidRDefault="008750FB" w:rsidP="00323973">
      <w:pPr>
        <w:spacing w:line="480" w:lineRule="auto"/>
        <w:jc w:val="both"/>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 xml:space="preserve">Total trades receivable: </w:t>
      </w:r>
      <w:r w:rsidRPr="00EA6D69">
        <w:rPr>
          <w:rFonts w:ascii="Times New Roman" w:hAnsi="Times New Roman" w:cs="Times New Roman"/>
          <w:color w:val="000000" w:themeColor="text1"/>
          <w:sz w:val="24"/>
          <w:szCs w:val="24"/>
          <w:shd w:val="clear" w:color="auto" w:fill="FFFFFF"/>
        </w:rPr>
        <w:t>£170,125 + £980 = £171,105</w:t>
      </w:r>
    </w:p>
    <w:tbl>
      <w:tblPr>
        <w:tblStyle w:val="TableGrid"/>
        <w:tblW w:w="0" w:type="auto"/>
        <w:tblLook w:val="04A0" w:firstRow="1" w:lastRow="0" w:firstColumn="1" w:lastColumn="0" w:noHBand="0" w:noVBand="1"/>
      </w:tblPr>
      <w:tblGrid>
        <w:gridCol w:w="2224"/>
        <w:gridCol w:w="1408"/>
        <w:gridCol w:w="1176"/>
        <w:gridCol w:w="2238"/>
        <w:gridCol w:w="1128"/>
        <w:gridCol w:w="1176"/>
      </w:tblGrid>
      <w:tr w:rsidR="00065BB5" w:rsidRPr="00EA6D69" w14:paraId="238B85AE" w14:textId="77777777" w:rsidTr="008F22DE">
        <w:tc>
          <w:tcPr>
            <w:tcW w:w="9350" w:type="dxa"/>
            <w:gridSpan w:val="6"/>
          </w:tcPr>
          <w:p w14:paraId="024722CF" w14:textId="77777777" w:rsidR="00ED324A" w:rsidRPr="00EA6D69" w:rsidRDefault="008750FB" w:rsidP="00ED324A">
            <w:pPr>
              <w:jc w:val="center"/>
              <w:rPr>
                <w:rFonts w:ascii="Times New Roman" w:hAnsi="Times New Roman" w:cs="Times New Roman"/>
                <w:color w:val="000000" w:themeColor="text1"/>
                <w:sz w:val="24"/>
                <w:szCs w:val="24"/>
              </w:rPr>
            </w:pPr>
            <w:r w:rsidRPr="00EA6D69">
              <w:rPr>
                <w:rFonts w:ascii="Times New Roman" w:hAnsi="Times New Roman" w:cs="Times New Roman"/>
                <w:color w:val="000000" w:themeColor="text1"/>
                <w:sz w:val="24"/>
                <w:szCs w:val="24"/>
              </w:rPr>
              <w:t>Wales PLC</w:t>
            </w:r>
          </w:p>
          <w:p w14:paraId="7E0F1452" w14:textId="77777777" w:rsidR="00ED324A" w:rsidRPr="00EA6D69" w:rsidRDefault="008750FB" w:rsidP="00ED324A">
            <w:pPr>
              <w:jc w:val="cente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rPr>
              <w:t>Balance Sheet for the period ended 31</w:t>
            </w:r>
            <w:r w:rsidRPr="00EA6D69">
              <w:rPr>
                <w:rFonts w:ascii="Times New Roman" w:hAnsi="Times New Roman" w:cs="Times New Roman"/>
                <w:color w:val="000000" w:themeColor="text1"/>
                <w:sz w:val="24"/>
                <w:szCs w:val="24"/>
                <w:vertAlign w:val="superscript"/>
              </w:rPr>
              <w:t>st</w:t>
            </w:r>
            <w:r w:rsidRPr="00EA6D69">
              <w:rPr>
                <w:rFonts w:ascii="Times New Roman" w:hAnsi="Times New Roman" w:cs="Times New Roman"/>
                <w:color w:val="000000" w:themeColor="text1"/>
                <w:sz w:val="24"/>
                <w:szCs w:val="24"/>
              </w:rPr>
              <w:t xml:space="preserve"> December 2022</w:t>
            </w:r>
          </w:p>
        </w:tc>
      </w:tr>
      <w:tr w:rsidR="00065BB5" w:rsidRPr="00EA6D69" w14:paraId="0B624A39" w14:textId="77777777" w:rsidTr="00ED324A">
        <w:tc>
          <w:tcPr>
            <w:tcW w:w="2263" w:type="dxa"/>
          </w:tcPr>
          <w:p w14:paraId="3A942061"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1418" w:type="dxa"/>
          </w:tcPr>
          <w:p w14:paraId="5FAAFD9B"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w:t>
            </w:r>
          </w:p>
        </w:tc>
        <w:tc>
          <w:tcPr>
            <w:tcW w:w="1134" w:type="dxa"/>
          </w:tcPr>
          <w:p w14:paraId="3DD01161"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w:t>
            </w:r>
          </w:p>
        </w:tc>
        <w:tc>
          <w:tcPr>
            <w:tcW w:w="2268" w:type="dxa"/>
          </w:tcPr>
          <w:p w14:paraId="7237898E"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1134" w:type="dxa"/>
          </w:tcPr>
          <w:p w14:paraId="57A50C30"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w:t>
            </w:r>
          </w:p>
        </w:tc>
        <w:tc>
          <w:tcPr>
            <w:tcW w:w="1133" w:type="dxa"/>
          </w:tcPr>
          <w:p w14:paraId="71D17429"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w:t>
            </w:r>
          </w:p>
        </w:tc>
      </w:tr>
      <w:tr w:rsidR="00065BB5" w:rsidRPr="00EA6D69" w14:paraId="0723859E" w14:textId="77777777" w:rsidTr="00ED324A">
        <w:tc>
          <w:tcPr>
            <w:tcW w:w="2263" w:type="dxa"/>
          </w:tcPr>
          <w:p w14:paraId="54C633F7" w14:textId="77777777" w:rsidR="00ED324A" w:rsidRPr="00EA6D69" w:rsidRDefault="008750FB" w:rsidP="0000554D">
            <w:pPr>
              <w:rPr>
                <w:rFonts w:ascii="Times New Roman" w:hAnsi="Times New Roman" w:cs="Times New Roman"/>
                <w:b/>
                <w:color w:val="000000" w:themeColor="text1"/>
                <w:sz w:val="24"/>
                <w:szCs w:val="24"/>
                <w:shd w:val="clear" w:color="auto" w:fill="FFFFFF"/>
              </w:rPr>
            </w:pPr>
            <w:r w:rsidRPr="00EA6D69">
              <w:rPr>
                <w:rFonts w:ascii="Times New Roman" w:hAnsi="Times New Roman" w:cs="Times New Roman"/>
                <w:b/>
                <w:color w:val="000000" w:themeColor="text1"/>
                <w:sz w:val="24"/>
                <w:szCs w:val="24"/>
                <w:shd w:val="clear" w:color="auto" w:fill="FFFFFF"/>
              </w:rPr>
              <w:t>Long-term assets</w:t>
            </w:r>
          </w:p>
        </w:tc>
        <w:tc>
          <w:tcPr>
            <w:tcW w:w="1418" w:type="dxa"/>
          </w:tcPr>
          <w:p w14:paraId="52C45A9A"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1134" w:type="dxa"/>
          </w:tcPr>
          <w:p w14:paraId="51D4B7E9"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2268" w:type="dxa"/>
          </w:tcPr>
          <w:p w14:paraId="68A04A0C" w14:textId="77777777" w:rsidR="00ED324A" w:rsidRPr="00EA6D69" w:rsidRDefault="008750FB" w:rsidP="0000554D">
            <w:pPr>
              <w:rPr>
                <w:rFonts w:ascii="Times New Roman" w:hAnsi="Times New Roman" w:cs="Times New Roman"/>
                <w:b/>
                <w:color w:val="000000" w:themeColor="text1"/>
                <w:sz w:val="24"/>
                <w:szCs w:val="24"/>
                <w:shd w:val="clear" w:color="auto" w:fill="FFFFFF"/>
              </w:rPr>
            </w:pPr>
            <w:r w:rsidRPr="00EA6D69">
              <w:rPr>
                <w:rFonts w:ascii="Times New Roman" w:hAnsi="Times New Roman" w:cs="Times New Roman"/>
                <w:b/>
                <w:color w:val="000000" w:themeColor="text1"/>
                <w:sz w:val="24"/>
                <w:szCs w:val="24"/>
                <w:shd w:val="clear" w:color="auto" w:fill="FFFFFF"/>
              </w:rPr>
              <w:t>Equity</w:t>
            </w:r>
          </w:p>
        </w:tc>
        <w:tc>
          <w:tcPr>
            <w:tcW w:w="1134" w:type="dxa"/>
          </w:tcPr>
          <w:p w14:paraId="6845977B"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1133" w:type="dxa"/>
          </w:tcPr>
          <w:p w14:paraId="50D143D1"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r>
      <w:tr w:rsidR="00065BB5" w:rsidRPr="00EA6D69" w14:paraId="59753622" w14:textId="77777777" w:rsidTr="00ED324A">
        <w:tc>
          <w:tcPr>
            <w:tcW w:w="2263" w:type="dxa"/>
          </w:tcPr>
          <w:p w14:paraId="78C9A5F5"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Plant and Equipment</w:t>
            </w:r>
          </w:p>
        </w:tc>
        <w:tc>
          <w:tcPr>
            <w:tcW w:w="1418" w:type="dxa"/>
          </w:tcPr>
          <w:p w14:paraId="6AF0A49B"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1,250,000</w:t>
            </w:r>
          </w:p>
        </w:tc>
        <w:tc>
          <w:tcPr>
            <w:tcW w:w="1134" w:type="dxa"/>
          </w:tcPr>
          <w:p w14:paraId="2CE7D136"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2268" w:type="dxa"/>
          </w:tcPr>
          <w:p w14:paraId="5451C4AE"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Ordinary shares</w:t>
            </w:r>
          </w:p>
        </w:tc>
        <w:tc>
          <w:tcPr>
            <w:tcW w:w="1134" w:type="dxa"/>
          </w:tcPr>
          <w:p w14:paraId="5FF32CAA"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900,000</w:t>
            </w:r>
          </w:p>
        </w:tc>
        <w:tc>
          <w:tcPr>
            <w:tcW w:w="1133" w:type="dxa"/>
          </w:tcPr>
          <w:p w14:paraId="0F054D5A"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r>
      <w:tr w:rsidR="00065BB5" w:rsidRPr="00EA6D69" w14:paraId="36F7DFE4" w14:textId="77777777" w:rsidTr="00ED324A">
        <w:tc>
          <w:tcPr>
            <w:tcW w:w="2263" w:type="dxa"/>
          </w:tcPr>
          <w:p w14:paraId="00AA9849"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1418" w:type="dxa"/>
          </w:tcPr>
          <w:p w14:paraId="2BA0EB82"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1134" w:type="dxa"/>
          </w:tcPr>
          <w:p w14:paraId="57779C8A" w14:textId="77777777" w:rsidR="00ED324A" w:rsidRPr="00EA6D69" w:rsidRDefault="008750FB" w:rsidP="0000554D">
            <w:pPr>
              <w:rPr>
                <w:rFonts w:ascii="Times New Roman" w:hAnsi="Times New Roman" w:cs="Times New Roman"/>
                <w:b/>
                <w:color w:val="000000" w:themeColor="text1"/>
                <w:sz w:val="24"/>
                <w:szCs w:val="24"/>
                <w:shd w:val="clear" w:color="auto" w:fill="FFFFFF"/>
              </w:rPr>
            </w:pPr>
            <w:r w:rsidRPr="00EA6D69">
              <w:rPr>
                <w:rFonts w:ascii="Times New Roman" w:hAnsi="Times New Roman" w:cs="Times New Roman"/>
                <w:b/>
                <w:color w:val="000000" w:themeColor="text1"/>
                <w:sz w:val="24"/>
                <w:szCs w:val="24"/>
                <w:shd w:val="clear" w:color="auto" w:fill="FFFFFF"/>
              </w:rPr>
              <w:t>1,250,000</w:t>
            </w:r>
          </w:p>
        </w:tc>
        <w:tc>
          <w:tcPr>
            <w:tcW w:w="2268" w:type="dxa"/>
          </w:tcPr>
          <w:p w14:paraId="22BD35F6"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10% preference shares</w:t>
            </w:r>
          </w:p>
        </w:tc>
        <w:tc>
          <w:tcPr>
            <w:tcW w:w="1134" w:type="dxa"/>
          </w:tcPr>
          <w:p w14:paraId="4FCBD5AA"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500,000</w:t>
            </w:r>
          </w:p>
        </w:tc>
        <w:tc>
          <w:tcPr>
            <w:tcW w:w="1133" w:type="dxa"/>
          </w:tcPr>
          <w:p w14:paraId="59D0B68B"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r>
      <w:tr w:rsidR="00065BB5" w:rsidRPr="00EA6D69" w14:paraId="011D3267" w14:textId="77777777" w:rsidTr="00ED324A">
        <w:tc>
          <w:tcPr>
            <w:tcW w:w="2263" w:type="dxa"/>
          </w:tcPr>
          <w:p w14:paraId="5E550F29"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1418" w:type="dxa"/>
          </w:tcPr>
          <w:p w14:paraId="00336FDD"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1134" w:type="dxa"/>
          </w:tcPr>
          <w:p w14:paraId="50572E34" w14:textId="77777777" w:rsidR="00ED324A" w:rsidRPr="00EA6D69" w:rsidRDefault="00ED324A" w:rsidP="0000554D">
            <w:pPr>
              <w:rPr>
                <w:rFonts w:ascii="Times New Roman" w:hAnsi="Times New Roman" w:cs="Times New Roman"/>
                <w:b/>
                <w:color w:val="000000" w:themeColor="text1"/>
                <w:sz w:val="24"/>
                <w:szCs w:val="24"/>
                <w:shd w:val="clear" w:color="auto" w:fill="FFFFFF"/>
              </w:rPr>
            </w:pPr>
          </w:p>
        </w:tc>
        <w:tc>
          <w:tcPr>
            <w:tcW w:w="2268" w:type="dxa"/>
          </w:tcPr>
          <w:p w14:paraId="3B944E38" w14:textId="6123400F" w:rsidR="00ED324A" w:rsidRPr="00EA6D69" w:rsidRDefault="00CF27AD"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2</w:t>
            </w:r>
            <w:r w:rsidR="008750FB" w:rsidRPr="00EA6D69">
              <w:rPr>
                <w:rFonts w:ascii="Times New Roman" w:hAnsi="Times New Roman" w:cs="Times New Roman"/>
                <w:color w:val="000000" w:themeColor="text1"/>
                <w:sz w:val="24"/>
                <w:szCs w:val="24"/>
                <w:shd w:val="clear" w:color="auto" w:fill="FFFFFF"/>
              </w:rPr>
              <w:t>% debentures</w:t>
            </w:r>
          </w:p>
        </w:tc>
        <w:tc>
          <w:tcPr>
            <w:tcW w:w="1134" w:type="dxa"/>
          </w:tcPr>
          <w:p w14:paraId="43898D97"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200,000</w:t>
            </w:r>
          </w:p>
        </w:tc>
        <w:tc>
          <w:tcPr>
            <w:tcW w:w="1133" w:type="dxa"/>
          </w:tcPr>
          <w:p w14:paraId="0F09AC21"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r>
      <w:tr w:rsidR="00065BB5" w:rsidRPr="00EA6D69" w14:paraId="731F053E" w14:textId="77777777" w:rsidTr="00ED324A">
        <w:tc>
          <w:tcPr>
            <w:tcW w:w="2263" w:type="dxa"/>
          </w:tcPr>
          <w:p w14:paraId="582346AC" w14:textId="77777777" w:rsidR="00BC6AE2" w:rsidRPr="00EA6D69" w:rsidRDefault="008750FB" w:rsidP="0000554D">
            <w:pPr>
              <w:rPr>
                <w:rFonts w:ascii="Times New Roman" w:hAnsi="Times New Roman" w:cs="Times New Roman"/>
                <w:b/>
                <w:color w:val="000000" w:themeColor="text1"/>
                <w:sz w:val="24"/>
                <w:szCs w:val="24"/>
                <w:shd w:val="clear" w:color="auto" w:fill="FFFFFF"/>
              </w:rPr>
            </w:pPr>
            <w:r w:rsidRPr="00EA6D69">
              <w:rPr>
                <w:rFonts w:ascii="Times New Roman" w:hAnsi="Times New Roman" w:cs="Times New Roman"/>
                <w:b/>
                <w:color w:val="000000" w:themeColor="text1"/>
                <w:sz w:val="24"/>
                <w:szCs w:val="24"/>
                <w:shd w:val="clear" w:color="auto" w:fill="FFFFFF"/>
              </w:rPr>
              <w:t>Short-term assets</w:t>
            </w:r>
          </w:p>
        </w:tc>
        <w:tc>
          <w:tcPr>
            <w:tcW w:w="1418" w:type="dxa"/>
          </w:tcPr>
          <w:p w14:paraId="5C5B2999" w14:textId="77777777" w:rsidR="00BC6AE2" w:rsidRPr="00EA6D69" w:rsidRDefault="00BC6AE2" w:rsidP="0000554D">
            <w:pPr>
              <w:rPr>
                <w:rFonts w:ascii="Times New Roman" w:hAnsi="Times New Roman" w:cs="Times New Roman"/>
                <w:color w:val="000000" w:themeColor="text1"/>
                <w:sz w:val="24"/>
                <w:szCs w:val="24"/>
                <w:shd w:val="clear" w:color="auto" w:fill="FFFFFF"/>
              </w:rPr>
            </w:pPr>
          </w:p>
        </w:tc>
        <w:tc>
          <w:tcPr>
            <w:tcW w:w="1134" w:type="dxa"/>
          </w:tcPr>
          <w:p w14:paraId="3057B437" w14:textId="77777777" w:rsidR="00BC6AE2" w:rsidRPr="00EA6D69" w:rsidRDefault="00BC6AE2" w:rsidP="0000554D">
            <w:pPr>
              <w:rPr>
                <w:rFonts w:ascii="Times New Roman" w:hAnsi="Times New Roman" w:cs="Times New Roman"/>
                <w:b/>
                <w:color w:val="000000" w:themeColor="text1"/>
                <w:sz w:val="24"/>
                <w:szCs w:val="24"/>
                <w:shd w:val="clear" w:color="auto" w:fill="FFFFFF"/>
              </w:rPr>
            </w:pPr>
          </w:p>
        </w:tc>
        <w:tc>
          <w:tcPr>
            <w:tcW w:w="2268" w:type="dxa"/>
          </w:tcPr>
          <w:p w14:paraId="2FA96F75" w14:textId="77777777" w:rsidR="00BC6AE2"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Retained earnings</w:t>
            </w:r>
          </w:p>
        </w:tc>
        <w:tc>
          <w:tcPr>
            <w:tcW w:w="1134" w:type="dxa"/>
          </w:tcPr>
          <w:p w14:paraId="1225AE4E" w14:textId="77777777" w:rsidR="00BC6AE2" w:rsidRPr="00EA6D69" w:rsidRDefault="008750FB" w:rsidP="0000554D">
            <w:pPr>
              <w:rPr>
                <w:rFonts w:ascii="Times New Roman" w:hAnsi="Times New Roman" w:cs="Times New Roman"/>
                <w:color w:val="000000" w:themeColor="text1"/>
                <w:sz w:val="24"/>
                <w:szCs w:val="24"/>
                <w:highlight w:val="yellow"/>
                <w:shd w:val="clear" w:color="auto" w:fill="FFFFFF"/>
              </w:rPr>
            </w:pPr>
            <w:r w:rsidRPr="00EA6D69">
              <w:rPr>
                <w:rFonts w:ascii="Times New Roman" w:hAnsi="Times New Roman" w:cs="Times New Roman"/>
                <w:color w:val="000000" w:themeColor="text1"/>
                <w:sz w:val="24"/>
                <w:szCs w:val="24"/>
                <w:shd w:val="clear" w:color="auto" w:fill="FFFFFF"/>
              </w:rPr>
              <w:t>138,350</w:t>
            </w:r>
          </w:p>
        </w:tc>
        <w:tc>
          <w:tcPr>
            <w:tcW w:w="1133" w:type="dxa"/>
          </w:tcPr>
          <w:p w14:paraId="4A9C8ECC" w14:textId="77777777" w:rsidR="00BC6AE2" w:rsidRPr="00EA6D69" w:rsidRDefault="00BC6AE2" w:rsidP="0000554D">
            <w:pPr>
              <w:rPr>
                <w:rFonts w:ascii="Times New Roman" w:hAnsi="Times New Roman" w:cs="Times New Roman"/>
                <w:color w:val="000000" w:themeColor="text1"/>
                <w:sz w:val="24"/>
                <w:szCs w:val="24"/>
                <w:shd w:val="clear" w:color="auto" w:fill="FFFFFF"/>
              </w:rPr>
            </w:pPr>
          </w:p>
        </w:tc>
      </w:tr>
      <w:tr w:rsidR="00065BB5" w:rsidRPr="00EA6D69" w14:paraId="391391C5" w14:textId="77777777" w:rsidTr="00ED324A">
        <w:tc>
          <w:tcPr>
            <w:tcW w:w="2263" w:type="dxa"/>
          </w:tcPr>
          <w:p w14:paraId="08191343"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Stock</w:t>
            </w:r>
          </w:p>
        </w:tc>
        <w:tc>
          <w:tcPr>
            <w:tcW w:w="1418" w:type="dxa"/>
          </w:tcPr>
          <w:p w14:paraId="4504AF01"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509,870</w:t>
            </w:r>
          </w:p>
        </w:tc>
        <w:tc>
          <w:tcPr>
            <w:tcW w:w="1134" w:type="dxa"/>
          </w:tcPr>
          <w:p w14:paraId="5FBAA602" w14:textId="77777777" w:rsidR="00ED324A" w:rsidRPr="00EA6D69" w:rsidRDefault="00ED324A" w:rsidP="0000554D">
            <w:pPr>
              <w:rPr>
                <w:rFonts w:ascii="Times New Roman" w:hAnsi="Times New Roman" w:cs="Times New Roman"/>
                <w:b/>
                <w:color w:val="000000" w:themeColor="text1"/>
                <w:sz w:val="24"/>
                <w:szCs w:val="24"/>
                <w:shd w:val="clear" w:color="auto" w:fill="FFFFFF"/>
              </w:rPr>
            </w:pPr>
          </w:p>
        </w:tc>
        <w:tc>
          <w:tcPr>
            <w:tcW w:w="2268" w:type="dxa"/>
          </w:tcPr>
          <w:p w14:paraId="167F831B"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1134" w:type="dxa"/>
          </w:tcPr>
          <w:p w14:paraId="34D55742"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1133" w:type="dxa"/>
          </w:tcPr>
          <w:p w14:paraId="77815E82" w14:textId="77777777" w:rsidR="00ED324A" w:rsidRPr="00EA6D69" w:rsidRDefault="008750FB" w:rsidP="0000554D">
            <w:pPr>
              <w:rPr>
                <w:rFonts w:ascii="Times New Roman" w:hAnsi="Times New Roman" w:cs="Times New Roman"/>
                <w:b/>
                <w:color w:val="000000" w:themeColor="text1"/>
                <w:sz w:val="24"/>
                <w:szCs w:val="24"/>
                <w:shd w:val="clear" w:color="auto" w:fill="FFFFFF"/>
              </w:rPr>
            </w:pPr>
            <w:r w:rsidRPr="00EA6D69">
              <w:rPr>
                <w:rFonts w:ascii="Times New Roman" w:hAnsi="Times New Roman" w:cs="Times New Roman"/>
                <w:b/>
                <w:color w:val="000000" w:themeColor="text1"/>
                <w:sz w:val="24"/>
                <w:szCs w:val="24"/>
                <w:shd w:val="clear" w:color="auto" w:fill="FFFFFF"/>
              </w:rPr>
              <w:t>1,</w:t>
            </w:r>
            <w:r w:rsidR="00F33A81" w:rsidRPr="00EA6D69">
              <w:rPr>
                <w:rFonts w:ascii="Times New Roman" w:hAnsi="Times New Roman" w:cs="Times New Roman"/>
                <w:b/>
                <w:color w:val="000000" w:themeColor="text1"/>
                <w:sz w:val="24"/>
                <w:szCs w:val="24"/>
                <w:shd w:val="clear" w:color="auto" w:fill="FFFFFF"/>
              </w:rPr>
              <w:t>738</w:t>
            </w:r>
            <w:r w:rsidRPr="00EA6D69">
              <w:rPr>
                <w:rFonts w:ascii="Times New Roman" w:hAnsi="Times New Roman" w:cs="Times New Roman"/>
                <w:b/>
                <w:color w:val="000000" w:themeColor="text1"/>
                <w:sz w:val="24"/>
                <w:szCs w:val="24"/>
                <w:shd w:val="clear" w:color="auto" w:fill="FFFFFF"/>
              </w:rPr>
              <w:t>,</w:t>
            </w:r>
            <w:r w:rsidR="00F33A81" w:rsidRPr="00EA6D69">
              <w:rPr>
                <w:rFonts w:ascii="Times New Roman" w:hAnsi="Times New Roman" w:cs="Times New Roman"/>
                <w:b/>
                <w:color w:val="000000" w:themeColor="text1"/>
                <w:sz w:val="24"/>
                <w:szCs w:val="24"/>
                <w:shd w:val="clear" w:color="auto" w:fill="FFFFFF"/>
              </w:rPr>
              <w:t>350</w:t>
            </w:r>
          </w:p>
        </w:tc>
      </w:tr>
      <w:tr w:rsidR="00065BB5" w:rsidRPr="00EA6D69" w14:paraId="1ABD90AF" w14:textId="77777777" w:rsidTr="00ED324A">
        <w:tc>
          <w:tcPr>
            <w:tcW w:w="2263" w:type="dxa"/>
          </w:tcPr>
          <w:p w14:paraId="3ECC05D0"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Trade receivable</w:t>
            </w:r>
          </w:p>
        </w:tc>
        <w:tc>
          <w:tcPr>
            <w:tcW w:w="1418" w:type="dxa"/>
          </w:tcPr>
          <w:p w14:paraId="3407CED6"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17</w:t>
            </w:r>
            <w:r w:rsidR="00675010" w:rsidRPr="00EA6D69">
              <w:rPr>
                <w:rFonts w:ascii="Times New Roman" w:hAnsi="Times New Roman" w:cs="Times New Roman"/>
                <w:color w:val="000000" w:themeColor="text1"/>
                <w:sz w:val="24"/>
                <w:szCs w:val="24"/>
                <w:shd w:val="clear" w:color="auto" w:fill="FFFFFF"/>
              </w:rPr>
              <w:t>1,105</w:t>
            </w:r>
          </w:p>
        </w:tc>
        <w:tc>
          <w:tcPr>
            <w:tcW w:w="1134" w:type="dxa"/>
          </w:tcPr>
          <w:p w14:paraId="2A96AC27" w14:textId="77777777" w:rsidR="00ED324A" w:rsidRPr="00EA6D69" w:rsidRDefault="00ED324A" w:rsidP="0000554D">
            <w:pPr>
              <w:rPr>
                <w:rFonts w:ascii="Times New Roman" w:hAnsi="Times New Roman" w:cs="Times New Roman"/>
                <w:b/>
                <w:color w:val="000000" w:themeColor="text1"/>
                <w:sz w:val="24"/>
                <w:szCs w:val="24"/>
                <w:shd w:val="clear" w:color="auto" w:fill="FFFFFF"/>
              </w:rPr>
            </w:pPr>
          </w:p>
        </w:tc>
        <w:tc>
          <w:tcPr>
            <w:tcW w:w="2268" w:type="dxa"/>
          </w:tcPr>
          <w:p w14:paraId="715727C9" w14:textId="77777777" w:rsidR="00ED324A" w:rsidRPr="00EA6D69" w:rsidRDefault="008750FB" w:rsidP="0000554D">
            <w:pPr>
              <w:rPr>
                <w:rFonts w:ascii="Times New Roman" w:hAnsi="Times New Roman" w:cs="Times New Roman"/>
                <w:b/>
                <w:color w:val="000000" w:themeColor="text1"/>
                <w:sz w:val="24"/>
                <w:szCs w:val="24"/>
                <w:shd w:val="clear" w:color="auto" w:fill="FFFFFF"/>
              </w:rPr>
            </w:pPr>
            <w:r w:rsidRPr="00EA6D69">
              <w:rPr>
                <w:rFonts w:ascii="Times New Roman" w:hAnsi="Times New Roman" w:cs="Times New Roman"/>
                <w:b/>
                <w:color w:val="000000" w:themeColor="text1"/>
                <w:sz w:val="24"/>
                <w:szCs w:val="24"/>
                <w:shd w:val="clear" w:color="auto" w:fill="FFFFFF"/>
              </w:rPr>
              <w:t>Liabilities</w:t>
            </w:r>
          </w:p>
        </w:tc>
        <w:tc>
          <w:tcPr>
            <w:tcW w:w="1134" w:type="dxa"/>
          </w:tcPr>
          <w:p w14:paraId="379E3F22"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1133" w:type="dxa"/>
          </w:tcPr>
          <w:p w14:paraId="4CE8D198"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r>
      <w:tr w:rsidR="00065BB5" w:rsidRPr="00EA6D69" w14:paraId="3BF819F2" w14:textId="77777777" w:rsidTr="00ED324A">
        <w:tc>
          <w:tcPr>
            <w:tcW w:w="2263" w:type="dxa"/>
          </w:tcPr>
          <w:p w14:paraId="75644297"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Cash and bank</w:t>
            </w:r>
          </w:p>
        </w:tc>
        <w:tc>
          <w:tcPr>
            <w:tcW w:w="1418" w:type="dxa"/>
          </w:tcPr>
          <w:p w14:paraId="225BA3D4"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9</w:t>
            </w:r>
            <w:r w:rsidR="00EA5790" w:rsidRPr="00EA6D69">
              <w:rPr>
                <w:rFonts w:ascii="Times New Roman" w:hAnsi="Times New Roman" w:cs="Times New Roman"/>
                <w:color w:val="000000" w:themeColor="text1"/>
                <w:sz w:val="24"/>
                <w:szCs w:val="24"/>
                <w:shd w:val="clear" w:color="auto" w:fill="FFFFFF"/>
              </w:rPr>
              <w:t>6,000</w:t>
            </w:r>
          </w:p>
        </w:tc>
        <w:tc>
          <w:tcPr>
            <w:tcW w:w="1134" w:type="dxa"/>
          </w:tcPr>
          <w:p w14:paraId="30A8B0FE" w14:textId="77777777" w:rsidR="00ED324A" w:rsidRPr="00EA6D69" w:rsidRDefault="00ED324A" w:rsidP="0000554D">
            <w:pPr>
              <w:rPr>
                <w:rFonts w:ascii="Times New Roman" w:hAnsi="Times New Roman" w:cs="Times New Roman"/>
                <w:b/>
                <w:color w:val="000000" w:themeColor="text1"/>
                <w:sz w:val="24"/>
                <w:szCs w:val="24"/>
                <w:shd w:val="clear" w:color="auto" w:fill="FFFFFF"/>
              </w:rPr>
            </w:pPr>
          </w:p>
        </w:tc>
        <w:tc>
          <w:tcPr>
            <w:tcW w:w="2268" w:type="dxa"/>
          </w:tcPr>
          <w:p w14:paraId="529AC3DC"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Trade Payable</w:t>
            </w:r>
          </w:p>
        </w:tc>
        <w:tc>
          <w:tcPr>
            <w:tcW w:w="1134" w:type="dxa"/>
          </w:tcPr>
          <w:p w14:paraId="1658A29F"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188,625</w:t>
            </w:r>
          </w:p>
        </w:tc>
        <w:tc>
          <w:tcPr>
            <w:tcW w:w="1133" w:type="dxa"/>
          </w:tcPr>
          <w:p w14:paraId="61635D1D"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r>
      <w:tr w:rsidR="00065BB5" w:rsidRPr="00EA6D69" w14:paraId="7CD604E7" w14:textId="77777777" w:rsidTr="00ED324A">
        <w:tc>
          <w:tcPr>
            <w:tcW w:w="2263" w:type="dxa"/>
          </w:tcPr>
          <w:p w14:paraId="38082EC8"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1418" w:type="dxa"/>
          </w:tcPr>
          <w:p w14:paraId="2CF78EA4"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1134" w:type="dxa"/>
          </w:tcPr>
          <w:p w14:paraId="3027F735" w14:textId="77777777" w:rsidR="00ED324A" w:rsidRPr="00EA6D69" w:rsidRDefault="008750FB" w:rsidP="0000554D">
            <w:pPr>
              <w:rPr>
                <w:rFonts w:ascii="Times New Roman" w:hAnsi="Times New Roman" w:cs="Times New Roman"/>
                <w:b/>
                <w:color w:val="000000" w:themeColor="text1"/>
                <w:sz w:val="24"/>
                <w:szCs w:val="24"/>
                <w:shd w:val="clear" w:color="auto" w:fill="FFFFFF"/>
              </w:rPr>
            </w:pPr>
            <w:r w:rsidRPr="00EA6D69">
              <w:rPr>
                <w:rFonts w:ascii="Times New Roman" w:hAnsi="Times New Roman" w:cs="Times New Roman"/>
                <w:b/>
                <w:color w:val="000000" w:themeColor="text1"/>
                <w:sz w:val="24"/>
                <w:szCs w:val="24"/>
                <w:shd w:val="clear" w:color="auto" w:fill="FFFFFF"/>
              </w:rPr>
              <w:t>7</w:t>
            </w:r>
            <w:r w:rsidR="00675010" w:rsidRPr="00EA6D69">
              <w:rPr>
                <w:rFonts w:ascii="Times New Roman" w:hAnsi="Times New Roman" w:cs="Times New Roman"/>
                <w:b/>
                <w:color w:val="000000" w:themeColor="text1"/>
                <w:sz w:val="24"/>
                <w:szCs w:val="24"/>
                <w:shd w:val="clear" w:color="auto" w:fill="FFFFFF"/>
              </w:rPr>
              <w:t>7</w:t>
            </w:r>
            <w:r w:rsidR="00EA5790" w:rsidRPr="00EA6D69">
              <w:rPr>
                <w:rFonts w:ascii="Times New Roman" w:hAnsi="Times New Roman" w:cs="Times New Roman"/>
                <w:b/>
                <w:color w:val="000000" w:themeColor="text1"/>
                <w:sz w:val="24"/>
                <w:szCs w:val="24"/>
                <w:shd w:val="clear" w:color="auto" w:fill="FFFFFF"/>
              </w:rPr>
              <w:t>6,975</w:t>
            </w:r>
          </w:p>
        </w:tc>
        <w:tc>
          <w:tcPr>
            <w:tcW w:w="2268" w:type="dxa"/>
          </w:tcPr>
          <w:p w14:paraId="084366A0"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Commissions owed</w:t>
            </w:r>
          </w:p>
        </w:tc>
        <w:tc>
          <w:tcPr>
            <w:tcW w:w="1134" w:type="dxa"/>
          </w:tcPr>
          <w:p w14:paraId="1CC4CEB6"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3,000</w:t>
            </w:r>
          </w:p>
        </w:tc>
        <w:tc>
          <w:tcPr>
            <w:tcW w:w="1133" w:type="dxa"/>
          </w:tcPr>
          <w:p w14:paraId="453AD3A4" w14:textId="77777777" w:rsidR="00ED324A"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191,625</w:t>
            </w:r>
          </w:p>
        </w:tc>
      </w:tr>
      <w:tr w:rsidR="00065BB5" w:rsidRPr="00EA6D69" w14:paraId="17064F03" w14:textId="77777777" w:rsidTr="00B022FC">
        <w:tc>
          <w:tcPr>
            <w:tcW w:w="2263" w:type="dxa"/>
          </w:tcPr>
          <w:p w14:paraId="39871950"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1418" w:type="dxa"/>
          </w:tcPr>
          <w:p w14:paraId="0EE2F499"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1134" w:type="dxa"/>
          </w:tcPr>
          <w:p w14:paraId="33CE3F97" w14:textId="77777777" w:rsidR="00ED324A" w:rsidRPr="00EA6D69" w:rsidRDefault="00ED324A" w:rsidP="0000554D">
            <w:pPr>
              <w:rPr>
                <w:rFonts w:ascii="Times New Roman" w:hAnsi="Times New Roman" w:cs="Times New Roman"/>
                <w:b/>
                <w:color w:val="000000" w:themeColor="text1"/>
                <w:sz w:val="24"/>
                <w:szCs w:val="24"/>
                <w:shd w:val="clear" w:color="auto" w:fill="FFFFFF"/>
              </w:rPr>
            </w:pPr>
          </w:p>
        </w:tc>
        <w:tc>
          <w:tcPr>
            <w:tcW w:w="2268" w:type="dxa"/>
          </w:tcPr>
          <w:p w14:paraId="0A6A4B91"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1134" w:type="dxa"/>
          </w:tcPr>
          <w:p w14:paraId="2AE1A6A2"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tc>
        <w:tc>
          <w:tcPr>
            <w:tcW w:w="1133" w:type="dxa"/>
            <w:shd w:val="clear" w:color="auto" w:fill="auto"/>
          </w:tcPr>
          <w:p w14:paraId="2DC26E18" w14:textId="77777777" w:rsidR="00ED324A" w:rsidRPr="00EA6D69" w:rsidRDefault="008750FB" w:rsidP="0000554D">
            <w:pPr>
              <w:rPr>
                <w:rFonts w:ascii="Times New Roman" w:hAnsi="Times New Roman" w:cs="Times New Roman"/>
                <w:b/>
                <w:color w:val="000000" w:themeColor="text1"/>
                <w:sz w:val="24"/>
                <w:szCs w:val="24"/>
                <w:shd w:val="clear" w:color="auto" w:fill="FFFFFF"/>
              </w:rPr>
            </w:pPr>
            <w:r w:rsidRPr="00EA6D69">
              <w:rPr>
                <w:rFonts w:ascii="Times New Roman" w:hAnsi="Times New Roman" w:cs="Times New Roman"/>
                <w:b/>
                <w:color w:val="000000" w:themeColor="text1"/>
                <w:sz w:val="24"/>
                <w:szCs w:val="24"/>
                <w:shd w:val="clear" w:color="auto" w:fill="FFFFFF"/>
              </w:rPr>
              <w:t>1</w:t>
            </w:r>
            <w:r w:rsidR="00B022FC" w:rsidRPr="00EA6D69">
              <w:rPr>
                <w:rFonts w:ascii="Times New Roman" w:hAnsi="Times New Roman" w:cs="Times New Roman"/>
                <w:b/>
                <w:color w:val="000000" w:themeColor="text1"/>
                <w:sz w:val="24"/>
                <w:szCs w:val="24"/>
                <w:shd w:val="clear" w:color="auto" w:fill="FFFFFF"/>
              </w:rPr>
              <w:t>,</w:t>
            </w:r>
            <w:r w:rsidR="00F33A81" w:rsidRPr="00EA6D69">
              <w:rPr>
                <w:rFonts w:ascii="Times New Roman" w:hAnsi="Times New Roman" w:cs="Times New Roman"/>
                <w:b/>
                <w:color w:val="000000" w:themeColor="text1"/>
                <w:sz w:val="24"/>
                <w:szCs w:val="24"/>
                <w:shd w:val="clear" w:color="auto" w:fill="FFFFFF"/>
              </w:rPr>
              <w:t>9</w:t>
            </w:r>
            <w:r w:rsidR="00EA5790" w:rsidRPr="00EA6D69">
              <w:rPr>
                <w:rFonts w:ascii="Times New Roman" w:hAnsi="Times New Roman" w:cs="Times New Roman"/>
                <w:b/>
                <w:color w:val="000000" w:themeColor="text1"/>
                <w:sz w:val="24"/>
                <w:szCs w:val="24"/>
                <w:shd w:val="clear" w:color="auto" w:fill="FFFFFF"/>
              </w:rPr>
              <w:t>29</w:t>
            </w:r>
            <w:r w:rsidR="00B022FC" w:rsidRPr="00EA6D69">
              <w:rPr>
                <w:rFonts w:ascii="Times New Roman" w:hAnsi="Times New Roman" w:cs="Times New Roman"/>
                <w:b/>
                <w:color w:val="000000" w:themeColor="text1"/>
                <w:sz w:val="24"/>
                <w:szCs w:val="24"/>
                <w:shd w:val="clear" w:color="auto" w:fill="FFFFFF"/>
              </w:rPr>
              <w:t>,</w:t>
            </w:r>
            <w:r w:rsidR="00EA5790" w:rsidRPr="00EA6D69">
              <w:rPr>
                <w:rFonts w:ascii="Times New Roman" w:hAnsi="Times New Roman" w:cs="Times New Roman"/>
                <w:b/>
                <w:color w:val="000000" w:themeColor="text1"/>
                <w:sz w:val="24"/>
                <w:szCs w:val="24"/>
                <w:shd w:val="clear" w:color="auto" w:fill="FFFFFF"/>
              </w:rPr>
              <w:t>975</w:t>
            </w:r>
          </w:p>
        </w:tc>
      </w:tr>
      <w:tr w:rsidR="00065BB5" w:rsidRPr="00EA6D69" w14:paraId="6A5C6B3A" w14:textId="77777777" w:rsidTr="00B022FC">
        <w:tc>
          <w:tcPr>
            <w:tcW w:w="2263" w:type="dxa"/>
          </w:tcPr>
          <w:p w14:paraId="6811D3B8" w14:textId="77777777" w:rsidR="00B022FC" w:rsidRPr="00EA6D69" w:rsidRDefault="00B022FC" w:rsidP="0000554D">
            <w:pPr>
              <w:rPr>
                <w:rFonts w:ascii="Times New Roman" w:hAnsi="Times New Roman" w:cs="Times New Roman"/>
                <w:color w:val="000000" w:themeColor="text1"/>
                <w:sz w:val="24"/>
                <w:szCs w:val="24"/>
                <w:shd w:val="clear" w:color="auto" w:fill="FFFFFF"/>
              </w:rPr>
            </w:pPr>
          </w:p>
        </w:tc>
        <w:tc>
          <w:tcPr>
            <w:tcW w:w="1418" w:type="dxa"/>
          </w:tcPr>
          <w:p w14:paraId="0EF42B70" w14:textId="77777777" w:rsidR="00B022FC" w:rsidRPr="00EA6D69" w:rsidRDefault="00B022FC" w:rsidP="0000554D">
            <w:pPr>
              <w:rPr>
                <w:rFonts w:ascii="Times New Roman" w:hAnsi="Times New Roman" w:cs="Times New Roman"/>
                <w:color w:val="000000" w:themeColor="text1"/>
                <w:sz w:val="24"/>
                <w:szCs w:val="24"/>
                <w:shd w:val="clear" w:color="auto" w:fill="FFFFFF"/>
              </w:rPr>
            </w:pPr>
          </w:p>
        </w:tc>
        <w:tc>
          <w:tcPr>
            <w:tcW w:w="1134" w:type="dxa"/>
          </w:tcPr>
          <w:p w14:paraId="48332940" w14:textId="77777777" w:rsidR="00B022FC" w:rsidRPr="00EA6D69" w:rsidRDefault="00B022FC" w:rsidP="0000554D">
            <w:pPr>
              <w:rPr>
                <w:rFonts w:ascii="Times New Roman" w:hAnsi="Times New Roman" w:cs="Times New Roman"/>
                <w:b/>
                <w:color w:val="000000" w:themeColor="text1"/>
                <w:sz w:val="24"/>
                <w:szCs w:val="24"/>
                <w:shd w:val="clear" w:color="auto" w:fill="FFFFFF"/>
              </w:rPr>
            </w:pPr>
          </w:p>
        </w:tc>
        <w:tc>
          <w:tcPr>
            <w:tcW w:w="2268" w:type="dxa"/>
          </w:tcPr>
          <w:p w14:paraId="6DC2539D" w14:textId="77777777" w:rsidR="00B022FC"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Bal b/f</w:t>
            </w:r>
          </w:p>
        </w:tc>
        <w:tc>
          <w:tcPr>
            <w:tcW w:w="1134" w:type="dxa"/>
          </w:tcPr>
          <w:p w14:paraId="530EA64B" w14:textId="77777777" w:rsidR="00B022FC" w:rsidRPr="00EA6D69" w:rsidRDefault="00B022FC" w:rsidP="0000554D">
            <w:pPr>
              <w:rPr>
                <w:rFonts w:ascii="Times New Roman" w:hAnsi="Times New Roman" w:cs="Times New Roman"/>
                <w:color w:val="000000" w:themeColor="text1"/>
                <w:sz w:val="24"/>
                <w:szCs w:val="24"/>
                <w:shd w:val="clear" w:color="auto" w:fill="FFFFFF"/>
              </w:rPr>
            </w:pPr>
          </w:p>
        </w:tc>
        <w:tc>
          <w:tcPr>
            <w:tcW w:w="1133" w:type="dxa"/>
            <w:shd w:val="clear" w:color="auto" w:fill="auto"/>
          </w:tcPr>
          <w:p w14:paraId="740E799D" w14:textId="77777777" w:rsidR="00B022FC" w:rsidRPr="00EA6D69" w:rsidRDefault="008750FB" w:rsidP="0000554D">
            <w:pPr>
              <w:rPr>
                <w:rFonts w:ascii="Times New Roman" w:hAnsi="Times New Roman" w:cs="Times New Roman"/>
                <w:b/>
                <w:color w:val="000000" w:themeColor="text1"/>
                <w:sz w:val="24"/>
                <w:szCs w:val="24"/>
                <w:shd w:val="clear" w:color="auto" w:fill="FFFFFF"/>
              </w:rPr>
            </w:pPr>
            <w:r w:rsidRPr="00EA6D69">
              <w:rPr>
                <w:rFonts w:ascii="Times New Roman" w:hAnsi="Times New Roman" w:cs="Times New Roman"/>
                <w:b/>
                <w:color w:val="000000" w:themeColor="text1"/>
                <w:sz w:val="24"/>
                <w:szCs w:val="24"/>
                <w:shd w:val="clear" w:color="auto" w:fill="FFFFFF"/>
              </w:rPr>
              <w:t>97,000</w:t>
            </w:r>
          </w:p>
        </w:tc>
      </w:tr>
      <w:tr w:rsidR="00065BB5" w:rsidRPr="00EA6D69" w14:paraId="0171C6B8" w14:textId="77777777" w:rsidTr="00ED324A">
        <w:tc>
          <w:tcPr>
            <w:tcW w:w="2263" w:type="dxa"/>
          </w:tcPr>
          <w:p w14:paraId="768A7F30" w14:textId="77777777" w:rsidR="00B022FC"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TOTAL</w:t>
            </w:r>
          </w:p>
        </w:tc>
        <w:tc>
          <w:tcPr>
            <w:tcW w:w="1418" w:type="dxa"/>
          </w:tcPr>
          <w:p w14:paraId="3A3E3C97" w14:textId="77777777" w:rsidR="00B022FC" w:rsidRPr="00EA6D69" w:rsidRDefault="00B022FC" w:rsidP="0000554D">
            <w:pPr>
              <w:rPr>
                <w:rFonts w:ascii="Times New Roman" w:hAnsi="Times New Roman" w:cs="Times New Roman"/>
                <w:color w:val="000000" w:themeColor="text1"/>
                <w:sz w:val="24"/>
                <w:szCs w:val="24"/>
                <w:shd w:val="clear" w:color="auto" w:fill="FFFFFF"/>
              </w:rPr>
            </w:pPr>
          </w:p>
        </w:tc>
        <w:tc>
          <w:tcPr>
            <w:tcW w:w="1134" w:type="dxa"/>
          </w:tcPr>
          <w:p w14:paraId="00A732EB" w14:textId="77777777" w:rsidR="00B022FC" w:rsidRPr="00EA6D69" w:rsidRDefault="008750FB" w:rsidP="0000554D">
            <w:pPr>
              <w:rPr>
                <w:rFonts w:ascii="Times New Roman" w:hAnsi="Times New Roman" w:cs="Times New Roman"/>
                <w:b/>
                <w:color w:val="000000" w:themeColor="text1"/>
                <w:sz w:val="24"/>
                <w:szCs w:val="24"/>
                <w:shd w:val="clear" w:color="auto" w:fill="FFFFFF"/>
              </w:rPr>
            </w:pPr>
            <w:r w:rsidRPr="00EA6D69">
              <w:rPr>
                <w:rFonts w:ascii="Times New Roman" w:hAnsi="Times New Roman" w:cs="Times New Roman"/>
                <w:b/>
                <w:color w:val="000000" w:themeColor="text1"/>
                <w:sz w:val="24"/>
                <w:szCs w:val="24"/>
                <w:shd w:val="clear" w:color="auto" w:fill="FFFFFF"/>
              </w:rPr>
              <w:t>2,026,975</w:t>
            </w:r>
          </w:p>
        </w:tc>
        <w:tc>
          <w:tcPr>
            <w:tcW w:w="2268" w:type="dxa"/>
          </w:tcPr>
          <w:p w14:paraId="29590E7B" w14:textId="77777777" w:rsidR="00B022FC"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TOTAL</w:t>
            </w:r>
          </w:p>
        </w:tc>
        <w:tc>
          <w:tcPr>
            <w:tcW w:w="1134" w:type="dxa"/>
          </w:tcPr>
          <w:p w14:paraId="588D457F" w14:textId="77777777" w:rsidR="00B022FC" w:rsidRPr="00EA6D69" w:rsidRDefault="00B022FC" w:rsidP="0000554D">
            <w:pPr>
              <w:rPr>
                <w:rFonts w:ascii="Times New Roman" w:hAnsi="Times New Roman" w:cs="Times New Roman"/>
                <w:color w:val="000000" w:themeColor="text1"/>
                <w:sz w:val="24"/>
                <w:szCs w:val="24"/>
                <w:shd w:val="clear" w:color="auto" w:fill="FFFFFF"/>
              </w:rPr>
            </w:pPr>
          </w:p>
        </w:tc>
        <w:tc>
          <w:tcPr>
            <w:tcW w:w="1133" w:type="dxa"/>
          </w:tcPr>
          <w:p w14:paraId="3EB0030C" w14:textId="77777777" w:rsidR="00B022FC" w:rsidRPr="00EA6D69" w:rsidRDefault="008750FB" w:rsidP="0000554D">
            <w:pPr>
              <w:rPr>
                <w:rFonts w:ascii="Times New Roman" w:hAnsi="Times New Roman" w:cs="Times New Roman"/>
                <w:b/>
                <w:color w:val="000000" w:themeColor="text1"/>
                <w:sz w:val="24"/>
                <w:szCs w:val="24"/>
                <w:highlight w:val="yellow"/>
                <w:shd w:val="clear" w:color="auto" w:fill="FFFFFF"/>
              </w:rPr>
            </w:pPr>
            <w:r w:rsidRPr="00EA6D69">
              <w:rPr>
                <w:rFonts w:ascii="Times New Roman" w:hAnsi="Times New Roman" w:cs="Times New Roman"/>
                <w:b/>
                <w:color w:val="000000" w:themeColor="text1"/>
                <w:sz w:val="24"/>
                <w:szCs w:val="24"/>
                <w:shd w:val="clear" w:color="auto" w:fill="FFFFFF"/>
              </w:rPr>
              <w:t>2,026,975</w:t>
            </w:r>
          </w:p>
        </w:tc>
      </w:tr>
    </w:tbl>
    <w:p w14:paraId="04E12EC7" w14:textId="77777777" w:rsidR="00ED324A" w:rsidRPr="00EA6D69" w:rsidRDefault="00ED324A" w:rsidP="0000554D">
      <w:pPr>
        <w:rPr>
          <w:rFonts w:ascii="Times New Roman" w:hAnsi="Times New Roman" w:cs="Times New Roman"/>
          <w:color w:val="000000" w:themeColor="text1"/>
          <w:sz w:val="24"/>
          <w:szCs w:val="24"/>
          <w:shd w:val="clear" w:color="auto" w:fill="FFFFFF"/>
        </w:rPr>
      </w:pPr>
    </w:p>
    <w:p w14:paraId="4DCC4908" w14:textId="77777777" w:rsidR="00ED324A" w:rsidRPr="00EA6D69" w:rsidRDefault="008750FB" w:rsidP="00323973">
      <w:pPr>
        <w:spacing w:line="480" w:lineRule="auto"/>
        <w:jc w:val="both"/>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b. Why the statement of financial position balances</w:t>
      </w:r>
    </w:p>
    <w:p w14:paraId="311A9AD8" w14:textId="77777777" w:rsidR="00EA5790" w:rsidRPr="00EA6D69" w:rsidRDefault="008750FB" w:rsidP="00323973">
      <w:pPr>
        <w:spacing w:line="480" w:lineRule="auto"/>
        <w:jc w:val="both"/>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The main reason behind the balancing of the statement of financial position is the double entry accounting principle which is characterised by coming up with accounting entries in at least two different accounts which check out each other, ultimately enhancing consistency.</w:t>
      </w:r>
      <w:r w:rsidR="008F22DE" w:rsidRPr="00EA6D69">
        <w:rPr>
          <w:rFonts w:ascii="Times New Roman" w:hAnsi="Times New Roman" w:cs="Times New Roman"/>
          <w:color w:val="000000" w:themeColor="text1"/>
          <w:sz w:val="24"/>
          <w:szCs w:val="24"/>
          <w:shd w:val="clear" w:color="auto" w:fill="FFFFFF"/>
        </w:rPr>
        <w:t xml:space="preserve"> Faccia and Mosco (2019</w:t>
      </w:r>
      <w:r w:rsidR="008F22DE" w:rsidRPr="00EA6D69">
        <w:rPr>
          <w:rFonts w:ascii="Times New Roman" w:hAnsi="Times New Roman" w:cs="Times New Roman"/>
          <w:color w:val="000000" w:themeColor="text1"/>
          <w:sz w:val="24"/>
          <w:szCs w:val="24"/>
        </w:rPr>
        <w:t xml:space="preserve">) noted that the double entry accounting principle has multiple features including equal effect, two parties, separate legal entity, </w:t>
      </w:r>
      <w:proofErr w:type="gramStart"/>
      <w:r w:rsidR="008F22DE" w:rsidRPr="00EA6D69">
        <w:rPr>
          <w:rFonts w:ascii="Times New Roman" w:hAnsi="Times New Roman" w:cs="Times New Roman"/>
          <w:color w:val="000000" w:themeColor="text1"/>
          <w:sz w:val="24"/>
          <w:szCs w:val="24"/>
        </w:rPr>
        <w:t>debit</w:t>
      </w:r>
      <w:proofErr w:type="gramEnd"/>
      <w:r w:rsidR="008F22DE" w:rsidRPr="00EA6D69">
        <w:rPr>
          <w:rFonts w:ascii="Times New Roman" w:hAnsi="Times New Roman" w:cs="Times New Roman"/>
          <w:color w:val="000000" w:themeColor="text1"/>
          <w:sz w:val="24"/>
          <w:szCs w:val="24"/>
        </w:rPr>
        <w:t xml:space="preserve"> and credit. Furthermore, this principle is based </w:t>
      </w:r>
      <w:r w:rsidR="008F22DE" w:rsidRPr="00EA6D69">
        <w:rPr>
          <w:rFonts w:ascii="Times New Roman" w:hAnsi="Times New Roman" w:cs="Times New Roman"/>
          <w:color w:val="000000" w:themeColor="text1"/>
          <w:sz w:val="24"/>
          <w:szCs w:val="24"/>
        </w:rPr>
        <w:lastRenderedPageBreak/>
        <w:t>on the concept that for every debit entry, there must be an opposite and equal credit entry meaning that there would be at least two affected accounts when utilising this principle. Some of the rules followed when utilising the double entry principle include ensuring that the debits are recorded on the left side of the ledger sheet while credits are recorded on the right side as well as decreasing and increasing expense accounts simultaneously. Utilising this principle in the preparation of the balance sheets also helps reduce errors as all entries are matched against each other.</w:t>
      </w:r>
    </w:p>
    <w:p w14:paraId="64B33060" w14:textId="77777777" w:rsidR="00840C46" w:rsidRPr="00EA6D69" w:rsidRDefault="008750FB" w:rsidP="00323973">
      <w:pPr>
        <w:pStyle w:val="Heading1"/>
        <w:spacing w:line="480" w:lineRule="auto"/>
        <w:jc w:val="center"/>
        <w:rPr>
          <w:rFonts w:ascii="Times New Roman" w:hAnsi="Times New Roman" w:cs="Times New Roman"/>
          <w:b/>
          <w:color w:val="000000" w:themeColor="text1"/>
          <w:sz w:val="24"/>
          <w:szCs w:val="24"/>
          <w:shd w:val="clear" w:color="auto" w:fill="FFFFFF"/>
        </w:rPr>
      </w:pPr>
      <w:bookmarkStart w:id="2" w:name="_Toc140061201"/>
      <w:r w:rsidRPr="00EA6D69">
        <w:rPr>
          <w:rFonts w:ascii="Times New Roman" w:hAnsi="Times New Roman" w:cs="Times New Roman"/>
          <w:b/>
          <w:color w:val="000000" w:themeColor="text1"/>
          <w:sz w:val="24"/>
          <w:szCs w:val="24"/>
          <w:shd w:val="clear" w:color="auto" w:fill="FFFFFF"/>
        </w:rPr>
        <w:t>Question 2</w:t>
      </w:r>
      <w:bookmarkEnd w:id="2"/>
    </w:p>
    <w:p w14:paraId="4953BFE5" w14:textId="77777777" w:rsidR="00840C46"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The calculation of financial ratios</w:t>
      </w:r>
    </w:p>
    <w:p w14:paraId="2CF5990C" w14:textId="77777777" w:rsidR="00840C46"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ROCE</w:t>
      </w:r>
    </w:p>
    <w:p w14:paraId="64FD2791" w14:textId="77777777" w:rsidR="00C5616D"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This ratio is used to determine an organisation’s capital efficiency and profitability.</w:t>
      </w:r>
    </w:p>
    <w:p w14:paraId="5EE3C715" w14:textId="77777777" w:rsidR="00840C46"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 xml:space="preserve">ROCE: </w:t>
      </w:r>
      <m:oMath>
        <m:f>
          <m:fPr>
            <m:ctrlPr>
              <w:rPr>
                <w:rFonts w:ascii="Cambria Math" w:hAnsi="Cambria Math" w:cs="Times New Roman"/>
                <w:i/>
                <w:color w:val="000000" w:themeColor="text1"/>
                <w:sz w:val="24"/>
                <w:szCs w:val="24"/>
                <w:shd w:val="clear" w:color="auto" w:fill="FFFFFF"/>
              </w:rPr>
            </m:ctrlPr>
          </m:fPr>
          <m:num>
            <m:r>
              <w:rPr>
                <w:rFonts w:ascii="Cambria Math" w:hAnsi="Cambria Math" w:cs="Times New Roman"/>
                <w:color w:val="000000" w:themeColor="text1"/>
                <w:sz w:val="24"/>
                <w:szCs w:val="24"/>
                <w:shd w:val="clear" w:color="auto" w:fill="FFFFFF"/>
              </w:rPr>
              <m:t>Operating profit</m:t>
            </m:r>
          </m:num>
          <m:den>
            <m:r>
              <w:rPr>
                <w:rFonts w:ascii="Cambria Math" w:hAnsi="Cambria Math" w:cs="Times New Roman"/>
                <w:color w:val="000000" w:themeColor="text1"/>
                <w:sz w:val="24"/>
                <w:szCs w:val="24"/>
                <w:shd w:val="clear" w:color="auto" w:fill="FFFFFF"/>
              </w:rPr>
              <m:t>capital employed</m:t>
            </m:r>
          </m:den>
        </m:f>
      </m:oMath>
      <w:r w:rsidR="00C5616D" w:rsidRPr="00EA6D69">
        <w:rPr>
          <w:rFonts w:ascii="Times New Roman" w:eastAsiaTheme="minorEastAsia" w:hAnsi="Times New Roman" w:cs="Times New Roman"/>
          <w:color w:val="000000" w:themeColor="text1"/>
          <w:sz w:val="24"/>
          <w:szCs w:val="24"/>
          <w:shd w:val="clear" w:color="auto" w:fill="FFFFFF"/>
        </w:rPr>
        <w:t xml:space="preserve"> </w:t>
      </w:r>
      <m:oMath>
        <m:r>
          <w:rPr>
            <w:rFonts w:ascii="Cambria Math" w:eastAsiaTheme="minorEastAsia" w:hAnsi="Cambria Math" w:cs="Times New Roman"/>
            <w:color w:val="000000" w:themeColor="text1"/>
            <w:sz w:val="24"/>
            <w:szCs w:val="24"/>
            <w:shd w:val="clear" w:color="auto" w:fill="FFFFFF"/>
          </w:rPr>
          <m:t>×100</m:t>
        </m:r>
      </m:oMath>
    </w:p>
    <w:p w14:paraId="63594F90" w14:textId="77777777" w:rsidR="00C5616D"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ROCE for 2020: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366</m:t>
            </m:r>
          </m:num>
          <m:den>
            <m:r>
              <w:rPr>
                <w:rFonts w:ascii="Cambria Math" w:eastAsiaTheme="minorEastAsia" w:hAnsi="Cambria Math" w:cs="Times New Roman"/>
                <w:color w:val="000000" w:themeColor="text1"/>
                <w:sz w:val="24"/>
                <w:szCs w:val="24"/>
                <w:shd w:val="clear" w:color="auto" w:fill="FFFFFF"/>
              </w:rPr>
              <m:t>2912</m:t>
            </m:r>
          </m:den>
        </m:f>
        <m:r>
          <w:rPr>
            <w:rFonts w:ascii="Cambria Math" w:eastAsiaTheme="minorEastAsia" w:hAnsi="Cambria Math" w:cs="Times New Roman"/>
            <w:color w:val="000000" w:themeColor="text1"/>
            <w:sz w:val="24"/>
            <w:szCs w:val="24"/>
            <w:shd w:val="clear" w:color="auto" w:fill="FFFFFF"/>
          </w:rPr>
          <m:t>×100=12.57%</m:t>
        </m:r>
      </m:oMath>
    </w:p>
    <w:p w14:paraId="744E2678" w14:textId="77777777" w:rsidR="00C5616D"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ROCE for 2021: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431</m:t>
            </m:r>
          </m:num>
          <m:den>
            <m:r>
              <w:rPr>
                <w:rFonts w:ascii="Cambria Math" w:eastAsiaTheme="minorEastAsia" w:hAnsi="Cambria Math" w:cs="Times New Roman"/>
                <w:color w:val="000000" w:themeColor="text1"/>
                <w:sz w:val="24"/>
                <w:szCs w:val="24"/>
                <w:shd w:val="clear" w:color="auto" w:fill="FFFFFF"/>
              </w:rPr>
              <m:t>3088</m:t>
            </m:r>
          </m:den>
        </m:f>
        <m:r>
          <w:rPr>
            <w:rFonts w:ascii="Cambria Math" w:eastAsiaTheme="minorEastAsia" w:hAnsi="Cambria Math" w:cs="Times New Roman"/>
            <w:color w:val="000000" w:themeColor="text1"/>
            <w:sz w:val="24"/>
            <w:szCs w:val="24"/>
            <w:shd w:val="clear" w:color="auto" w:fill="FFFFFF"/>
          </w:rPr>
          <m:t xml:space="preserve"> ×100=13.96%</m:t>
        </m:r>
      </m:oMath>
    </w:p>
    <w:p w14:paraId="7526BDA8" w14:textId="77777777" w:rsidR="00C5616D"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ROE</w:t>
      </w:r>
    </w:p>
    <w:p w14:paraId="6A46BDCE" w14:textId="77777777" w:rsidR="00C5616D"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This calculation provides an overview of a firm’s yearly return.</w:t>
      </w:r>
    </w:p>
    <w:p w14:paraId="36EC77B4" w14:textId="77777777" w:rsidR="00C5616D"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ROE: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Net Income</m:t>
            </m:r>
          </m:num>
          <m:den>
            <m:r>
              <w:rPr>
                <w:rFonts w:ascii="Cambria Math" w:eastAsiaTheme="minorEastAsia" w:hAnsi="Cambria Math" w:cs="Times New Roman"/>
                <w:color w:val="000000" w:themeColor="text1"/>
                <w:sz w:val="24"/>
                <w:szCs w:val="24"/>
                <w:shd w:val="clear" w:color="auto" w:fill="FFFFFF"/>
              </w:rPr>
              <m:t>Shareholder Equity</m:t>
            </m:r>
          </m:den>
        </m:f>
        <m:r>
          <w:rPr>
            <w:rFonts w:ascii="Cambria Math" w:eastAsiaTheme="minorEastAsia" w:hAnsi="Cambria Math" w:cs="Times New Roman"/>
            <w:color w:val="000000" w:themeColor="text1"/>
            <w:sz w:val="24"/>
            <w:szCs w:val="24"/>
            <w:shd w:val="clear" w:color="auto" w:fill="FFFFFF"/>
          </w:rPr>
          <m:t xml:space="preserve"> ×100</m:t>
        </m:r>
      </m:oMath>
    </w:p>
    <w:p w14:paraId="28B91580" w14:textId="77777777" w:rsidR="00C5616D"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Net income is calculated through: annual profit – dividend paid</w:t>
      </w:r>
    </w:p>
    <w:p w14:paraId="5F7A928F" w14:textId="77777777" w:rsidR="00C5616D"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Thus, ROE for 2020: </w:t>
      </w:r>
      <m:oMath>
        <m:f>
          <m:fPr>
            <m:ctrlPr>
              <w:rPr>
                <w:rFonts w:ascii="Cambria Math" w:eastAsiaTheme="minorEastAsia" w:hAnsi="Cambria Math" w:cs="Times New Roman"/>
                <w:i/>
                <w:color w:val="000000" w:themeColor="text1"/>
                <w:sz w:val="24"/>
                <w:szCs w:val="24"/>
                <w:shd w:val="clear" w:color="auto" w:fill="FFFFFF"/>
              </w:rPr>
            </m:ctrlPr>
          </m:fPr>
          <m:num>
            <m:d>
              <m:dPr>
                <m:ctrlPr>
                  <w:rPr>
                    <w:rFonts w:ascii="Cambria Math" w:eastAsiaTheme="minorEastAsia" w:hAnsi="Cambria Math" w:cs="Times New Roman"/>
                    <w:i/>
                    <w:color w:val="000000" w:themeColor="text1"/>
                    <w:sz w:val="24"/>
                    <w:szCs w:val="24"/>
                    <w:shd w:val="clear" w:color="auto" w:fill="FFFFFF"/>
                  </w:rPr>
                </m:ctrlPr>
              </m:dPr>
              <m:e>
                <m:r>
                  <w:rPr>
                    <w:rFonts w:ascii="Cambria Math" w:eastAsiaTheme="minorEastAsia" w:hAnsi="Cambria Math" w:cs="Times New Roman"/>
                    <w:color w:val="000000" w:themeColor="text1"/>
                    <w:sz w:val="24"/>
                    <w:szCs w:val="24"/>
                    <w:shd w:val="clear" w:color="auto" w:fill="FFFFFF"/>
                  </w:rPr>
                  <m:t>366-242</m:t>
                </m:r>
              </m:e>
            </m:d>
          </m:num>
          <m:den>
            <m:r>
              <w:rPr>
                <w:rFonts w:ascii="Cambria Math" w:eastAsiaTheme="minorEastAsia" w:hAnsi="Cambria Math" w:cs="Times New Roman"/>
                <w:color w:val="000000" w:themeColor="text1"/>
                <w:sz w:val="24"/>
                <w:szCs w:val="24"/>
                <w:shd w:val="clear" w:color="auto" w:fill="FFFFFF"/>
              </w:rPr>
              <m:t>2912</m:t>
            </m:r>
          </m:den>
        </m:f>
        <m:r>
          <w:rPr>
            <w:rFonts w:ascii="Cambria Math" w:eastAsiaTheme="minorEastAsia" w:hAnsi="Cambria Math" w:cs="Times New Roman"/>
            <w:color w:val="000000" w:themeColor="text1"/>
            <w:sz w:val="24"/>
            <w:szCs w:val="24"/>
            <w:shd w:val="clear" w:color="auto" w:fill="FFFFFF"/>
          </w:rPr>
          <m:t xml:space="preserve"> ×100=4.26%</m:t>
        </m:r>
      </m:oMath>
    </w:p>
    <w:p w14:paraId="7C556797" w14:textId="77777777" w:rsidR="00C5616D"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ROE for 2021: </w:t>
      </w:r>
      <m:oMath>
        <m:f>
          <m:fPr>
            <m:ctrlPr>
              <w:rPr>
                <w:rFonts w:ascii="Cambria Math" w:eastAsiaTheme="minorEastAsia" w:hAnsi="Cambria Math" w:cs="Times New Roman"/>
                <w:i/>
                <w:color w:val="000000" w:themeColor="text1"/>
                <w:sz w:val="24"/>
                <w:szCs w:val="24"/>
                <w:shd w:val="clear" w:color="auto" w:fill="FFFFFF"/>
              </w:rPr>
            </m:ctrlPr>
          </m:fPr>
          <m:num>
            <m:d>
              <m:dPr>
                <m:ctrlPr>
                  <w:rPr>
                    <w:rFonts w:ascii="Cambria Math" w:eastAsiaTheme="minorEastAsia" w:hAnsi="Cambria Math" w:cs="Times New Roman"/>
                    <w:i/>
                    <w:color w:val="000000" w:themeColor="text1"/>
                    <w:sz w:val="24"/>
                    <w:szCs w:val="24"/>
                    <w:shd w:val="clear" w:color="auto" w:fill="FFFFFF"/>
                  </w:rPr>
                </m:ctrlPr>
              </m:dPr>
              <m:e>
                <m:r>
                  <w:rPr>
                    <w:rFonts w:ascii="Cambria Math" w:eastAsiaTheme="minorEastAsia" w:hAnsi="Cambria Math" w:cs="Times New Roman"/>
                    <w:color w:val="000000" w:themeColor="text1"/>
                    <w:sz w:val="24"/>
                    <w:szCs w:val="24"/>
                    <w:shd w:val="clear" w:color="auto" w:fill="FFFFFF"/>
                  </w:rPr>
                  <m:t>431-255</m:t>
                </m:r>
              </m:e>
            </m:d>
          </m:num>
          <m:den>
            <m:r>
              <w:rPr>
                <w:rFonts w:ascii="Cambria Math" w:eastAsiaTheme="minorEastAsia" w:hAnsi="Cambria Math" w:cs="Times New Roman"/>
                <w:color w:val="000000" w:themeColor="text1"/>
                <w:sz w:val="24"/>
                <w:szCs w:val="24"/>
                <w:shd w:val="clear" w:color="auto" w:fill="FFFFFF"/>
              </w:rPr>
              <m:t>3088</m:t>
            </m:r>
          </m:den>
        </m:f>
        <m:r>
          <w:rPr>
            <w:rFonts w:ascii="Cambria Math" w:eastAsiaTheme="minorEastAsia" w:hAnsi="Cambria Math" w:cs="Times New Roman"/>
            <w:color w:val="000000" w:themeColor="text1"/>
            <w:sz w:val="24"/>
            <w:szCs w:val="24"/>
            <w:shd w:val="clear" w:color="auto" w:fill="FFFFFF"/>
          </w:rPr>
          <m:t xml:space="preserve"> ×100=5.7%</m:t>
        </m:r>
      </m:oMath>
    </w:p>
    <w:p w14:paraId="7373FE6B" w14:textId="77777777" w:rsidR="00C5616D"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Earnings per share</w:t>
      </w:r>
    </w:p>
    <w:p w14:paraId="43F444BC" w14:textId="77777777" w:rsidR="00C5616D"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This is a measure of an organisation’s profit levels and is determined by:</w:t>
      </w:r>
    </w:p>
    <w:p w14:paraId="0CFDAF80" w14:textId="77777777" w:rsidR="00C5616D"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Earnings per share: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Net income-prefered dividends</m:t>
            </m:r>
          </m:num>
          <m:den>
            <m:r>
              <w:rPr>
                <w:rFonts w:ascii="Cambria Math" w:eastAsiaTheme="minorEastAsia" w:hAnsi="Cambria Math" w:cs="Times New Roman"/>
                <w:color w:val="000000" w:themeColor="text1"/>
                <w:sz w:val="24"/>
                <w:szCs w:val="24"/>
                <w:shd w:val="clear" w:color="auto" w:fill="FFFFFF"/>
              </w:rPr>
              <m:t>weighted average share outstanding</m:t>
            </m:r>
          </m:den>
        </m:f>
      </m:oMath>
    </w:p>
    <w:p w14:paraId="7B4274BF" w14:textId="77777777" w:rsidR="005C0930" w:rsidRPr="00EA6D69" w:rsidRDefault="008750FB" w:rsidP="0000554D">
      <w:pPr>
        <w:rPr>
          <w:rFonts w:ascii="Times New Roman"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EPS for 2020: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366-242</m:t>
            </m:r>
          </m:num>
          <m:den>
            <m:r>
              <w:rPr>
                <w:rFonts w:ascii="Cambria Math" w:eastAsiaTheme="minorEastAsia" w:hAnsi="Cambria Math" w:cs="Times New Roman"/>
                <w:color w:val="000000" w:themeColor="text1"/>
                <w:sz w:val="24"/>
                <w:szCs w:val="24"/>
                <w:shd w:val="clear" w:color="auto" w:fill="FFFFFF"/>
              </w:rPr>
              <m:t>50</m:t>
            </m:r>
          </m:den>
        </m:f>
      </m:oMath>
      <w:r w:rsidRPr="00EA6D69">
        <w:rPr>
          <w:rFonts w:ascii="Times New Roman" w:eastAsiaTheme="minorEastAsia" w:hAnsi="Times New Roman" w:cs="Times New Roman"/>
          <w:color w:val="000000" w:themeColor="text1"/>
          <w:sz w:val="24"/>
          <w:szCs w:val="24"/>
          <w:shd w:val="clear" w:color="auto" w:fill="FFFFFF"/>
        </w:rPr>
        <w:t xml:space="preserve"> = </w:t>
      </w:r>
      <w:r w:rsidRPr="00EA6D69">
        <w:rPr>
          <w:rFonts w:ascii="Times New Roman" w:hAnsi="Times New Roman" w:cs="Times New Roman"/>
          <w:color w:val="000000" w:themeColor="text1"/>
          <w:sz w:val="24"/>
          <w:szCs w:val="24"/>
          <w:shd w:val="clear" w:color="auto" w:fill="FFFFFF"/>
        </w:rPr>
        <w:t>£2.48</w:t>
      </w:r>
    </w:p>
    <w:p w14:paraId="3F85CCE1" w14:textId="77777777" w:rsidR="005C0930"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lastRenderedPageBreak/>
        <w:t xml:space="preserve">EPS for 2021: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431-255</m:t>
            </m:r>
          </m:num>
          <m:den>
            <m:r>
              <w:rPr>
                <w:rFonts w:ascii="Cambria Math" w:eastAsiaTheme="minorEastAsia" w:hAnsi="Cambria Math" w:cs="Times New Roman"/>
                <w:color w:val="000000" w:themeColor="text1"/>
                <w:sz w:val="24"/>
                <w:szCs w:val="24"/>
                <w:shd w:val="clear" w:color="auto" w:fill="FFFFFF"/>
              </w:rPr>
              <m:t>50</m:t>
            </m:r>
          </m:den>
        </m:f>
        <m:r>
          <w:rPr>
            <w:rFonts w:ascii="Cambria Math" w:eastAsiaTheme="minorEastAsia" w:hAnsi="Cambria Math" w:cs="Times New Roman"/>
            <w:color w:val="000000" w:themeColor="text1"/>
            <w:sz w:val="24"/>
            <w:szCs w:val="24"/>
            <w:shd w:val="clear" w:color="auto" w:fill="FFFFFF"/>
          </w:rPr>
          <m:t xml:space="preserve">= </m:t>
        </m:r>
        <m:r>
          <m:rPr>
            <m:sty m:val="p"/>
          </m:rPr>
          <w:rPr>
            <w:rFonts w:ascii="Cambria Math" w:hAnsi="Cambria Math" w:cs="Times New Roman"/>
            <w:color w:val="000000" w:themeColor="text1"/>
            <w:sz w:val="24"/>
            <w:szCs w:val="24"/>
            <w:shd w:val="clear" w:color="auto" w:fill="FFFFFF"/>
          </w:rPr>
          <m:t>£3.52</m:t>
        </m:r>
      </m:oMath>
    </w:p>
    <w:p w14:paraId="0B11B992" w14:textId="77777777" w:rsidR="005C0930" w:rsidRPr="00EA6D69" w:rsidRDefault="008750FB" w:rsidP="00323973">
      <w:pPr>
        <w:spacing w:line="480" w:lineRule="auto"/>
        <w:jc w:val="both"/>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Net profit margin</w:t>
      </w:r>
    </w:p>
    <w:p w14:paraId="4208C3BF" w14:textId="77777777" w:rsidR="005C0930" w:rsidRPr="00EA6D69" w:rsidRDefault="008750FB" w:rsidP="00323973">
      <w:pPr>
        <w:spacing w:line="480" w:lineRule="auto"/>
        <w:jc w:val="both"/>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The net profit margin is the depiction of the net income an organisation has generated within a given period. It is the percentage of revenue a company is left with after subtracting the expenses. It is calculated through:</w:t>
      </w:r>
    </w:p>
    <w:p w14:paraId="654A4895" w14:textId="77777777" w:rsidR="005C0930"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Net profit margin: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Net profit</m:t>
            </m:r>
          </m:num>
          <m:den>
            <m:r>
              <w:rPr>
                <w:rFonts w:ascii="Cambria Math" w:eastAsiaTheme="minorEastAsia" w:hAnsi="Cambria Math" w:cs="Times New Roman"/>
                <w:color w:val="000000" w:themeColor="text1"/>
                <w:sz w:val="24"/>
                <w:szCs w:val="24"/>
                <w:shd w:val="clear" w:color="auto" w:fill="FFFFFF"/>
              </w:rPr>
              <m:t>Total revenue</m:t>
            </m:r>
          </m:den>
        </m:f>
        <m:r>
          <w:rPr>
            <w:rFonts w:ascii="Cambria Math" w:eastAsiaTheme="minorEastAsia" w:hAnsi="Cambria Math" w:cs="Times New Roman"/>
            <w:color w:val="000000" w:themeColor="text1"/>
            <w:sz w:val="24"/>
            <w:szCs w:val="24"/>
            <w:shd w:val="clear" w:color="auto" w:fill="FFFFFF"/>
          </w:rPr>
          <m:t xml:space="preserve"> ×100</m:t>
        </m:r>
      </m:oMath>
    </w:p>
    <w:p w14:paraId="6DCF5FEE" w14:textId="77777777" w:rsidR="0029189A" w:rsidRPr="00EA6D69" w:rsidRDefault="008750FB" w:rsidP="0000554D">
      <w:pPr>
        <w:rPr>
          <w:rFonts w:ascii="Times New Roman" w:eastAsiaTheme="minorEastAsia" w:hAnsi="Times New Roman" w:cs="Times New Roman"/>
          <w:color w:val="000000" w:themeColor="text1"/>
          <w:sz w:val="24"/>
          <w:szCs w:val="24"/>
          <w:shd w:val="clear" w:color="auto" w:fill="FFFFFF"/>
        </w:rPr>
      </w:pPr>
      <w:proofErr w:type="gramStart"/>
      <w:r w:rsidRPr="00EA6D69">
        <w:rPr>
          <w:rFonts w:ascii="Times New Roman" w:eastAsiaTheme="minorEastAsia" w:hAnsi="Times New Roman" w:cs="Times New Roman"/>
          <w:color w:val="000000" w:themeColor="text1"/>
          <w:sz w:val="24"/>
          <w:szCs w:val="24"/>
          <w:shd w:val="clear" w:color="auto" w:fill="FFFFFF"/>
        </w:rPr>
        <w:t>Thus</w:t>
      </w:r>
      <w:proofErr w:type="gramEnd"/>
      <w:r w:rsidRPr="00EA6D69">
        <w:rPr>
          <w:rFonts w:ascii="Times New Roman" w:eastAsiaTheme="minorEastAsia" w:hAnsi="Times New Roman" w:cs="Times New Roman"/>
          <w:color w:val="000000" w:themeColor="text1"/>
          <w:sz w:val="24"/>
          <w:szCs w:val="24"/>
          <w:shd w:val="clear" w:color="auto" w:fill="FFFFFF"/>
        </w:rPr>
        <w:t xml:space="preserve"> NPM for 2020: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366</m:t>
            </m:r>
          </m:num>
          <m:den>
            <m:r>
              <w:rPr>
                <w:rFonts w:ascii="Cambria Math" w:eastAsiaTheme="minorEastAsia" w:hAnsi="Cambria Math" w:cs="Times New Roman"/>
                <w:color w:val="000000" w:themeColor="text1"/>
                <w:sz w:val="24"/>
                <w:szCs w:val="24"/>
                <w:shd w:val="clear" w:color="auto" w:fill="FFFFFF"/>
              </w:rPr>
              <m:t>6441</m:t>
            </m:r>
          </m:den>
        </m:f>
        <m:r>
          <w:rPr>
            <w:rFonts w:ascii="Cambria Math" w:eastAsiaTheme="minorEastAsia" w:hAnsi="Cambria Math" w:cs="Times New Roman"/>
            <w:color w:val="000000" w:themeColor="text1"/>
            <w:sz w:val="24"/>
            <w:szCs w:val="24"/>
            <w:shd w:val="clear" w:color="auto" w:fill="FFFFFF"/>
          </w:rPr>
          <m:t xml:space="preserve"> ×100=5.68%</m:t>
        </m:r>
      </m:oMath>
    </w:p>
    <w:p w14:paraId="47A02B91" w14:textId="77777777" w:rsidR="0029189A"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NPM for 2021: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431</m:t>
            </m:r>
          </m:num>
          <m:den>
            <m:r>
              <w:rPr>
                <w:rFonts w:ascii="Cambria Math" w:eastAsiaTheme="minorEastAsia" w:hAnsi="Cambria Math" w:cs="Times New Roman"/>
                <w:color w:val="000000" w:themeColor="text1"/>
                <w:sz w:val="24"/>
                <w:szCs w:val="24"/>
                <w:shd w:val="clear" w:color="auto" w:fill="FFFFFF"/>
              </w:rPr>
              <m:t>6738</m:t>
            </m:r>
          </m:den>
        </m:f>
        <m:r>
          <w:rPr>
            <w:rFonts w:ascii="Cambria Math" w:eastAsiaTheme="minorEastAsia" w:hAnsi="Cambria Math" w:cs="Times New Roman"/>
            <w:color w:val="000000" w:themeColor="text1"/>
            <w:sz w:val="24"/>
            <w:szCs w:val="24"/>
            <w:shd w:val="clear" w:color="auto" w:fill="FFFFFF"/>
          </w:rPr>
          <m:t xml:space="preserve"> ×100=6.4%</m:t>
        </m:r>
      </m:oMath>
    </w:p>
    <w:p w14:paraId="66B42820" w14:textId="77777777" w:rsidR="0029189A"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Asset turnover</w:t>
      </w:r>
    </w:p>
    <w:p w14:paraId="28743449" w14:textId="77777777" w:rsidR="0029189A"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Asset turnover is the determination of how effectively an organisation utilises its assets to realise sales. It is calculated through:</w:t>
      </w:r>
    </w:p>
    <w:p w14:paraId="0D069423" w14:textId="77777777" w:rsidR="0029189A"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Asset turnover: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Net sales</m:t>
            </m:r>
          </m:num>
          <m:den>
            <m:r>
              <w:rPr>
                <w:rFonts w:ascii="Cambria Math" w:eastAsiaTheme="minorEastAsia" w:hAnsi="Cambria Math" w:cs="Times New Roman"/>
                <w:color w:val="000000" w:themeColor="text1"/>
                <w:sz w:val="24"/>
                <w:szCs w:val="24"/>
                <w:shd w:val="clear" w:color="auto" w:fill="FFFFFF"/>
              </w:rPr>
              <m:t>Average total assets</m:t>
            </m:r>
          </m:den>
        </m:f>
      </m:oMath>
    </w:p>
    <w:p w14:paraId="506DBE5B" w14:textId="77777777" w:rsidR="0029189A"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Asset turnover for 2020: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3345</m:t>
            </m:r>
          </m:num>
          <m:den>
            <m:r>
              <w:rPr>
                <w:rFonts w:ascii="Cambria Math" w:eastAsiaTheme="minorEastAsia" w:hAnsi="Cambria Math" w:cs="Times New Roman"/>
                <w:color w:val="000000" w:themeColor="text1"/>
                <w:sz w:val="24"/>
                <w:szCs w:val="24"/>
                <w:shd w:val="clear" w:color="auto" w:fill="FFFFFF"/>
              </w:rPr>
              <m:t>10087</m:t>
            </m:r>
          </m:den>
        </m:f>
      </m:oMath>
      <w:r w:rsidRPr="00EA6D69">
        <w:rPr>
          <w:rFonts w:ascii="Times New Roman" w:eastAsiaTheme="minorEastAsia" w:hAnsi="Times New Roman" w:cs="Times New Roman"/>
          <w:color w:val="000000" w:themeColor="text1"/>
          <w:sz w:val="24"/>
          <w:szCs w:val="24"/>
          <w:shd w:val="clear" w:color="auto" w:fill="FFFFFF"/>
        </w:rPr>
        <w:t xml:space="preserve"> </w:t>
      </w:r>
      <m:oMath>
        <m:r>
          <w:rPr>
            <w:rFonts w:ascii="Cambria Math" w:eastAsiaTheme="minorEastAsia" w:hAnsi="Cambria Math" w:cs="Times New Roman"/>
            <w:color w:val="000000" w:themeColor="text1"/>
            <w:sz w:val="24"/>
            <w:szCs w:val="24"/>
            <w:shd w:val="clear" w:color="auto" w:fill="FFFFFF"/>
          </w:rPr>
          <m:t>×100</m:t>
        </m:r>
      </m:oMath>
      <w:r w:rsidRPr="00EA6D69">
        <w:rPr>
          <w:rFonts w:ascii="Times New Roman" w:eastAsiaTheme="minorEastAsia" w:hAnsi="Times New Roman" w:cs="Times New Roman"/>
          <w:color w:val="000000" w:themeColor="text1"/>
          <w:sz w:val="24"/>
          <w:szCs w:val="24"/>
          <w:shd w:val="clear" w:color="auto" w:fill="FFFFFF"/>
        </w:rPr>
        <w:t xml:space="preserve"> = 33.16%</w:t>
      </w:r>
    </w:p>
    <w:p w14:paraId="1D2C9961" w14:textId="77777777" w:rsidR="0029189A"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Asset turnover for 2021: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 xml:space="preserve">3503 </m:t>
            </m:r>
          </m:num>
          <m:den>
            <m:r>
              <w:rPr>
                <w:rFonts w:ascii="Cambria Math" w:eastAsiaTheme="minorEastAsia" w:hAnsi="Cambria Math" w:cs="Times New Roman"/>
                <w:color w:val="000000" w:themeColor="text1"/>
                <w:sz w:val="24"/>
                <w:szCs w:val="24"/>
                <w:shd w:val="clear" w:color="auto" w:fill="FFFFFF"/>
              </w:rPr>
              <m:t>9736</m:t>
            </m:r>
          </m:den>
        </m:f>
        <m:r>
          <w:rPr>
            <w:rFonts w:ascii="Cambria Math" w:eastAsiaTheme="minorEastAsia" w:hAnsi="Cambria Math" w:cs="Times New Roman"/>
            <w:color w:val="000000" w:themeColor="text1"/>
            <w:sz w:val="24"/>
            <w:szCs w:val="24"/>
            <w:shd w:val="clear" w:color="auto" w:fill="FFFFFF"/>
          </w:rPr>
          <m:t xml:space="preserve"> ×100=35.98%</m:t>
        </m:r>
      </m:oMath>
    </w:p>
    <w:p w14:paraId="5304DC6E" w14:textId="77777777" w:rsidR="005A5343"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Stock holding days</w:t>
      </w:r>
    </w:p>
    <w:p w14:paraId="7C8938A8" w14:textId="77777777" w:rsidR="005A5343"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This refers to the number of days a company </w:t>
      </w:r>
      <w:proofErr w:type="gramStart"/>
      <w:r w:rsidRPr="00EA6D69">
        <w:rPr>
          <w:rFonts w:ascii="Times New Roman" w:eastAsiaTheme="minorEastAsia" w:hAnsi="Times New Roman" w:cs="Times New Roman"/>
          <w:color w:val="000000" w:themeColor="text1"/>
          <w:sz w:val="24"/>
          <w:szCs w:val="24"/>
          <w:shd w:val="clear" w:color="auto" w:fill="FFFFFF"/>
        </w:rPr>
        <w:t>is able to</w:t>
      </w:r>
      <w:proofErr w:type="gramEnd"/>
      <w:r w:rsidRPr="00EA6D69">
        <w:rPr>
          <w:rFonts w:ascii="Times New Roman" w:eastAsiaTheme="minorEastAsia" w:hAnsi="Times New Roman" w:cs="Times New Roman"/>
          <w:color w:val="000000" w:themeColor="text1"/>
          <w:sz w:val="24"/>
          <w:szCs w:val="24"/>
          <w:shd w:val="clear" w:color="auto" w:fill="FFFFFF"/>
        </w:rPr>
        <w:t xml:space="preserve"> hold onto its inventory before proceeding to sell it. This figure is calculated through:</w:t>
      </w:r>
    </w:p>
    <w:p w14:paraId="374F76EC" w14:textId="77777777" w:rsidR="005A5343"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Stock holding days: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Available inventory</m:t>
            </m:r>
          </m:num>
          <m:den>
            <m:r>
              <w:rPr>
                <w:rFonts w:ascii="Cambria Math" w:eastAsiaTheme="minorEastAsia" w:hAnsi="Cambria Math" w:cs="Times New Roman"/>
                <w:color w:val="000000" w:themeColor="text1"/>
                <w:sz w:val="24"/>
                <w:szCs w:val="24"/>
                <w:shd w:val="clear" w:color="auto" w:fill="FFFFFF"/>
              </w:rPr>
              <m:t>The cost of goods sold</m:t>
            </m:r>
          </m:den>
        </m:f>
        <m:r>
          <w:rPr>
            <w:rFonts w:ascii="Cambria Math" w:eastAsiaTheme="minorEastAsia" w:hAnsi="Cambria Math" w:cs="Times New Roman"/>
            <w:color w:val="000000" w:themeColor="text1"/>
            <w:sz w:val="24"/>
            <w:szCs w:val="24"/>
            <w:shd w:val="clear" w:color="auto" w:fill="FFFFFF"/>
          </w:rPr>
          <m:t xml:space="preserve"> ×365</m:t>
        </m:r>
      </m:oMath>
    </w:p>
    <w:p w14:paraId="7E92192B" w14:textId="77777777" w:rsidR="005A5343"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Stock holding days for 2020: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659</m:t>
            </m:r>
          </m:num>
          <m:den>
            <m:r>
              <w:rPr>
                <w:rFonts w:ascii="Cambria Math" w:eastAsiaTheme="minorEastAsia" w:hAnsi="Cambria Math" w:cs="Times New Roman"/>
                <w:color w:val="000000" w:themeColor="text1"/>
                <w:sz w:val="24"/>
                <w:szCs w:val="24"/>
                <w:shd w:val="clear" w:color="auto" w:fill="FFFFFF"/>
              </w:rPr>
              <m:t>3096</m:t>
            </m:r>
          </m:den>
        </m:f>
        <m:r>
          <w:rPr>
            <w:rFonts w:ascii="Cambria Math" w:eastAsiaTheme="minorEastAsia" w:hAnsi="Cambria Math" w:cs="Times New Roman"/>
            <w:color w:val="000000" w:themeColor="text1"/>
            <w:sz w:val="24"/>
            <w:szCs w:val="24"/>
            <w:shd w:val="clear" w:color="auto" w:fill="FFFFFF"/>
          </w:rPr>
          <m:t xml:space="preserve"> ×365=78 days</m:t>
        </m:r>
      </m:oMath>
    </w:p>
    <w:p w14:paraId="45DC73DE" w14:textId="77777777" w:rsidR="005A5343"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Stock holding days for 2021: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708</m:t>
            </m:r>
          </m:num>
          <m:den>
            <m:r>
              <w:rPr>
                <w:rFonts w:ascii="Cambria Math" w:eastAsiaTheme="minorEastAsia" w:hAnsi="Cambria Math" w:cs="Times New Roman"/>
                <w:color w:val="000000" w:themeColor="text1"/>
                <w:sz w:val="24"/>
                <w:szCs w:val="24"/>
                <w:shd w:val="clear" w:color="auto" w:fill="FFFFFF"/>
              </w:rPr>
              <m:t>3235</m:t>
            </m:r>
          </m:den>
        </m:f>
        <m:r>
          <w:rPr>
            <w:rFonts w:ascii="Cambria Math" w:eastAsiaTheme="minorEastAsia" w:hAnsi="Cambria Math" w:cs="Times New Roman"/>
            <w:color w:val="000000" w:themeColor="text1"/>
            <w:sz w:val="24"/>
            <w:szCs w:val="24"/>
            <w:shd w:val="clear" w:color="auto" w:fill="FFFFFF"/>
          </w:rPr>
          <m:t xml:space="preserve"> ×365=80 days</m:t>
        </m:r>
      </m:oMath>
    </w:p>
    <w:p w14:paraId="3555DF32" w14:textId="77777777" w:rsidR="005A5343" w:rsidRPr="00EA6D69" w:rsidRDefault="008750FB" w:rsidP="0000554D">
      <w:pPr>
        <w:rPr>
          <w:rFonts w:ascii="Times New Roman" w:eastAsiaTheme="minorEastAsia" w:hAnsi="Times New Roman" w:cs="Times New Roman"/>
          <w:color w:val="000000" w:themeColor="text1"/>
          <w:sz w:val="24"/>
          <w:szCs w:val="24"/>
          <w:shd w:val="clear" w:color="auto" w:fill="FFFFFF"/>
        </w:rPr>
      </w:pPr>
      <w:proofErr w:type="gramStart"/>
      <w:r w:rsidRPr="00EA6D69">
        <w:rPr>
          <w:rFonts w:ascii="Times New Roman" w:eastAsiaTheme="minorEastAsia" w:hAnsi="Times New Roman" w:cs="Times New Roman"/>
          <w:color w:val="000000" w:themeColor="text1"/>
          <w:sz w:val="24"/>
          <w:szCs w:val="24"/>
          <w:shd w:val="clear" w:color="auto" w:fill="FFFFFF"/>
        </w:rPr>
        <w:t>Debtors</w:t>
      </w:r>
      <w:proofErr w:type="gramEnd"/>
      <w:r w:rsidRPr="00EA6D69">
        <w:rPr>
          <w:rFonts w:ascii="Times New Roman" w:eastAsiaTheme="minorEastAsia" w:hAnsi="Times New Roman" w:cs="Times New Roman"/>
          <w:color w:val="000000" w:themeColor="text1"/>
          <w:sz w:val="24"/>
          <w:szCs w:val="24"/>
          <w:shd w:val="clear" w:color="auto" w:fill="FFFFFF"/>
        </w:rPr>
        <w:t xml:space="preserve"> collection period</w:t>
      </w:r>
    </w:p>
    <w:p w14:paraId="3A6048F2" w14:textId="77777777" w:rsidR="005A5343"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This refers to the time taken for trade debts to be recovered. It is calculated through: </w:t>
      </w:r>
    </w:p>
    <w:p w14:paraId="1ADB4635" w14:textId="77777777" w:rsidR="002B2C65" w:rsidRPr="00EA6D69" w:rsidRDefault="008750FB" w:rsidP="0000554D">
      <w:pPr>
        <w:rPr>
          <w:rFonts w:ascii="Times New Roman" w:eastAsiaTheme="minorEastAsia" w:hAnsi="Times New Roman" w:cs="Times New Roman"/>
          <w:color w:val="000000" w:themeColor="text1"/>
          <w:sz w:val="24"/>
          <w:szCs w:val="24"/>
          <w:shd w:val="clear" w:color="auto" w:fill="FFFFFF"/>
        </w:rPr>
      </w:pPr>
      <w:proofErr w:type="gramStart"/>
      <w:r w:rsidRPr="00EA6D69">
        <w:rPr>
          <w:rFonts w:ascii="Times New Roman" w:eastAsiaTheme="minorEastAsia" w:hAnsi="Times New Roman" w:cs="Times New Roman"/>
          <w:color w:val="000000" w:themeColor="text1"/>
          <w:sz w:val="24"/>
          <w:szCs w:val="24"/>
          <w:shd w:val="clear" w:color="auto" w:fill="FFFFFF"/>
        </w:rPr>
        <w:t>Debtors</w:t>
      </w:r>
      <w:proofErr w:type="gramEnd"/>
      <w:r w:rsidRPr="00EA6D69">
        <w:rPr>
          <w:rFonts w:ascii="Times New Roman" w:eastAsiaTheme="minorEastAsia" w:hAnsi="Times New Roman" w:cs="Times New Roman"/>
          <w:color w:val="000000" w:themeColor="text1"/>
          <w:sz w:val="24"/>
          <w:szCs w:val="24"/>
          <w:shd w:val="clear" w:color="auto" w:fill="FFFFFF"/>
        </w:rPr>
        <w:t xml:space="preserve"> collection period: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Debtors</m:t>
            </m:r>
          </m:num>
          <m:den>
            <m:r>
              <w:rPr>
                <w:rFonts w:ascii="Cambria Math" w:eastAsiaTheme="minorEastAsia" w:hAnsi="Cambria Math" w:cs="Times New Roman"/>
                <w:color w:val="000000" w:themeColor="text1"/>
                <w:sz w:val="24"/>
                <w:szCs w:val="24"/>
                <w:shd w:val="clear" w:color="auto" w:fill="FFFFFF"/>
              </w:rPr>
              <m:t>Sales turnover</m:t>
            </m:r>
          </m:den>
        </m:f>
        <m:r>
          <w:rPr>
            <w:rFonts w:ascii="Cambria Math" w:eastAsiaTheme="minorEastAsia" w:hAnsi="Cambria Math" w:cs="Times New Roman"/>
            <w:color w:val="000000" w:themeColor="text1"/>
            <w:sz w:val="24"/>
            <w:szCs w:val="24"/>
            <w:shd w:val="clear" w:color="auto" w:fill="FFFFFF"/>
          </w:rPr>
          <m:t xml:space="preserve"> ×365</m:t>
        </m:r>
      </m:oMath>
    </w:p>
    <w:p w14:paraId="69210E02" w14:textId="77777777" w:rsidR="00390989" w:rsidRPr="00EA6D69" w:rsidRDefault="008750FB" w:rsidP="0000554D">
      <w:pPr>
        <w:rPr>
          <w:rFonts w:ascii="Times New Roman" w:eastAsiaTheme="minorEastAsia" w:hAnsi="Times New Roman" w:cs="Times New Roman"/>
          <w:color w:val="000000" w:themeColor="text1"/>
          <w:sz w:val="24"/>
          <w:szCs w:val="24"/>
          <w:shd w:val="clear" w:color="auto" w:fill="FFFFFF"/>
        </w:rPr>
      </w:pPr>
      <w:proofErr w:type="gramStart"/>
      <w:r w:rsidRPr="00EA6D69">
        <w:rPr>
          <w:rFonts w:ascii="Times New Roman" w:eastAsiaTheme="minorEastAsia" w:hAnsi="Times New Roman" w:cs="Times New Roman"/>
          <w:color w:val="000000" w:themeColor="text1"/>
          <w:sz w:val="24"/>
          <w:szCs w:val="24"/>
          <w:shd w:val="clear" w:color="auto" w:fill="FFFFFF"/>
        </w:rPr>
        <w:t>Debtors</w:t>
      </w:r>
      <w:proofErr w:type="gramEnd"/>
      <w:r w:rsidRPr="00EA6D69">
        <w:rPr>
          <w:rFonts w:ascii="Times New Roman" w:eastAsiaTheme="minorEastAsia" w:hAnsi="Times New Roman" w:cs="Times New Roman"/>
          <w:color w:val="000000" w:themeColor="text1"/>
          <w:sz w:val="24"/>
          <w:szCs w:val="24"/>
          <w:shd w:val="clear" w:color="auto" w:fill="FFFFFF"/>
        </w:rPr>
        <w:t xml:space="preserve"> collection period for 2020: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1287</m:t>
            </m:r>
          </m:num>
          <m:den>
            <m:r>
              <w:rPr>
                <w:rFonts w:ascii="Cambria Math" w:eastAsiaTheme="minorEastAsia" w:hAnsi="Cambria Math" w:cs="Times New Roman"/>
                <w:color w:val="000000" w:themeColor="text1"/>
                <w:sz w:val="24"/>
                <w:szCs w:val="24"/>
                <w:shd w:val="clear" w:color="auto" w:fill="FFFFFF"/>
              </w:rPr>
              <m:t>6441</m:t>
            </m:r>
          </m:den>
        </m:f>
        <m:r>
          <w:rPr>
            <w:rFonts w:ascii="Cambria Math" w:eastAsiaTheme="minorEastAsia" w:hAnsi="Cambria Math" w:cs="Times New Roman"/>
            <w:color w:val="000000" w:themeColor="text1"/>
            <w:sz w:val="24"/>
            <w:szCs w:val="24"/>
            <w:shd w:val="clear" w:color="auto" w:fill="FFFFFF"/>
          </w:rPr>
          <m:t xml:space="preserve"> ×365=73 days</m:t>
        </m:r>
      </m:oMath>
    </w:p>
    <w:p w14:paraId="342349C1" w14:textId="77777777" w:rsidR="00390989" w:rsidRPr="00EA6D69" w:rsidRDefault="008750FB" w:rsidP="0000554D">
      <w:pPr>
        <w:rPr>
          <w:rFonts w:ascii="Times New Roman" w:eastAsiaTheme="minorEastAsia" w:hAnsi="Times New Roman" w:cs="Times New Roman"/>
          <w:color w:val="000000" w:themeColor="text1"/>
          <w:sz w:val="24"/>
          <w:szCs w:val="24"/>
          <w:shd w:val="clear" w:color="auto" w:fill="FFFFFF"/>
        </w:rPr>
      </w:pPr>
      <w:proofErr w:type="gramStart"/>
      <w:r w:rsidRPr="00EA6D69">
        <w:rPr>
          <w:rFonts w:ascii="Times New Roman" w:eastAsiaTheme="minorEastAsia" w:hAnsi="Times New Roman" w:cs="Times New Roman"/>
          <w:color w:val="000000" w:themeColor="text1"/>
          <w:sz w:val="24"/>
          <w:szCs w:val="24"/>
          <w:shd w:val="clear" w:color="auto" w:fill="FFFFFF"/>
        </w:rPr>
        <w:lastRenderedPageBreak/>
        <w:t>Debtors</w:t>
      </w:r>
      <w:proofErr w:type="gramEnd"/>
      <w:r w:rsidRPr="00EA6D69">
        <w:rPr>
          <w:rFonts w:ascii="Times New Roman" w:eastAsiaTheme="minorEastAsia" w:hAnsi="Times New Roman" w:cs="Times New Roman"/>
          <w:color w:val="000000" w:themeColor="text1"/>
          <w:sz w:val="24"/>
          <w:szCs w:val="24"/>
          <w:shd w:val="clear" w:color="auto" w:fill="FFFFFF"/>
        </w:rPr>
        <w:t xml:space="preserve"> collection period for 2021: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1249</m:t>
            </m:r>
          </m:num>
          <m:den>
            <m:r>
              <w:rPr>
                <w:rFonts w:ascii="Cambria Math" w:eastAsiaTheme="minorEastAsia" w:hAnsi="Cambria Math" w:cs="Times New Roman"/>
                <w:color w:val="000000" w:themeColor="text1"/>
                <w:sz w:val="24"/>
                <w:szCs w:val="24"/>
                <w:shd w:val="clear" w:color="auto" w:fill="FFFFFF"/>
              </w:rPr>
              <m:t>6738</m:t>
            </m:r>
          </m:den>
        </m:f>
        <m:r>
          <w:rPr>
            <w:rFonts w:ascii="Cambria Math" w:eastAsiaTheme="minorEastAsia" w:hAnsi="Cambria Math" w:cs="Times New Roman"/>
            <w:color w:val="000000" w:themeColor="text1"/>
            <w:sz w:val="24"/>
            <w:szCs w:val="24"/>
            <w:shd w:val="clear" w:color="auto" w:fill="FFFFFF"/>
          </w:rPr>
          <m:t xml:space="preserve"> ×365=68 days</m:t>
        </m:r>
      </m:oMath>
    </w:p>
    <w:p w14:paraId="48D14196" w14:textId="77777777" w:rsidR="00390989"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Current ratio</w:t>
      </w:r>
    </w:p>
    <w:p w14:paraId="1ECDF47B" w14:textId="77777777" w:rsidR="00390989"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Current ratio provides a comparison of an organisation’s current liabilities to its current assets. It is calculated through:</w:t>
      </w:r>
    </w:p>
    <w:p w14:paraId="5E28D61E" w14:textId="77777777" w:rsidR="00390989"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Current ratio: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Current assets</m:t>
            </m:r>
          </m:num>
          <m:den>
            <m:r>
              <w:rPr>
                <w:rFonts w:ascii="Cambria Math" w:eastAsiaTheme="minorEastAsia" w:hAnsi="Cambria Math" w:cs="Times New Roman"/>
                <w:color w:val="000000" w:themeColor="text1"/>
                <w:sz w:val="24"/>
                <w:szCs w:val="24"/>
                <w:shd w:val="clear" w:color="auto" w:fill="FFFFFF"/>
              </w:rPr>
              <m:t>Current liabilities</m:t>
            </m:r>
          </m:den>
        </m:f>
      </m:oMath>
    </w:p>
    <w:p w14:paraId="5FAB2905" w14:textId="77777777" w:rsidR="00390989"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Current ratio for 2020: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2355</m:t>
            </m:r>
          </m:num>
          <m:den>
            <m:r>
              <w:rPr>
                <w:rFonts w:ascii="Cambria Math" w:eastAsiaTheme="minorEastAsia" w:hAnsi="Cambria Math" w:cs="Times New Roman"/>
                <w:color w:val="000000" w:themeColor="text1"/>
                <w:sz w:val="24"/>
                <w:szCs w:val="24"/>
                <w:shd w:val="clear" w:color="auto" w:fill="FFFFFF"/>
              </w:rPr>
              <m:t>3046</m:t>
            </m:r>
          </m:den>
        </m:f>
        <m:r>
          <w:rPr>
            <w:rFonts w:ascii="Cambria Math" w:eastAsiaTheme="minorEastAsia" w:hAnsi="Cambria Math" w:cs="Times New Roman"/>
            <w:color w:val="000000" w:themeColor="text1"/>
            <w:sz w:val="24"/>
            <w:szCs w:val="24"/>
            <w:shd w:val="clear" w:color="auto" w:fill="FFFFFF"/>
          </w:rPr>
          <m:t>=0.77</m:t>
        </m:r>
      </m:oMath>
    </w:p>
    <w:p w14:paraId="445182C7" w14:textId="77777777" w:rsidR="00390989"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Current ratio for 2021: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2303</m:t>
            </m:r>
          </m:num>
          <m:den>
            <m:r>
              <w:rPr>
                <w:rFonts w:ascii="Cambria Math" w:eastAsiaTheme="minorEastAsia" w:hAnsi="Cambria Math" w:cs="Times New Roman"/>
                <w:color w:val="000000" w:themeColor="text1"/>
                <w:sz w:val="24"/>
                <w:szCs w:val="24"/>
                <w:shd w:val="clear" w:color="auto" w:fill="FFFFFF"/>
              </w:rPr>
              <m:t>2511</m:t>
            </m:r>
          </m:den>
        </m:f>
        <m:r>
          <w:rPr>
            <w:rFonts w:ascii="Cambria Math" w:eastAsiaTheme="minorEastAsia" w:hAnsi="Cambria Math" w:cs="Times New Roman"/>
            <w:color w:val="000000" w:themeColor="text1"/>
            <w:sz w:val="24"/>
            <w:szCs w:val="24"/>
            <w:shd w:val="clear" w:color="auto" w:fill="FFFFFF"/>
          </w:rPr>
          <m:t>=0.92</m:t>
        </m:r>
      </m:oMath>
    </w:p>
    <w:p w14:paraId="0612DD98" w14:textId="77777777" w:rsidR="00390989"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Gearing ratio</w:t>
      </w:r>
    </w:p>
    <w:p w14:paraId="1CCBC6C5" w14:textId="77777777" w:rsidR="00390989"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This ratio provides an overview of an organisation’s financial leverage and is mostly utilised by investors. It is calculated through:</w:t>
      </w:r>
    </w:p>
    <w:p w14:paraId="50953008" w14:textId="77777777" w:rsidR="00390989"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Gearing ratio: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Long term debts+short term debts</m:t>
            </m:r>
          </m:num>
          <m:den>
            <m:r>
              <w:rPr>
                <w:rFonts w:ascii="Cambria Math" w:eastAsiaTheme="minorEastAsia" w:hAnsi="Cambria Math" w:cs="Times New Roman"/>
                <w:color w:val="000000" w:themeColor="text1"/>
                <w:sz w:val="24"/>
                <w:szCs w:val="24"/>
                <w:shd w:val="clear" w:color="auto" w:fill="FFFFFF"/>
              </w:rPr>
              <m:t>shareholder equity</m:t>
            </m:r>
          </m:den>
        </m:f>
      </m:oMath>
    </w:p>
    <w:p w14:paraId="06609327" w14:textId="77777777" w:rsidR="00390989"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Gearing ratio for 2020: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4129</m:t>
            </m:r>
          </m:num>
          <m:den>
            <m:r>
              <w:rPr>
                <w:rFonts w:ascii="Cambria Math" w:eastAsiaTheme="minorEastAsia" w:hAnsi="Cambria Math" w:cs="Times New Roman"/>
                <w:color w:val="000000" w:themeColor="text1"/>
                <w:sz w:val="24"/>
                <w:szCs w:val="24"/>
                <w:shd w:val="clear" w:color="auto" w:fill="FFFFFF"/>
              </w:rPr>
              <m:t>2912</m:t>
            </m:r>
          </m:den>
        </m:f>
        <m:r>
          <w:rPr>
            <w:rFonts w:ascii="Cambria Math" w:eastAsiaTheme="minorEastAsia" w:hAnsi="Cambria Math" w:cs="Times New Roman"/>
            <w:color w:val="000000" w:themeColor="text1"/>
            <w:sz w:val="24"/>
            <w:szCs w:val="24"/>
            <w:shd w:val="clear" w:color="auto" w:fill="FFFFFF"/>
          </w:rPr>
          <m:t>=1.42</m:t>
        </m:r>
      </m:oMath>
    </w:p>
    <w:p w14:paraId="41F9F664" w14:textId="77777777" w:rsidR="00390989"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Gearing ratio for 2021: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4137</m:t>
            </m:r>
          </m:num>
          <m:den>
            <m:r>
              <w:rPr>
                <w:rFonts w:ascii="Cambria Math" w:eastAsiaTheme="minorEastAsia" w:hAnsi="Cambria Math" w:cs="Times New Roman"/>
                <w:color w:val="000000" w:themeColor="text1"/>
                <w:sz w:val="24"/>
                <w:szCs w:val="24"/>
                <w:shd w:val="clear" w:color="auto" w:fill="FFFFFF"/>
              </w:rPr>
              <m:t>3088</m:t>
            </m:r>
          </m:den>
        </m:f>
        <m:r>
          <w:rPr>
            <w:rFonts w:ascii="Cambria Math" w:eastAsiaTheme="minorEastAsia" w:hAnsi="Cambria Math" w:cs="Times New Roman"/>
            <w:color w:val="000000" w:themeColor="text1"/>
            <w:sz w:val="24"/>
            <w:szCs w:val="24"/>
            <w:shd w:val="clear" w:color="auto" w:fill="FFFFFF"/>
          </w:rPr>
          <m:t>=1.34</m:t>
        </m:r>
      </m:oMath>
    </w:p>
    <w:p w14:paraId="2D6E2F26" w14:textId="77777777" w:rsidR="00390989"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Interest cover</w:t>
      </w:r>
    </w:p>
    <w:p w14:paraId="77138FF4" w14:textId="77777777" w:rsidR="00390989"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This ratio provides a depiction of whether an organisation can pay its debts. It is calculated through:</w:t>
      </w:r>
    </w:p>
    <w:p w14:paraId="44868AF6" w14:textId="77777777" w:rsidR="00390989"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Interest cover: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EBIT</m:t>
            </m:r>
          </m:num>
          <m:den>
            <m:r>
              <w:rPr>
                <w:rFonts w:ascii="Cambria Math" w:eastAsiaTheme="minorEastAsia" w:hAnsi="Cambria Math" w:cs="Times New Roman"/>
                <w:color w:val="000000" w:themeColor="text1"/>
                <w:sz w:val="24"/>
                <w:szCs w:val="24"/>
                <w:shd w:val="clear" w:color="auto" w:fill="FFFFFF"/>
              </w:rPr>
              <m:t>Total Interests</m:t>
            </m:r>
          </m:den>
        </m:f>
      </m:oMath>
    </w:p>
    <w:p w14:paraId="788DDB00" w14:textId="77777777" w:rsidR="00390989"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Interest cover for 2020: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539</m:t>
            </m:r>
          </m:num>
          <m:den>
            <m:r>
              <w:rPr>
                <w:rFonts w:ascii="Cambria Math" w:eastAsiaTheme="minorEastAsia" w:hAnsi="Cambria Math" w:cs="Times New Roman"/>
                <w:color w:val="000000" w:themeColor="text1"/>
                <w:sz w:val="24"/>
                <w:szCs w:val="24"/>
                <w:shd w:val="clear" w:color="auto" w:fill="FFFFFF"/>
              </w:rPr>
              <m:t>181</m:t>
            </m:r>
          </m:den>
        </m:f>
        <m:r>
          <w:rPr>
            <w:rFonts w:ascii="Cambria Math" w:eastAsiaTheme="minorEastAsia" w:hAnsi="Cambria Math" w:cs="Times New Roman"/>
            <w:color w:val="000000" w:themeColor="text1"/>
            <w:sz w:val="24"/>
            <w:szCs w:val="24"/>
            <w:shd w:val="clear" w:color="auto" w:fill="FFFFFF"/>
          </w:rPr>
          <m:t>=2.98</m:t>
        </m:r>
      </m:oMath>
    </w:p>
    <w:p w14:paraId="751794D2" w14:textId="77777777" w:rsidR="00402332" w:rsidRPr="00EA6D69" w:rsidRDefault="008750FB" w:rsidP="0000554D">
      <w:pPr>
        <w:rPr>
          <w:rFonts w:ascii="Times New Roman" w:eastAsiaTheme="minorEastAsia" w:hAnsi="Times New Roman" w:cs="Times New Roman"/>
          <w:color w:val="000000" w:themeColor="text1"/>
          <w:sz w:val="24"/>
          <w:szCs w:val="24"/>
          <w:shd w:val="clear" w:color="auto" w:fill="FFFFFF"/>
        </w:rPr>
      </w:pPr>
      <w:r w:rsidRPr="00EA6D69">
        <w:rPr>
          <w:rFonts w:ascii="Times New Roman" w:eastAsiaTheme="minorEastAsia" w:hAnsi="Times New Roman" w:cs="Times New Roman"/>
          <w:color w:val="000000" w:themeColor="text1"/>
          <w:sz w:val="24"/>
          <w:szCs w:val="24"/>
          <w:shd w:val="clear" w:color="auto" w:fill="FFFFFF"/>
        </w:rPr>
        <w:t xml:space="preserve">Interest cover for 2021: </w:t>
      </w:r>
      <m:oMath>
        <m:f>
          <m:fPr>
            <m:ctrlPr>
              <w:rPr>
                <w:rFonts w:ascii="Cambria Math" w:eastAsiaTheme="minorEastAsia" w:hAnsi="Cambria Math" w:cs="Times New Roman"/>
                <w:i/>
                <w:color w:val="000000" w:themeColor="text1"/>
                <w:sz w:val="24"/>
                <w:szCs w:val="24"/>
                <w:shd w:val="clear" w:color="auto" w:fill="FFFFFF"/>
              </w:rPr>
            </m:ctrlPr>
          </m:fPr>
          <m:num>
            <m:r>
              <w:rPr>
                <w:rFonts w:ascii="Cambria Math" w:eastAsiaTheme="minorEastAsia" w:hAnsi="Cambria Math" w:cs="Times New Roman"/>
                <w:color w:val="000000" w:themeColor="text1"/>
                <w:sz w:val="24"/>
                <w:szCs w:val="24"/>
                <w:shd w:val="clear" w:color="auto" w:fill="FFFFFF"/>
              </w:rPr>
              <m:t>620</m:t>
            </m:r>
          </m:num>
          <m:den>
            <m:r>
              <w:rPr>
                <w:rFonts w:ascii="Cambria Math" w:eastAsiaTheme="minorEastAsia" w:hAnsi="Cambria Math" w:cs="Times New Roman"/>
                <w:color w:val="000000" w:themeColor="text1"/>
                <w:sz w:val="24"/>
                <w:szCs w:val="24"/>
                <w:shd w:val="clear" w:color="auto" w:fill="FFFFFF"/>
              </w:rPr>
              <m:t>226</m:t>
            </m:r>
          </m:den>
        </m:f>
        <m:r>
          <w:rPr>
            <w:rFonts w:ascii="Cambria Math" w:eastAsiaTheme="minorEastAsia" w:hAnsi="Cambria Math" w:cs="Times New Roman"/>
            <w:color w:val="000000" w:themeColor="text1"/>
            <w:sz w:val="24"/>
            <w:szCs w:val="24"/>
            <w:shd w:val="clear" w:color="auto" w:fill="FFFFFF"/>
          </w:rPr>
          <m:t>=2.74</m:t>
        </m:r>
      </m:oMath>
    </w:p>
    <w:p w14:paraId="24B52604" w14:textId="77777777" w:rsidR="00402332" w:rsidRPr="00EA6D69" w:rsidRDefault="008750FB" w:rsidP="00323973">
      <w:pPr>
        <w:spacing w:line="480" w:lineRule="auto"/>
        <w:jc w:val="both"/>
        <w:rPr>
          <w:rFonts w:ascii="Times New Roman" w:eastAsiaTheme="minorEastAsia" w:hAnsi="Times New Roman" w:cs="Times New Roman"/>
          <w:b/>
          <w:color w:val="000000" w:themeColor="text1"/>
          <w:sz w:val="24"/>
          <w:szCs w:val="24"/>
          <w:shd w:val="clear" w:color="auto" w:fill="FFFFFF"/>
        </w:rPr>
      </w:pPr>
      <w:r w:rsidRPr="00EA6D69">
        <w:rPr>
          <w:rFonts w:ascii="Times New Roman" w:eastAsiaTheme="minorEastAsia" w:hAnsi="Times New Roman" w:cs="Times New Roman"/>
          <w:b/>
          <w:color w:val="000000" w:themeColor="text1"/>
          <w:sz w:val="24"/>
          <w:szCs w:val="24"/>
          <w:shd w:val="clear" w:color="auto" w:fill="FFFFFF"/>
        </w:rPr>
        <w:t>b. Using the information in the financial statements and the calculated ratios to comment on the financial performance of the organisation.</w:t>
      </w:r>
    </w:p>
    <w:p w14:paraId="54802651" w14:textId="77777777" w:rsidR="003A50D8" w:rsidRPr="00EA6D69" w:rsidRDefault="008750FB" w:rsidP="00323973">
      <w:pPr>
        <w:spacing w:line="480" w:lineRule="auto"/>
        <w:jc w:val="both"/>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rPr>
        <w:t xml:space="preserve">Sweet PLC recorded an increase in revenue between 2020 and 2021 which exhibits exceptional business performance. However, this increase in revenue is also accompanied by an increase in marketing and sales costs – from </w:t>
      </w:r>
      <w:r w:rsidRPr="00EA6D69">
        <w:rPr>
          <w:rFonts w:ascii="Times New Roman" w:hAnsi="Times New Roman" w:cs="Times New Roman"/>
          <w:color w:val="000000" w:themeColor="text1"/>
          <w:sz w:val="24"/>
          <w:szCs w:val="24"/>
          <w:shd w:val="clear" w:color="auto" w:fill="FFFFFF"/>
        </w:rPr>
        <w:t xml:space="preserve">£1,274m in 2020 to £1,324m in 2021 – as well as an increase in the distribution costs from £422m in 2020 to £437m in 2021. The company also witnessed a </w:t>
      </w:r>
      <w:r w:rsidRPr="00EA6D69">
        <w:rPr>
          <w:rFonts w:ascii="Times New Roman" w:hAnsi="Times New Roman" w:cs="Times New Roman"/>
          <w:color w:val="000000" w:themeColor="text1"/>
          <w:sz w:val="24"/>
          <w:szCs w:val="24"/>
          <w:shd w:val="clear" w:color="auto" w:fill="FFFFFF"/>
        </w:rPr>
        <w:lastRenderedPageBreak/>
        <w:t>reduction in its non-current assets from £7,735m in 2020 to £7,433m in 2021; this reduction may be associated with depreciation, depletion, or amortisation. The company's current assets also decreased from £2,355m in 2020 to £2,303m in 2021; this may be attributed to the decrease in the number of funding sources which may ultimately compromise the long-term operational efficiency of the organisation. A reduction in the amount owed to creditors – from £2,391m to £1,928m – means that the company still has the financial capability to offset its debts despite the reduction in current and non-current assets. Overall, the company recorded an increase in its retained profits from £2,912m to £3,088m which signals a financially healthy organisation.</w:t>
      </w:r>
    </w:p>
    <w:p w14:paraId="534ADA79" w14:textId="77777777" w:rsidR="003A50D8" w:rsidRPr="00EA6D69" w:rsidRDefault="008750FB" w:rsidP="00323973">
      <w:pPr>
        <w:spacing w:line="480" w:lineRule="auto"/>
        <w:jc w:val="both"/>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 xml:space="preserve">The increase in the ROCE value between 2020 and 2021 means that a large proportion of the company’s profitability can be re-invested into the organisation to the benefit of the shareholders. This increase is also an indicator that the company has the potential to grow further and realise continued success. The increase in ROE between 2020 and 2021 – from 4.26% to 5.7% - means that the organisation’s management is effective at realising income from the financing it receives. </w:t>
      </w:r>
      <w:r w:rsidR="008F22DE" w:rsidRPr="00EA6D69">
        <w:rPr>
          <w:rFonts w:ascii="Times New Roman" w:hAnsi="Times New Roman" w:cs="Times New Roman"/>
          <w:color w:val="000000" w:themeColor="text1"/>
          <w:sz w:val="24"/>
          <w:szCs w:val="24"/>
          <w:shd w:val="clear" w:color="auto" w:fill="FFFFFF"/>
        </w:rPr>
        <w:t>Maeenuddina et al. (2023</w:t>
      </w:r>
      <w:r w:rsidRPr="00EA6D69">
        <w:rPr>
          <w:rFonts w:ascii="Times New Roman" w:hAnsi="Times New Roman" w:cs="Times New Roman"/>
          <w:color w:val="000000" w:themeColor="text1"/>
          <w:sz w:val="24"/>
          <w:szCs w:val="24"/>
          <w:shd w:val="clear" w:color="auto" w:fill="FFFFFF"/>
        </w:rPr>
        <w:t>) noted that a high ROE means that an organisation can operate with superior financial effectiveness and efficiency, ultimately allowing for the realisation of competitive advantage and long-term sustainability.</w:t>
      </w:r>
    </w:p>
    <w:p w14:paraId="79AC471E" w14:textId="77777777" w:rsidR="003A50D8" w:rsidRPr="00EA6D69" w:rsidRDefault="008750FB" w:rsidP="00323973">
      <w:pPr>
        <w:spacing w:line="480" w:lineRule="auto"/>
        <w:jc w:val="both"/>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 xml:space="preserve">In 2020, the company recorded £2.48 as its earning per share. This figure increased to £3.52 in 2021; </w:t>
      </w:r>
      <w:r w:rsidR="00323973" w:rsidRPr="00EA6D69">
        <w:rPr>
          <w:rFonts w:ascii="Times New Roman" w:hAnsi="Times New Roman" w:cs="Times New Roman"/>
          <w:color w:val="000000" w:themeColor="text1"/>
          <w:sz w:val="24"/>
          <w:szCs w:val="24"/>
          <w:shd w:val="clear" w:color="auto" w:fill="FFFFFF"/>
        </w:rPr>
        <w:t>Hosaka (2019</w:t>
      </w:r>
      <w:r w:rsidRPr="00EA6D69">
        <w:rPr>
          <w:rFonts w:ascii="Times New Roman" w:hAnsi="Times New Roman" w:cs="Times New Roman"/>
          <w:color w:val="000000" w:themeColor="text1"/>
          <w:sz w:val="24"/>
          <w:szCs w:val="24"/>
          <w:shd w:val="clear" w:color="auto" w:fill="FFFFFF"/>
        </w:rPr>
        <w:t xml:space="preserve">) noted that an increase in an organisation's EPS signals a higher company value since the investors will have an opportunity to pay more in order to receive the organisation's shares. The increase also signals that Sweet PLC is profitable enough and can pay its shareholders without any strain. In 2021, the company was also more effective when it comes to realising profitability from its </w:t>
      </w:r>
      <w:proofErr w:type="gramStart"/>
      <w:r w:rsidRPr="00EA6D69">
        <w:rPr>
          <w:rFonts w:ascii="Times New Roman" w:hAnsi="Times New Roman" w:cs="Times New Roman"/>
          <w:color w:val="000000" w:themeColor="text1"/>
          <w:sz w:val="24"/>
          <w:szCs w:val="24"/>
          <w:shd w:val="clear" w:color="auto" w:fill="FFFFFF"/>
        </w:rPr>
        <w:t>sales ;</w:t>
      </w:r>
      <w:proofErr w:type="gramEnd"/>
      <w:r w:rsidRPr="00EA6D69">
        <w:rPr>
          <w:rFonts w:ascii="Times New Roman" w:hAnsi="Times New Roman" w:cs="Times New Roman"/>
          <w:color w:val="000000" w:themeColor="text1"/>
          <w:sz w:val="24"/>
          <w:szCs w:val="24"/>
          <w:shd w:val="clear" w:color="auto" w:fill="FFFFFF"/>
        </w:rPr>
        <w:t xml:space="preserve"> this is indicated by the increase in its net profit margin from 5.68% in 2020 to 6.4% in 2021. Furthermore, this increase is also indicative of the organisation’s ability to </w:t>
      </w:r>
      <w:r w:rsidRPr="00EA6D69">
        <w:rPr>
          <w:rFonts w:ascii="Times New Roman" w:hAnsi="Times New Roman" w:cs="Times New Roman"/>
          <w:color w:val="000000" w:themeColor="text1"/>
          <w:sz w:val="24"/>
          <w:szCs w:val="24"/>
          <w:shd w:val="clear" w:color="auto" w:fill="FFFFFF"/>
        </w:rPr>
        <w:lastRenderedPageBreak/>
        <w:t>effectively manage its costs; from the profit and loss statement provided, the company was able to realise a reduction in most of its costs including the administrative expenses and accounts payables.</w:t>
      </w:r>
    </w:p>
    <w:p w14:paraId="61315111" w14:textId="77777777" w:rsidR="003A50D8" w:rsidRPr="00EA6D69" w:rsidRDefault="008750FB" w:rsidP="00323973">
      <w:pPr>
        <w:spacing w:line="480" w:lineRule="auto"/>
        <w:jc w:val="both"/>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 xml:space="preserve">Sweet PLC has realised an increase in its asset turnover from 33.16% in 2020 to 35.98% in 2021. </w:t>
      </w:r>
      <w:r w:rsidR="00323973" w:rsidRPr="00EA6D69">
        <w:rPr>
          <w:rFonts w:ascii="Times New Roman" w:hAnsi="Times New Roman" w:cs="Times New Roman"/>
          <w:color w:val="000000" w:themeColor="text1"/>
          <w:sz w:val="24"/>
          <w:szCs w:val="24"/>
          <w:shd w:val="clear" w:color="auto" w:fill="FFFFFF"/>
        </w:rPr>
        <w:t>Kurniawan (2021</w:t>
      </w:r>
      <w:r w:rsidRPr="00EA6D69">
        <w:rPr>
          <w:rFonts w:ascii="Times New Roman" w:hAnsi="Times New Roman" w:cs="Times New Roman"/>
          <w:color w:val="000000" w:themeColor="text1"/>
          <w:sz w:val="24"/>
          <w:szCs w:val="24"/>
          <w:shd w:val="clear" w:color="auto" w:fill="FFFFFF"/>
        </w:rPr>
        <w:t xml:space="preserve">) asserted that asset turnover is indicative of an organisation's ability to realise revenue using available assets. Thus, the high asset turnover means that </w:t>
      </w:r>
      <w:proofErr w:type="gramStart"/>
      <w:r w:rsidRPr="00EA6D69">
        <w:rPr>
          <w:rFonts w:ascii="Times New Roman" w:hAnsi="Times New Roman" w:cs="Times New Roman"/>
          <w:color w:val="000000" w:themeColor="text1"/>
          <w:sz w:val="24"/>
          <w:szCs w:val="24"/>
          <w:shd w:val="clear" w:color="auto" w:fill="FFFFFF"/>
        </w:rPr>
        <w:t>Sweet</w:t>
      </w:r>
      <w:proofErr w:type="gramEnd"/>
      <w:r w:rsidRPr="00EA6D69">
        <w:rPr>
          <w:rFonts w:ascii="Times New Roman" w:hAnsi="Times New Roman" w:cs="Times New Roman"/>
          <w:color w:val="000000" w:themeColor="text1"/>
          <w:sz w:val="24"/>
          <w:szCs w:val="24"/>
          <w:shd w:val="clear" w:color="auto" w:fill="FFFFFF"/>
        </w:rPr>
        <w:t xml:space="preserve"> plc is more effective and efficient at utilising its assets for revenue generation. However, the company also witnessed an increase in its stock holding days from 78 days in 2020 to 80 days in 2021; this increase signals a lack of effectiveness in converting stock into sales thus exposing the company to high holding expenses. Nevertheless, to overcome this challenge, it is recommended that the organisation adopts a just-in-time supply chain management strategy which would be underlined by coming up with an accurate reorder point and avoiding overstocking. Furthermore, </w:t>
      </w:r>
      <w:r w:rsidR="00323973" w:rsidRPr="00EA6D69">
        <w:rPr>
          <w:rFonts w:ascii="Times New Roman" w:hAnsi="Times New Roman" w:cs="Times New Roman"/>
          <w:color w:val="000000" w:themeColor="text1"/>
          <w:sz w:val="24"/>
          <w:szCs w:val="24"/>
          <w:shd w:val="clear" w:color="auto" w:fill="FFFFFF"/>
        </w:rPr>
        <w:t>Maeenuddina et al. (2023</w:t>
      </w:r>
      <w:r w:rsidRPr="00EA6D69">
        <w:rPr>
          <w:rFonts w:ascii="Times New Roman" w:hAnsi="Times New Roman" w:cs="Times New Roman"/>
          <w:color w:val="000000" w:themeColor="text1"/>
          <w:sz w:val="24"/>
          <w:szCs w:val="24"/>
          <w:shd w:val="clear" w:color="auto" w:fill="FFFFFF"/>
        </w:rPr>
        <w:t xml:space="preserve">) noted that this supply chain management approach would require an organisation to work in collaboration with the right supplier and adopt technologies such as blockchain that would enhance visibility and accountability. Furthermore, the organisation needs to ensure that it increases its marketing </w:t>
      </w:r>
      <w:proofErr w:type="gramStart"/>
      <w:r w:rsidRPr="00EA6D69">
        <w:rPr>
          <w:rFonts w:ascii="Times New Roman" w:hAnsi="Times New Roman" w:cs="Times New Roman"/>
          <w:color w:val="000000" w:themeColor="text1"/>
          <w:sz w:val="24"/>
          <w:szCs w:val="24"/>
          <w:shd w:val="clear" w:color="auto" w:fill="FFFFFF"/>
        </w:rPr>
        <w:t>as a way to</w:t>
      </w:r>
      <w:proofErr w:type="gramEnd"/>
      <w:r w:rsidRPr="00EA6D69">
        <w:rPr>
          <w:rFonts w:ascii="Times New Roman" w:hAnsi="Times New Roman" w:cs="Times New Roman"/>
          <w:color w:val="000000" w:themeColor="text1"/>
          <w:sz w:val="24"/>
          <w:szCs w:val="24"/>
          <w:shd w:val="clear" w:color="auto" w:fill="FFFFFF"/>
        </w:rPr>
        <w:t xml:space="preserve"> boost its visibility and consumer purchase.</w:t>
      </w:r>
    </w:p>
    <w:p w14:paraId="3BFFED17" w14:textId="77777777" w:rsidR="003A50D8" w:rsidRPr="00EA6D69" w:rsidRDefault="008750FB" w:rsidP="00323973">
      <w:pPr>
        <w:spacing w:line="480" w:lineRule="auto"/>
        <w:jc w:val="both"/>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 xml:space="preserve">Sweet PLC has also realised a reduction in its debtor collection period from 73 days to 68 days. This implies that the organisation </w:t>
      </w:r>
      <w:proofErr w:type="gramStart"/>
      <w:r w:rsidRPr="00EA6D69">
        <w:rPr>
          <w:rFonts w:ascii="Times New Roman" w:hAnsi="Times New Roman" w:cs="Times New Roman"/>
          <w:color w:val="000000" w:themeColor="text1"/>
          <w:sz w:val="24"/>
          <w:szCs w:val="24"/>
          <w:shd w:val="clear" w:color="auto" w:fill="FFFFFF"/>
        </w:rPr>
        <w:t>is able to</w:t>
      </w:r>
      <w:proofErr w:type="gramEnd"/>
      <w:r w:rsidRPr="00EA6D69">
        <w:rPr>
          <w:rFonts w:ascii="Times New Roman" w:hAnsi="Times New Roman" w:cs="Times New Roman"/>
          <w:color w:val="000000" w:themeColor="text1"/>
          <w:sz w:val="24"/>
          <w:szCs w:val="24"/>
          <w:shd w:val="clear" w:color="auto" w:fill="FFFFFF"/>
        </w:rPr>
        <w:t xml:space="preserve"> collect its debts within a short time thus enhancing its operational efficiency, liquidity, and budgeting. In addition, the company’s current ratio increased from 0.77 to 0.92. </w:t>
      </w:r>
      <w:r w:rsidR="00323973" w:rsidRPr="00EA6D69">
        <w:rPr>
          <w:rFonts w:ascii="Times New Roman" w:hAnsi="Times New Roman" w:cs="Times New Roman"/>
          <w:color w:val="000000" w:themeColor="text1"/>
          <w:sz w:val="24"/>
          <w:szCs w:val="24"/>
          <w:shd w:val="clear" w:color="auto" w:fill="FFFFFF"/>
        </w:rPr>
        <w:t>Irman and Purwati (2020</w:t>
      </w:r>
      <w:r w:rsidRPr="00EA6D69">
        <w:rPr>
          <w:rFonts w:ascii="Times New Roman" w:hAnsi="Times New Roman" w:cs="Times New Roman"/>
          <w:color w:val="000000" w:themeColor="text1"/>
          <w:sz w:val="24"/>
          <w:szCs w:val="24"/>
          <w:shd w:val="clear" w:color="auto" w:fill="FFFFFF"/>
        </w:rPr>
        <w:t xml:space="preserve"> asserted that a high current ratio implies an organisation’s ability to effectively pay off its debts. Thus, the increase signifies a high efficiency in paying off debts and other liabilities. According to </w:t>
      </w:r>
      <w:r w:rsidR="00323973" w:rsidRPr="00EA6D69">
        <w:rPr>
          <w:rFonts w:ascii="Times New Roman" w:hAnsi="Times New Roman" w:cs="Times New Roman"/>
          <w:color w:val="000000" w:themeColor="text1"/>
          <w:sz w:val="24"/>
          <w:szCs w:val="24"/>
          <w:shd w:val="clear" w:color="auto" w:fill="FFFFFF"/>
        </w:rPr>
        <w:t>Maeenuddina et al. (2023</w:t>
      </w:r>
      <w:r w:rsidRPr="00EA6D69">
        <w:rPr>
          <w:rFonts w:ascii="Times New Roman" w:hAnsi="Times New Roman" w:cs="Times New Roman"/>
          <w:color w:val="000000" w:themeColor="text1"/>
          <w:sz w:val="24"/>
          <w:szCs w:val="24"/>
          <w:shd w:val="clear" w:color="auto" w:fill="FFFFFF"/>
        </w:rPr>
        <w:t xml:space="preserve">), a current ratio of above 2 </w:t>
      </w:r>
      <w:proofErr w:type="gramStart"/>
      <w:r w:rsidRPr="00EA6D69">
        <w:rPr>
          <w:rFonts w:ascii="Times New Roman" w:hAnsi="Times New Roman" w:cs="Times New Roman"/>
          <w:color w:val="000000" w:themeColor="text1"/>
          <w:sz w:val="24"/>
          <w:szCs w:val="24"/>
          <w:shd w:val="clear" w:color="auto" w:fill="FFFFFF"/>
        </w:rPr>
        <w:t>is considered to be</w:t>
      </w:r>
      <w:proofErr w:type="gramEnd"/>
      <w:r w:rsidRPr="00EA6D69">
        <w:rPr>
          <w:rFonts w:ascii="Times New Roman" w:hAnsi="Times New Roman" w:cs="Times New Roman"/>
          <w:color w:val="000000" w:themeColor="text1"/>
          <w:sz w:val="24"/>
          <w:szCs w:val="24"/>
          <w:shd w:val="clear" w:color="auto" w:fill="FFFFFF"/>
        </w:rPr>
        <w:t xml:space="preserve"> the best; therefore, based on this assertion, although the company witnessed an increase in its current ratio, its overall current ratio is still a concern the company </w:t>
      </w:r>
      <w:r w:rsidRPr="00EA6D69">
        <w:rPr>
          <w:rFonts w:ascii="Times New Roman" w:hAnsi="Times New Roman" w:cs="Times New Roman"/>
          <w:color w:val="000000" w:themeColor="text1"/>
          <w:sz w:val="24"/>
          <w:szCs w:val="24"/>
          <w:shd w:val="clear" w:color="auto" w:fill="FFFFFF"/>
        </w:rPr>
        <w:lastRenderedPageBreak/>
        <w:t>should address. This can be achieved through reviewing and categorising its liability into short-term and long-term liabilities which would then help in prioritisation and strategic management.</w:t>
      </w:r>
    </w:p>
    <w:p w14:paraId="6437651E" w14:textId="77777777" w:rsidR="003A50D8" w:rsidRPr="00EA6D69" w:rsidRDefault="008750FB" w:rsidP="00323973">
      <w:pPr>
        <w:spacing w:line="480" w:lineRule="auto"/>
        <w:jc w:val="both"/>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 xml:space="preserve">The company realised a decrease in its gearing ratio from 1.42 in 2020 to 1.34 in 2021 – this reduction indicates a reduction in the organisation's debt-to-equity proportion. This also implies that the organisation has a less risky structure of financing and a lower leverage degree. This reduction may be attributed to the company proceeding to pay its debts and the sale of some of its shares. The company's interest cover also reduced from 2.98 in 2020 to 2.74 in 2021; </w:t>
      </w:r>
      <w:r w:rsidR="00323973" w:rsidRPr="00EA6D69">
        <w:rPr>
          <w:rFonts w:ascii="Times New Roman" w:hAnsi="Times New Roman" w:cs="Times New Roman"/>
          <w:color w:val="000000" w:themeColor="text1"/>
          <w:sz w:val="24"/>
          <w:szCs w:val="24"/>
          <w:shd w:val="clear" w:color="auto" w:fill="FFFFFF"/>
        </w:rPr>
        <w:t>Kurniawan (2021</w:t>
      </w:r>
      <w:r w:rsidRPr="00EA6D69">
        <w:rPr>
          <w:rFonts w:ascii="Times New Roman" w:hAnsi="Times New Roman" w:cs="Times New Roman"/>
          <w:color w:val="000000" w:themeColor="text1"/>
          <w:sz w:val="24"/>
          <w:szCs w:val="24"/>
          <w:shd w:val="clear" w:color="auto" w:fill="FFFFFF"/>
        </w:rPr>
        <w:t>) noted that interest cover is a depiction of an organisation's ability to pay all its debts. The reduction in 2021 means that there is a greater probability that Sweet PLC would be unable to pay off its debts which ultimately exposes it to the risk of being rendered bankrupt. To help overcome this trend, it is recommended that the organisation strives to boost its earnings before tax and interests as well as cut down its finance costs.</w:t>
      </w:r>
    </w:p>
    <w:p w14:paraId="3C2F20F7" w14:textId="77777777" w:rsidR="006950F2" w:rsidRPr="00EA6D69" w:rsidRDefault="008750FB" w:rsidP="000C6AC6">
      <w:pPr>
        <w:pStyle w:val="Heading1"/>
        <w:spacing w:line="480" w:lineRule="auto"/>
        <w:rPr>
          <w:rFonts w:ascii="Times New Roman" w:hAnsi="Times New Roman" w:cs="Times New Roman"/>
          <w:b/>
          <w:color w:val="000000" w:themeColor="text1"/>
          <w:sz w:val="24"/>
          <w:szCs w:val="24"/>
          <w:shd w:val="clear" w:color="auto" w:fill="FFFFFF"/>
        </w:rPr>
      </w:pPr>
      <w:bookmarkStart w:id="3" w:name="_Toc140061202"/>
      <w:r w:rsidRPr="00EA6D69">
        <w:rPr>
          <w:rFonts w:ascii="Times New Roman" w:hAnsi="Times New Roman" w:cs="Times New Roman"/>
          <w:b/>
          <w:color w:val="000000" w:themeColor="text1"/>
          <w:sz w:val="24"/>
          <w:szCs w:val="24"/>
          <w:shd w:val="clear" w:color="auto" w:fill="FFFFFF"/>
        </w:rPr>
        <w:t>Conclusion</w:t>
      </w:r>
      <w:bookmarkEnd w:id="3"/>
    </w:p>
    <w:p w14:paraId="7710813D" w14:textId="77777777" w:rsidR="006950F2" w:rsidRPr="00EA6D69" w:rsidRDefault="008750FB" w:rsidP="00323973">
      <w:pPr>
        <w:spacing w:line="480" w:lineRule="auto"/>
        <w:jc w:val="both"/>
        <w:rPr>
          <w:rFonts w:ascii="Times New Roman" w:hAnsi="Times New Roman" w:cs="Times New Roman"/>
          <w:color w:val="000000" w:themeColor="text1"/>
          <w:sz w:val="24"/>
          <w:szCs w:val="24"/>
          <w:shd w:val="clear" w:color="auto" w:fill="FFFFFF"/>
        </w:rPr>
      </w:pPr>
      <w:r w:rsidRPr="00EA6D69">
        <w:rPr>
          <w:rFonts w:ascii="Times New Roman" w:hAnsi="Times New Roman" w:cs="Times New Roman"/>
          <w:color w:val="000000" w:themeColor="text1"/>
          <w:sz w:val="24"/>
          <w:szCs w:val="24"/>
          <w:shd w:val="clear" w:color="auto" w:fill="FFFFFF"/>
        </w:rPr>
        <w:t xml:space="preserve">An income statement is an important financial document that provides an overview of a company’s profits and losses over a given period. A balance sheet, on the other hand, provides a detailed outlook of an organisation’s financial position at a specific period and is used by both the management and stakeholders to make resource allocation and investment decisions. There are also other multiple financial ratios available for organisations including ROCE, ROE, Asset turnover, and net profit margin among others. Based on the ratio calculations, it is recommended that Sweet PLC should seek to reduce its expenditure and increase marketing for boosted sales. The organisation should also adopt a just-in-time supply chain management model supplemented with supply chain management technologies such as blockchain to enhance its supply chain </w:t>
      </w:r>
      <w:r w:rsidRPr="00EA6D69">
        <w:rPr>
          <w:rFonts w:ascii="Times New Roman" w:hAnsi="Times New Roman" w:cs="Times New Roman"/>
          <w:color w:val="000000" w:themeColor="text1"/>
          <w:sz w:val="24"/>
          <w:szCs w:val="24"/>
          <w:shd w:val="clear" w:color="auto" w:fill="FFFFFF"/>
        </w:rPr>
        <w:lastRenderedPageBreak/>
        <w:t>visibility and reduce on holding time. Nevertheless, the company has a healthy financial depiction and has realised an increase in revenue between 2020 and 2021.</w:t>
      </w:r>
    </w:p>
    <w:p w14:paraId="4F3AF560" w14:textId="77777777" w:rsidR="00323973" w:rsidRPr="00EA6D69" w:rsidRDefault="00323973" w:rsidP="00323973">
      <w:pPr>
        <w:spacing w:line="480" w:lineRule="auto"/>
        <w:jc w:val="both"/>
        <w:rPr>
          <w:rFonts w:ascii="Times New Roman" w:hAnsi="Times New Roman" w:cs="Times New Roman"/>
          <w:color w:val="000000" w:themeColor="text1"/>
          <w:sz w:val="24"/>
          <w:szCs w:val="24"/>
          <w:shd w:val="clear" w:color="auto" w:fill="FFFFFF"/>
        </w:rPr>
      </w:pPr>
    </w:p>
    <w:p w14:paraId="23E4333A" w14:textId="77777777" w:rsidR="00323973" w:rsidRPr="00EA6D69" w:rsidRDefault="00323973" w:rsidP="00323973">
      <w:pPr>
        <w:spacing w:line="480" w:lineRule="auto"/>
        <w:jc w:val="both"/>
        <w:rPr>
          <w:rFonts w:ascii="Times New Roman" w:hAnsi="Times New Roman" w:cs="Times New Roman"/>
          <w:color w:val="000000" w:themeColor="text1"/>
          <w:sz w:val="24"/>
          <w:szCs w:val="24"/>
          <w:shd w:val="clear" w:color="auto" w:fill="FFFFFF"/>
        </w:rPr>
      </w:pPr>
    </w:p>
    <w:p w14:paraId="048DF943" w14:textId="77777777" w:rsidR="00323973" w:rsidRPr="00EA6D69" w:rsidRDefault="00323973" w:rsidP="00323973">
      <w:pPr>
        <w:spacing w:line="480" w:lineRule="auto"/>
        <w:jc w:val="both"/>
        <w:rPr>
          <w:rFonts w:ascii="Times New Roman" w:hAnsi="Times New Roman" w:cs="Times New Roman"/>
          <w:color w:val="000000" w:themeColor="text1"/>
          <w:sz w:val="24"/>
          <w:szCs w:val="24"/>
          <w:shd w:val="clear" w:color="auto" w:fill="FFFFFF"/>
        </w:rPr>
      </w:pPr>
    </w:p>
    <w:p w14:paraId="55A033DD" w14:textId="77777777" w:rsidR="00323973" w:rsidRPr="00065BB5" w:rsidRDefault="00323973" w:rsidP="00323973">
      <w:pPr>
        <w:spacing w:line="480" w:lineRule="auto"/>
        <w:jc w:val="both"/>
        <w:rPr>
          <w:rFonts w:ascii="Times New Roman" w:hAnsi="Times New Roman" w:cs="Times New Roman"/>
          <w:color w:val="000000" w:themeColor="text1"/>
          <w:sz w:val="28"/>
          <w:szCs w:val="28"/>
          <w:shd w:val="clear" w:color="auto" w:fill="FFFFFF"/>
        </w:rPr>
      </w:pPr>
    </w:p>
    <w:p w14:paraId="7DF28BC9" w14:textId="77777777" w:rsidR="00323973" w:rsidRPr="00065BB5" w:rsidRDefault="00323973" w:rsidP="00323973">
      <w:pPr>
        <w:spacing w:line="480" w:lineRule="auto"/>
        <w:jc w:val="both"/>
        <w:rPr>
          <w:rFonts w:ascii="Times New Roman" w:hAnsi="Times New Roman" w:cs="Times New Roman"/>
          <w:color w:val="000000" w:themeColor="text1"/>
          <w:sz w:val="28"/>
          <w:szCs w:val="28"/>
          <w:shd w:val="clear" w:color="auto" w:fill="FFFFFF"/>
        </w:rPr>
      </w:pPr>
    </w:p>
    <w:p w14:paraId="5CE98A70" w14:textId="77777777" w:rsidR="00323973" w:rsidRPr="00065BB5" w:rsidRDefault="00323973" w:rsidP="00323973">
      <w:pPr>
        <w:spacing w:line="480" w:lineRule="auto"/>
        <w:jc w:val="both"/>
        <w:rPr>
          <w:rFonts w:ascii="Times New Roman" w:hAnsi="Times New Roman" w:cs="Times New Roman"/>
          <w:color w:val="000000" w:themeColor="text1"/>
          <w:sz w:val="28"/>
          <w:szCs w:val="28"/>
          <w:shd w:val="clear" w:color="auto" w:fill="FFFFFF"/>
        </w:rPr>
      </w:pPr>
    </w:p>
    <w:p w14:paraId="0670E49A" w14:textId="77777777" w:rsidR="00323973" w:rsidRPr="00065BB5" w:rsidRDefault="00323973" w:rsidP="00323973">
      <w:pPr>
        <w:spacing w:line="480" w:lineRule="auto"/>
        <w:jc w:val="both"/>
        <w:rPr>
          <w:rFonts w:ascii="Times New Roman" w:hAnsi="Times New Roman" w:cs="Times New Roman"/>
          <w:color w:val="000000" w:themeColor="text1"/>
          <w:sz w:val="28"/>
          <w:szCs w:val="28"/>
          <w:shd w:val="clear" w:color="auto" w:fill="FFFFFF"/>
        </w:rPr>
      </w:pPr>
    </w:p>
    <w:p w14:paraId="33FE895D" w14:textId="77777777" w:rsidR="00323973" w:rsidRPr="00065BB5" w:rsidRDefault="00323973" w:rsidP="00323973">
      <w:pPr>
        <w:spacing w:line="480" w:lineRule="auto"/>
        <w:jc w:val="both"/>
        <w:rPr>
          <w:rFonts w:ascii="Times New Roman" w:hAnsi="Times New Roman" w:cs="Times New Roman"/>
          <w:color w:val="000000" w:themeColor="text1"/>
          <w:sz w:val="28"/>
          <w:szCs w:val="28"/>
          <w:shd w:val="clear" w:color="auto" w:fill="FFFFFF"/>
        </w:rPr>
      </w:pPr>
    </w:p>
    <w:p w14:paraId="46E88F13" w14:textId="77777777" w:rsidR="00323973" w:rsidRPr="00065BB5" w:rsidRDefault="00323973" w:rsidP="00323973">
      <w:pPr>
        <w:spacing w:line="480" w:lineRule="auto"/>
        <w:jc w:val="both"/>
        <w:rPr>
          <w:rFonts w:ascii="Times New Roman" w:hAnsi="Times New Roman" w:cs="Times New Roman"/>
          <w:color w:val="000000" w:themeColor="text1"/>
          <w:sz w:val="28"/>
          <w:szCs w:val="28"/>
          <w:shd w:val="clear" w:color="auto" w:fill="FFFFFF"/>
        </w:rPr>
      </w:pPr>
    </w:p>
    <w:p w14:paraId="62C5A105" w14:textId="77777777" w:rsidR="00323973" w:rsidRPr="00065BB5" w:rsidRDefault="00323973" w:rsidP="00323973">
      <w:pPr>
        <w:spacing w:line="480" w:lineRule="auto"/>
        <w:jc w:val="both"/>
        <w:rPr>
          <w:rFonts w:ascii="Times New Roman" w:hAnsi="Times New Roman" w:cs="Times New Roman"/>
          <w:color w:val="000000" w:themeColor="text1"/>
          <w:sz w:val="28"/>
          <w:szCs w:val="28"/>
          <w:shd w:val="clear" w:color="auto" w:fill="FFFFFF"/>
        </w:rPr>
      </w:pPr>
    </w:p>
    <w:p w14:paraId="52BF23D8" w14:textId="77777777" w:rsidR="00323973" w:rsidRPr="00065BB5" w:rsidRDefault="00323973" w:rsidP="00323973">
      <w:pPr>
        <w:spacing w:line="480" w:lineRule="auto"/>
        <w:jc w:val="both"/>
        <w:rPr>
          <w:rFonts w:ascii="Times New Roman" w:hAnsi="Times New Roman" w:cs="Times New Roman"/>
          <w:color w:val="000000" w:themeColor="text1"/>
          <w:sz w:val="28"/>
          <w:szCs w:val="28"/>
          <w:shd w:val="clear" w:color="auto" w:fill="FFFFFF"/>
        </w:rPr>
      </w:pPr>
    </w:p>
    <w:p w14:paraId="09CEE5F2" w14:textId="77777777" w:rsidR="00323973" w:rsidRPr="00065BB5" w:rsidRDefault="00323973" w:rsidP="00323973">
      <w:pPr>
        <w:spacing w:line="480" w:lineRule="auto"/>
        <w:jc w:val="both"/>
        <w:rPr>
          <w:rFonts w:ascii="Times New Roman" w:hAnsi="Times New Roman" w:cs="Times New Roman"/>
          <w:color w:val="000000" w:themeColor="text1"/>
          <w:sz w:val="28"/>
          <w:szCs w:val="28"/>
          <w:shd w:val="clear" w:color="auto" w:fill="FFFFFF"/>
        </w:rPr>
      </w:pPr>
    </w:p>
    <w:p w14:paraId="61582B89" w14:textId="77777777" w:rsidR="00323973" w:rsidRPr="00065BB5" w:rsidRDefault="00323973" w:rsidP="00323973">
      <w:pPr>
        <w:spacing w:line="480" w:lineRule="auto"/>
        <w:jc w:val="both"/>
        <w:rPr>
          <w:rFonts w:ascii="Times New Roman" w:hAnsi="Times New Roman" w:cs="Times New Roman"/>
          <w:color w:val="000000" w:themeColor="text1"/>
          <w:sz w:val="28"/>
          <w:szCs w:val="28"/>
          <w:shd w:val="clear" w:color="auto" w:fill="FFFFFF"/>
        </w:rPr>
      </w:pPr>
    </w:p>
    <w:p w14:paraId="4670D9D6" w14:textId="77777777" w:rsidR="00323973" w:rsidRPr="00065BB5" w:rsidRDefault="008750FB" w:rsidP="00EA6D69">
      <w:pPr>
        <w:pStyle w:val="Heading1"/>
        <w:spacing w:line="480" w:lineRule="auto"/>
        <w:rPr>
          <w:rFonts w:ascii="Times New Roman" w:hAnsi="Times New Roman" w:cs="Times New Roman"/>
          <w:b/>
          <w:color w:val="000000" w:themeColor="text1"/>
          <w:sz w:val="28"/>
          <w:szCs w:val="28"/>
          <w:shd w:val="clear" w:color="auto" w:fill="FFFFFF"/>
        </w:rPr>
      </w:pPr>
      <w:bookmarkStart w:id="4" w:name="_Toc140061203"/>
      <w:r w:rsidRPr="00065BB5">
        <w:rPr>
          <w:rFonts w:ascii="Times New Roman" w:hAnsi="Times New Roman" w:cs="Times New Roman"/>
          <w:b/>
          <w:color w:val="000000" w:themeColor="text1"/>
          <w:sz w:val="28"/>
          <w:szCs w:val="28"/>
          <w:shd w:val="clear" w:color="auto" w:fill="FFFFFF"/>
        </w:rPr>
        <w:lastRenderedPageBreak/>
        <w:t>References</w:t>
      </w:r>
      <w:bookmarkEnd w:id="4"/>
    </w:p>
    <w:p w14:paraId="7261C3A7" w14:textId="77777777" w:rsidR="00323973" w:rsidRPr="00065BB5" w:rsidRDefault="008750FB" w:rsidP="00323973">
      <w:pPr>
        <w:spacing w:line="480" w:lineRule="auto"/>
        <w:ind w:left="720" w:hanging="720"/>
        <w:jc w:val="both"/>
        <w:rPr>
          <w:rFonts w:ascii="Times New Roman" w:hAnsi="Times New Roman" w:cs="Times New Roman"/>
          <w:color w:val="000000" w:themeColor="text1"/>
          <w:sz w:val="28"/>
          <w:szCs w:val="28"/>
          <w:shd w:val="clear" w:color="auto" w:fill="FFFFFF"/>
        </w:rPr>
      </w:pPr>
      <w:r w:rsidRPr="00065BB5">
        <w:rPr>
          <w:rFonts w:ascii="Times New Roman" w:hAnsi="Times New Roman" w:cs="Times New Roman"/>
          <w:color w:val="000000" w:themeColor="text1"/>
          <w:sz w:val="28"/>
          <w:szCs w:val="28"/>
          <w:shd w:val="clear" w:color="auto" w:fill="FFFFFF"/>
        </w:rPr>
        <w:t>Barker, R., Lennard, A., Penman, S. and Teixeira, A. (2022). Accounting for intangible assets: suggested solutions. </w:t>
      </w:r>
      <w:r w:rsidRPr="00065BB5">
        <w:rPr>
          <w:rFonts w:ascii="Times New Roman" w:hAnsi="Times New Roman" w:cs="Times New Roman"/>
          <w:i/>
          <w:iCs/>
          <w:color w:val="000000" w:themeColor="text1"/>
          <w:sz w:val="28"/>
          <w:szCs w:val="28"/>
          <w:shd w:val="clear" w:color="auto" w:fill="FFFFFF"/>
        </w:rPr>
        <w:t>Accounting and Business Research</w:t>
      </w:r>
      <w:r w:rsidRPr="00065BB5">
        <w:rPr>
          <w:rFonts w:ascii="Times New Roman" w:hAnsi="Times New Roman" w:cs="Times New Roman"/>
          <w:color w:val="000000" w:themeColor="text1"/>
          <w:sz w:val="28"/>
          <w:szCs w:val="28"/>
          <w:shd w:val="clear" w:color="auto" w:fill="FFFFFF"/>
        </w:rPr>
        <w:t>, </w:t>
      </w:r>
      <w:r w:rsidRPr="00065BB5">
        <w:rPr>
          <w:rFonts w:ascii="Times New Roman" w:hAnsi="Times New Roman" w:cs="Times New Roman"/>
          <w:i/>
          <w:iCs/>
          <w:color w:val="000000" w:themeColor="text1"/>
          <w:sz w:val="28"/>
          <w:szCs w:val="28"/>
          <w:shd w:val="clear" w:color="auto" w:fill="FFFFFF"/>
        </w:rPr>
        <w:t>52</w:t>
      </w:r>
      <w:r w:rsidRPr="00065BB5">
        <w:rPr>
          <w:rFonts w:ascii="Times New Roman" w:hAnsi="Times New Roman" w:cs="Times New Roman"/>
          <w:color w:val="000000" w:themeColor="text1"/>
          <w:sz w:val="28"/>
          <w:szCs w:val="28"/>
          <w:shd w:val="clear" w:color="auto" w:fill="FFFFFF"/>
        </w:rPr>
        <w:t>(6), pp.601-630.</w:t>
      </w:r>
    </w:p>
    <w:p w14:paraId="2B9BC080" w14:textId="77777777" w:rsidR="00323973" w:rsidRPr="00065BB5" w:rsidRDefault="008750FB" w:rsidP="00323973">
      <w:pPr>
        <w:spacing w:line="480" w:lineRule="auto"/>
        <w:ind w:left="720" w:hanging="720"/>
        <w:jc w:val="both"/>
        <w:rPr>
          <w:rFonts w:ascii="Times New Roman" w:hAnsi="Times New Roman" w:cs="Times New Roman"/>
          <w:color w:val="000000" w:themeColor="text1"/>
          <w:sz w:val="28"/>
          <w:szCs w:val="28"/>
          <w:shd w:val="clear" w:color="auto" w:fill="FFFFFF"/>
        </w:rPr>
      </w:pPr>
      <w:r w:rsidRPr="00065BB5">
        <w:rPr>
          <w:rFonts w:ascii="Times New Roman" w:hAnsi="Times New Roman" w:cs="Times New Roman"/>
          <w:color w:val="000000" w:themeColor="text1"/>
          <w:sz w:val="28"/>
          <w:szCs w:val="28"/>
          <w:shd w:val="clear" w:color="auto" w:fill="FFFFFF"/>
        </w:rPr>
        <w:t>Faccia, A. and Mosco, D. (2019). Understanding the Nature of Accounts Using Comprehensive Tools to Understand Financial Statements. </w:t>
      </w:r>
      <w:r w:rsidRPr="00065BB5">
        <w:rPr>
          <w:rFonts w:ascii="Times New Roman" w:hAnsi="Times New Roman" w:cs="Times New Roman"/>
          <w:i/>
          <w:iCs/>
          <w:color w:val="000000" w:themeColor="text1"/>
          <w:sz w:val="28"/>
          <w:szCs w:val="28"/>
          <w:shd w:val="clear" w:color="auto" w:fill="FFFFFF"/>
        </w:rPr>
        <w:t>Financial Markets, Institutions, and Risks</w:t>
      </w:r>
      <w:r w:rsidRPr="00065BB5">
        <w:rPr>
          <w:rFonts w:ascii="Times New Roman" w:hAnsi="Times New Roman" w:cs="Times New Roman"/>
          <w:color w:val="000000" w:themeColor="text1"/>
          <w:sz w:val="28"/>
          <w:szCs w:val="28"/>
          <w:shd w:val="clear" w:color="auto" w:fill="FFFFFF"/>
        </w:rPr>
        <w:t>, </w:t>
      </w:r>
      <w:r w:rsidRPr="00065BB5">
        <w:rPr>
          <w:rFonts w:ascii="Times New Roman" w:hAnsi="Times New Roman" w:cs="Times New Roman"/>
          <w:i/>
          <w:iCs/>
          <w:color w:val="000000" w:themeColor="text1"/>
          <w:sz w:val="28"/>
          <w:szCs w:val="28"/>
          <w:shd w:val="clear" w:color="auto" w:fill="FFFFFF"/>
        </w:rPr>
        <w:t>3</w:t>
      </w:r>
      <w:r w:rsidRPr="00065BB5">
        <w:rPr>
          <w:rFonts w:ascii="Times New Roman" w:hAnsi="Times New Roman" w:cs="Times New Roman"/>
          <w:color w:val="000000" w:themeColor="text1"/>
          <w:sz w:val="28"/>
          <w:szCs w:val="28"/>
          <w:shd w:val="clear" w:color="auto" w:fill="FFFFFF"/>
        </w:rPr>
        <w:t>(3), pp.18-27.</w:t>
      </w:r>
    </w:p>
    <w:p w14:paraId="1134B875" w14:textId="77777777" w:rsidR="00323973" w:rsidRPr="00065BB5" w:rsidRDefault="008750FB" w:rsidP="00323973">
      <w:pPr>
        <w:spacing w:line="480" w:lineRule="auto"/>
        <w:ind w:left="720" w:hanging="720"/>
        <w:jc w:val="both"/>
        <w:rPr>
          <w:rFonts w:ascii="Times New Roman" w:hAnsi="Times New Roman" w:cs="Times New Roman"/>
          <w:color w:val="000000" w:themeColor="text1"/>
          <w:sz w:val="28"/>
          <w:szCs w:val="28"/>
          <w:shd w:val="clear" w:color="auto" w:fill="FFFFFF"/>
        </w:rPr>
      </w:pPr>
      <w:r w:rsidRPr="00065BB5">
        <w:rPr>
          <w:rFonts w:ascii="Times New Roman" w:hAnsi="Times New Roman" w:cs="Times New Roman"/>
          <w:color w:val="000000" w:themeColor="text1"/>
          <w:sz w:val="28"/>
          <w:szCs w:val="28"/>
          <w:shd w:val="clear" w:color="auto" w:fill="FFFFFF"/>
        </w:rPr>
        <w:t>Griffin, P.A. and Mahajan, S. (2019). Financial Statement Analysis. </w:t>
      </w:r>
      <w:r w:rsidRPr="00065BB5">
        <w:rPr>
          <w:rFonts w:ascii="Times New Roman" w:hAnsi="Times New Roman" w:cs="Times New Roman"/>
          <w:i/>
          <w:iCs/>
          <w:color w:val="000000" w:themeColor="text1"/>
          <w:sz w:val="28"/>
          <w:szCs w:val="28"/>
          <w:shd w:val="clear" w:color="auto" w:fill="FFFFFF"/>
        </w:rPr>
        <w:t>Finding Alphas: A Quantitative Approach to Building Trading Strategies</w:t>
      </w:r>
      <w:r w:rsidRPr="00065BB5">
        <w:rPr>
          <w:rFonts w:ascii="Times New Roman" w:hAnsi="Times New Roman" w:cs="Times New Roman"/>
          <w:color w:val="000000" w:themeColor="text1"/>
          <w:sz w:val="28"/>
          <w:szCs w:val="28"/>
          <w:shd w:val="clear" w:color="auto" w:fill="FFFFFF"/>
        </w:rPr>
        <w:t>, pp.141-148.</w:t>
      </w:r>
    </w:p>
    <w:p w14:paraId="2E951EB2" w14:textId="77777777" w:rsidR="00323973" w:rsidRPr="00065BB5" w:rsidRDefault="008750FB" w:rsidP="00323973">
      <w:pPr>
        <w:spacing w:line="480" w:lineRule="auto"/>
        <w:ind w:left="720" w:hanging="720"/>
        <w:jc w:val="both"/>
        <w:rPr>
          <w:rFonts w:ascii="Times New Roman" w:hAnsi="Times New Roman" w:cs="Times New Roman"/>
          <w:color w:val="000000" w:themeColor="text1"/>
          <w:sz w:val="28"/>
          <w:szCs w:val="28"/>
          <w:shd w:val="clear" w:color="auto" w:fill="FFFFFF"/>
        </w:rPr>
      </w:pPr>
      <w:r w:rsidRPr="00065BB5">
        <w:rPr>
          <w:rFonts w:ascii="Times New Roman" w:hAnsi="Times New Roman" w:cs="Times New Roman"/>
          <w:color w:val="000000" w:themeColor="text1"/>
          <w:sz w:val="28"/>
          <w:szCs w:val="28"/>
          <w:shd w:val="clear" w:color="auto" w:fill="FFFFFF"/>
        </w:rPr>
        <w:t>Hosaka, T. (2019). Bankruptcy prediction using imaged financial ratios and convolutional neural networks. </w:t>
      </w:r>
      <w:r w:rsidRPr="00065BB5">
        <w:rPr>
          <w:rFonts w:ascii="Times New Roman" w:hAnsi="Times New Roman" w:cs="Times New Roman"/>
          <w:i/>
          <w:iCs/>
          <w:color w:val="000000" w:themeColor="text1"/>
          <w:sz w:val="28"/>
          <w:szCs w:val="28"/>
          <w:shd w:val="clear" w:color="auto" w:fill="FFFFFF"/>
        </w:rPr>
        <w:t>Expert systems with applications</w:t>
      </w:r>
      <w:r w:rsidRPr="00065BB5">
        <w:rPr>
          <w:rFonts w:ascii="Times New Roman" w:hAnsi="Times New Roman" w:cs="Times New Roman"/>
          <w:color w:val="000000" w:themeColor="text1"/>
          <w:sz w:val="28"/>
          <w:szCs w:val="28"/>
          <w:shd w:val="clear" w:color="auto" w:fill="FFFFFF"/>
        </w:rPr>
        <w:t>, </w:t>
      </w:r>
      <w:r w:rsidRPr="00065BB5">
        <w:rPr>
          <w:rFonts w:ascii="Times New Roman" w:hAnsi="Times New Roman" w:cs="Times New Roman"/>
          <w:i/>
          <w:iCs/>
          <w:color w:val="000000" w:themeColor="text1"/>
          <w:sz w:val="28"/>
          <w:szCs w:val="28"/>
          <w:shd w:val="clear" w:color="auto" w:fill="FFFFFF"/>
        </w:rPr>
        <w:t>117</w:t>
      </w:r>
      <w:r w:rsidRPr="00065BB5">
        <w:rPr>
          <w:rFonts w:ascii="Times New Roman" w:hAnsi="Times New Roman" w:cs="Times New Roman"/>
          <w:color w:val="000000" w:themeColor="text1"/>
          <w:sz w:val="28"/>
          <w:szCs w:val="28"/>
          <w:shd w:val="clear" w:color="auto" w:fill="FFFFFF"/>
        </w:rPr>
        <w:t>, pp.287-299.</w:t>
      </w:r>
    </w:p>
    <w:p w14:paraId="29C7635D" w14:textId="77777777" w:rsidR="00323973" w:rsidRPr="00065BB5" w:rsidRDefault="008750FB" w:rsidP="00323973">
      <w:pPr>
        <w:spacing w:line="480" w:lineRule="auto"/>
        <w:ind w:left="720" w:hanging="720"/>
        <w:jc w:val="both"/>
        <w:rPr>
          <w:rFonts w:ascii="Times New Roman" w:hAnsi="Times New Roman" w:cs="Times New Roman"/>
          <w:color w:val="000000" w:themeColor="text1"/>
          <w:sz w:val="28"/>
          <w:szCs w:val="28"/>
        </w:rPr>
      </w:pPr>
      <w:r w:rsidRPr="00065BB5">
        <w:rPr>
          <w:rFonts w:ascii="Times New Roman" w:hAnsi="Times New Roman" w:cs="Times New Roman"/>
          <w:color w:val="000000" w:themeColor="text1"/>
          <w:sz w:val="28"/>
          <w:szCs w:val="28"/>
          <w:shd w:val="clear" w:color="auto" w:fill="FFFFFF"/>
        </w:rPr>
        <w:t xml:space="preserve">Irman, M. and Purwati, A.A. (2020). Analysis of the influence of current ratio, debt to equity ratio, and total asset turnover toward return on assets on the automotive and component company that has been registered in the Indonesia Stock Exchange Within 2011-2017. </w:t>
      </w:r>
      <w:r w:rsidRPr="00065BB5">
        <w:rPr>
          <w:rFonts w:ascii="Times New Roman" w:hAnsi="Times New Roman" w:cs="Times New Roman"/>
          <w:i/>
          <w:iCs/>
          <w:color w:val="000000" w:themeColor="text1"/>
          <w:sz w:val="28"/>
          <w:szCs w:val="28"/>
          <w:shd w:val="clear" w:color="auto" w:fill="FFFFFF"/>
        </w:rPr>
        <w:t>International Journal of Economics Development Research (IJEDR)</w:t>
      </w:r>
      <w:r w:rsidRPr="00065BB5">
        <w:rPr>
          <w:rFonts w:ascii="Times New Roman" w:hAnsi="Times New Roman" w:cs="Times New Roman"/>
          <w:color w:val="000000" w:themeColor="text1"/>
          <w:sz w:val="28"/>
          <w:szCs w:val="28"/>
          <w:shd w:val="clear" w:color="auto" w:fill="FFFFFF"/>
        </w:rPr>
        <w:t>, </w:t>
      </w:r>
      <w:r w:rsidRPr="00065BB5">
        <w:rPr>
          <w:rFonts w:ascii="Times New Roman" w:hAnsi="Times New Roman" w:cs="Times New Roman"/>
          <w:i/>
          <w:iCs/>
          <w:color w:val="000000" w:themeColor="text1"/>
          <w:sz w:val="28"/>
          <w:szCs w:val="28"/>
          <w:shd w:val="clear" w:color="auto" w:fill="FFFFFF"/>
        </w:rPr>
        <w:t>1</w:t>
      </w:r>
      <w:r w:rsidRPr="00065BB5">
        <w:rPr>
          <w:rFonts w:ascii="Times New Roman" w:hAnsi="Times New Roman" w:cs="Times New Roman"/>
          <w:color w:val="000000" w:themeColor="text1"/>
          <w:sz w:val="28"/>
          <w:szCs w:val="28"/>
          <w:shd w:val="clear" w:color="auto" w:fill="FFFFFF"/>
        </w:rPr>
        <w:t>(1), pp.36-44.</w:t>
      </w:r>
    </w:p>
    <w:p w14:paraId="613BB250" w14:textId="77777777" w:rsidR="00323973" w:rsidRPr="00065BB5" w:rsidRDefault="008750FB" w:rsidP="00323973">
      <w:pPr>
        <w:spacing w:line="480" w:lineRule="auto"/>
        <w:ind w:left="720" w:hanging="720"/>
        <w:jc w:val="both"/>
        <w:rPr>
          <w:rFonts w:ascii="Times New Roman" w:hAnsi="Times New Roman" w:cs="Times New Roman"/>
          <w:color w:val="000000" w:themeColor="text1"/>
          <w:sz w:val="28"/>
          <w:szCs w:val="28"/>
          <w:shd w:val="clear" w:color="auto" w:fill="FFFFFF"/>
        </w:rPr>
      </w:pPr>
      <w:r w:rsidRPr="00065BB5">
        <w:rPr>
          <w:rFonts w:ascii="Times New Roman" w:hAnsi="Times New Roman" w:cs="Times New Roman"/>
          <w:color w:val="000000" w:themeColor="text1"/>
          <w:sz w:val="28"/>
          <w:szCs w:val="28"/>
          <w:shd w:val="clear" w:color="auto" w:fill="FFFFFF"/>
        </w:rPr>
        <w:lastRenderedPageBreak/>
        <w:t>Kurniawan, A. (2021). Analysis of the effect of return on asset, debt to equity ratio, and total asset turnover on share return. </w:t>
      </w:r>
      <w:r w:rsidRPr="00065BB5">
        <w:rPr>
          <w:rFonts w:ascii="Times New Roman" w:hAnsi="Times New Roman" w:cs="Times New Roman"/>
          <w:i/>
          <w:iCs/>
          <w:color w:val="000000" w:themeColor="text1"/>
          <w:sz w:val="28"/>
          <w:szCs w:val="28"/>
          <w:shd w:val="clear" w:color="auto" w:fill="FFFFFF"/>
        </w:rPr>
        <w:t>Journal of Industrial Engineering &amp; Management Research</w:t>
      </w:r>
      <w:r w:rsidRPr="00065BB5">
        <w:rPr>
          <w:rFonts w:ascii="Times New Roman" w:hAnsi="Times New Roman" w:cs="Times New Roman"/>
          <w:color w:val="000000" w:themeColor="text1"/>
          <w:sz w:val="28"/>
          <w:szCs w:val="28"/>
          <w:shd w:val="clear" w:color="auto" w:fill="FFFFFF"/>
        </w:rPr>
        <w:t>, </w:t>
      </w:r>
      <w:r w:rsidRPr="00065BB5">
        <w:rPr>
          <w:rFonts w:ascii="Times New Roman" w:hAnsi="Times New Roman" w:cs="Times New Roman"/>
          <w:i/>
          <w:iCs/>
          <w:color w:val="000000" w:themeColor="text1"/>
          <w:sz w:val="28"/>
          <w:szCs w:val="28"/>
          <w:shd w:val="clear" w:color="auto" w:fill="FFFFFF"/>
        </w:rPr>
        <w:t>2</w:t>
      </w:r>
      <w:r w:rsidRPr="00065BB5">
        <w:rPr>
          <w:rFonts w:ascii="Times New Roman" w:hAnsi="Times New Roman" w:cs="Times New Roman"/>
          <w:color w:val="000000" w:themeColor="text1"/>
          <w:sz w:val="28"/>
          <w:szCs w:val="28"/>
          <w:shd w:val="clear" w:color="auto" w:fill="FFFFFF"/>
        </w:rPr>
        <w:t>(1), pp.64-72.</w:t>
      </w:r>
    </w:p>
    <w:p w14:paraId="4A34847F" w14:textId="77777777" w:rsidR="00323973" w:rsidRPr="00065BB5" w:rsidRDefault="008750FB" w:rsidP="00323973">
      <w:pPr>
        <w:spacing w:line="480" w:lineRule="auto"/>
        <w:ind w:left="720" w:hanging="720"/>
        <w:jc w:val="both"/>
        <w:rPr>
          <w:rFonts w:ascii="Times New Roman" w:hAnsi="Times New Roman" w:cs="Times New Roman"/>
          <w:color w:val="000000" w:themeColor="text1"/>
          <w:sz w:val="28"/>
          <w:szCs w:val="28"/>
          <w:shd w:val="clear" w:color="auto" w:fill="FFFFFF"/>
        </w:rPr>
      </w:pPr>
      <w:r w:rsidRPr="00065BB5">
        <w:rPr>
          <w:rFonts w:ascii="Times New Roman" w:hAnsi="Times New Roman" w:cs="Times New Roman"/>
          <w:color w:val="000000" w:themeColor="text1"/>
          <w:sz w:val="28"/>
          <w:szCs w:val="28"/>
          <w:shd w:val="clear" w:color="auto" w:fill="FFFFFF"/>
        </w:rPr>
        <w:t xml:space="preserve">Maeenuddina, R.B., Hussain, A., Hafeez, M., Khan, M. and Wahi, N. (2020). Economic </w:t>
      </w:r>
      <w:proofErr w:type="gramStart"/>
      <w:r w:rsidRPr="00065BB5">
        <w:rPr>
          <w:rFonts w:ascii="Times New Roman" w:hAnsi="Times New Roman" w:cs="Times New Roman"/>
          <w:color w:val="000000" w:themeColor="text1"/>
          <w:sz w:val="28"/>
          <w:szCs w:val="28"/>
          <w:shd w:val="clear" w:color="auto" w:fill="FFFFFF"/>
        </w:rPr>
        <w:t>value added</w:t>
      </w:r>
      <w:proofErr w:type="gramEnd"/>
      <w:r w:rsidRPr="00065BB5">
        <w:rPr>
          <w:rFonts w:ascii="Times New Roman" w:hAnsi="Times New Roman" w:cs="Times New Roman"/>
          <w:color w:val="000000" w:themeColor="text1"/>
          <w:sz w:val="28"/>
          <w:szCs w:val="28"/>
          <w:shd w:val="clear" w:color="auto" w:fill="FFFFFF"/>
        </w:rPr>
        <w:t xml:space="preserve"> momentum &amp; traditional profitability measures (ROA, ROE &amp; ROCE): A comparative study. </w:t>
      </w:r>
      <w:r w:rsidRPr="00065BB5">
        <w:rPr>
          <w:rFonts w:ascii="Times New Roman" w:hAnsi="Times New Roman" w:cs="Times New Roman"/>
          <w:i/>
          <w:iCs/>
          <w:color w:val="000000" w:themeColor="text1"/>
          <w:sz w:val="28"/>
          <w:szCs w:val="28"/>
          <w:shd w:val="clear" w:color="auto" w:fill="FFFFFF"/>
        </w:rPr>
        <w:t>Test Engineering and Management</w:t>
      </w:r>
      <w:r w:rsidRPr="00065BB5">
        <w:rPr>
          <w:rFonts w:ascii="Times New Roman" w:hAnsi="Times New Roman" w:cs="Times New Roman"/>
          <w:color w:val="000000" w:themeColor="text1"/>
          <w:sz w:val="28"/>
          <w:szCs w:val="28"/>
          <w:shd w:val="clear" w:color="auto" w:fill="FFFFFF"/>
        </w:rPr>
        <w:t>, </w:t>
      </w:r>
      <w:r w:rsidRPr="00065BB5">
        <w:rPr>
          <w:rFonts w:ascii="Times New Roman" w:hAnsi="Times New Roman" w:cs="Times New Roman"/>
          <w:i/>
          <w:iCs/>
          <w:color w:val="000000" w:themeColor="text1"/>
          <w:sz w:val="28"/>
          <w:szCs w:val="28"/>
          <w:shd w:val="clear" w:color="auto" w:fill="FFFFFF"/>
        </w:rPr>
        <w:t>83</w:t>
      </w:r>
      <w:r w:rsidRPr="00065BB5">
        <w:rPr>
          <w:rFonts w:ascii="Times New Roman" w:hAnsi="Times New Roman" w:cs="Times New Roman"/>
          <w:color w:val="000000" w:themeColor="text1"/>
          <w:sz w:val="28"/>
          <w:szCs w:val="28"/>
          <w:shd w:val="clear" w:color="auto" w:fill="FFFFFF"/>
        </w:rPr>
        <w:t>(April), pp.13762-13774.</w:t>
      </w:r>
    </w:p>
    <w:p w14:paraId="5B4CE677" w14:textId="77777777" w:rsidR="00191030" w:rsidRPr="00065BB5" w:rsidRDefault="00191030" w:rsidP="00323973">
      <w:pPr>
        <w:spacing w:line="480" w:lineRule="auto"/>
        <w:jc w:val="both"/>
        <w:rPr>
          <w:rFonts w:ascii="Times New Roman" w:hAnsi="Times New Roman" w:cs="Times New Roman"/>
          <w:color w:val="000000" w:themeColor="text1"/>
          <w:sz w:val="28"/>
          <w:szCs w:val="28"/>
        </w:rPr>
      </w:pPr>
    </w:p>
    <w:sectPr w:rsidR="00191030" w:rsidRPr="00065BB5">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3BE0E" w14:textId="77777777" w:rsidR="00034BBF" w:rsidRDefault="00034BBF">
      <w:pPr>
        <w:spacing w:after="0" w:line="240" w:lineRule="auto"/>
      </w:pPr>
      <w:r>
        <w:separator/>
      </w:r>
    </w:p>
  </w:endnote>
  <w:endnote w:type="continuationSeparator" w:id="0">
    <w:p w14:paraId="7D94CD40" w14:textId="77777777" w:rsidR="00034BBF" w:rsidRDefault="00034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9103700"/>
      <w:docPartObj>
        <w:docPartGallery w:val="Page Numbers (Bottom of Page)"/>
        <w:docPartUnique/>
      </w:docPartObj>
    </w:sdtPr>
    <w:sdtEndPr>
      <w:rPr>
        <w:rFonts w:ascii="Times New Roman" w:hAnsi="Times New Roman" w:cs="Times New Roman"/>
        <w:noProof/>
        <w:sz w:val="24"/>
        <w:szCs w:val="24"/>
      </w:rPr>
    </w:sdtEndPr>
    <w:sdtContent>
      <w:p w14:paraId="12B7AD77" w14:textId="6113C3BF" w:rsidR="00EF02EA" w:rsidRPr="00EF02EA" w:rsidRDefault="00EF02EA">
        <w:pPr>
          <w:pStyle w:val="Footer"/>
          <w:jc w:val="right"/>
          <w:rPr>
            <w:rFonts w:ascii="Times New Roman" w:hAnsi="Times New Roman" w:cs="Times New Roman"/>
            <w:sz w:val="24"/>
            <w:szCs w:val="24"/>
          </w:rPr>
        </w:pPr>
        <w:r w:rsidRPr="00EF02EA">
          <w:rPr>
            <w:rFonts w:ascii="Times New Roman" w:hAnsi="Times New Roman" w:cs="Times New Roman"/>
            <w:sz w:val="24"/>
            <w:szCs w:val="24"/>
          </w:rPr>
          <w:fldChar w:fldCharType="begin"/>
        </w:r>
        <w:r w:rsidRPr="00EF02EA">
          <w:rPr>
            <w:rFonts w:ascii="Times New Roman" w:hAnsi="Times New Roman" w:cs="Times New Roman"/>
            <w:sz w:val="24"/>
            <w:szCs w:val="24"/>
          </w:rPr>
          <w:instrText xml:space="preserve"> PAGE   \* MERGEFORMAT </w:instrText>
        </w:r>
        <w:r w:rsidRPr="00EF02EA">
          <w:rPr>
            <w:rFonts w:ascii="Times New Roman" w:hAnsi="Times New Roman" w:cs="Times New Roman"/>
            <w:sz w:val="24"/>
            <w:szCs w:val="24"/>
          </w:rPr>
          <w:fldChar w:fldCharType="separate"/>
        </w:r>
        <w:r w:rsidRPr="00EF02EA">
          <w:rPr>
            <w:rFonts w:ascii="Times New Roman" w:hAnsi="Times New Roman" w:cs="Times New Roman"/>
            <w:noProof/>
            <w:sz w:val="24"/>
            <w:szCs w:val="24"/>
          </w:rPr>
          <w:t>2</w:t>
        </w:r>
        <w:r w:rsidRPr="00EF02EA">
          <w:rPr>
            <w:rFonts w:ascii="Times New Roman" w:hAnsi="Times New Roman" w:cs="Times New Roman"/>
            <w:noProof/>
            <w:sz w:val="24"/>
            <w:szCs w:val="24"/>
          </w:rPr>
          <w:fldChar w:fldCharType="end"/>
        </w:r>
      </w:p>
    </w:sdtContent>
  </w:sdt>
  <w:p w14:paraId="1596CAD6" w14:textId="77777777" w:rsidR="00EF02EA" w:rsidRDefault="00EF0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AE2C1" w14:textId="77777777" w:rsidR="00034BBF" w:rsidRDefault="00034BBF">
      <w:pPr>
        <w:spacing w:after="0" w:line="240" w:lineRule="auto"/>
      </w:pPr>
      <w:r>
        <w:separator/>
      </w:r>
    </w:p>
  </w:footnote>
  <w:footnote w:type="continuationSeparator" w:id="0">
    <w:p w14:paraId="53968DB8" w14:textId="77777777" w:rsidR="00034BBF" w:rsidRDefault="00034B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36207506"/>
      <w:docPartObj>
        <w:docPartGallery w:val="Page Numbers (Top of Page)"/>
        <w:docPartUnique/>
      </w:docPartObj>
    </w:sdtPr>
    <w:sdtEndPr>
      <w:rPr>
        <w:noProof/>
      </w:rPr>
    </w:sdtEndPr>
    <w:sdtContent>
      <w:p w14:paraId="1877DED7" w14:textId="6CAE4257" w:rsidR="00323973" w:rsidRPr="00323973" w:rsidRDefault="008750FB">
        <w:pPr>
          <w:pStyle w:val="Header"/>
          <w:jc w:val="right"/>
          <w:rPr>
            <w:rFonts w:ascii="Times New Roman" w:hAnsi="Times New Roman" w:cs="Times New Roman"/>
            <w:sz w:val="24"/>
            <w:szCs w:val="24"/>
          </w:rPr>
        </w:pPr>
        <w:r w:rsidRPr="00323973">
          <w:rPr>
            <w:rFonts w:ascii="Times New Roman" w:hAnsi="Times New Roman" w:cs="Times New Roman"/>
            <w:sz w:val="24"/>
            <w:szCs w:val="24"/>
          </w:rPr>
          <w:t xml:space="preserve">Accounting Fundamentals </w:t>
        </w:r>
      </w:p>
    </w:sdtContent>
  </w:sdt>
  <w:p w14:paraId="49AC8D03" w14:textId="77777777" w:rsidR="00323973" w:rsidRDefault="003239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8518B0"/>
    <w:multiLevelType w:val="hybridMultilevel"/>
    <w:tmpl w:val="3DD811D4"/>
    <w:lvl w:ilvl="0" w:tplc="544EA4B0">
      <w:start w:val="1"/>
      <w:numFmt w:val="bullet"/>
      <w:lvlText w:val=""/>
      <w:lvlJc w:val="left"/>
      <w:pPr>
        <w:tabs>
          <w:tab w:val="num" w:pos="720"/>
        </w:tabs>
        <w:ind w:left="720" w:hanging="360"/>
      </w:pPr>
      <w:rPr>
        <w:rFonts w:ascii="Symbol" w:hAnsi="Symbol" w:hint="default"/>
        <w:color w:val="000000" w:themeColor="text1"/>
      </w:rPr>
    </w:lvl>
    <w:lvl w:ilvl="1" w:tplc="FF46EF16" w:tentative="1">
      <w:start w:val="1"/>
      <w:numFmt w:val="bullet"/>
      <w:lvlText w:val="•"/>
      <w:lvlJc w:val="left"/>
      <w:pPr>
        <w:tabs>
          <w:tab w:val="num" w:pos="1440"/>
        </w:tabs>
        <w:ind w:left="1440" w:hanging="360"/>
      </w:pPr>
      <w:rPr>
        <w:rFonts w:ascii="Arial" w:hAnsi="Arial" w:hint="default"/>
      </w:rPr>
    </w:lvl>
    <w:lvl w:ilvl="2" w:tplc="B224929E" w:tentative="1">
      <w:start w:val="1"/>
      <w:numFmt w:val="bullet"/>
      <w:lvlText w:val="•"/>
      <w:lvlJc w:val="left"/>
      <w:pPr>
        <w:tabs>
          <w:tab w:val="num" w:pos="2160"/>
        </w:tabs>
        <w:ind w:left="2160" w:hanging="360"/>
      </w:pPr>
      <w:rPr>
        <w:rFonts w:ascii="Arial" w:hAnsi="Arial" w:hint="default"/>
      </w:rPr>
    </w:lvl>
    <w:lvl w:ilvl="3" w:tplc="2856B280" w:tentative="1">
      <w:start w:val="1"/>
      <w:numFmt w:val="bullet"/>
      <w:lvlText w:val="•"/>
      <w:lvlJc w:val="left"/>
      <w:pPr>
        <w:tabs>
          <w:tab w:val="num" w:pos="2880"/>
        </w:tabs>
        <w:ind w:left="2880" w:hanging="360"/>
      </w:pPr>
      <w:rPr>
        <w:rFonts w:ascii="Arial" w:hAnsi="Arial" w:hint="default"/>
      </w:rPr>
    </w:lvl>
    <w:lvl w:ilvl="4" w:tplc="788E4AE6" w:tentative="1">
      <w:start w:val="1"/>
      <w:numFmt w:val="bullet"/>
      <w:lvlText w:val="•"/>
      <w:lvlJc w:val="left"/>
      <w:pPr>
        <w:tabs>
          <w:tab w:val="num" w:pos="3600"/>
        </w:tabs>
        <w:ind w:left="3600" w:hanging="360"/>
      </w:pPr>
      <w:rPr>
        <w:rFonts w:ascii="Arial" w:hAnsi="Arial" w:hint="default"/>
      </w:rPr>
    </w:lvl>
    <w:lvl w:ilvl="5" w:tplc="D04688F6" w:tentative="1">
      <w:start w:val="1"/>
      <w:numFmt w:val="bullet"/>
      <w:lvlText w:val="•"/>
      <w:lvlJc w:val="left"/>
      <w:pPr>
        <w:tabs>
          <w:tab w:val="num" w:pos="4320"/>
        </w:tabs>
        <w:ind w:left="4320" w:hanging="360"/>
      </w:pPr>
      <w:rPr>
        <w:rFonts w:ascii="Arial" w:hAnsi="Arial" w:hint="default"/>
      </w:rPr>
    </w:lvl>
    <w:lvl w:ilvl="6" w:tplc="EC227678" w:tentative="1">
      <w:start w:val="1"/>
      <w:numFmt w:val="bullet"/>
      <w:lvlText w:val="•"/>
      <w:lvlJc w:val="left"/>
      <w:pPr>
        <w:tabs>
          <w:tab w:val="num" w:pos="5040"/>
        </w:tabs>
        <w:ind w:left="5040" w:hanging="360"/>
      </w:pPr>
      <w:rPr>
        <w:rFonts w:ascii="Arial" w:hAnsi="Arial" w:hint="default"/>
      </w:rPr>
    </w:lvl>
    <w:lvl w:ilvl="7" w:tplc="347ABC84" w:tentative="1">
      <w:start w:val="1"/>
      <w:numFmt w:val="bullet"/>
      <w:lvlText w:val="•"/>
      <w:lvlJc w:val="left"/>
      <w:pPr>
        <w:tabs>
          <w:tab w:val="num" w:pos="5760"/>
        </w:tabs>
        <w:ind w:left="5760" w:hanging="360"/>
      </w:pPr>
      <w:rPr>
        <w:rFonts w:ascii="Arial" w:hAnsi="Arial" w:hint="default"/>
      </w:rPr>
    </w:lvl>
    <w:lvl w:ilvl="8" w:tplc="9E7430F8" w:tentative="1">
      <w:start w:val="1"/>
      <w:numFmt w:val="bullet"/>
      <w:lvlText w:val="•"/>
      <w:lvlJc w:val="left"/>
      <w:pPr>
        <w:tabs>
          <w:tab w:val="num" w:pos="6480"/>
        </w:tabs>
        <w:ind w:left="6480" w:hanging="360"/>
      </w:pPr>
      <w:rPr>
        <w:rFonts w:ascii="Arial" w:hAnsi="Arial" w:hint="default"/>
      </w:rPr>
    </w:lvl>
  </w:abstractNum>
  <w:num w:numId="1" w16cid:durableId="1561401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BC7"/>
    <w:rsid w:val="0000554D"/>
    <w:rsid w:val="00034BBF"/>
    <w:rsid w:val="00065BB5"/>
    <w:rsid w:val="000B440D"/>
    <w:rsid w:val="000C6AC6"/>
    <w:rsid w:val="00191030"/>
    <w:rsid w:val="00270C32"/>
    <w:rsid w:val="0029189A"/>
    <w:rsid w:val="002B2C65"/>
    <w:rsid w:val="00323973"/>
    <w:rsid w:val="00390989"/>
    <w:rsid w:val="003A50D8"/>
    <w:rsid w:val="003B7684"/>
    <w:rsid w:val="00402332"/>
    <w:rsid w:val="004B6E26"/>
    <w:rsid w:val="0052089C"/>
    <w:rsid w:val="00565851"/>
    <w:rsid w:val="00577D14"/>
    <w:rsid w:val="005A5343"/>
    <w:rsid w:val="005C0930"/>
    <w:rsid w:val="00675010"/>
    <w:rsid w:val="00690C4D"/>
    <w:rsid w:val="006950F2"/>
    <w:rsid w:val="006A5F21"/>
    <w:rsid w:val="006A6DA7"/>
    <w:rsid w:val="006E6958"/>
    <w:rsid w:val="00736228"/>
    <w:rsid w:val="00751968"/>
    <w:rsid w:val="007838A0"/>
    <w:rsid w:val="00840C46"/>
    <w:rsid w:val="008750FB"/>
    <w:rsid w:val="008F22DE"/>
    <w:rsid w:val="00962D02"/>
    <w:rsid w:val="009C48AF"/>
    <w:rsid w:val="009C4C6A"/>
    <w:rsid w:val="009D1F60"/>
    <w:rsid w:val="00B022FC"/>
    <w:rsid w:val="00B174FF"/>
    <w:rsid w:val="00B570C4"/>
    <w:rsid w:val="00B878D2"/>
    <w:rsid w:val="00BA3BC7"/>
    <w:rsid w:val="00BC6AE2"/>
    <w:rsid w:val="00C5616D"/>
    <w:rsid w:val="00CF27AD"/>
    <w:rsid w:val="00D07CAA"/>
    <w:rsid w:val="00D303D3"/>
    <w:rsid w:val="00DE6697"/>
    <w:rsid w:val="00E00888"/>
    <w:rsid w:val="00E02ED8"/>
    <w:rsid w:val="00E121DC"/>
    <w:rsid w:val="00E31772"/>
    <w:rsid w:val="00E42C7C"/>
    <w:rsid w:val="00EA5790"/>
    <w:rsid w:val="00EA6D69"/>
    <w:rsid w:val="00EC53A0"/>
    <w:rsid w:val="00ED324A"/>
    <w:rsid w:val="00EF02EA"/>
    <w:rsid w:val="00F11765"/>
    <w:rsid w:val="00F27CC4"/>
    <w:rsid w:val="00F33A81"/>
    <w:rsid w:val="00F93145"/>
    <w:rsid w:val="00FD2B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373A3"/>
  <w15:chartTrackingRefBased/>
  <w15:docId w15:val="{8B9E3B94-26FE-4FAF-AACA-AF3348817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239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3BC7"/>
    <w:pPr>
      <w:ind w:left="720"/>
      <w:contextualSpacing/>
    </w:pPr>
  </w:style>
  <w:style w:type="table" w:styleId="TableGrid">
    <w:name w:val="Table Grid"/>
    <w:basedOn w:val="TableNormal"/>
    <w:uiPriority w:val="39"/>
    <w:rsid w:val="009D1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5616D"/>
    <w:rPr>
      <w:color w:val="808080"/>
    </w:rPr>
  </w:style>
  <w:style w:type="paragraph" w:styleId="Header">
    <w:name w:val="header"/>
    <w:basedOn w:val="Normal"/>
    <w:link w:val="HeaderChar"/>
    <w:uiPriority w:val="99"/>
    <w:unhideWhenUsed/>
    <w:rsid w:val="003239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3973"/>
    <w:rPr>
      <w:lang w:val="en-GB"/>
    </w:rPr>
  </w:style>
  <w:style w:type="paragraph" w:styleId="Footer">
    <w:name w:val="footer"/>
    <w:basedOn w:val="Normal"/>
    <w:link w:val="FooterChar"/>
    <w:uiPriority w:val="99"/>
    <w:unhideWhenUsed/>
    <w:rsid w:val="003239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3973"/>
    <w:rPr>
      <w:lang w:val="en-GB"/>
    </w:rPr>
  </w:style>
  <w:style w:type="character" w:customStyle="1" w:styleId="Heading1Char">
    <w:name w:val="Heading 1 Char"/>
    <w:basedOn w:val="DefaultParagraphFont"/>
    <w:link w:val="Heading1"/>
    <w:uiPriority w:val="9"/>
    <w:rsid w:val="00323973"/>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323973"/>
    <w:pPr>
      <w:outlineLvl w:val="9"/>
    </w:pPr>
    <w:rPr>
      <w:lang w:val="en-US"/>
    </w:rPr>
  </w:style>
  <w:style w:type="paragraph" w:styleId="TOC1">
    <w:name w:val="toc 1"/>
    <w:basedOn w:val="Normal"/>
    <w:next w:val="Normal"/>
    <w:autoRedefine/>
    <w:uiPriority w:val="39"/>
    <w:unhideWhenUsed/>
    <w:rsid w:val="00323973"/>
    <w:pPr>
      <w:spacing w:after="100"/>
    </w:pPr>
  </w:style>
  <w:style w:type="character" w:styleId="Hyperlink">
    <w:name w:val="Hyperlink"/>
    <w:basedOn w:val="DefaultParagraphFont"/>
    <w:uiPriority w:val="99"/>
    <w:unhideWhenUsed/>
    <w:rsid w:val="003239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37798-D42E-436A-A4BC-6A90E9B1A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2484</Words>
  <Characters>14164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Veronica Daniela Floria</cp:lastModifiedBy>
  <cp:revision>2</cp:revision>
  <dcterms:created xsi:type="dcterms:W3CDTF">2023-08-26T21:20:00Z</dcterms:created>
  <dcterms:modified xsi:type="dcterms:W3CDTF">2023-08-26T21:20:00Z</dcterms:modified>
</cp:coreProperties>
</file>