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265E2262" w14:textId="77777777" w:rsidR="00730C3C" w:rsidRDefault="00730C3C"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5FA5056E" w:rsidR="00604A87" w:rsidRPr="00604A87" w:rsidRDefault="00604A87" w:rsidP="00604A87">
      <w:pPr>
        <w:rPr>
          <w:rFonts w:eastAsia="Times New Roman" w:cs="Arial"/>
        </w:rPr>
      </w:pPr>
      <w:r w:rsidRPr="00604A87">
        <w:rPr>
          <w:rFonts w:eastAsia="Times New Roman" w:cs="Arial"/>
        </w:rPr>
        <w:t>Signed………</w:t>
      </w:r>
      <w:r w:rsidR="007E1ED4">
        <w:rPr>
          <w:rFonts w:eastAsia="Times New Roman" w:cs="Arial"/>
        </w:rPr>
        <w:t>M.KASHAMA</w:t>
      </w:r>
      <w:r w:rsidRPr="00604A87">
        <w:rPr>
          <w:rFonts w:eastAsia="Times New Roman" w:cs="Arial"/>
        </w:rPr>
        <w:t>……………………………………</w:t>
      </w:r>
    </w:p>
    <w:p w14:paraId="16B6CB34" w14:textId="2EBD4C1C" w:rsidR="00604A87" w:rsidRPr="00604A87" w:rsidRDefault="00604A87" w:rsidP="00604A87">
      <w:pPr>
        <w:rPr>
          <w:rFonts w:eastAsia="Times New Roman" w:cs="Arial"/>
        </w:rPr>
      </w:pPr>
      <w:r w:rsidRPr="00604A87">
        <w:rPr>
          <w:rFonts w:eastAsia="Times New Roman" w:cs="Arial"/>
        </w:rPr>
        <w:t>Date…………</w:t>
      </w:r>
      <w:r w:rsidR="007E1ED4">
        <w:rPr>
          <w:rFonts w:eastAsia="Times New Roman" w:cs="Arial"/>
        </w:rPr>
        <w:t>26/07/2026</w:t>
      </w:r>
      <w:r w:rsidRPr="00604A87">
        <w:rPr>
          <w:rFonts w:eastAsia="Times New Roman" w:cs="Arial"/>
        </w:rPr>
        <w:t>……………………………………</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4D1D11FB" w:rsidR="00604A87" w:rsidRPr="00604A87" w:rsidRDefault="00604A87" w:rsidP="00604A87">
      <w:pPr>
        <w:rPr>
          <w:rFonts w:eastAsia="Times New Roman" w:cs="Arial"/>
        </w:rPr>
      </w:pPr>
      <w:r w:rsidRPr="00604A87">
        <w:rPr>
          <w:rFonts w:eastAsia="Times New Roman" w:cs="Arial"/>
        </w:rPr>
        <w:t>Signed……</w:t>
      </w:r>
      <w:r w:rsidR="007E1ED4">
        <w:rPr>
          <w:rFonts w:eastAsia="Times New Roman" w:cs="Arial"/>
        </w:rPr>
        <w:t>M.KASHAMA</w:t>
      </w:r>
      <w:r w:rsidRPr="00604A87">
        <w:rPr>
          <w:rFonts w:eastAsia="Times New Roman" w:cs="Arial"/>
        </w:rPr>
        <w:t xml:space="preserve">………………………………………. </w:t>
      </w:r>
    </w:p>
    <w:p w14:paraId="21F5E413" w14:textId="70E3FAC7" w:rsidR="00604A87" w:rsidRPr="00604A87" w:rsidRDefault="00604A87" w:rsidP="00604A87">
      <w:pPr>
        <w:rPr>
          <w:rFonts w:eastAsia="Times New Roman" w:cs="Arial"/>
        </w:rPr>
      </w:pPr>
      <w:r w:rsidRPr="00604A87">
        <w:rPr>
          <w:rFonts w:eastAsia="Times New Roman" w:cs="Arial"/>
        </w:rPr>
        <w:t>Date……………</w:t>
      </w:r>
      <w:r w:rsidR="007E1ED4">
        <w:rPr>
          <w:rFonts w:eastAsia="Times New Roman" w:cs="Arial"/>
        </w:rPr>
        <w:t>26/07/2026</w:t>
      </w:r>
      <w:r w:rsidRPr="00604A87">
        <w:rPr>
          <w:rFonts w:eastAsia="Times New Roman" w:cs="Arial"/>
        </w:rPr>
        <w:t>…………………………………</w:t>
      </w:r>
    </w:p>
    <w:p w14:paraId="713B64B9" w14:textId="77777777" w:rsidR="00604A87" w:rsidRPr="00604A87" w:rsidRDefault="00604A87" w:rsidP="00604A87">
      <w:pPr>
        <w:rPr>
          <w:rFonts w:eastAsia="Times New Roman" w:cs="Arial"/>
        </w:rPr>
      </w:pPr>
      <w:r w:rsidRPr="00604A87">
        <w:rPr>
          <w:rFonts w:eastAsia="Times New Roman" w:cs="Arial"/>
          <w:b/>
        </w:rPr>
        <w:lastRenderedPageBreak/>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66F1F4E1" w:rsidR="00604A87" w:rsidRPr="00604A87" w:rsidRDefault="00604A87" w:rsidP="00604A87">
      <w:pPr>
        <w:rPr>
          <w:rFonts w:eastAsia="Times New Roman" w:cs="Arial"/>
        </w:rPr>
      </w:pPr>
      <w:r w:rsidRPr="00604A87">
        <w:rPr>
          <w:rFonts w:eastAsia="Times New Roman" w:cs="Arial"/>
        </w:rPr>
        <w:t>Signed…………</w:t>
      </w:r>
      <w:r w:rsidR="007E1ED4">
        <w:rPr>
          <w:rFonts w:eastAsia="Times New Roman" w:cs="Arial"/>
        </w:rPr>
        <w:t>M.KASHAMA</w:t>
      </w:r>
      <w:r w:rsidRPr="00604A87">
        <w:rPr>
          <w:rFonts w:eastAsia="Times New Roman" w:cs="Arial"/>
        </w:rPr>
        <w:t>…………………………………</w:t>
      </w:r>
    </w:p>
    <w:p w14:paraId="1CB40FFB" w14:textId="2948C4ED" w:rsidR="00604A87" w:rsidRPr="00604A87" w:rsidRDefault="00604A87" w:rsidP="00604A87">
      <w:pPr>
        <w:rPr>
          <w:rFonts w:eastAsia="Times New Roman" w:cs="Arial"/>
        </w:rPr>
      </w:pPr>
      <w:r w:rsidRPr="00604A87">
        <w:rPr>
          <w:rFonts w:eastAsia="Times New Roman" w:cs="Arial"/>
        </w:rPr>
        <w:t>Date…………</w:t>
      </w:r>
      <w:r w:rsidR="007E1ED4">
        <w:rPr>
          <w:rFonts w:eastAsia="Times New Roman" w:cs="Arial"/>
        </w:rPr>
        <w:t>26/07/2026</w:t>
      </w:r>
      <w:r w:rsidRPr="00604A87">
        <w:rPr>
          <w:rFonts w:eastAsia="Times New Roman" w:cs="Arial"/>
        </w:rPr>
        <w:t xml:space="preserv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595466E1" w:rsidR="00604A87" w:rsidRPr="00604A87" w:rsidRDefault="00604A87" w:rsidP="00604A87">
      <w:pPr>
        <w:rPr>
          <w:rFonts w:eastAsia="Times New Roman" w:cs="Arial"/>
        </w:rPr>
      </w:pPr>
      <w:r w:rsidRPr="00604A87">
        <w:rPr>
          <w:rFonts w:eastAsia="Times New Roman" w:cs="Arial"/>
        </w:rPr>
        <w:t>Signed…………</w:t>
      </w:r>
      <w:r w:rsidR="007E1ED4">
        <w:rPr>
          <w:rFonts w:eastAsia="Times New Roman" w:cs="Arial"/>
        </w:rPr>
        <w:t>M.KASHAMA</w:t>
      </w:r>
      <w:r w:rsidRPr="00604A87">
        <w:rPr>
          <w:rFonts w:eastAsia="Times New Roman" w:cs="Arial"/>
        </w:rPr>
        <w:t>……………………………………</w:t>
      </w:r>
    </w:p>
    <w:p w14:paraId="021196D1" w14:textId="6E5FD2C8"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7E1ED4">
        <w:rPr>
          <w:rFonts w:eastAsia="Times New Roman" w:cs="Arial"/>
        </w:rPr>
        <w:t>26/07/2026</w:t>
      </w:r>
      <w:r w:rsidRPr="00604A87">
        <w:rPr>
          <w:rFonts w:eastAsia="Times New Roman" w:cs="Arial"/>
        </w:rPr>
        <w:t>…………………………………</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6BCF5D6B" w:rsidR="00604A87" w:rsidRPr="00604A87" w:rsidRDefault="00604A87" w:rsidP="00604A87">
      <w:pPr>
        <w:rPr>
          <w:rFonts w:eastAsia="Times New Roman" w:cs="Arial"/>
        </w:rPr>
      </w:pPr>
      <w:r w:rsidRPr="00604A87">
        <w:rPr>
          <w:rFonts w:eastAsia="Times New Roman" w:cs="Arial"/>
        </w:rPr>
        <w:t>Signed……………</w:t>
      </w:r>
      <w:r w:rsidR="007E1ED4">
        <w:rPr>
          <w:rFonts w:eastAsia="Times New Roman" w:cs="Arial"/>
        </w:rPr>
        <w:t>M.KASHAMA</w:t>
      </w:r>
      <w:r w:rsidRPr="00604A87">
        <w:rPr>
          <w:rFonts w:eastAsia="Times New Roman" w:cs="Arial"/>
        </w:rPr>
        <w:t>…………………………………</w:t>
      </w:r>
    </w:p>
    <w:p w14:paraId="2BDDE109" w14:textId="7DEE67FC"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7E1ED4">
        <w:rPr>
          <w:rFonts w:eastAsia="Times New Roman" w:cs="Arial"/>
        </w:rPr>
        <w:t>26/07/2026</w:t>
      </w:r>
      <w:r w:rsidRPr="00604A87">
        <w:rPr>
          <w:rFonts w:eastAsia="Times New Roman" w:cs="Arial"/>
        </w:rPr>
        <w:t>…………………………………</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Default="00995444" w:rsidP="00995444">
      <w:pPr>
        <w:jc w:val="center"/>
        <w:rPr>
          <w:rFonts w:ascii="Arial" w:eastAsia="Arial Unicode MS" w:hAnsi="Arial" w:cs="Arial"/>
          <w:b/>
          <w:sz w:val="56"/>
          <w:szCs w:val="56"/>
        </w:rPr>
      </w:pPr>
    </w:p>
    <w:p w14:paraId="0FC75915" w14:textId="37919843" w:rsidR="00995444" w:rsidRPr="00995444" w:rsidRDefault="007E1ED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lastRenderedPageBreak/>
        <w:t>“</w:t>
      </w:r>
      <w:r w:rsidRPr="007E1ED4">
        <w:rPr>
          <w:rFonts w:eastAsia="Arial Unicode MS" w:cs="Arial"/>
          <w:b/>
          <w:sz w:val="56"/>
          <w:szCs w:val="56"/>
        </w:rPr>
        <w:t>Barriers to Accessing Digital Health Services Among Older Adults in the UK</w:t>
      </w:r>
      <w:r>
        <w:rPr>
          <w:rFonts w:eastAsia="Arial Unicode MS" w:cs="Arial"/>
          <w:b/>
          <w:sz w:val="56"/>
          <w:szCs w:val="56"/>
        </w:rPr>
        <w:t>”</w:t>
      </w:r>
    </w:p>
    <w:p w14:paraId="6DB122B7" w14:textId="434705A5" w:rsidR="00995444" w:rsidRDefault="000512FC"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roofErr w:type="spellStart"/>
      <w:r>
        <w:rPr>
          <w:rFonts w:eastAsia="Arial Unicode MS" w:cs="Arial"/>
          <w:b/>
          <w:sz w:val="56"/>
          <w:szCs w:val="56"/>
        </w:rPr>
        <w:t>Mualuke</w:t>
      </w:r>
      <w:proofErr w:type="spellEnd"/>
      <w:r>
        <w:rPr>
          <w:rFonts w:eastAsia="Arial Unicode MS" w:cs="Arial"/>
          <w:b/>
          <w:sz w:val="56"/>
          <w:szCs w:val="56"/>
        </w:rPr>
        <w:t xml:space="preserve"> Kalunga Kashama</w:t>
      </w:r>
    </w:p>
    <w:p w14:paraId="08FFF3DB" w14:textId="574679BC" w:rsidR="000512FC" w:rsidRPr="00995444" w:rsidRDefault="000512FC"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r>
        <w:rPr>
          <w:rFonts w:eastAsia="Arial Unicode MS" w:cs="Arial"/>
          <w:b/>
          <w:sz w:val="56"/>
          <w:szCs w:val="56"/>
        </w:rPr>
        <w:t>2213244</w:t>
      </w: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35E7070C"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w:t>
      </w:r>
      <w:r w:rsidR="007E1ED4">
        <w:rPr>
          <w:rFonts w:eastAsia="Arial Unicode MS" w:cs="Arial"/>
          <w:sz w:val="40"/>
          <w:szCs w:val="40"/>
        </w:rPr>
        <w:t xml:space="preserve"> </w:t>
      </w:r>
      <w:r w:rsidRPr="00995444">
        <w:rPr>
          <w:rFonts w:eastAsia="Arial Unicode MS" w:cs="Arial"/>
          <w:sz w:val="40"/>
          <w:szCs w:val="40"/>
        </w:rPr>
        <w:t>for the award BSc (Hons) Health and Social Care</w:t>
      </w:r>
    </w:p>
    <w:p w14:paraId="03004EEE" w14:textId="77777777" w:rsidR="00063B4C" w:rsidRDefault="00063B4C"/>
    <w:p w14:paraId="40A3E6C2" w14:textId="77777777" w:rsidR="00995444" w:rsidRDefault="00995444"/>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16D78A60" w14:textId="77777777" w:rsidR="0073280B" w:rsidRDefault="0073280B"/>
    <w:p w14:paraId="68249928" w14:textId="5410A06B" w:rsidR="0073280B" w:rsidRPr="0025020C" w:rsidRDefault="0073280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020C">
        <w:rPr>
          <w:rFonts w:eastAsia="Arial Unicode MS" w:cs="Arial"/>
          <w:b/>
          <w:sz w:val="28"/>
          <w:szCs w:val="28"/>
        </w:rPr>
        <w:lastRenderedPageBreak/>
        <w:t>ABSTRACT</w:t>
      </w:r>
      <w:r w:rsidRPr="0025020C">
        <w:rPr>
          <w:rFonts w:eastAsia="Arial Unicode MS" w:cs="Arial"/>
          <w:sz w:val="28"/>
          <w:szCs w:val="28"/>
        </w:rPr>
        <w:t xml:space="preserve"> </w:t>
      </w:r>
      <w:r w:rsidRPr="0025020C">
        <w:rPr>
          <w:rFonts w:eastAsia="Arial Unicode MS" w:cs="Arial"/>
          <w:i/>
        </w:rPr>
        <w:t xml:space="preserve"> </w:t>
      </w:r>
    </w:p>
    <w:p w14:paraId="019A2C1E" w14:textId="30A06085" w:rsidR="0073280B" w:rsidRPr="007E1ED4" w:rsidRDefault="007E1ED4" w:rsidP="007E1ED4">
      <w:pPr>
        <w:rPr>
          <w:rFonts w:ascii="Arial" w:hAnsi="Arial" w:cs="Arial"/>
          <w:bCs/>
        </w:rPr>
      </w:pPr>
      <w:r w:rsidRPr="007E1ED4">
        <w:rPr>
          <w:rFonts w:ascii="Arial" w:hAnsi="Arial" w:cs="Arial"/>
          <w:bCs/>
        </w:rPr>
        <w:t>The way health services are provided in the United Kingdom has changed as a result of the growing digitisation of healthcare. Even while many people now have more accessibility and efficiency because to digital health technology like online consultations, electronic health records, and the NHS App, older adults still face substantial obstacles when trying to use these services. Through a thorough analysis of the body of research, this dissertation sought to critically investigate the obstacles older persons in the UK have when trying to use digital health services. The goals were to define the term "digital health," examine the available data about obstacles that older adults face, assess the results through thematic analysis, and offer evidence-based suggestions for enhancing digital inclusion.</w:t>
      </w:r>
      <w:r>
        <w:rPr>
          <w:rFonts w:ascii="Arial" w:hAnsi="Arial" w:cs="Arial"/>
          <w:bCs/>
        </w:rPr>
        <w:t xml:space="preserve"> </w:t>
      </w:r>
      <w:r w:rsidRPr="007E1ED4">
        <w:rPr>
          <w:rFonts w:ascii="Arial" w:hAnsi="Arial" w:cs="Arial"/>
          <w:bCs/>
        </w:rPr>
        <w:t>A systematic search of academic databases, such as Google Scholar, PubMed, and the University of Wales Trinity Saint David Library, was used as part of a secondary research process. Using predetermined inclusion and exclusion criteria, pertinent peer-reviewed academic papers, government documents, and organisational reports were chosen. The CRAAP framework was used to evaluate the calibre and reliability of the chosen literature, and Braun and Clarke's thematic analysis method was used to find recurrent themes in the data.</w:t>
      </w:r>
      <w:r>
        <w:rPr>
          <w:rFonts w:ascii="Arial" w:hAnsi="Arial" w:cs="Arial"/>
          <w:bCs/>
        </w:rPr>
        <w:t xml:space="preserve"> </w:t>
      </w:r>
      <w:r w:rsidRPr="007E1ED4">
        <w:rPr>
          <w:rFonts w:ascii="Arial" w:hAnsi="Arial" w:cs="Arial"/>
          <w:bCs/>
        </w:rPr>
        <w:t>The analysis identified three interconnected themes influencing older adults' access to digital health services: digital literacy and digital skills, individual and socioeconomic barriers, and health system barriers with strategies to improve digital inclusion.</w:t>
      </w:r>
      <w:r>
        <w:rPr>
          <w:rFonts w:ascii="Arial" w:hAnsi="Arial" w:cs="Arial"/>
          <w:bCs/>
        </w:rPr>
        <w:t xml:space="preserve"> T</w:t>
      </w:r>
      <w:r w:rsidRPr="007E1ED4">
        <w:rPr>
          <w:rFonts w:ascii="Arial" w:hAnsi="Arial" w:cs="Arial"/>
          <w:bCs/>
        </w:rPr>
        <w:t>he results showed that rather than having a single reason, poor digital capabilities, socioeconomic disparities, and organisational variables combine to generate digital exclusion. Inadequate digital skills, financial difficulties, accessibility problems, and uneven organisational support continue to restrict equitable participation for many older persons, despite the fact that digital healthcare offers significant opportunity to increase access to health services.</w:t>
      </w:r>
    </w:p>
    <w:p w14:paraId="4B65C5F3" w14:textId="77777777" w:rsidR="00730C3C" w:rsidRDefault="00730C3C"/>
    <w:p w14:paraId="1EDA5561" w14:textId="77777777" w:rsidR="00730C3C" w:rsidRDefault="00730C3C"/>
    <w:p w14:paraId="576A2163" w14:textId="77777777" w:rsidR="00730C3C" w:rsidRDefault="00730C3C"/>
    <w:p w14:paraId="2F774362" w14:textId="77777777" w:rsidR="00730C3C" w:rsidRDefault="00730C3C"/>
    <w:p w14:paraId="57922C1A" w14:textId="77777777" w:rsidR="00730C3C" w:rsidRDefault="00730C3C"/>
    <w:p w14:paraId="3A43D7FB" w14:textId="77777777" w:rsidR="00804B94" w:rsidRDefault="00804B94"/>
    <w:p w14:paraId="350684A4" w14:textId="77777777" w:rsidR="00804B94" w:rsidRDefault="00804B94"/>
    <w:p w14:paraId="3E08ED0D" w14:textId="77777777" w:rsidR="007E1ED4" w:rsidRDefault="007E1ED4" w:rsidP="00EF6341">
      <w:pPr>
        <w:pStyle w:val="Heading1"/>
        <w:spacing w:line="360" w:lineRule="auto"/>
        <w:ind w:left="0"/>
        <w:rPr>
          <w:rFonts w:ascii="Aptos" w:hAnsi="Aptos"/>
        </w:rPr>
      </w:pPr>
    </w:p>
    <w:p w14:paraId="58452D18" w14:textId="5241132E" w:rsidR="00730C3C" w:rsidRPr="00EF6341" w:rsidRDefault="00730C3C" w:rsidP="00EF6341">
      <w:pPr>
        <w:pStyle w:val="Heading1"/>
        <w:spacing w:line="360" w:lineRule="auto"/>
        <w:ind w:left="0"/>
        <w:rPr>
          <w:rFonts w:ascii="Aptos" w:hAnsi="Aptos"/>
          <w:b w:val="0"/>
        </w:rPr>
      </w:pPr>
      <w:r w:rsidRPr="00730C3C">
        <w:rPr>
          <w:rFonts w:ascii="Aptos" w:hAnsi="Aptos"/>
        </w:rPr>
        <w:lastRenderedPageBreak/>
        <w:t xml:space="preserve">CHAPTER 1: Introduction </w:t>
      </w:r>
    </w:p>
    <w:p w14:paraId="69941E5D" w14:textId="77777777" w:rsidR="00EF6341" w:rsidRPr="00EF6341" w:rsidRDefault="00EF6341" w:rsidP="00EF6341">
      <w:pPr>
        <w:pStyle w:val="BodyText"/>
        <w:spacing w:line="360" w:lineRule="auto"/>
        <w:rPr>
          <w:rFonts w:ascii="Aptos" w:hAnsi="Aptos"/>
        </w:rPr>
      </w:pPr>
    </w:p>
    <w:p w14:paraId="5DD3FDF6" w14:textId="77777777" w:rsidR="009405C6" w:rsidRDefault="009405C6" w:rsidP="00612C30">
      <w:pPr>
        <w:pStyle w:val="paragraph"/>
        <w:spacing w:before="0" w:beforeAutospacing="0" w:after="0" w:afterAutospacing="0" w:line="360" w:lineRule="auto"/>
        <w:textAlignment w:val="baseline"/>
        <w:rPr>
          <w:rStyle w:val="normaltextrun"/>
          <w:rFonts w:ascii="Arial" w:hAnsi="Arial" w:cs="Arial"/>
          <w:sz w:val="22"/>
          <w:szCs w:val="22"/>
        </w:rPr>
      </w:pPr>
    </w:p>
    <w:p w14:paraId="53E4A553" w14:textId="2FD37248" w:rsidR="005C35EF" w:rsidRDefault="00612C30" w:rsidP="00612C30">
      <w:pPr>
        <w:pStyle w:val="paragraph"/>
        <w:spacing w:before="0" w:beforeAutospacing="0" w:after="0" w:afterAutospacing="0" w:line="360" w:lineRule="auto"/>
        <w:textAlignment w:val="baseline"/>
        <w:rPr>
          <w:rStyle w:val="normaltextrun"/>
          <w:rFonts w:ascii="Arial" w:hAnsi="Arial" w:cs="Arial"/>
          <w:sz w:val="22"/>
          <w:szCs w:val="22"/>
        </w:rPr>
      </w:pPr>
      <w:r>
        <w:rPr>
          <w:rStyle w:val="normaltextrun"/>
          <w:rFonts w:ascii="Arial" w:hAnsi="Arial" w:cs="Arial"/>
          <w:sz w:val="22"/>
          <w:szCs w:val="22"/>
        </w:rPr>
        <w:t xml:space="preserve">With technological advancements being progressively incorporated into standard clinical practice to enhance the accessibility, effectiveness, and calibre of healthcare services, digital health has revolutionised the provision of healthcare globally. Through programs including remote consultations, electronic health records, online appointment scheduling, and digital prescribing, the National Health Organisation (NHS) in the United Kingdom has expedited the adoption of digital health. The COVID-19 pandemic, which required alternate ways of providing healthcare while minimising face-to-face interaction, further drove the rapid expansion of these services (NHS England, 2019). </w:t>
      </w:r>
    </w:p>
    <w:p w14:paraId="3BAC0A9D" w14:textId="77777777" w:rsidR="005C35EF" w:rsidRDefault="005C35EF" w:rsidP="00612C30">
      <w:pPr>
        <w:pStyle w:val="paragraph"/>
        <w:spacing w:before="0" w:beforeAutospacing="0" w:after="0" w:afterAutospacing="0" w:line="360" w:lineRule="auto"/>
        <w:textAlignment w:val="baseline"/>
        <w:rPr>
          <w:rStyle w:val="normaltextrun"/>
          <w:rFonts w:ascii="Arial" w:hAnsi="Arial" w:cs="Arial"/>
          <w:sz w:val="22"/>
          <w:szCs w:val="22"/>
        </w:rPr>
      </w:pPr>
    </w:p>
    <w:p w14:paraId="41E5EEF5" w14:textId="2ECAABE0" w:rsidR="00612C30" w:rsidRDefault="005C35EF" w:rsidP="00612C30">
      <w:pPr>
        <w:pStyle w:val="paragraph"/>
        <w:spacing w:before="0" w:beforeAutospacing="0" w:after="0" w:afterAutospacing="0" w:line="360" w:lineRule="auto"/>
        <w:textAlignment w:val="baseline"/>
        <w:rPr>
          <w:rStyle w:val="normaltextrun"/>
          <w:rFonts w:ascii="Arial" w:hAnsi="Arial" w:cs="Arial"/>
          <w:sz w:val="22"/>
          <w:szCs w:val="22"/>
        </w:rPr>
      </w:pPr>
      <w:r>
        <w:rPr>
          <w:rStyle w:val="normaltextrun"/>
          <w:rFonts w:ascii="Arial" w:hAnsi="Arial" w:cs="Arial"/>
          <w:sz w:val="22"/>
          <w:szCs w:val="22"/>
        </w:rPr>
        <w:t xml:space="preserve">Whilst digital health has the potential to improve patient access, convenience and self-management, evidence does suggest that these benefits are not experienced equally across the population. </w:t>
      </w:r>
      <w:r w:rsidRPr="005C35EF">
        <w:rPr>
          <w:rStyle w:val="normaltextrun"/>
          <w:rFonts w:ascii="Arial" w:hAnsi="Arial" w:cs="Arial"/>
          <w:sz w:val="22"/>
          <w:szCs w:val="22"/>
        </w:rPr>
        <w:t>Due to their limited access to increasingly digitalised healthcare services, older individuals continue to be disproportionately affected by digital exclusion. According to existing research, obstacles include digital literacy, confidence, socioeconomic deprivation, age-related physical and cognitive changes, technology accessibility, organisational factors within healthcare systems, and more than just having access to digital devices and internet connectivity</w:t>
      </w:r>
      <w:r>
        <w:rPr>
          <w:rStyle w:val="normaltextrun"/>
          <w:rFonts w:ascii="Arial" w:hAnsi="Arial" w:cs="Arial"/>
          <w:sz w:val="22"/>
          <w:szCs w:val="22"/>
        </w:rPr>
        <w:t xml:space="preserve"> (</w:t>
      </w:r>
      <w:proofErr w:type="spellStart"/>
      <w:r>
        <w:rPr>
          <w:rStyle w:val="normaltextrun"/>
          <w:rFonts w:ascii="Arial" w:hAnsi="Arial" w:cs="Arial"/>
          <w:sz w:val="22"/>
          <w:szCs w:val="22"/>
        </w:rPr>
        <w:t>Kunonga</w:t>
      </w:r>
      <w:proofErr w:type="spellEnd"/>
      <w:r>
        <w:rPr>
          <w:rStyle w:val="normaltextrun"/>
          <w:rFonts w:ascii="Arial" w:hAnsi="Arial" w:cs="Arial"/>
          <w:sz w:val="22"/>
          <w:szCs w:val="22"/>
        </w:rPr>
        <w:t xml:space="preserve"> et al., 2021; De Santis et al., 2023; Schroeder et al., 2023). </w:t>
      </w:r>
    </w:p>
    <w:p w14:paraId="30D06069" w14:textId="77777777" w:rsidR="005C35EF" w:rsidRDefault="005C35EF" w:rsidP="00612C30">
      <w:pPr>
        <w:pStyle w:val="paragraph"/>
        <w:spacing w:before="0" w:beforeAutospacing="0" w:after="0" w:afterAutospacing="0" w:line="360" w:lineRule="auto"/>
        <w:textAlignment w:val="baseline"/>
        <w:rPr>
          <w:rStyle w:val="normaltextrun"/>
          <w:rFonts w:ascii="Arial" w:hAnsi="Arial" w:cs="Arial"/>
          <w:sz w:val="22"/>
          <w:szCs w:val="22"/>
        </w:rPr>
      </w:pPr>
    </w:p>
    <w:p w14:paraId="7BEC24B3" w14:textId="303070E4" w:rsidR="005C35EF" w:rsidRDefault="005B606B" w:rsidP="00612C30">
      <w:pPr>
        <w:pStyle w:val="paragraph"/>
        <w:spacing w:before="0" w:beforeAutospacing="0" w:after="0" w:afterAutospacing="0" w:line="360" w:lineRule="auto"/>
        <w:textAlignment w:val="baseline"/>
        <w:rPr>
          <w:rStyle w:val="normaltextrun"/>
          <w:rFonts w:ascii="Arial" w:hAnsi="Arial" w:cs="Arial"/>
          <w:sz w:val="22"/>
          <w:szCs w:val="22"/>
        </w:rPr>
      </w:pPr>
      <w:r>
        <w:rPr>
          <w:rStyle w:val="normaltextrun"/>
          <w:rFonts w:ascii="Arial" w:hAnsi="Arial" w:cs="Arial"/>
          <w:sz w:val="22"/>
          <w:szCs w:val="22"/>
        </w:rPr>
        <w:t xml:space="preserve">The ageing UK population, alongside increasing reliance on digital healthcare, highlights the importance of understanding the factors that influence older individuals’ engagement with digital health services. </w:t>
      </w:r>
      <w:r w:rsidRPr="005B606B">
        <w:rPr>
          <w:rStyle w:val="normaltextrun"/>
          <w:rFonts w:ascii="Arial" w:hAnsi="Arial" w:cs="Arial"/>
          <w:sz w:val="22"/>
          <w:szCs w:val="22"/>
        </w:rPr>
        <w:t xml:space="preserve">Even while national policies support digitally enabled healthcare, there are still issues with fair access for vulnerable groups, especially older </w:t>
      </w:r>
      <w:r>
        <w:rPr>
          <w:rStyle w:val="normaltextrun"/>
          <w:rFonts w:ascii="Arial" w:hAnsi="Arial" w:cs="Arial"/>
          <w:sz w:val="22"/>
          <w:szCs w:val="22"/>
        </w:rPr>
        <w:t>individuals</w:t>
      </w:r>
      <w:r w:rsidRPr="005B606B">
        <w:rPr>
          <w:rStyle w:val="normaltextrun"/>
          <w:rFonts w:ascii="Arial" w:hAnsi="Arial" w:cs="Arial"/>
          <w:sz w:val="22"/>
          <w:szCs w:val="22"/>
        </w:rPr>
        <w:t xml:space="preserve"> who might face a variety of interrelated obstacles to digital engagement (Age UK, 2024; Good Things Foundation, 2024). In order to promote inclusive healthcare delivery and guide future policy and clinical practice, it is crucial to comprehend these obstacles.</w:t>
      </w:r>
      <w:r>
        <w:rPr>
          <w:rStyle w:val="normaltextrun"/>
          <w:rFonts w:ascii="Arial" w:hAnsi="Arial" w:cs="Arial"/>
          <w:sz w:val="22"/>
          <w:szCs w:val="22"/>
        </w:rPr>
        <w:t xml:space="preserve"> </w:t>
      </w:r>
      <w:r w:rsidRPr="005B606B">
        <w:rPr>
          <w:rStyle w:val="normaltextrun"/>
          <w:rFonts w:ascii="Arial" w:hAnsi="Arial" w:cs="Arial"/>
          <w:sz w:val="22"/>
          <w:szCs w:val="22"/>
        </w:rPr>
        <w:t xml:space="preserve">Through a secondary evaluation of current literature, this dissertation will critically investigate the obstacles preventing older </w:t>
      </w:r>
      <w:r>
        <w:rPr>
          <w:rStyle w:val="normaltextrun"/>
          <w:rFonts w:ascii="Arial" w:hAnsi="Arial" w:cs="Arial"/>
          <w:sz w:val="22"/>
          <w:szCs w:val="22"/>
        </w:rPr>
        <w:t>individuals</w:t>
      </w:r>
      <w:r w:rsidRPr="005B606B">
        <w:rPr>
          <w:rStyle w:val="normaltextrun"/>
          <w:rFonts w:ascii="Arial" w:hAnsi="Arial" w:cs="Arial"/>
          <w:sz w:val="22"/>
          <w:szCs w:val="22"/>
        </w:rPr>
        <w:t xml:space="preserve"> in the UK from accessing digital health services. </w:t>
      </w:r>
    </w:p>
    <w:p w14:paraId="701D9276" w14:textId="77777777" w:rsidR="00612C30" w:rsidRDefault="00612C30" w:rsidP="00612C30">
      <w:pPr>
        <w:pStyle w:val="paragraph"/>
        <w:spacing w:before="0" w:beforeAutospacing="0" w:after="0" w:afterAutospacing="0" w:line="360" w:lineRule="auto"/>
        <w:textAlignment w:val="baseline"/>
        <w:rPr>
          <w:rStyle w:val="normaltextrun"/>
          <w:rFonts w:ascii="Arial" w:hAnsi="Arial" w:cs="Arial"/>
          <w:sz w:val="22"/>
          <w:szCs w:val="22"/>
        </w:rPr>
      </w:pPr>
    </w:p>
    <w:p w14:paraId="029B024D" w14:textId="77777777" w:rsidR="0042462D" w:rsidRDefault="0042462D" w:rsidP="00612C30">
      <w:pPr>
        <w:pStyle w:val="paragraph"/>
        <w:spacing w:before="0" w:beforeAutospacing="0" w:after="0" w:afterAutospacing="0" w:line="360" w:lineRule="auto"/>
        <w:textAlignment w:val="baseline"/>
        <w:rPr>
          <w:rStyle w:val="normaltextrun"/>
          <w:rFonts w:ascii="Aptos" w:hAnsi="Aptos" w:cs="Arial"/>
          <w:color w:val="0F4761"/>
        </w:rPr>
      </w:pPr>
    </w:p>
    <w:p w14:paraId="66501BF4" w14:textId="2721EB0F" w:rsidR="00BD2909" w:rsidRPr="00F421C5" w:rsidRDefault="00BD2909" w:rsidP="00F421C5">
      <w:pPr>
        <w:pStyle w:val="paragraph"/>
        <w:spacing w:before="0" w:beforeAutospacing="0" w:after="0" w:afterAutospacing="0" w:line="360" w:lineRule="auto"/>
        <w:textAlignment w:val="baseline"/>
        <w:rPr>
          <w:rFonts w:ascii="Aptos" w:hAnsi="Aptos" w:cs="Segoe UI"/>
          <w:sz w:val="16"/>
          <w:szCs w:val="16"/>
        </w:rPr>
      </w:pPr>
      <w:r w:rsidRPr="00BD2909">
        <w:rPr>
          <w:rStyle w:val="normaltextrun"/>
          <w:rFonts w:ascii="Aptos" w:hAnsi="Aptos" w:cs="Arial"/>
          <w:color w:val="0F4761"/>
        </w:rPr>
        <w:t xml:space="preserve">1.2 Definitions and Terminology </w:t>
      </w:r>
    </w:p>
    <w:p w14:paraId="1D92DAC7" w14:textId="77777777" w:rsidR="00B81F2E" w:rsidRDefault="00B81F2E" w:rsidP="00F421C5">
      <w:pPr>
        <w:pStyle w:val="paragraph"/>
        <w:tabs>
          <w:tab w:val="num" w:pos="0"/>
        </w:tabs>
        <w:spacing w:before="0" w:beforeAutospacing="0" w:after="0" w:afterAutospacing="0" w:line="360" w:lineRule="auto"/>
        <w:textAlignment w:val="baseline"/>
        <w:rPr>
          <w:rStyle w:val="normaltextrun"/>
          <w:rFonts w:ascii="Aptos" w:hAnsi="Aptos" w:cs="Arial"/>
          <w:b/>
          <w:bCs/>
          <w:sz w:val="22"/>
          <w:szCs w:val="22"/>
        </w:rPr>
      </w:pPr>
    </w:p>
    <w:p w14:paraId="17ACC42C" w14:textId="4D679D5D" w:rsidR="00F421C5" w:rsidRDefault="00F421C5" w:rsidP="00F421C5">
      <w:pPr>
        <w:pStyle w:val="paragraph"/>
        <w:tabs>
          <w:tab w:val="num" w:pos="0"/>
        </w:tabs>
        <w:spacing w:before="0" w:beforeAutospacing="0" w:after="0" w:afterAutospacing="0" w:line="360" w:lineRule="auto"/>
        <w:textAlignment w:val="baseline"/>
        <w:rPr>
          <w:rStyle w:val="normaltextrun"/>
          <w:rFonts w:ascii="Arial" w:hAnsi="Arial" w:cs="Arial"/>
          <w:sz w:val="22"/>
          <w:szCs w:val="22"/>
        </w:rPr>
      </w:pPr>
      <w:r>
        <w:rPr>
          <w:rStyle w:val="normaltextrun"/>
          <w:rFonts w:ascii="Arial" w:hAnsi="Arial" w:cs="Arial"/>
          <w:sz w:val="22"/>
          <w:szCs w:val="22"/>
        </w:rPr>
        <w:t xml:space="preserve">To ensure clarity and consistency throughout the dissertation, key terms relevant to the study are defined below. The World Health Organisation (WHO, 2021) defines </w:t>
      </w:r>
      <w:r w:rsidRPr="00F421C5">
        <w:rPr>
          <w:rStyle w:val="normaltextrun"/>
          <w:rFonts w:ascii="Arial" w:hAnsi="Arial" w:cs="Arial"/>
          <w:sz w:val="22"/>
          <w:szCs w:val="22"/>
        </w:rPr>
        <w:t xml:space="preserve">digital health </w:t>
      </w:r>
      <w:r w:rsidRPr="00F421C5">
        <w:rPr>
          <w:rStyle w:val="normaltextrun"/>
          <w:rFonts w:ascii="Arial" w:hAnsi="Arial" w:cs="Arial"/>
          <w:sz w:val="22"/>
          <w:szCs w:val="22"/>
        </w:rPr>
        <w:lastRenderedPageBreak/>
        <w:t>as the application of digital technology to strengthen health systems, improve healthcare delivery, and improve health outcomes. Telehealth, telemedicine, electronic health records, mobile health (mHealth) applications, and remote patient monitoring are all included.</w:t>
      </w:r>
      <w:r>
        <w:rPr>
          <w:rStyle w:val="normaltextrun"/>
          <w:rFonts w:ascii="Arial" w:hAnsi="Arial" w:cs="Arial"/>
          <w:sz w:val="22"/>
          <w:szCs w:val="22"/>
        </w:rPr>
        <w:t xml:space="preserve"> For the purpose of this study, digital health services refer to </w:t>
      </w:r>
      <w:r w:rsidRPr="00F421C5">
        <w:rPr>
          <w:rStyle w:val="normaltextrun"/>
          <w:rFonts w:ascii="Arial" w:hAnsi="Arial" w:cs="Arial"/>
          <w:sz w:val="22"/>
          <w:szCs w:val="22"/>
        </w:rPr>
        <w:t>medical services provided or accessed via digital platforms, such as patient portals, online consultations, the NHS App, electronic prescription services, and remote monitoring systems (NHS England, 2019).</w:t>
      </w:r>
      <w:r>
        <w:rPr>
          <w:rStyle w:val="normaltextrun"/>
          <w:rFonts w:ascii="Arial" w:hAnsi="Arial" w:cs="Arial"/>
          <w:sz w:val="22"/>
          <w:szCs w:val="22"/>
        </w:rPr>
        <w:t xml:space="preserve"> </w:t>
      </w:r>
      <w:r w:rsidRPr="00F421C5">
        <w:rPr>
          <w:rStyle w:val="normaltextrun"/>
          <w:rFonts w:ascii="Arial" w:hAnsi="Arial" w:cs="Arial"/>
          <w:sz w:val="22"/>
          <w:szCs w:val="22"/>
        </w:rPr>
        <w:t xml:space="preserve">In accordance with the World Health </w:t>
      </w:r>
      <w:r>
        <w:rPr>
          <w:rStyle w:val="normaltextrun"/>
          <w:rFonts w:ascii="Arial" w:hAnsi="Arial" w:cs="Arial"/>
          <w:sz w:val="22"/>
          <w:szCs w:val="22"/>
        </w:rPr>
        <w:t>Organisation</w:t>
      </w:r>
      <w:r w:rsidRPr="00F421C5">
        <w:rPr>
          <w:rStyle w:val="normaltextrun"/>
          <w:rFonts w:ascii="Arial" w:hAnsi="Arial" w:cs="Arial"/>
          <w:sz w:val="22"/>
          <w:szCs w:val="22"/>
        </w:rPr>
        <w:t xml:space="preserve"> (WHO, 2024) and a typical definition used in healthcare research, older persons are defined as those who are 65 years of age or older.</w:t>
      </w:r>
      <w:r>
        <w:rPr>
          <w:rStyle w:val="normaltextrun"/>
          <w:rFonts w:ascii="Arial" w:hAnsi="Arial" w:cs="Arial"/>
          <w:sz w:val="22"/>
          <w:szCs w:val="22"/>
        </w:rPr>
        <w:t xml:space="preserve"> Digital exclusion describes the inability or reduced ability to access, afford or confidently </w:t>
      </w:r>
      <w:r w:rsidR="00BE0139">
        <w:rPr>
          <w:rStyle w:val="normaltextrun"/>
          <w:rFonts w:ascii="Arial" w:hAnsi="Arial" w:cs="Arial"/>
          <w:sz w:val="22"/>
          <w:szCs w:val="22"/>
        </w:rPr>
        <w:t xml:space="preserve">use digital technologies due to barriers such as limited skills, lack of access, affordability (Good Things Foundation, 2024). </w:t>
      </w:r>
      <w:r w:rsidR="00BE0139" w:rsidRPr="00BE0139">
        <w:rPr>
          <w:rStyle w:val="normaltextrun"/>
          <w:rFonts w:ascii="Arial" w:hAnsi="Arial" w:cs="Arial"/>
          <w:sz w:val="22"/>
          <w:szCs w:val="22"/>
        </w:rPr>
        <w:t>Digital literacy, which is the knowledge, abilities, and self-assurance needed to use digital technology and interact with digital health services, is closely associated (De Santis et al., 2023).</w:t>
      </w:r>
      <w:r w:rsidR="00BE0139">
        <w:rPr>
          <w:rStyle w:val="normaltextrun"/>
          <w:rFonts w:ascii="Arial" w:hAnsi="Arial" w:cs="Arial"/>
          <w:sz w:val="22"/>
          <w:szCs w:val="22"/>
        </w:rPr>
        <w:t xml:space="preserve"> </w:t>
      </w:r>
    </w:p>
    <w:p w14:paraId="70743E9A" w14:textId="77777777" w:rsidR="00F421C5" w:rsidRPr="00F421C5" w:rsidRDefault="00F421C5" w:rsidP="00F421C5">
      <w:pPr>
        <w:pStyle w:val="paragraph"/>
        <w:tabs>
          <w:tab w:val="num" w:pos="0"/>
        </w:tabs>
        <w:spacing w:before="0" w:beforeAutospacing="0" w:after="0" w:afterAutospacing="0" w:line="360" w:lineRule="auto"/>
        <w:textAlignment w:val="baseline"/>
        <w:rPr>
          <w:rFonts w:ascii="Arial" w:hAnsi="Arial" w:cs="Arial"/>
          <w:sz w:val="22"/>
          <w:szCs w:val="22"/>
        </w:rPr>
      </w:pPr>
    </w:p>
    <w:p w14:paraId="4BC66D2F" w14:textId="5B317F6B" w:rsidR="00BD2909" w:rsidRPr="00BD2909" w:rsidRDefault="00BD2909" w:rsidP="00BD2909">
      <w:pPr>
        <w:pStyle w:val="paragraph"/>
        <w:spacing w:before="0" w:beforeAutospacing="0" w:after="0" w:afterAutospacing="0" w:line="360" w:lineRule="auto"/>
        <w:ind w:left="1080"/>
        <w:textAlignment w:val="baseline"/>
        <w:rPr>
          <w:rFonts w:ascii="Aptos" w:hAnsi="Aptos" w:cs="Segoe UI"/>
          <w:sz w:val="16"/>
          <w:szCs w:val="16"/>
        </w:rPr>
      </w:pPr>
      <w:r w:rsidRPr="00BD2909">
        <w:rPr>
          <w:rStyle w:val="eop"/>
          <w:rFonts w:ascii="Aptos" w:hAnsi="Aptos" w:cs="Arial"/>
          <w:sz w:val="22"/>
          <w:szCs w:val="22"/>
        </w:rPr>
        <w:t>  </w:t>
      </w:r>
    </w:p>
    <w:p w14:paraId="165773A7" w14:textId="1A8AACB4" w:rsidR="00BD2909" w:rsidRPr="00BD2909" w:rsidRDefault="00B81F2E">
      <w:pPr>
        <w:pStyle w:val="paragraph"/>
        <w:numPr>
          <w:ilvl w:val="1"/>
          <w:numId w:val="2"/>
        </w:numPr>
        <w:spacing w:before="0" w:beforeAutospacing="0" w:after="0" w:afterAutospacing="0" w:line="360" w:lineRule="auto"/>
        <w:textAlignment w:val="baseline"/>
        <w:rPr>
          <w:rFonts w:ascii="Aptos" w:hAnsi="Aptos" w:cs="Segoe UI"/>
          <w:color w:val="0F4761"/>
          <w:sz w:val="16"/>
          <w:szCs w:val="16"/>
        </w:rPr>
      </w:pPr>
      <w:r w:rsidRPr="00B81F2E">
        <w:rPr>
          <w:rStyle w:val="eop"/>
          <w:rFonts w:ascii="Aptos" w:hAnsi="Aptos" w:cs="Arial"/>
          <w:color w:val="0F4761"/>
        </w:rPr>
        <w:t xml:space="preserve">Background and Current Context </w:t>
      </w:r>
    </w:p>
    <w:p w14:paraId="437E8386" w14:textId="77777777" w:rsidR="00620507" w:rsidRDefault="00620507" w:rsidP="00620507">
      <w:pPr>
        <w:pStyle w:val="paragraph"/>
        <w:spacing w:before="0" w:beforeAutospacing="0" w:after="0" w:afterAutospacing="0" w:line="360" w:lineRule="auto"/>
        <w:textAlignment w:val="baseline"/>
        <w:rPr>
          <w:rStyle w:val="normaltextrun"/>
          <w:rFonts w:ascii="Aptos" w:hAnsi="Aptos" w:cs="Arial"/>
          <w:b/>
          <w:bCs/>
          <w:sz w:val="22"/>
          <w:szCs w:val="22"/>
        </w:rPr>
      </w:pPr>
    </w:p>
    <w:p w14:paraId="5CB51185" w14:textId="77777777" w:rsidR="00313E29" w:rsidRDefault="00F13F48" w:rsidP="00F13F48">
      <w:pPr>
        <w:pStyle w:val="paragraph"/>
        <w:spacing w:before="0" w:beforeAutospacing="0" w:after="0" w:afterAutospacing="0" w:line="360" w:lineRule="auto"/>
        <w:textAlignment w:val="baseline"/>
        <w:rPr>
          <w:rStyle w:val="normaltextrun"/>
          <w:rFonts w:ascii="Arial" w:hAnsi="Arial" w:cs="Arial"/>
          <w:sz w:val="22"/>
          <w:szCs w:val="22"/>
        </w:rPr>
      </w:pPr>
      <w:r>
        <w:rPr>
          <w:rStyle w:val="normaltextrun"/>
          <w:rFonts w:ascii="Arial" w:hAnsi="Arial" w:cs="Arial"/>
          <w:sz w:val="22"/>
          <w:szCs w:val="22"/>
        </w:rPr>
        <w:t xml:space="preserve">In </w:t>
      </w:r>
      <w:r w:rsidR="00A07C8B" w:rsidRPr="00A07C8B">
        <w:rPr>
          <w:rStyle w:val="normaltextrun"/>
          <w:rFonts w:ascii="Arial" w:hAnsi="Arial" w:cs="Arial"/>
          <w:sz w:val="22"/>
          <w:szCs w:val="22"/>
        </w:rPr>
        <w:t>order to increase accessibility, efficiency, and patient-centred care, digital technologies are progressively being incorporated into healthcare delivery in the United Kingdom, making the digital transformation of healthcare a top priority.</w:t>
      </w:r>
      <w:r w:rsidR="00CB7D16">
        <w:rPr>
          <w:rStyle w:val="normaltextrun"/>
          <w:rFonts w:ascii="Arial" w:hAnsi="Arial" w:cs="Arial"/>
          <w:sz w:val="22"/>
          <w:szCs w:val="22"/>
        </w:rPr>
        <w:t xml:space="preserve"> </w:t>
      </w:r>
      <w:r w:rsidR="00CB7D16" w:rsidRPr="00CB7D16">
        <w:rPr>
          <w:rStyle w:val="normaltextrun"/>
          <w:rFonts w:ascii="Arial" w:hAnsi="Arial" w:cs="Arial"/>
          <w:sz w:val="22"/>
          <w:szCs w:val="22"/>
        </w:rPr>
        <w:t xml:space="preserve">In order to improve patient access and service delivery, the NHS Long Term Plan (NHS England, 2019) stated a commitment to growing digital services, such as remote consultations, electronic health records, and digital platforms. During the COVID-19 pandemic, digital healthcare became crucial for preserving continuity of treatment while minimising </w:t>
      </w:r>
      <w:r w:rsidR="00CB7D16">
        <w:rPr>
          <w:rStyle w:val="normaltextrun"/>
          <w:rFonts w:ascii="Arial" w:hAnsi="Arial" w:cs="Arial"/>
          <w:sz w:val="22"/>
          <w:szCs w:val="22"/>
        </w:rPr>
        <w:t>face-to-face</w:t>
      </w:r>
      <w:r w:rsidR="00CB7D16" w:rsidRPr="00CB7D16">
        <w:rPr>
          <w:rStyle w:val="normaltextrun"/>
          <w:rFonts w:ascii="Arial" w:hAnsi="Arial" w:cs="Arial"/>
          <w:sz w:val="22"/>
          <w:szCs w:val="22"/>
        </w:rPr>
        <w:t xml:space="preserve"> interactions, which greatly hastened this shift (World Health Organi</w:t>
      </w:r>
      <w:r w:rsidR="00CB7D16">
        <w:rPr>
          <w:rStyle w:val="normaltextrun"/>
          <w:rFonts w:ascii="Arial" w:hAnsi="Arial" w:cs="Arial"/>
          <w:sz w:val="22"/>
          <w:szCs w:val="22"/>
        </w:rPr>
        <w:t>s</w:t>
      </w:r>
      <w:r w:rsidR="00CB7D16" w:rsidRPr="00CB7D16">
        <w:rPr>
          <w:rStyle w:val="normaltextrun"/>
          <w:rFonts w:ascii="Arial" w:hAnsi="Arial" w:cs="Arial"/>
          <w:sz w:val="22"/>
          <w:szCs w:val="22"/>
        </w:rPr>
        <w:t>ation, 2021).</w:t>
      </w:r>
      <w:r w:rsidR="00D21BEC">
        <w:rPr>
          <w:rStyle w:val="normaltextrun"/>
          <w:rFonts w:ascii="Arial" w:hAnsi="Arial" w:cs="Arial"/>
          <w:sz w:val="22"/>
          <w:szCs w:val="22"/>
        </w:rPr>
        <w:t xml:space="preserve"> </w:t>
      </w:r>
    </w:p>
    <w:p w14:paraId="7A854FA6" w14:textId="77777777" w:rsidR="00313E29" w:rsidRDefault="00313E29" w:rsidP="00F13F48">
      <w:pPr>
        <w:pStyle w:val="paragraph"/>
        <w:spacing w:before="0" w:beforeAutospacing="0" w:after="0" w:afterAutospacing="0" w:line="360" w:lineRule="auto"/>
        <w:textAlignment w:val="baseline"/>
        <w:rPr>
          <w:rStyle w:val="normaltextrun"/>
          <w:rFonts w:ascii="Arial" w:hAnsi="Arial" w:cs="Arial"/>
          <w:sz w:val="22"/>
          <w:szCs w:val="22"/>
        </w:rPr>
      </w:pPr>
    </w:p>
    <w:p w14:paraId="17455C65" w14:textId="0E7D5C46" w:rsidR="00620507" w:rsidRPr="00C77D77" w:rsidRDefault="00193745" w:rsidP="00620507">
      <w:pPr>
        <w:pStyle w:val="paragraph"/>
        <w:spacing w:before="0" w:beforeAutospacing="0" w:after="0" w:afterAutospacing="0" w:line="360" w:lineRule="auto"/>
        <w:textAlignment w:val="baseline"/>
        <w:rPr>
          <w:rStyle w:val="normaltextrun"/>
          <w:rFonts w:ascii="Arial" w:hAnsi="Arial" w:cs="Arial"/>
          <w:sz w:val="22"/>
          <w:szCs w:val="22"/>
        </w:rPr>
      </w:pPr>
      <w:r w:rsidRPr="00193745">
        <w:rPr>
          <w:rStyle w:val="normaltextrun"/>
          <w:rFonts w:ascii="Arial" w:hAnsi="Arial" w:cs="Arial"/>
          <w:sz w:val="22"/>
          <w:szCs w:val="22"/>
        </w:rPr>
        <w:t xml:space="preserve">Despite the fact that digital health has many advantages, research indicates that not everyone benefits equally from it. Due to a number of variables, including decreased digital literacy, less confidence while using technology, financial limitations, and age-related physical or cognitive impairments, older </w:t>
      </w:r>
      <w:r>
        <w:rPr>
          <w:rStyle w:val="normaltextrun"/>
          <w:rFonts w:ascii="Arial" w:hAnsi="Arial" w:cs="Arial"/>
          <w:sz w:val="22"/>
          <w:szCs w:val="22"/>
        </w:rPr>
        <w:t>individuals</w:t>
      </w:r>
      <w:r w:rsidRPr="00193745">
        <w:rPr>
          <w:rStyle w:val="normaltextrun"/>
          <w:rFonts w:ascii="Arial" w:hAnsi="Arial" w:cs="Arial"/>
          <w:sz w:val="22"/>
          <w:szCs w:val="22"/>
        </w:rPr>
        <w:t xml:space="preserve"> continue to be more vulnerable to digital exclusion (</w:t>
      </w:r>
      <w:proofErr w:type="spellStart"/>
      <w:r w:rsidRPr="00193745">
        <w:rPr>
          <w:rStyle w:val="normaltextrun"/>
          <w:rFonts w:ascii="Arial" w:hAnsi="Arial" w:cs="Arial"/>
          <w:sz w:val="22"/>
          <w:szCs w:val="22"/>
        </w:rPr>
        <w:t>Kunonga</w:t>
      </w:r>
      <w:proofErr w:type="spellEnd"/>
      <w:r w:rsidRPr="00193745">
        <w:rPr>
          <w:rStyle w:val="normaltextrun"/>
          <w:rFonts w:ascii="Arial" w:hAnsi="Arial" w:cs="Arial"/>
          <w:sz w:val="22"/>
          <w:szCs w:val="22"/>
        </w:rPr>
        <w:t xml:space="preserve"> et al., 2021; De Santis et al., 2023).</w:t>
      </w:r>
      <w:r w:rsidR="00313E29">
        <w:rPr>
          <w:rStyle w:val="normaltextrun"/>
          <w:rFonts w:ascii="Arial" w:hAnsi="Arial" w:cs="Arial"/>
          <w:sz w:val="22"/>
          <w:szCs w:val="22"/>
        </w:rPr>
        <w:t xml:space="preserve"> As the UK’s population continues to </w:t>
      </w:r>
      <w:r w:rsidR="00FE5DFC">
        <w:rPr>
          <w:rStyle w:val="normaltextrun"/>
          <w:rFonts w:ascii="Arial" w:hAnsi="Arial" w:cs="Arial"/>
          <w:sz w:val="22"/>
          <w:szCs w:val="22"/>
        </w:rPr>
        <w:t xml:space="preserve">age, ensuring fair access to digital healthcare has become an important public health priority. </w:t>
      </w:r>
      <w:r w:rsidR="00623D21">
        <w:rPr>
          <w:rStyle w:val="normaltextrun"/>
          <w:rFonts w:ascii="Arial" w:hAnsi="Arial" w:cs="Arial"/>
          <w:sz w:val="22"/>
          <w:szCs w:val="22"/>
        </w:rPr>
        <w:t>Concerns have been raised by national organisations, such as Age UK (2024), that if the requirements of older in</w:t>
      </w:r>
      <w:r w:rsidR="002B1801">
        <w:rPr>
          <w:rStyle w:val="normaltextrun"/>
          <w:rFonts w:ascii="Arial" w:hAnsi="Arial" w:cs="Arial"/>
          <w:sz w:val="22"/>
          <w:szCs w:val="22"/>
        </w:rPr>
        <w:t xml:space="preserve">dividuals are not sufficiently met, </w:t>
      </w:r>
      <w:r w:rsidR="00085BC6" w:rsidRPr="00085BC6">
        <w:rPr>
          <w:rStyle w:val="normaltextrun"/>
          <w:rFonts w:ascii="Arial" w:hAnsi="Arial" w:cs="Arial"/>
          <w:sz w:val="22"/>
          <w:szCs w:val="22"/>
        </w:rPr>
        <w:t xml:space="preserve">a greater reliance on digital services may inadvertently increase already-existing health disparities. In order to inform </w:t>
      </w:r>
      <w:r w:rsidR="00085BC6" w:rsidRPr="00085BC6">
        <w:rPr>
          <w:rStyle w:val="normaltextrun"/>
          <w:rFonts w:ascii="Arial" w:hAnsi="Arial" w:cs="Arial"/>
          <w:sz w:val="22"/>
          <w:szCs w:val="22"/>
        </w:rPr>
        <w:lastRenderedPageBreak/>
        <w:t>inclusive healthcare policy and practice, it is crucial to comprehend the obstacles that impact access to digital health services.</w:t>
      </w:r>
    </w:p>
    <w:p w14:paraId="75E17D56" w14:textId="7A49AB4A" w:rsidR="00BD2909" w:rsidRDefault="00BD2909" w:rsidP="00620507">
      <w:pPr>
        <w:pStyle w:val="paragraph"/>
        <w:spacing w:before="0" w:beforeAutospacing="0" w:after="0" w:afterAutospacing="0" w:line="360" w:lineRule="auto"/>
        <w:textAlignment w:val="baseline"/>
        <w:rPr>
          <w:rStyle w:val="normaltextrun"/>
          <w:rFonts w:ascii="Aptos" w:hAnsi="Aptos" w:cs="Arial"/>
          <w:b/>
          <w:bCs/>
          <w:sz w:val="22"/>
          <w:szCs w:val="22"/>
        </w:rPr>
      </w:pPr>
    </w:p>
    <w:p w14:paraId="3ABFFA9B" w14:textId="77777777" w:rsidR="00C77D77" w:rsidRPr="00BD2909" w:rsidRDefault="00C77D77" w:rsidP="00620507">
      <w:pPr>
        <w:pStyle w:val="paragraph"/>
        <w:spacing w:before="0" w:beforeAutospacing="0" w:after="0" w:afterAutospacing="0" w:line="360" w:lineRule="auto"/>
        <w:textAlignment w:val="baseline"/>
        <w:rPr>
          <w:rFonts w:ascii="Aptos" w:hAnsi="Aptos" w:cs="Segoe UI"/>
          <w:sz w:val="16"/>
          <w:szCs w:val="16"/>
        </w:rPr>
      </w:pPr>
    </w:p>
    <w:p w14:paraId="669241A7" w14:textId="397CF92D" w:rsidR="00BD2909" w:rsidRPr="00BD2909" w:rsidRDefault="00BD2909" w:rsidP="00BD2909">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 xml:space="preserve">1.4 </w:t>
      </w:r>
      <w:r w:rsidR="0020590F" w:rsidRPr="0020590F">
        <w:rPr>
          <w:rStyle w:val="eop"/>
          <w:rFonts w:ascii="Aptos" w:hAnsi="Aptos" w:cs="Arial"/>
          <w:color w:val="0F4761"/>
        </w:rPr>
        <w:t xml:space="preserve">Rationale for Research </w:t>
      </w:r>
    </w:p>
    <w:p w14:paraId="4EE06921" w14:textId="77777777" w:rsidR="00F420DF" w:rsidRDefault="00F420DF" w:rsidP="00BD2909">
      <w:pPr>
        <w:pStyle w:val="paragraph"/>
        <w:spacing w:before="0" w:beforeAutospacing="0" w:after="0" w:afterAutospacing="0" w:line="360" w:lineRule="auto"/>
        <w:textAlignment w:val="baseline"/>
        <w:rPr>
          <w:rStyle w:val="normaltextrun"/>
          <w:rFonts w:ascii="Aptos" w:hAnsi="Aptos" w:cs="Arial"/>
          <w:b/>
          <w:bCs/>
          <w:sz w:val="22"/>
          <w:szCs w:val="22"/>
        </w:rPr>
      </w:pPr>
    </w:p>
    <w:p w14:paraId="13874F36" w14:textId="1B0CDE04" w:rsidR="00F420DF" w:rsidRPr="00F420DF" w:rsidRDefault="00566DA5" w:rsidP="00F420DF">
      <w:pPr>
        <w:pStyle w:val="paragraph"/>
        <w:spacing w:before="0" w:beforeAutospacing="0" w:after="0" w:afterAutospacing="0" w:line="360" w:lineRule="auto"/>
        <w:textAlignment w:val="baseline"/>
        <w:rPr>
          <w:rStyle w:val="normaltextrun"/>
          <w:rFonts w:ascii="Arial" w:hAnsi="Arial" w:cs="Arial"/>
          <w:sz w:val="22"/>
          <w:szCs w:val="22"/>
        </w:rPr>
      </w:pPr>
      <w:r w:rsidRPr="00566DA5">
        <w:rPr>
          <w:rStyle w:val="normaltextrun"/>
          <w:rFonts w:ascii="Arial" w:hAnsi="Arial" w:cs="Arial"/>
          <w:sz w:val="22"/>
          <w:szCs w:val="22"/>
        </w:rPr>
        <w:t>The increasing digitalisation of healthcare has transformed how patients access NHS services; however, initial evidence suggests that not all population groups have benefited equally from this transition.</w:t>
      </w:r>
      <w:r>
        <w:rPr>
          <w:rStyle w:val="normaltextrun"/>
          <w:rFonts w:ascii="Arial" w:hAnsi="Arial" w:cs="Arial"/>
          <w:sz w:val="22"/>
          <w:szCs w:val="22"/>
        </w:rPr>
        <w:t xml:space="preserve"> </w:t>
      </w:r>
      <w:r w:rsidR="00BD6BAD" w:rsidRPr="00BD6BAD">
        <w:rPr>
          <w:rStyle w:val="normaltextrun"/>
          <w:rFonts w:ascii="Arial" w:hAnsi="Arial" w:cs="Arial"/>
          <w:sz w:val="22"/>
          <w:szCs w:val="22"/>
        </w:rPr>
        <w:t xml:space="preserve">Although earlier research has found obstacles to older </w:t>
      </w:r>
      <w:r w:rsidR="001C5D45">
        <w:rPr>
          <w:rStyle w:val="normaltextrun"/>
          <w:rFonts w:ascii="Arial" w:hAnsi="Arial" w:cs="Arial"/>
          <w:sz w:val="22"/>
          <w:szCs w:val="22"/>
        </w:rPr>
        <w:t>individuals’</w:t>
      </w:r>
      <w:r w:rsidR="00BD6BAD" w:rsidRPr="00BD6BAD">
        <w:rPr>
          <w:rStyle w:val="normaltextrun"/>
          <w:rFonts w:ascii="Arial" w:hAnsi="Arial" w:cs="Arial"/>
          <w:sz w:val="22"/>
          <w:szCs w:val="22"/>
        </w:rPr>
        <w:t xml:space="preserve"> adoption of digital health, the evidence is still dispersed, with differences in the barriers examined, study populations, and healthcare settings (</w:t>
      </w:r>
      <w:proofErr w:type="spellStart"/>
      <w:r w:rsidR="00BD6BAD" w:rsidRPr="00BD6BAD">
        <w:rPr>
          <w:rStyle w:val="normaltextrun"/>
          <w:rFonts w:ascii="Arial" w:hAnsi="Arial" w:cs="Arial"/>
          <w:sz w:val="22"/>
          <w:szCs w:val="22"/>
        </w:rPr>
        <w:t>Kunonga</w:t>
      </w:r>
      <w:proofErr w:type="spellEnd"/>
      <w:r w:rsidR="00BD6BAD" w:rsidRPr="00BD6BAD">
        <w:rPr>
          <w:rStyle w:val="normaltextrun"/>
          <w:rFonts w:ascii="Arial" w:hAnsi="Arial" w:cs="Arial"/>
          <w:sz w:val="22"/>
          <w:szCs w:val="22"/>
        </w:rPr>
        <w:t xml:space="preserve"> et al., 2021; Hepburn et al., 2025).</w:t>
      </w:r>
      <w:r w:rsidR="001C5D45">
        <w:rPr>
          <w:rStyle w:val="normaltextrun"/>
          <w:rFonts w:ascii="Arial" w:hAnsi="Arial" w:cs="Arial"/>
          <w:sz w:val="22"/>
          <w:szCs w:val="22"/>
        </w:rPr>
        <w:t xml:space="preserve"> </w:t>
      </w:r>
      <w:r w:rsidR="00823090">
        <w:rPr>
          <w:rStyle w:val="normaltextrun"/>
          <w:rFonts w:ascii="Arial" w:hAnsi="Arial" w:cs="Arial"/>
          <w:sz w:val="22"/>
          <w:szCs w:val="22"/>
        </w:rPr>
        <w:t xml:space="preserve">Consequently, </w:t>
      </w:r>
      <w:r w:rsidR="006F5239">
        <w:rPr>
          <w:rStyle w:val="normaltextrun"/>
          <w:rFonts w:ascii="Arial" w:hAnsi="Arial" w:cs="Arial"/>
          <w:sz w:val="22"/>
          <w:szCs w:val="22"/>
        </w:rPr>
        <w:t>there remains a need to synthesise current evidence to have a better</w:t>
      </w:r>
      <w:r w:rsidR="008551DA">
        <w:rPr>
          <w:rStyle w:val="normaltextrun"/>
          <w:rFonts w:ascii="Arial" w:hAnsi="Arial" w:cs="Arial"/>
          <w:sz w:val="22"/>
          <w:szCs w:val="22"/>
        </w:rPr>
        <w:t xml:space="preserve"> understanding of the principal factors limiting older individuals’ access to digital health services within the United Kingdom.</w:t>
      </w:r>
      <w:r w:rsidR="00DA30B9">
        <w:rPr>
          <w:rStyle w:val="normaltextrun"/>
          <w:rFonts w:ascii="Arial" w:hAnsi="Arial" w:cs="Arial"/>
          <w:sz w:val="22"/>
          <w:szCs w:val="22"/>
        </w:rPr>
        <w:t xml:space="preserve"> </w:t>
      </w:r>
      <w:r w:rsidR="00DA30B9" w:rsidRPr="00DA30B9">
        <w:rPr>
          <w:rStyle w:val="normaltextrun"/>
          <w:rFonts w:ascii="Arial" w:hAnsi="Arial" w:cs="Arial"/>
          <w:sz w:val="22"/>
          <w:szCs w:val="22"/>
        </w:rPr>
        <w:t xml:space="preserve">The elderly population and growing reliance on digital healthcare make this research more pertinent. By identifying obstacles that call for focused actions to enhance digital inclusion and lessen health disparities, the findings may help healthcare professionals, service providers, and legislators. </w:t>
      </w:r>
    </w:p>
    <w:p w14:paraId="0931B309" w14:textId="77777777" w:rsidR="00F420DF" w:rsidRDefault="00F420DF" w:rsidP="00BD2909">
      <w:pPr>
        <w:pStyle w:val="paragraph"/>
        <w:spacing w:before="0" w:beforeAutospacing="0" w:after="0" w:afterAutospacing="0" w:line="360" w:lineRule="auto"/>
        <w:textAlignment w:val="baseline"/>
        <w:rPr>
          <w:rStyle w:val="normaltextrun"/>
          <w:rFonts w:ascii="Aptos" w:hAnsi="Aptos" w:cs="Arial"/>
          <w:b/>
          <w:bCs/>
          <w:sz w:val="22"/>
          <w:szCs w:val="22"/>
        </w:rPr>
      </w:pPr>
    </w:p>
    <w:p w14:paraId="1D051BDF" w14:textId="77777777" w:rsidR="00F420DF" w:rsidRDefault="00F420DF" w:rsidP="00BD2909">
      <w:pPr>
        <w:pStyle w:val="paragraph"/>
        <w:spacing w:before="0" w:beforeAutospacing="0" w:after="0" w:afterAutospacing="0" w:line="360" w:lineRule="auto"/>
        <w:textAlignment w:val="baseline"/>
        <w:rPr>
          <w:rStyle w:val="normaltextrun"/>
          <w:rFonts w:ascii="Aptos" w:hAnsi="Aptos" w:cs="Arial"/>
          <w:b/>
          <w:bCs/>
          <w:sz w:val="22"/>
          <w:szCs w:val="22"/>
        </w:rPr>
      </w:pPr>
    </w:p>
    <w:p w14:paraId="0961E243" w14:textId="77777777" w:rsidR="00F420DF" w:rsidRDefault="00F420DF" w:rsidP="00BD2909">
      <w:pPr>
        <w:pStyle w:val="paragraph"/>
        <w:spacing w:before="0" w:beforeAutospacing="0" w:after="0" w:afterAutospacing="0" w:line="360" w:lineRule="auto"/>
        <w:textAlignment w:val="baseline"/>
        <w:rPr>
          <w:rStyle w:val="normaltextrun"/>
          <w:rFonts w:ascii="Aptos" w:hAnsi="Aptos" w:cs="Arial"/>
          <w:b/>
          <w:bCs/>
          <w:sz w:val="22"/>
          <w:szCs w:val="22"/>
        </w:rPr>
      </w:pPr>
    </w:p>
    <w:p w14:paraId="4FCBBEC2" w14:textId="0D8D9174" w:rsidR="00BD2909" w:rsidRPr="00BD2909" w:rsidRDefault="00BD2909" w:rsidP="00BD2909">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 xml:space="preserve">1.5 </w:t>
      </w:r>
      <w:r w:rsidR="00117750" w:rsidRPr="00117750">
        <w:rPr>
          <w:rStyle w:val="eop"/>
          <w:rFonts w:ascii="Aptos" w:hAnsi="Aptos" w:cs="Arial"/>
          <w:color w:val="0F4761"/>
        </w:rPr>
        <w:t xml:space="preserve">Aim and Objectives </w:t>
      </w:r>
    </w:p>
    <w:p w14:paraId="69D56E51" w14:textId="77777777" w:rsidR="00486126" w:rsidRDefault="00486126" w:rsidP="00117750">
      <w:pPr>
        <w:pStyle w:val="paragraph"/>
        <w:tabs>
          <w:tab w:val="num" w:pos="0"/>
        </w:tabs>
        <w:spacing w:before="0" w:beforeAutospacing="0" w:after="0" w:afterAutospacing="0" w:line="360" w:lineRule="auto"/>
        <w:textAlignment w:val="baseline"/>
        <w:rPr>
          <w:rStyle w:val="normaltextrun"/>
          <w:rFonts w:ascii="Aptos" w:hAnsi="Aptos" w:cs="Arial"/>
          <w:b/>
          <w:bCs/>
          <w:sz w:val="22"/>
          <w:szCs w:val="22"/>
        </w:rPr>
      </w:pPr>
    </w:p>
    <w:p w14:paraId="6634685D" w14:textId="0F2E2BF4" w:rsidR="002D6736" w:rsidRDefault="00A35C20" w:rsidP="00A35C20">
      <w:pPr>
        <w:pStyle w:val="paragraph"/>
        <w:tabs>
          <w:tab w:val="num" w:pos="0"/>
        </w:tabs>
        <w:spacing w:before="0" w:beforeAutospacing="0" w:after="0" w:afterAutospacing="0" w:line="360" w:lineRule="auto"/>
        <w:textAlignment w:val="baseline"/>
        <w:rPr>
          <w:rStyle w:val="normaltextrun"/>
          <w:rFonts w:ascii="Arial" w:hAnsi="Arial" w:cs="Arial"/>
          <w:sz w:val="22"/>
          <w:szCs w:val="22"/>
        </w:rPr>
      </w:pPr>
      <w:r>
        <w:rPr>
          <w:rStyle w:val="normaltextrun"/>
          <w:rFonts w:ascii="Arial" w:hAnsi="Arial" w:cs="Arial"/>
          <w:sz w:val="22"/>
          <w:szCs w:val="22"/>
        </w:rPr>
        <w:t xml:space="preserve">The aim of </w:t>
      </w:r>
      <w:r w:rsidR="00780A33">
        <w:rPr>
          <w:rStyle w:val="normaltextrun"/>
          <w:rFonts w:ascii="Arial" w:hAnsi="Arial" w:cs="Arial"/>
          <w:sz w:val="22"/>
          <w:szCs w:val="22"/>
        </w:rPr>
        <w:t xml:space="preserve">this dissertation is to </w:t>
      </w:r>
      <w:r w:rsidR="00780A33" w:rsidRPr="00780A33">
        <w:rPr>
          <w:rStyle w:val="normaltextrun"/>
          <w:rFonts w:ascii="Arial" w:hAnsi="Arial" w:cs="Arial"/>
          <w:sz w:val="22"/>
          <w:szCs w:val="22"/>
        </w:rPr>
        <w:t xml:space="preserve">critically explore the barriers affecting older </w:t>
      </w:r>
      <w:r w:rsidR="00780A33">
        <w:rPr>
          <w:rStyle w:val="normaltextrun"/>
          <w:rFonts w:ascii="Arial" w:hAnsi="Arial" w:cs="Arial"/>
          <w:sz w:val="22"/>
          <w:szCs w:val="22"/>
        </w:rPr>
        <w:t>individuals</w:t>
      </w:r>
      <w:r w:rsidR="00780A33" w:rsidRPr="00780A33">
        <w:rPr>
          <w:rStyle w:val="normaltextrun"/>
          <w:rFonts w:ascii="Arial" w:hAnsi="Arial" w:cs="Arial"/>
          <w:sz w:val="22"/>
          <w:szCs w:val="22"/>
        </w:rPr>
        <w:t xml:space="preserve"> access to digital health services in the United Kingdom through a secondary review of contemporary literature, in order to identify the factors contributing to digital exclusion and their implications for equitable healthcare delivery.</w:t>
      </w:r>
    </w:p>
    <w:p w14:paraId="6183CDC7" w14:textId="0F29CBFB" w:rsidR="002D6736" w:rsidRDefault="002D6736">
      <w:pPr>
        <w:pStyle w:val="paragraph"/>
        <w:numPr>
          <w:ilvl w:val="0"/>
          <w:numId w:val="3"/>
        </w:numPr>
        <w:tabs>
          <w:tab w:val="num" w:pos="0"/>
        </w:tabs>
        <w:spacing w:before="0" w:beforeAutospacing="0" w:after="0" w:afterAutospacing="0" w:line="360" w:lineRule="auto"/>
        <w:textAlignment w:val="baseline"/>
        <w:rPr>
          <w:rStyle w:val="normaltextrun"/>
          <w:rFonts w:ascii="Arial" w:hAnsi="Arial" w:cs="Arial"/>
          <w:sz w:val="22"/>
          <w:szCs w:val="22"/>
        </w:rPr>
      </w:pPr>
      <w:r>
        <w:rPr>
          <w:rStyle w:val="normaltextrun"/>
          <w:rFonts w:ascii="Arial" w:hAnsi="Arial" w:cs="Arial"/>
          <w:sz w:val="22"/>
          <w:szCs w:val="22"/>
        </w:rPr>
        <w:t xml:space="preserve">Objective 1: </w:t>
      </w:r>
      <w:r w:rsidR="0094608A">
        <w:rPr>
          <w:rStyle w:val="normaltextrun"/>
          <w:rFonts w:ascii="Arial" w:hAnsi="Arial" w:cs="Arial"/>
          <w:sz w:val="22"/>
          <w:szCs w:val="22"/>
        </w:rPr>
        <w:t>To define digital health and examine the development of digital health services within the United Kingdom healthcare system.</w:t>
      </w:r>
    </w:p>
    <w:p w14:paraId="1FE217DA" w14:textId="77777777" w:rsidR="00DF069F" w:rsidRDefault="0094608A">
      <w:pPr>
        <w:pStyle w:val="paragraph"/>
        <w:numPr>
          <w:ilvl w:val="0"/>
          <w:numId w:val="3"/>
        </w:numPr>
        <w:tabs>
          <w:tab w:val="num" w:pos="0"/>
        </w:tabs>
        <w:spacing w:before="0" w:beforeAutospacing="0" w:after="0" w:afterAutospacing="0" w:line="360" w:lineRule="auto"/>
        <w:textAlignment w:val="baseline"/>
        <w:rPr>
          <w:rStyle w:val="normaltextrun"/>
          <w:rFonts w:ascii="Arial" w:hAnsi="Arial" w:cs="Arial"/>
          <w:sz w:val="22"/>
          <w:szCs w:val="22"/>
        </w:rPr>
      </w:pPr>
      <w:r>
        <w:rPr>
          <w:rStyle w:val="normaltextrun"/>
          <w:rFonts w:ascii="Arial" w:hAnsi="Arial" w:cs="Arial"/>
          <w:sz w:val="22"/>
          <w:szCs w:val="22"/>
        </w:rPr>
        <w:t xml:space="preserve">Objective 2: Examine recent research on the obstacles preventing older individuals in the United Kingdom from accessing digital health services. </w:t>
      </w:r>
    </w:p>
    <w:p w14:paraId="10ED77EB" w14:textId="0B380F6E" w:rsidR="0094608A" w:rsidRDefault="0094608A">
      <w:pPr>
        <w:pStyle w:val="paragraph"/>
        <w:numPr>
          <w:ilvl w:val="0"/>
          <w:numId w:val="3"/>
        </w:numPr>
        <w:tabs>
          <w:tab w:val="num" w:pos="0"/>
        </w:tabs>
        <w:spacing w:before="0" w:beforeAutospacing="0" w:after="0" w:afterAutospacing="0" w:line="360" w:lineRule="auto"/>
        <w:textAlignment w:val="baseline"/>
        <w:rPr>
          <w:rStyle w:val="normaltextrun"/>
          <w:rFonts w:ascii="Arial" w:hAnsi="Arial" w:cs="Arial"/>
          <w:sz w:val="22"/>
          <w:szCs w:val="22"/>
        </w:rPr>
      </w:pPr>
      <w:r w:rsidRPr="00DF069F">
        <w:rPr>
          <w:rStyle w:val="normaltextrun"/>
          <w:rFonts w:ascii="Arial" w:hAnsi="Arial" w:cs="Arial"/>
          <w:sz w:val="22"/>
          <w:szCs w:val="22"/>
        </w:rPr>
        <w:t xml:space="preserve">Objective 3: </w:t>
      </w:r>
      <w:r w:rsidR="00DF069F" w:rsidRPr="00DF069F">
        <w:rPr>
          <w:rStyle w:val="normaltextrun"/>
          <w:rFonts w:ascii="Arial" w:hAnsi="Arial" w:cs="Arial"/>
          <w:sz w:val="22"/>
          <w:szCs w:val="22"/>
        </w:rPr>
        <w:t xml:space="preserve">To evaluate the results using thematic analysis </w:t>
      </w:r>
      <w:r w:rsidR="00DF069F">
        <w:rPr>
          <w:rStyle w:val="normaltextrun"/>
          <w:rFonts w:ascii="Arial" w:hAnsi="Arial" w:cs="Arial"/>
          <w:sz w:val="22"/>
          <w:szCs w:val="22"/>
        </w:rPr>
        <w:t>to pinpoint the main causes</w:t>
      </w:r>
      <w:r w:rsidR="009659CB">
        <w:rPr>
          <w:rStyle w:val="normaltextrun"/>
          <w:rFonts w:ascii="Arial" w:hAnsi="Arial" w:cs="Arial"/>
          <w:sz w:val="22"/>
          <w:szCs w:val="22"/>
        </w:rPr>
        <w:t xml:space="preserve"> contributing to digital exclusion and health inequalities among older individuals. </w:t>
      </w:r>
    </w:p>
    <w:p w14:paraId="74357CB4" w14:textId="7EBCAD7B" w:rsidR="0003029F" w:rsidRPr="00A84CD0" w:rsidRDefault="006F2BF4">
      <w:pPr>
        <w:pStyle w:val="paragraph"/>
        <w:numPr>
          <w:ilvl w:val="0"/>
          <w:numId w:val="3"/>
        </w:numPr>
        <w:tabs>
          <w:tab w:val="num" w:pos="0"/>
        </w:tabs>
        <w:spacing w:before="0" w:beforeAutospacing="0" w:after="0" w:afterAutospacing="0" w:line="360" w:lineRule="auto"/>
        <w:textAlignment w:val="baseline"/>
        <w:rPr>
          <w:rStyle w:val="normaltextrun"/>
          <w:rFonts w:ascii="Arial" w:hAnsi="Arial" w:cs="Arial"/>
          <w:sz w:val="22"/>
          <w:szCs w:val="22"/>
        </w:rPr>
      </w:pPr>
      <w:r>
        <w:rPr>
          <w:rStyle w:val="normaltextrun"/>
          <w:rFonts w:ascii="Arial" w:hAnsi="Arial" w:cs="Arial"/>
          <w:sz w:val="22"/>
          <w:szCs w:val="22"/>
        </w:rPr>
        <w:t xml:space="preserve">Objective 4: To </w:t>
      </w:r>
      <w:r w:rsidR="001C0C96">
        <w:rPr>
          <w:rStyle w:val="normaltextrun"/>
          <w:rFonts w:ascii="Arial" w:hAnsi="Arial" w:cs="Arial"/>
          <w:sz w:val="22"/>
          <w:szCs w:val="22"/>
        </w:rPr>
        <w:t>propose</w:t>
      </w:r>
      <w:r>
        <w:rPr>
          <w:rStyle w:val="normaltextrun"/>
          <w:rFonts w:ascii="Arial" w:hAnsi="Arial" w:cs="Arial"/>
          <w:sz w:val="22"/>
          <w:szCs w:val="22"/>
        </w:rPr>
        <w:t xml:space="preserve"> evidence-based</w:t>
      </w:r>
      <w:r w:rsidR="00306C79">
        <w:rPr>
          <w:rStyle w:val="normaltextrun"/>
          <w:rFonts w:ascii="Arial" w:hAnsi="Arial" w:cs="Arial"/>
          <w:sz w:val="22"/>
          <w:szCs w:val="22"/>
        </w:rPr>
        <w:t xml:space="preserve"> </w:t>
      </w:r>
      <w:r w:rsidR="001C0C96">
        <w:rPr>
          <w:rStyle w:val="normaltextrun"/>
          <w:rFonts w:ascii="Arial" w:hAnsi="Arial" w:cs="Arial"/>
          <w:sz w:val="22"/>
          <w:szCs w:val="22"/>
        </w:rPr>
        <w:t>approaches</w:t>
      </w:r>
      <w:r w:rsidR="00306C79">
        <w:rPr>
          <w:rStyle w:val="normaltextrun"/>
          <w:rFonts w:ascii="Arial" w:hAnsi="Arial" w:cs="Arial"/>
          <w:sz w:val="22"/>
          <w:szCs w:val="22"/>
        </w:rPr>
        <w:t xml:space="preserve"> to improve digital inclusion and inform fu</w:t>
      </w:r>
      <w:r w:rsidR="001C0C96">
        <w:rPr>
          <w:rStyle w:val="normaltextrun"/>
          <w:rFonts w:ascii="Arial" w:hAnsi="Arial" w:cs="Arial"/>
          <w:sz w:val="22"/>
          <w:szCs w:val="22"/>
        </w:rPr>
        <w:t>ture healthcare practice, policy and research relating to older individuals’ access to digital health services</w:t>
      </w:r>
      <w:r w:rsidR="00A84CD0">
        <w:rPr>
          <w:rStyle w:val="normaltextrun"/>
          <w:rFonts w:ascii="Arial" w:hAnsi="Arial" w:cs="Arial"/>
          <w:sz w:val="22"/>
          <w:szCs w:val="22"/>
        </w:rPr>
        <w:t xml:space="preserve">. </w:t>
      </w:r>
    </w:p>
    <w:p w14:paraId="24E01749" w14:textId="7549B9D8" w:rsidR="00132767" w:rsidRPr="00132767" w:rsidRDefault="00CA6D49" w:rsidP="008D3557">
      <w:pPr>
        <w:rPr>
          <w:rFonts w:ascii="Arial" w:hAnsi="Arial" w:cs="Arial"/>
        </w:rPr>
      </w:pPr>
      <w:r>
        <w:rPr>
          <w:rFonts w:ascii="Arial" w:hAnsi="Arial" w:cs="Arial"/>
        </w:rPr>
        <w:lastRenderedPageBreak/>
        <w:t xml:space="preserve">This chapter has introduced the topic by describing </w:t>
      </w:r>
      <w:r w:rsidR="008D3557" w:rsidRPr="008D3557">
        <w:rPr>
          <w:rFonts w:ascii="Arial" w:hAnsi="Arial" w:cs="Arial"/>
        </w:rPr>
        <w:t xml:space="preserve">the expanding significance of digital health </w:t>
      </w:r>
      <w:r w:rsidR="008D3557">
        <w:rPr>
          <w:rFonts w:ascii="Arial" w:hAnsi="Arial" w:cs="Arial"/>
        </w:rPr>
        <w:t xml:space="preserve">within the UK healthcare system and articulating the fundamental ideas guiding the investigation. </w:t>
      </w:r>
      <w:r w:rsidR="00DA70B8">
        <w:rPr>
          <w:rFonts w:ascii="Arial" w:hAnsi="Arial" w:cs="Arial"/>
        </w:rPr>
        <w:t>The chapter</w:t>
      </w:r>
      <w:r w:rsidR="00DA70B8" w:rsidRPr="00DA70B8">
        <w:rPr>
          <w:rFonts w:ascii="Arial" w:hAnsi="Arial" w:cs="Arial"/>
        </w:rPr>
        <w:t xml:space="preserve"> has provided the background and current context, recognised the rationale for exploring barriers to digital health access among older adults, and presented the research aim and objectives.</w:t>
      </w:r>
      <w:r w:rsidR="00DA70B8">
        <w:rPr>
          <w:rFonts w:ascii="Arial" w:hAnsi="Arial" w:cs="Arial"/>
        </w:rPr>
        <w:t xml:space="preserve"> </w:t>
      </w:r>
      <w:r w:rsidR="00C65BD5">
        <w:rPr>
          <w:rFonts w:ascii="Arial" w:hAnsi="Arial" w:cs="Arial"/>
        </w:rPr>
        <w:t xml:space="preserve">Collectively, these components show how essential it is to comprehend digital </w:t>
      </w:r>
      <w:r w:rsidR="008D79A8">
        <w:rPr>
          <w:rFonts w:ascii="Arial" w:hAnsi="Arial" w:cs="Arial"/>
        </w:rPr>
        <w:t>exclusion</w:t>
      </w:r>
      <w:r w:rsidR="00C65BD5">
        <w:rPr>
          <w:rFonts w:ascii="Arial" w:hAnsi="Arial" w:cs="Arial"/>
        </w:rPr>
        <w:t xml:space="preserve"> </w:t>
      </w:r>
      <w:r w:rsidR="008D79A8">
        <w:rPr>
          <w:rFonts w:ascii="Arial" w:hAnsi="Arial" w:cs="Arial"/>
        </w:rPr>
        <w:t xml:space="preserve">to support equitable healthcare delivery and reduce health inequalities. </w:t>
      </w:r>
    </w:p>
    <w:p w14:paraId="115C9163" w14:textId="77777777" w:rsidR="00730C3C" w:rsidRDefault="00730C3C"/>
    <w:p w14:paraId="1E1A58B1" w14:textId="77777777" w:rsidR="00804B94" w:rsidRDefault="00804B94"/>
    <w:p w14:paraId="70D44758" w14:textId="77777777" w:rsidR="00AC05F8" w:rsidRDefault="00AC05F8"/>
    <w:p w14:paraId="57A98260" w14:textId="77777777" w:rsidR="00DD344D" w:rsidRDefault="00DD344D" w:rsidP="000D0641">
      <w:pPr>
        <w:pStyle w:val="Heading1"/>
        <w:ind w:left="0"/>
        <w:rPr>
          <w:rFonts w:ascii="Aptos" w:hAnsi="Aptos"/>
        </w:rPr>
      </w:pPr>
    </w:p>
    <w:p w14:paraId="78985E89" w14:textId="77777777" w:rsidR="00DD344D" w:rsidRDefault="00DD344D" w:rsidP="000D0641">
      <w:pPr>
        <w:pStyle w:val="Heading1"/>
        <w:ind w:left="0"/>
        <w:rPr>
          <w:rFonts w:ascii="Aptos" w:hAnsi="Aptos"/>
        </w:rPr>
      </w:pPr>
    </w:p>
    <w:p w14:paraId="3BEE43C2" w14:textId="77777777" w:rsidR="00DD344D" w:rsidRDefault="00DD344D" w:rsidP="000D0641">
      <w:pPr>
        <w:pStyle w:val="Heading1"/>
        <w:ind w:left="0"/>
        <w:rPr>
          <w:rFonts w:ascii="Aptos" w:hAnsi="Aptos"/>
        </w:rPr>
      </w:pPr>
    </w:p>
    <w:p w14:paraId="24BFEDC8" w14:textId="77777777" w:rsidR="00DD344D" w:rsidRDefault="00DD344D" w:rsidP="000D0641">
      <w:pPr>
        <w:pStyle w:val="Heading1"/>
        <w:ind w:left="0"/>
        <w:rPr>
          <w:rFonts w:ascii="Aptos" w:hAnsi="Aptos"/>
        </w:rPr>
      </w:pPr>
    </w:p>
    <w:p w14:paraId="30FAC18C" w14:textId="77777777" w:rsidR="00DD344D" w:rsidRDefault="00DD344D" w:rsidP="000D0641">
      <w:pPr>
        <w:pStyle w:val="Heading1"/>
        <w:ind w:left="0"/>
        <w:rPr>
          <w:rFonts w:ascii="Aptos" w:hAnsi="Aptos"/>
        </w:rPr>
      </w:pPr>
    </w:p>
    <w:p w14:paraId="0F4B3D15" w14:textId="77777777" w:rsidR="00DD344D" w:rsidRDefault="00DD344D" w:rsidP="000D0641">
      <w:pPr>
        <w:pStyle w:val="Heading1"/>
        <w:ind w:left="0"/>
        <w:rPr>
          <w:rFonts w:ascii="Aptos" w:hAnsi="Aptos"/>
        </w:rPr>
      </w:pPr>
    </w:p>
    <w:p w14:paraId="5DAE3A40" w14:textId="77777777" w:rsidR="00DD344D" w:rsidRDefault="00DD344D" w:rsidP="000D0641">
      <w:pPr>
        <w:pStyle w:val="Heading1"/>
        <w:ind w:left="0"/>
        <w:rPr>
          <w:rFonts w:ascii="Aptos" w:hAnsi="Aptos"/>
        </w:rPr>
      </w:pPr>
    </w:p>
    <w:p w14:paraId="3FB12BF4" w14:textId="77777777" w:rsidR="00DD344D" w:rsidRDefault="00DD344D" w:rsidP="000D0641">
      <w:pPr>
        <w:pStyle w:val="Heading1"/>
        <w:ind w:left="0"/>
        <w:rPr>
          <w:rFonts w:ascii="Aptos" w:hAnsi="Aptos"/>
        </w:rPr>
      </w:pPr>
    </w:p>
    <w:p w14:paraId="35078C99" w14:textId="77777777" w:rsidR="00DD344D" w:rsidRDefault="00DD344D" w:rsidP="000D0641">
      <w:pPr>
        <w:pStyle w:val="Heading1"/>
        <w:ind w:left="0"/>
        <w:rPr>
          <w:rFonts w:ascii="Aptos" w:hAnsi="Aptos"/>
        </w:rPr>
      </w:pPr>
    </w:p>
    <w:p w14:paraId="6FF4F7A5" w14:textId="77777777" w:rsidR="00DD344D" w:rsidRDefault="00DD344D" w:rsidP="000D0641">
      <w:pPr>
        <w:pStyle w:val="Heading1"/>
        <w:ind w:left="0"/>
        <w:rPr>
          <w:rFonts w:ascii="Aptos" w:hAnsi="Aptos"/>
        </w:rPr>
      </w:pPr>
    </w:p>
    <w:p w14:paraId="1AC66D31" w14:textId="77777777" w:rsidR="00DD344D" w:rsidRDefault="00DD344D" w:rsidP="000D0641">
      <w:pPr>
        <w:pStyle w:val="Heading1"/>
        <w:ind w:left="0"/>
        <w:rPr>
          <w:rFonts w:ascii="Aptos" w:hAnsi="Aptos"/>
        </w:rPr>
      </w:pPr>
    </w:p>
    <w:p w14:paraId="2DBD7718" w14:textId="77777777" w:rsidR="007D277B" w:rsidRDefault="007D277B" w:rsidP="000D0641">
      <w:pPr>
        <w:pStyle w:val="Heading1"/>
        <w:ind w:left="0"/>
        <w:rPr>
          <w:rFonts w:ascii="Aptos" w:hAnsi="Aptos"/>
        </w:rPr>
      </w:pPr>
    </w:p>
    <w:p w14:paraId="70EDA36D" w14:textId="77777777" w:rsidR="007D277B" w:rsidRDefault="007D277B" w:rsidP="000D0641">
      <w:pPr>
        <w:pStyle w:val="Heading1"/>
        <w:ind w:left="0"/>
        <w:rPr>
          <w:rFonts w:ascii="Aptos" w:hAnsi="Aptos"/>
        </w:rPr>
      </w:pPr>
    </w:p>
    <w:p w14:paraId="05BFA46E" w14:textId="77777777" w:rsidR="007D277B" w:rsidRDefault="007D277B" w:rsidP="000D0641">
      <w:pPr>
        <w:pStyle w:val="Heading1"/>
        <w:ind w:left="0"/>
        <w:rPr>
          <w:rFonts w:ascii="Aptos" w:hAnsi="Aptos"/>
        </w:rPr>
      </w:pPr>
    </w:p>
    <w:p w14:paraId="276DF825" w14:textId="77777777" w:rsidR="007D277B" w:rsidRDefault="007D277B" w:rsidP="000D0641">
      <w:pPr>
        <w:pStyle w:val="Heading1"/>
        <w:ind w:left="0"/>
        <w:rPr>
          <w:rFonts w:ascii="Aptos" w:hAnsi="Aptos"/>
        </w:rPr>
      </w:pPr>
    </w:p>
    <w:p w14:paraId="53B0A454" w14:textId="77777777" w:rsidR="007D277B" w:rsidRDefault="007D277B" w:rsidP="000D0641">
      <w:pPr>
        <w:pStyle w:val="Heading1"/>
        <w:ind w:left="0"/>
        <w:rPr>
          <w:rFonts w:ascii="Aptos" w:hAnsi="Aptos"/>
        </w:rPr>
      </w:pPr>
    </w:p>
    <w:p w14:paraId="33331A73" w14:textId="77777777" w:rsidR="007D277B" w:rsidRDefault="007D277B" w:rsidP="000D0641">
      <w:pPr>
        <w:pStyle w:val="Heading1"/>
        <w:ind w:left="0"/>
        <w:rPr>
          <w:rFonts w:ascii="Aptos" w:hAnsi="Aptos"/>
        </w:rPr>
      </w:pPr>
    </w:p>
    <w:p w14:paraId="3DCF7D99" w14:textId="77777777" w:rsidR="007D277B" w:rsidRDefault="007D277B" w:rsidP="000D0641">
      <w:pPr>
        <w:pStyle w:val="Heading1"/>
        <w:ind w:left="0"/>
        <w:rPr>
          <w:rFonts w:ascii="Aptos" w:hAnsi="Aptos"/>
        </w:rPr>
      </w:pPr>
    </w:p>
    <w:p w14:paraId="420C0312" w14:textId="77777777" w:rsidR="007D277B" w:rsidRDefault="007D277B" w:rsidP="000D0641">
      <w:pPr>
        <w:pStyle w:val="Heading1"/>
        <w:ind w:left="0"/>
        <w:rPr>
          <w:rFonts w:ascii="Aptos" w:hAnsi="Aptos"/>
        </w:rPr>
      </w:pPr>
    </w:p>
    <w:p w14:paraId="32461368" w14:textId="77777777" w:rsidR="007D277B" w:rsidRDefault="007D277B" w:rsidP="000D0641">
      <w:pPr>
        <w:pStyle w:val="Heading1"/>
        <w:ind w:left="0"/>
        <w:rPr>
          <w:rFonts w:ascii="Aptos" w:hAnsi="Aptos"/>
        </w:rPr>
      </w:pPr>
    </w:p>
    <w:p w14:paraId="0DE80FFB" w14:textId="77777777" w:rsidR="007D277B" w:rsidRDefault="007D277B" w:rsidP="000D0641">
      <w:pPr>
        <w:pStyle w:val="Heading1"/>
        <w:ind w:left="0"/>
        <w:rPr>
          <w:rFonts w:ascii="Aptos" w:hAnsi="Aptos"/>
        </w:rPr>
      </w:pPr>
    </w:p>
    <w:p w14:paraId="65ECC109" w14:textId="77777777" w:rsidR="007D277B" w:rsidRDefault="007D277B" w:rsidP="000D0641">
      <w:pPr>
        <w:pStyle w:val="Heading1"/>
        <w:ind w:left="0"/>
        <w:rPr>
          <w:rFonts w:ascii="Aptos" w:hAnsi="Aptos"/>
        </w:rPr>
      </w:pPr>
    </w:p>
    <w:p w14:paraId="5E429047" w14:textId="77777777" w:rsidR="007D277B" w:rsidRDefault="007D277B" w:rsidP="000D0641">
      <w:pPr>
        <w:pStyle w:val="Heading1"/>
        <w:ind w:left="0"/>
        <w:rPr>
          <w:rFonts w:ascii="Aptos" w:hAnsi="Aptos"/>
        </w:rPr>
      </w:pPr>
    </w:p>
    <w:p w14:paraId="0860D3E9" w14:textId="77777777" w:rsidR="007D277B" w:rsidRDefault="007D277B" w:rsidP="000D0641">
      <w:pPr>
        <w:pStyle w:val="Heading1"/>
        <w:ind w:left="0"/>
        <w:rPr>
          <w:rFonts w:ascii="Aptos" w:hAnsi="Aptos"/>
        </w:rPr>
      </w:pPr>
    </w:p>
    <w:p w14:paraId="0BDA8E34" w14:textId="77777777" w:rsidR="007D277B" w:rsidRDefault="007D277B" w:rsidP="000D0641">
      <w:pPr>
        <w:pStyle w:val="Heading1"/>
        <w:ind w:left="0"/>
        <w:rPr>
          <w:rFonts w:ascii="Aptos" w:hAnsi="Aptos"/>
        </w:rPr>
      </w:pPr>
    </w:p>
    <w:p w14:paraId="33D4B98F" w14:textId="1AE7A84E" w:rsidR="000D0641" w:rsidRPr="000D0641" w:rsidRDefault="000D0641" w:rsidP="000D0641">
      <w:pPr>
        <w:pStyle w:val="Heading1"/>
        <w:ind w:left="0"/>
        <w:rPr>
          <w:rFonts w:ascii="Aptos" w:hAnsi="Aptos"/>
        </w:rPr>
      </w:pPr>
      <w:r w:rsidRPr="000D0641">
        <w:rPr>
          <w:rFonts w:ascii="Aptos" w:hAnsi="Aptos"/>
        </w:rPr>
        <w:t xml:space="preserve">CHAPTER 2 – </w:t>
      </w:r>
      <w:r w:rsidR="00BD2909">
        <w:rPr>
          <w:rFonts w:ascii="Aptos" w:hAnsi="Aptos"/>
        </w:rPr>
        <w:t xml:space="preserve">Background </w:t>
      </w:r>
      <w:r w:rsidR="00F44833">
        <w:rPr>
          <w:rFonts w:ascii="Aptos" w:hAnsi="Aptos"/>
        </w:rPr>
        <w:t xml:space="preserve">Information and </w:t>
      </w:r>
      <w:r w:rsidR="00BD2909">
        <w:rPr>
          <w:rFonts w:ascii="Aptos" w:hAnsi="Aptos"/>
        </w:rPr>
        <w:t>Analysis</w:t>
      </w:r>
      <w:r w:rsidRPr="000D0641">
        <w:rPr>
          <w:rFonts w:ascii="Aptos" w:hAnsi="Aptos"/>
        </w:rPr>
        <w:t xml:space="preserve"> </w:t>
      </w:r>
    </w:p>
    <w:p w14:paraId="3A28157F" w14:textId="77777777" w:rsidR="000D0641" w:rsidRDefault="000D0641" w:rsidP="000D0641"/>
    <w:p w14:paraId="526BAE87" w14:textId="536041D7" w:rsidR="00501714" w:rsidRPr="00C225F7" w:rsidRDefault="00BD2909" w:rsidP="00C225F7">
      <w:pPr>
        <w:pStyle w:val="paragraph"/>
        <w:spacing w:before="0" w:beforeAutospacing="0" w:after="0" w:afterAutospacing="0"/>
        <w:textAlignment w:val="baseline"/>
        <w:rPr>
          <w:rStyle w:val="eop"/>
          <w:rFonts w:ascii="Segoe UI" w:hAnsi="Segoe UI" w:cs="Segoe UI"/>
          <w:color w:val="0F4761"/>
          <w:sz w:val="18"/>
          <w:szCs w:val="18"/>
        </w:rPr>
      </w:pPr>
      <w:r w:rsidRPr="00F44833">
        <w:rPr>
          <w:rStyle w:val="eop"/>
          <w:rFonts w:ascii="Aptos" w:eastAsia="Calibri Light" w:hAnsi="Aptos" w:cs="Arial"/>
          <w:sz w:val="22"/>
          <w:szCs w:val="22"/>
        </w:rPr>
        <w:t> </w:t>
      </w:r>
    </w:p>
    <w:p w14:paraId="68C3656F" w14:textId="57AE0223" w:rsidR="00972395" w:rsidRPr="00972395" w:rsidRDefault="00501714" w:rsidP="00501714">
      <w:pPr>
        <w:pStyle w:val="paragraph"/>
        <w:spacing w:before="0" w:beforeAutospacing="0" w:after="0" w:afterAutospacing="0" w:line="360" w:lineRule="auto"/>
        <w:textAlignment w:val="baseline"/>
        <w:rPr>
          <w:rFonts w:ascii="Arial" w:eastAsia="Calibri Light" w:hAnsi="Arial" w:cs="Arial"/>
          <w:sz w:val="22"/>
          <w:szCs w:val="22"/>
        </w:rPr>
      </w:pPr>
      <w:r>
        <w:rPr>
          <w:rStyle w:val="eop"/>
          <w:rFonts w:ascii="Arial" w:eastAsia="Calibri Light" w:hAnsi="Arial" w:cs="Arial"/>
          <w:sz w:val="22"/>
          <w:szCs w:val="22"/>
        </w:rPr>
        <w:t>This chapter</w:t>
      </w:r>
      <w:r w:rsidR="00F90141">
        <w:rPr>
          <w:rStyle w:val="eop"/>
          <w:rFonts w:ascii="Arial" w:eastAsia="Calibri Light" w:hAnsi="Arial" w:cs="Arial"/>
          <w:sz w:val="22"/>
          <w:szCs w:val="22"/>
        </w:rPr>
        <w:t xml:space="preserve"> </w:t>
      </w:r>
      <w:r w:rsidR="0091507F">
        <w:rPr>
          <w:rStyle w:val="eop"/>
          <w:rFonts w:ascii="Arial" w:eastAsia="Calibri Light" w:hAnsi="Arial" w:cs="Arial"/>
          <w:sz w:val="22"/>
          <w:szCs w:val="22"/>
        </w:rPr>
        <w:t xml:space="preserve">will explore the evolution of digital health and its growing significance in healthcare delivery, providing contextual analysis and background material for the dissertation. It examines the development of digital healthcare from both a global and UK perspective, emphasising </w:t>
      </w:r>
      <w:r w:rsidR="00E46658">
        <w:rPr>
          <w:rStyle w:val="eop"/>
          <w:rFonts w:ascii="Arial" w:eastAsia="Calibri Light" w:hAnsi="Arial" w:cs="Arial"/>
          <w:sz w:val="22"/>
          <w:szCs w:val="22"/>
        </w:rPr>
        <w:t xml:space="preserve">the social, technological, and policy aspects that have shaped its application. The chapter also addresses the ramifications of this change for older individuals and </w:t>
      </w:r>
      <w:r w:rsidR="00972395">
        <w:rPr>
          <w:rStyle w:val="eop"/>
          <w:rFonts w:ascii="Arial" w:eastAsia="Calibri Light" w:hAnsi="Arial" w:cs="Arial"/>
          <w:sz w:val="22"/>
          <w:szCs w:val="22"/>
        </w:rPr>
        <w:t>considers</w:t>
      </w:r>
      <w:r w:rsidR="00E46658">
        <w:rPr>
          <w:rStyle w:val="eop"/>
          <w:rFonts w:ascii="Arial" w:eastAsia="Calibri Light" w:hAnsi="Arial" w:cs="Arial"/>
          <w:sz w:val="22"/>
          <w:szCs w:val="22"/>
        </w:rPr>
        <w:t xml:space="preserve"> how the COVID-19 pandemic has acce</w:t>
      </w:r>
      <w:r w:rsidR="008E6A40">
        <w:rPr>
          <w:rStyle w:val="eop"/>
          <w:rFonts w:ascii="Arial" w:eastAsia="Calibri Light" w:hAnsi="Arial" w:cs="Arial"/>
          <w:sz w:val="22"/>
          <w:szCs w:val="22"/>
        </w:rPr>
        <w:t xml:space="preserve">lerated digital transformation throughout the National Health Service (NHS). </w:t>
      </w:r>
      <w:r w:rsidR="00972395">
        <w:rPr>
          <w:rStyle w:val="eop"/>
          <w:rFonts w:ascii="Arial" w:eastAsia="Calibri Light" w:hAnsi="Arial" w:cs="Arial"/>
          <w:sz w:val="22"/>
          <w:szCs w:val="22"/>
        </w:rPr>
        <w:t>In order to establish the larger context in which this research is placed, current national and international policies, laws, and evidence pertaining to digital health are also addressed</w:t>
      </w:r>
      <w:r w:rsidR="008C663C">
        <w:rPr>
          <w:rStyle w:val="eop"/>
          <w:rFonts w:ascii="Arial" w:eastAsia="Calibri Light" w:hAnsi="Arial" w:cs="Arial"/>
          <w:sz w:val="22"/>
          <w:szCs w:val="22"/>
        </w:rPr>
        <w:t xml:space="preserve">. </w:t>
      </w:r>
    </w:p>
    <w:p w14:paraId="1ADF7C27" w14:textId="5B03098F" w:rsidR="00BD2909" w:rsidRPr="00F44833" w:rsidRDefault="00BD2909" w:rsidP="00501714">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0AAAB744" w14:textId="477CD163"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 xml:space="preserve">2.2 Historical Background </w:t>
      </w:r>
    </w:p>
    <w:p w14:paraId="2B33B5A3" w14:textId="7044CB9F" w:rsidR="00BA54F2" w:rsidRDefault="00BD2909" w:rsidP="00BA54F2">
      <w:pPr>
        <w:pStyle w:val="paragraph"/>
        <w:spacing w:before="0" w:beforeAutospacing="0" w:after="0" w:afterAutospacing="0" w:line="360" w:lineRule="auto"/>
        <w:textAlignment w:val="baseline"/>
        <w:rPr>
          <w:rStyle w:val="eop"/>
          <w:rFonts w:ascii="Aptos" w:eastAsia="Calibri Light" w:hAnsi="Aptos" w:cs="Arial"/>
          <w:sz w:val="22"/>
          <w:szCs w:val="22"/>
        </w:rPr>
      </w:pPr>
      <w:r w:rsidRPr="00F44833">
        <w:rPr>
          <w:rStyle w:val="eop"/>
          <w:rFonts w:ascii="Aptos" w:eastAsia="Calibri Light" w:hAnsi="Aptos" w:cs="Arial"/>
          <w:sz w:val="22"/>
          <w:szCs w:val="22"/>
        </w:rPr>
        <w:t> </w:t>
      </w:r>
    </w:p>
    <w:p w14:paraId="54483995" w14:textId="61F057AA" w:rsidR="00C94664" w:rsidRDefault="00C94664" w:rsidP="00BA54F2">
      <w:pPr>
        <w:pStyle w:val="paragraph"/>
        <w:spacing w:before="0" w:beforeAutospacing="0" w:after="0" w:afterAutospacing="0" w:line="360" w:lineRule="auto"/>
        <w:textAlignment w:val="baseline"/>
        <w:rPr>
          <w:rStyle w:val="eop"/>
          <w:rFonts w:ascii="Arial" w:eastAsia="Calibri Light" w:hAnsi="Arial" w:cs="Arial"/>
          <w:sz w:val="22"/>
          <w:szCs w:val="22"/>
        </w:rPr>
      </w:pPr>
      <w:r>
        <w:rPr>
          <w:rStyle w:val="eop"/>
          <w:rFonts w:ascii="Arial" w:eastAsia="Calibri Light" w:hAnsi="Arial" w:cs="Arial"/>
          <w:sz w:val="22"/>
          <w:szCs w:val="22"/>
        </w:rPr>
        <w:t xml:space="preserve">Over the past three decades, the use of digital technologies in healthcare has changed significantly due to information technology advancements, rising healthcare needs, and the need to enhance the effectiveness, accessibility, and quality of healthcare </w:t>
      </w:r>
      <w:r w:rsidR="008528B8">
        <w:rPr>
          <w:rStyle w:val="eop"/>
          <w:rFonts w:ascii="Arial" w:eastAsia="Calibri Light" w:hAnsi="Arial" w:cs="Arial"/>
          <w:sz w:val="22"/>
          <w:szCs w:val="22"/>
        </w:rPr>
        <w:t xml:space="preserve">services. </w:t>
      </w:r>
      <w:r>
        <w:rPr>
          <w:rStyle w:val="eop"/>
          <w:rFonts w:ascii="Arial" w:eastAsia="Calibri Light" w:hAnsi="Arial" w:cs="Arial"/>
          <w:sz w:val="22"/>
          <w:szCs w:val="22"/>
        </w:rPr>
        <w:t xml:space="preserve"> </w:t>
      </w:r>
      <w:r w:rsidR="008528B8" w:rsidRPr="008528B8">
        <w:rPr>
          <w:rStyle w:val="eop"/>
          <w:rFonts w:ascii="Arial" w:eastAsia="Calibri Light" w:hAnsi="Arial" w:cs="Arial"/>
          <w:sz w:val="22"/>
          <w:szCs w:val="22"/>
        </w:rPr>
        <w:t>The adoption of electronic health records (EHRs), digital patient data storage, and computerised administration systems intended to enhance communication and lower clinical errors were the main early advances of the 1990s. Healthcare providers became more aware of the potential of digital technologies to support patient-</w:t>
      </w:r>
      <w:r w:rsidR="00DD344D" w:rsidRPr="008528B8">
        <w:rPr>
          <w:rStyle w:val="eop"/>
          <w:rFonts w:ascii="Arial" w:eastAsia="Calibri Light" w:hAnsi="Arial" w:cs="Arial"/>
          <w:sz w:val="22"/>
          <w:szCs w:val="22"/>
        </w:rPr>
        <w:t>centred</w:t>
      </w:r>
      <w:r w:rsidR="008528B8" w:rsidRPr="008528B8">
        <w:rPr>
          <w:rStyle w:val="eop"/>
          <w:rFonts w:ascii="Arial" w:eastAsia="Calibri Light" w:hAnsi="Arial" w:cs="Arial"/>
          <w:sz w:val="22"/>
          <w:szCs w:val="22"/>
        </w:rPr>
        <w:t xml:space="preserve"> care through telemedicine, online health information, and remote patient-provider communication as internet access increased globally (World Health Organi</w:t>
      </w:r>
      <w:r w:rsidR="008528B8">
        <w:rPr>
          <w:rStyle w:val="eop"/>
          <w:rFonts w:ascii="Arial" w:eastAsia="Calibri Light" w:hAnsi="Arial" w:cs="Arial"/>
          <w:sz w:val="22"/>
          <w:szCs w:val="22"/>
        </w:rPr>
        <w:t>s</w:t>
      </w:r>
      <w:r w:rsidR="008528B8" w:rsidRPr="008528B8">
        <w:rPr>
          <w:rStyle w:val="eop"/>
          <w:rFonts w:ascii="Arial" w:eastAsia="Calibri Light" w:hAnsi="Arial" w:cs="Arial"/>
          <w:sz w:val="22"/>
          <w:szCs w:val="22"/>
        </w:rPr>
        <w:t>ation, 2021).</w:t>
      </w:r>
    </w:p>
    <w:p w14:paraId="7A614826" w14:textId="77777777" w:rsidR="00C34B34" w:rsidRDefault="00C34B34" w:rsidP="00BA54F2">
      <w:pPr>
        <w:pStyle w:val="paragraph"/>
        <w:spacing w:before="0" w:beforeAutospacing="0" w:after="0" w:afterAutospacing="0" w:line="360" w:lineRule="auto"/>
        <w:textAlignment w:val="baseline"/>
        <w:rPr>
          <w:rStyle w:val="eop"/>
          <w:rFonts w:ascii="Arial" w:eastAsia="Calibri Light" w:hAnsi="Arial" w:cs="Arial"/>
          <w:sz w:val="22"/>
          <w:szCs w:val="22"/>
        </w:rPr>
      </w:pPr>
    </w:p>
    <w:p w14:paraId="556BEBE4" w14:textId="233A0E34" w:rsidR="00C34B34" w:rsidRDefault="00C34B34" w:rsidP="00BA54F2">
      <w:pPr>
        <w:pStyle w:val="paragraph"/>
        <w:spacing w:before="0" w:beforeAutospacing="0" w:after="0" w:afterAutospacing="0" w:line="360" w:lineRule="auto"/>
        <w:textAlignment w:val="baseline"/>
        <w:rPr>
          <w:rStyle w:val="eop"/>
          <w:rFonts w:ascii="Arial" w:eastAsia="Calibri Light" w:hAnsi="Arial" w:cs="Arial"/>
          <w:sz w:val="22"/>
          <w:szCs w:val="22"/>
        </w:rPr>
      </w:pPr>
      <w:r>
        <w:rPr>
          <w:rStyle w:val="eop"/>
          <w:rFonts w:ascii="Arial" w:eastAsia="Calibri Light" w:hAnsi="Arial" w:cs="Arial"/>
          <w:sz w:val="22"/>
          <w:szCs w:val="22"/>
        </w:rPr>
        <w:t>With the release of the NHS Plan in 2000, which highlighted the significance of modernising healthca</w:t>
      </w:r>
      <w:r w:rsidR="00B907F1">
        <w:rPr>
          <w:rStyle w:val="eop"/>
          <w:rFonts w:ascii="Arial" w:eastAsia="Calibri Light" w:hAnsi="Arial" w:cs="Arial"/>
          <w:sz w:val="22"/>
          <w:szCs w:val="22"/>
        </w:rPr>
        <w:t>re through increased use of information technology, digital transformation became a major policy goal</w:t>
      </w:r>
      <w:r w:rsidR="00683158">
        <w:rPr>
          <w:rStyle w:val="eop"/>
          <w:rFonts w:ascii="Arial" w:eastAsia="Calibri Light" w:hAnsi="Arial" w:cs="Arial"/>
          <w:sz w:val="22"/>
          <w:szCs w:val="22"/>
        </w:rPr>
        <w:t xml:space="preserve"> in the United Kingdom. The NHS Long Term Plan (NHS England, 2019), which saw digitally co</w:t>
      </w:r>
      <w:r w:rsidR="00BE7CEC">
        <w:rPr>
          <w:rStyle w:val="eop"/>
          <w:rFonts w:ascii="Arial" w:eastAsia="Calibri Light" w:hAnsi="Arial" w:cs="Arial"/>
          <w:sz w:val="22"/>
          <w:szCs w:val="22"/>
        </w:rPr>
        <w:t xml:space="preserve">nnected healthcare as crucial for enhancing patient access, service efficiency, and integrated care, was the culmination of this commitment. </w:t>
      </w:r>
      <w:r w:rsidR="00092803">
        <w:rPr>
          <w:rStyle w:val="eop"/>
          <w:rFonts w:ascii="Arial" w:eastAsia="Calibri Light" w:hAnsi="Arial" w:cs="Arial"/>
          <w:sz w:val="22"/>
          <w:szCs w:val="22"/>
        </w:rPr>
        <w:t xml:space="preserve">In order to increase patient participation and expedite healthcare delivery, services like electronic prescribing, online appointment scheduling, patient portals, and the NHS App were gradually implemented during this time. </w:t>
      </w:r>
    </w:p>
    <w:p w14:paraId="5261BF68" w14:textId="77777777" w:rsidR="0067263E" w:rsidRDefault="0067263E" w:rsidP="00BA54F2">
      <w:pPr>
        <w:pStyle w:val="paragraph"/>
        <w:spacing w:before="0" w:beforeAutospacing="0" w:after="0" w:afterAutospacing="0" w:line="360" w:lineRule="auto"/>
        <w:textAlignment w:val="baseline"/>
        <w:rPr>
          <w:rStyle w:val="eop"/>
          <w:rFonts w:ascii="Arial" w:eastAsia="Calibri Light" w:hAnsi="Arial" w:cs="Arial"/>
          <w:sz w:val="22"/>
          <w:szCs w:val="22"/>
        </w:rPr>
      </w:pPr>
    </w:p>
    <w:p w14:paraId="050E6273" w14:textId="44ADDDCB" w:rsidR="0067263E" w:rsidRDefault="00A41224" w:rsidP="00BA54F2">
      <w:pPr>
        <w:pStyle w:val="paragraph"/>
        <w:spacing w:before="0" w:beforeAutospacing="0" w:after="0" w:afterAutospacing="0" w:line="360" w:lineRule="auto"/>
        <w:textAlignment w:val="baseline"/>
        <w:rPr>
          <w:rStyle w:val="eop"/>
          <w:rFonts w:ascii="Arial" w:eastAsia="Calibri Light" w:hAnsi="Arial" w:cs="Arial"/>
          <w:sz w:val="22"/>
          <w:szCs w:val="22"/>
        </w:rPr>
      </w:pPr>
      <w:r>
        <w:rPr>
          <w:rStyle w:val="eop"/>
          <w:rFonts w:ascii="Arial" w:eastAsia="Calibri Light" w:hAnsi="Arial" w:cs="Arial"/>
          <w:sz w:val="22"/>
          <w:szCs w:val="22"/>
        </w:rPr>
        <w:lastRenderedPageBreak/>
        <w:t>One defining milestone in the historical development of digital health occurred during the COVID-19 pandemic. In order to preserve continuity of service while minimising face to face intera</w:t>
      </w:r>
      <w:r w:rsidR="00B732BB">
        <w:rPr>
          <w:rStyle w:val="eop"/>
          <w:rFonts w:ascii="Arial" w:eastAsia="Calibri Light" w:hAnsi="Arial" w:cs="Arial"/>
          <w:sz w:val="22"/>
          <w:szCs w:val="22"/>
        </w:rPr>
        <w:t xml:space="preserve">ctions, public health regulations forced healthcare institutions to quickly implement remote consultations, virtual </w:t>
      </w:r>
      <w:r w:rsidR="00FF43CE">
        <w:rPr>
          <w:rStyle w:val="eop"/>
          <w:rFonts w:ascii="Arial" w:eastAsia="Calibri Light" w:hAnsi="Arial" w:cs="Arial"/>
          <w:sz w:val="22"/>
          <w:szCs w:val="22"/>
        </w:rPr>
        <w:t>outpatients’</w:t>
      </w:r>
      <w:r w:rsidR="00B732BB">
        <w:rPr>
          <w:rStyle w:val="eop"/>
          <w:rFonts w:ascii="Arial" w:eastAsia="Calibri Light" w:hAnsi="Arial" w:cs="Arial"/>
          <w:sz w:val="22"/>
          <w:szCs w:val="22"/>
        </w:rPr>
        <w:t xml:space="preserve"> clinics, and digital</w:t>
      </w:r>
      <w:r w:rsidR="009F1CA3">
        <w:rPr>
          <w:rStyle w:val="eop"/>
          <w:rFonts w:ascii="Arial" w:eastAsia="Calibri Light" w:hAnsi="Arial" w:cs="Arial"/>
          <w:sz w:val="22"/>
          <w:szCs w:val="22"/>
        </w:rPr>
        <w:t xml:space="preserve"> monitoring systems. </w:t>
      </w:r>
      <w:r w:rsidR="00FF43CE" w:rsidRPr="00FF43CE">
        <w:rPr>
          <w:rStyle w:val="eop"/>
          <w:rFonts w:ascii="Arial" w:eastAsia="Calibri Light" w:hAnsi="Arial" w:cs="Arial"/>
          <w:sz w:val="22"/>
          <w:szCs w:val="22"/>
        </w:rPr>
        <w:t>Despite the fact that numerous digital projects were planned before to the pandemic, COVID-19 sped their adoption</w:t>
      </w:r>
      <w:r w:rsidR="00FF43CE">
        <w:rPr>
          <w:rStyle w:val="eop"/>
          <w:rFonts w:ascii="Arial" w:eastAsia="Calibri Light" w:hAnsi="Arial" w:cs="Arial"/>
          <w:sz w:val="22"/>
          <w:szCs w:val="22"/>
        </w:rPr>
        <w:t xml:space="preserve">, radically </w:t>
      </w:r>
      <w:r w:rsidR="005D71AB">
        <w:rPr>
          <w:rStyle w:val="eop"/>
          <w:rFonts w:ascii="Arial" w:eastAsia="Calibri Light" w:hAnsi="Arial" w:cs="Arial"/>
          <w:sz w:val="22"/>
          <w:szCs w:val="22"/>
        </w:rPr>
        <w:t>alerting</w:t>
      </w:r>
      <w:r w:rsidR="00FF43CE">
        <w:rPr>
          <w:rStyle w:val="eop"/>
          <w:rFonts w:ascii="Arial" w:eastAsia="Calibri Light" w:hAnsi="Arial" w:cs="Arial"/>
          <w:sz w:val="22"/>
          <w:szCs w:val="22"/>
        </w:rPr>
        <w:t xml:space="preserve"> primary and secondary healthcare delivery throughout the United Kingdom (World Health Organisation, 2021). As a resu</w:t>
      </w:r>
      <w:r w:rsidR="005D6B5C">
        <w:rPr>
          <w:rStyle w:val="eop"/>
          <w:rFonts w:ascii="Arial" w:eastAsia="Calibri Light" w:hAnsi="Arial" w:cs="Arial"/>
          <w:sz w:val="22"/>
          <w:szCs w:val="22"/>
        </w:rPr>
        <w:t xml:space="preserve">lt, rather than being a choice, digital healthcare is now a crucial part of NHS service delivery. </w:t>
      </w:r>
    </w:p>
    <w:p w14:paraId="7B0E4543" w14:textId="77777777" w:rsidR="005D71AB" w:rsidRDefault="005D71AB" w:rsidP="00BA54F2">
      <w:pPr>
        <w:pStyle w:val="paragraph"/>
        <w:spacing w:before="0" w:beforeAutospacing="0" w:after="0" w:afterAutospacing="0" w:line="360" w:lineRule="auto"/>
        <w:textAlignment w:val="baseline"/>
        <w:rPr>
          <w:rFonts w:ascii="Arial" w:eastAsia="Calibri Light" w:hAnsi="Arial" w:cs="Arial"/>
          <w:sz w:val="22"/>
          <w:szCs w:val="22"/>
        </w:rPr>
      </w:pPr>
    </w:p>
    <w:p w14:paraId="7D10B89F" w14:textId="0A55DE4D" w:rsidR="005D71AB" w:rsidRDefault="004E5522" w:rsidP="00BA54F2">
      <w:pPr>
        <w:pStyle w:val="paragraph"/>
        <w:spacing w:before="0" w:beforeAutospacing="0" w:after="0" w:afterAutospacing="0" w:line="360" w:lineRule="auto"/>
        <w:textAlignment w:val="baseline"/>
        <w:rPr>
          <w:rFonts w:ascii="Arial" w:eastAsia="Calibri Light" w:hAnsi="Arial" w:cs="Arial"/>
          <w:sz w:val="22"/>
          <w:szCs w:val="22"/>
        </w:rPr>
      </w:pPr>
      <w:r>
        <w:rPr>
          <w:rFonts w:ascii="Arial" w:eastAsia="Calibri Light" w:hAnsi="Arial" w:cs="Arial"/>
          <w:sz w:val="22"/>
          <w:szCs w:val="22"/>
        </w:rPr>
        <w:t>The evolution of digital healthcare has been greatly influenced by a number of organisations.</w:t>
      </w:r>
      <w:r w:rsidR="003F55DD">
        <w:rPr>
          <w:rFonts w:ascii="Arial" w:eastAsia="Calibri Light" w:hAnsi="Arial" w:cs="Arial"/>
          <w:sz w:val="22"/>
          <w:szCs w:val="22"/>
        </w:rPr>
        <w:t xml:space="preserve"> </w:t>
      </w:r>
      <w:r w:rsidR="003F55DD" w:rsidRPr="003F55DD">
        <w:rPr>
          <w:rFonts w:ascii="Arial" w:eastAsia="Calibri Light" w:hAnsi="Arial" w:cs="Arial"/>
          <w:sz w:val="22"/>
          <w:szCs w:val="22"/>
        </w:rPr>
        <w:t>Through the Global Strategy on Digital Health 2020–2025, the World Health Organi</w:t>
      </w:r>
      <w:r w:rsidR="003F55DD">
        <w:rPr>
          <w:rFonts w:ascii="Arial" w:eastAsia="Calibri Light" w:hAnsi="Arial" w:cs="Arial"/>
          <w:sz w:val="22"/>
          <w:szCs w:val="22"/>
        </w:rPr>
        <w:t>s</w:t>
      </w:r>
      <w:r w:rsidR="003F55DD" w:rsidRPr="003F55DD">
        <w:rPr>
          <w:rFonts w:ascii="Arial" w:eastAsia="Calibri Light" w:hAnsi="Arial" w:cs="Arial"/>
          <w:sz w:val="22"/>
          <w:szCs w:val="22"/>
        </w:rPr>
        <w:t>ation has demonstrated global leadership by encouraging the equitable and safe use of digital technology to improve health systems throughout the world (WHO, 2021). The National Institute for Health and Care Excellence (NICE) has assisted in the assessment and uptake of evidence-based digital health solutions in the UK, while NHS England has spearheaded the execution of national digital initiatives. By drawing attention to the difficulties faced by groups that are digitally excluded and promoting more inclusive approaches to digital healthcare, organisations like Age UK and the Good Things Foundation have made additional contributions.</w:t>
      </w:r>
      <w:r>
        <w:rPr>
          <w:rFonts w:ascii="Arial" w:eastAsia="Calibri Light" w:hAnsi="Arial" w:cs="Arial"/>
          <w:sz w:val="22"/>
          <w:szCs w:val="22"/>
        </w:rPr>
        <w:t xml:space="preserve"> </w:t>
      </w:r>
    </w:p>
    <w:p w14:paraId="03992180" w14:textId="77777777" w:rsidR="008A2D03" w:rsidRDefault="008A2D03" w:rsidP="00BA54F2">
      <w:pPr>
        <w:pStyle w:val="paragraph"/>
        <w:spacing w:before="0" w:beforeAutospacing="0" w:after="0" w:afterAutospacing="0" w:line="360" w:lineRule="auto"/>
        <w:textAlignment w:val="baseline"/>
        <w:rPr>
          <w:rFonts w:ascii="Arial" w:eastAsia="Calibri Light" w:hAnsi="Arial" w:cs="Arial"/>
          <w:sz w:val="22"/>
          <w:szCs w:val="22"/>
        </w:rPr>
      </w:pPr>
    </w:p>
    <w:p w14:paraId="328565D1" w14:textId="5D09B249" w:rsidR="008A2D03" w:rsidRDefault="00551E56" w:rsidP="00BA54F2">
      <w:pPr>
        <w:pStyle w:val="paragraph"/>
        <w:spacing w:before="0" w:beforeAutospacing="0" w:after="0" w:afterAutospacing="0" w:line="360" w:lineRule="auto"/>
        <w:textAlignment w:val="baseline"/>
        <w:rPr>
          <w:rFonts w:ascii="Arial" w:eastAsia="Calibri Light" w:hAnsi="Arial" w:cs="Arial"/>
          <w:sz w:val="22"/>
          <w:szCs w:val="22"/>
        </w:rPr>
      </w:pPr>
      <w:r w:rsidRPr="00551E56">
        <w:rPr>
          <w:rFonts w:ascii="Arial" w:eastAsia="Calibri Light" w:hAnsi="Arial" w:cs="Arial"/>
          <w:sz w:val="22"/>
          <w:szCs w:val="22"/>
        </w:rPr>
        <w:t>Despite these developments, disparities in access and participation have also been made clear by the quick growth of digital healthcare. While many people now have easier access to healthcare thanks to technological advancements, there is growing evidence that older adults are less likely to benefit because of obstacles like low digital literacy, cost, diminished confidence, and age-related physical or cognitive changes (</w:t>
      </w:r>
      <w:proofErr w:type="spellStart"/>
      <w:r w:rsidRPr="00551E56">
        <w:rPr>
          <w:rFonts w:ascii="Arial" w:eastAsia="Calibri Light" w:hAnsi="Arial" w:cs="Arial"/>
          <w:sz w:val="22"/>
          <w:szCs w:val="22"/>
        </w:rPr>
        <w:t>Kunonga</w:t>
      </w:r>
      <w:proofErr w:type="spellEnd"/>
      <w:r w:rsidRPr="00551E56">
        <w:rPr>
          <w:rFonts w:ascii="Arial" w:eastAsia="Calibri Light" w:hAnsi="Arial" w:cs="Arial"/>
          <w:sz w:val="22"/>
          <w:szCs w:val="22"/>
        </w:rPr>
        <w:t xml:space="preserve"> et al., 2021; De Santis et al., 2023). Therefore, it is crucial to comprehend this historical development because it shows how digital change has both highlighted the need to address digital barriers in order to ensure equitable access to healthcare and created chances for innovation.</w:t>
      </w:r>
    </w:p>
    <w:p w14:paraId="3F0589B0" w14:textId="77777777" w:rsidR="005D71AB" w:rsidRDefault="005D71AB" w:rsidP="00BA54F2">
      <w:pPr>
        <w:pStyle w:val="paragraph"/>
        <w:spacing w:before="0" w:beforeAutospacing="0" w:after="0" w:afterAutospacing="0" w:line="360" w:lineRule="auto"/>
        <w:textAlignment w:val="baseline"/>
        <w:rPr>
          <w:rFonts w:ascii="Arial" w:eastAsia="Calibri Light" w:hAnsi="Arial" w:cs="Arial"/>
          <w:sz w:val="22"/>
          <w:szCs w:val="22"/>
        </w:rPr>
      </w:pPr>
    </w:p>
    <w:p w14:paraId="4D42201B" w14:textId="05879FAE" w:rsidR="00BD2909" w:rsidRPr="00F44833" w:rsidRDefault="00BD2909" w:rsidP="00BA54F2">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7CD6820C" w14:textId="1A79928B"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 xml:space="preserve">2.3 Theoretical Background </w:t>
      </w:r>
    </w:p>
    <w:p w14:paraId="0E340FCE" w14:textId="77777777" w:rsidR="00C50643" w:rsidRDefault="00BD2909" w:rsidP="00F44833">
      <w:pPr>
        <w:pStyle w:val="paragraph"/>
        <w:spacing w:before="0" w:beforeAutospacing="0" w:after="0" w:afterAutospacing="0" w:line="360" w:lineRule="auto"/>
        <w:textAlignment w:val="baseline"/>
        <w:rPr>
          <w:rStyle w:val="eop"/>
          <w:rFonts w:ascii="Aptos" w:eastAsia="Calibri Light" w:hAnsi="Aptos" w:cs="Arial"/>
          <w:sz w:val="22"/>
          <w:szCs w:val="22"/>
        </w:rPr>
      </w:pPr>
      <w:r w:rsidRPr="00F44833">
        <w:rPr>
          <w:rStyle w:val="eop"/>
          <w:rFonts w:ascii="Aptos" w:eastAsia="Calibri Light" w:hAnsi="Aptos" w:cs="Arial"/>
          <w:sz w:val="22"/>
          <w:szCs w:val="22"/>
        </w:rPr>
        <w:t> </w:t>
      </w:r>
    </w:p>
    <w:p w14:paraId="396E8825" w14:textId="7287CFC5" w:rsidR="00C50643" w:rsidRDefault="00C50643" w:rsidP="00F44833">
      <w:pPr>
        <w:pStyle w:val="paragraph"/>
        <w:spacing w:before="0" w:beforeAutospacing="0" w:after="0" w:afterAutospacing="0" w:line="360" w:lineRule="auto"/>
        <w:textAlignment w:val="baseline"/>
        <w:rPr>
          <w:rStyle w:val="eop"/>
          <w:rFonts w:ascii="Arial" w:eastAsia="Calibri Light" w:hAnsi="Arial" w:cs="Arial"/>
          <w:sz w:val="22"/>
          <w:szCs w:val="22"/>
        </w:rPr>
      </w:pPr>
      <w:r>
        <w:rPr>
          <w:rStyle w:val="eop"/>
          <w:rFonts w:ascii="Arial" w:eastAsia="Calibri Light" w:hAnsi="Arial" w:cs="Arial"/>
          <w:sz w:val="22"/>
          <w:szCs w:val="22"/>
        </w:rPr>
        <w:t xml:space="preserve">It is necessary to consider theoretical </w:t>
      </w:r>
      <w:r w:rsidR="00364754">
        <w:rPr>
          <w:rStyle w:val="eop"/>
          <w:rFonts w:ascii="Arial" w:eastAsia="Calibri Light" w:hAnsi="Arial" w:cs="Arial"/>
          <w:sz w:val="22"/>
          <w:szCs w:val="22"/>
        </w:rPr>
        <w:t>frameworks that explain technology adoption, digital engagement, and access disparitie</w:t>
      </w:r>
      <w:r w:rsidR="0000616D">
        <w:rPr>
          <w:rStyle w:val="eop"/>
          <w:rFonts w:ascii="Arial" w:eastAsia="Calibri Light" w:hAnsi="Arial" w:cs="Arial"/>
          <w:sz w:val="22"/>
          <w:szCs w:val="22"/>
        </w:rPr>
        <w:t>s in order to comprehend the obstacles preventing older individuals from using digital health se</w:t>
      </w:r>
      <w:r w:rsidR="0000073C">
        <w:rPr>
          <w:rStyle w:val="eop"/>
          <w:rFonts w:ascii="Arial" w:eastAsia="Calibri Light" w:hAnsi="Arial" w:cs="Arial"/>
          <w:sz w:val="22"/>
          <w:szCs w:val="22"/>
        </w:rPr>
        <w:t>rvices. This dissertation is based on three theories: the Digital Divide Theory, the Unified Theory of Acceptance and Use of Technology (UTAUT),</w:t>
      </w:r>
      <w:r w:rsidR="006154B9">
        <w:rPr>
          <w:rStyle w:val="eop"/>
          <w:rFonts w:ascii="Arial" w:eastAsia="Calibri Light" w:hAnsi="Arial" w:cs="Arial"/>
          <w:sz w:val="22"/>
          <w:szCs w:val="22"/>
        </w:rPr>
        <w:t xml:space="preserve"> </w:t>
      </w:r>
      <w:r w:rsidR="006154B9">
        <w:rPr>
          <w:rStyle w:val="eop"/>
          <w:rFonts w:ascii="Arial" w:eastAsia="Calibri Light" w:hAnsi="Arial" w:cs="Arial"/>
          <w:sz w:val="22"/>
          <w:szCs w:val="22"/>
        </w:rPr>
        <w:lastRenderedPageBreak/>
        <w:t>and the Tech</w:t>
      </w:r>
      <w:r w:rsidR="00485696">
        <w:rPr>
          <w:rStyle w:val="eop"/>
          <w:rFonts w:ascii="Arial" w:eastAsia="Calibri Light" w:hAnsi="Arial" w:cs="Arial"/>
          <w:sz w:val="22"/>
          <w:szCs w:val="22"/>
        </w:rPr>
        <w:t xml:space="preserve">nology Acceptance Model (TAM). When taken as a whole, these frameworks shed light on the social, technological, and personal elements impacting older individuals’ usage of digital health. </w:t>
      </w:r>
    </w:p>
    <w:p w14:paraId="104D9A62" w14:textId="77777777" w:rsidR="00074420" w:rsidRDefault="00074420" w:rsidP="00F44833">
      <w:pPr>
        <w:pStyle w:val="paragraph"/>
        <w:spacing w:before="0" w:beforeAutospacing="0" w:after="0" w:afterAutospacing="0" w:line="360" w:lineRule="auto"/>
        <w:textAlignment w:val="baseline"/>
        <w:rPr>
          <w:rStyle w:val="eop"/>
          <w:rFonts w:ascii="Arial" w:eastAsia="Calibri Light" w:hAnsi="Arial" w:cs="Arial"/>
          <w:sz w:val="22"/>
          <w:szCs w:val="22"/>
        </w:rPr>
      </w:pPr>
    </w:p>
    <w:p w14:paraId="03462714" w14:textId="2A490C8B" w:rsidR="00074420" w:rsidRDefault="00074420" w:rsidP="00F44833">
      <w:pPr>
        <w:pStyle w:val="paragraph"/>
        <w:spacing w:before="0" w:beforeAutospacing="0" w:after="0" w:afterAutospacing="0" w:line="360" w:lineRule="auto"/>
        <w:textAlignment w:val="baseline"/>
        <w:rPr>
          <w:rStyle w:val="eop"/>
          <w:rFonts w:ascii="Arial" w:eastAsia="Calibri Light" w:hAnsi="Arial" w:cs="Arial"/>
          <w:sz w:val="22"/>
          <w:szCs w:val="22"/>
        </w:rPr>
      </w:pPr>
      <w:r w:rsidRPr="00074420">
        <w:rPr>
          <w:rStyle w:val="eop"/>
          <w:rFonts w:ascii="Arial" w:eastAsia="Calibri Light" w:hAnsi="Arial" w:cs="Arial"/>
          <w:sz w:val="22"/>
          <w:szCs w:val="22"/>
        </w:rPr>
        <w:t>The Technology Acceptance Model (TAM), developed by Davis (1989), is one of the most influential theories used to explain technology adoption.</w:t>
      </w:r>
      <w:r w:rsidR="001B786A">
        <w:rPr>
          <w:rStyle w:val="eop"/>
          <w:rFonts w:ascii="Arial" w:eastAsia="Calibri Light" w:hAnsi="Arial" w:cs="Arial"/>
          <w:sz w:val="22"/>
          <w:szCs w:val="22"/>
        </w:rPr>
        <w:t xml:space="preserve"> </w:t>
      </w:r>
      <w:r w:rsidR="001E2020" w:rsidRPr="001E2020">
        <w:rPr>
          <w:rStyle w:val="eop"/>
          <w:rFonts w:ascii="Arial" w:eastAsia="Calibri Light" w:hAnsi="Arial" w:cs="Arial"/>
          <w:sz w:val="22"/>
          <w:szCs w:val="22"/>
        </w:rPr>
        <w:t xml:space="preserve">According to the concept, perceived utility and perceived ease of use are the two main criteria that influence a person's inclination to utilise a technology. When it comes to digital healthcare, older </w:t>
      </w:r>
      <w:r w:rsidR="001E2020">
        <w:rPr>
          <w:rStyle w:val="eop"/>
          <w:rFonts w:ascii="Arial" w:eastAsia="Calibri Light" w:hAnsi="Arial" w:cs="Arial"/>
          <w:sz w:val="22"/>
          <w:szCs w:val="22"/>
        </w:rPr>
        <w:t>individuals</w:t>
      </w:r>
      <w:r w:rsidR="001E2020" w:rsidRPr="001E2020">
        <w:rPr>
          <w:rStyle w:val="eop"/>
          <w:rFonts w:ascii="Arial" w:eastAsia="Calibri Light" w:hAnsi="Arial" w:cs="Arial"/>
          <w:sz w:val="22"/>
          <w:szCs w:val="22"/>
        </w:rPr>
        <w:t xml:space="preserve"> are more inclined to embrace digital services if they think these technologies would enhance their healthcare experience and are easy to use. TAM has been used in recent research to show that older </w:t>
      </w:r>
      <w:r w:rsidR="001E2020">
        <w:rPr>
          <w:rStyle w:val="eop"/>
          <w:rFonts w:ascii="Arial" w:eastAsia="Calibri Light" w:hAnsi="Arial" w:cs="Arial"/>
          <w:sz w:val="22"/>
          <w:szCs w:val="22"/>
        </w:rPr>
        <w:t>individuals’</w:t>
      </w:r>
      <w:r w:rsidR="001E2020" w:rsidRPr="001E2020">
        <w:rPr>
          <w:rStyle w:val="eop"/>
          <w:rFonts w:ascii="Arial" w:eastAsia="Calibri Light" w:hAnsi="Arial" w:cs="Arial"/>
          <w:sz w:val="22"/>
          <w:szCs w:val="22"/>
        </w:rPr>
        <w:t xml:space="preserve"> propensity to accept digital health technology is highly influenced by confidence, usability, and prior experience (</w:t>
      </w:r>
      <w:r w:rsidR="00E25B04">
        <w:rPr>
          <w:rStyle w:val="eop"/>
          <w:rFonts w:ascii="Arial" w:eastAsia="Calibri Light" w:hAnsi="Arial" w:cs="Arial"/>
          <w:sz w:val="22"/>
          <w:szCs w:val="22"/>
        </w:rPr>
        <w:t xml:space="preserve">Greenhalgh et al., 2017; </w:t>
      </w:r>
      <w:r w:rsidR="001E2020" w:rsidRPr="001E2020">
        <w:rPr>
          <w:rStyle w:val="eop"/>
          <w:rFonts w:ascii="Arial" w:eastAsia="Calibri Light" w:hAnsi="Arial" w:cs="Arial"/>
          <w:sz w:val="22"/>
          <w:szCs w:val="22"/>
        </w:rPr>
        <w:t>De Santis et al., 2023; Schroeder et al., 2023).</w:t>
      </w:r>
      <w:r w:rsidR="00973B85">
        <w:rPr>
          <w:rStyle w:val="eop"/>
          <w:rFonts w:ascii="Arial" w:eastAsia="Calibri Light" w:hAnsi="Arial" w:cs="Arial"/>
          <w:sz w:val="22"/>
          <w:szCs w:val="22"/>
        </w:rPr>
        <w:t xml:space="preserve"> However, </w:t>
      </w:r>
      <w:r w:rsidR="008F7830">
        <w:rPr>
          <w:rStyle w:val="eop"/>
          <w:rFonts w:ascii="Arial" w:eastAsia="Calibri Light" w:hAnsi="Arial" w:cs="Arial"/>
          <w:sz w:val="22"/>
          <w:szCs w:val="22"/>
        </w:rPr>
        <w:t>TAM has come under fire for concentrating mostly on personal opinions while ignoring more significant organisational, so</w:t>
      </w:r>
      <w:r w:rsidR="00506FBE">
        <w:rPr>
          <w:rStyle w:val="eop"/>
          <w:rFonts w:ascii="Arial" w:eastAsia="Calibri Light" w:hAnsi="Arial" w:cs="Arial"/>
          <w:sz w:val="22"/>
          <w:szCs w:val="22"/>
        </w:rPr>
        <w:t>cial, and economic factors that could have an impact on digital engagement.</w:t>
      </w:r>
    </w:p>
    <w:p w14:paraId="7E7E4965" w14:textId="77777777" w:rsidR="00B803B6" w:rsidRDefault="00B803B6" w:rsidP="00F44833">
      <w:pPr>
        <w:pStyle w:val="paragraph"/>
        <w:spacing w:before="0" w:beforeAutospacing="0" w:after="0" w:afterAutospacing="0" w:line="360" w:lineRule="auto"/>
        <w:textAlignment w:val="baseline"/>
        <w:rPr>
          <w:rStyle w:val="eop"/>
          <w:rFonts w:ascii="Arial" w:eastAsia="Calibri Light" w:hAnsi="Arial" w:cs="Arial"/>
          <w:sz w:val="22"/>
          <w:szCs w:val="22"/>
        </w:rPr>
      </w:pPr>
    </w:p>
    <w:p w14:paraId="3F7A7165" w14:textId="43F5CE1E" w:rsidR="00F21B6A" w:rsidRDefault="00B803B6" w:rsidP="00F44833">
      <w:pPr>
        <w:pStyle w:val="paragraph"/>
        <w:spacing w:before="0" w:beforeAutospacing="0" w:after="0" w:afterAutospacing="0" w:line="360" w:lineRule="auto"/>
        <w:textAlignment w:val="baseline"/>
        <w:rPr>
          <w:rStyle w:val="eop"/>
          <w:rFonts w:ascii="Arial" w:eastAsia="Calibri Light" w:hAnsi="Arial" w:cs="Arial"/>
          <w:sz w:val="22"/>
          <w:szCs w:val="22"/>
        </w:rPr>
      </w:pPr>
      <w:r>
        <w:rPr>
          <w:rStyle w:val="eop"/>
          <w:rFonts w:ascii="Arial" w:eastAsia="Calibri Light" w:hAnsi="Arial" w:cs="Arial"/>
          <w:sz w:val="22"/>
          <w:szCs w:val="22"/>
        </w:rPr>
        <w:t xml:space="preserve">Venkatesh et al., (2003) </w:t>
      </w:r>
      <w:r w:rsidRPr="00B803B6">
        <w:rPr>
          <w:rStyle w:val="eop"/>
          <w:rFonts w:ascii="Arial" w:eastAsia="Calibri Light" w:hAnsi="Arial" w:cs="Arial"/>
          <w:sz w:val="22"/>
          <w:szCs w:val="22"/>
        </w:rPr>
        <w:t>created the Unified Theory of Acceptance and Use of Technology (UTAUT) in order to overcome some of these restrictions. By adding further elements including social impact, favourable circumstances, and behavioural intention, this model builds on TAM. According to UTAUT, the availability of assistance, digital infrastructure, and encouragement from family members, medical experts, and the general public all have an impact on technology adoption in addition to individual attitudes.</w:t>
      </w:r>
      <w:r w:rsidR="00981E62">
        <w:rPr>
          <w:rStyle w:val="eop"/>
          <w:rFonts w:ascii="Arial" w:eastAsia="Calibri Light" w:hAnsi="Arial" w:cs="Arial"/>
          <w:sz w:val="22"/>
          <w:szCs w:val="22"/>
        </w:rPr>
        <w:t xml:space="preserve"> When examining older individuals’ use of digital health services, modern research has increasingly used UTAUT</w:t>
      </w:r>
      <w:r w:rsidR="007D572F">
        <w:rPr>
          <w:rStyle w:val="eop"/>
          <w:rFonts w:ascii="Arial" w:eastAsia="Calibri Light" w:hAnsi="Arial" w:cs="Arial"/>
          <w:sz w:val="22"/>
          <w:szCs w:val="22"/>
        </w:rPr>
        <w:t>, showing that family support, training in digital skills, and easily accessible equipment greatly enhanc</w:t>
      </w:r>
      <w:r w:rsidR="00385656">
        <w:rPr>
          <w:rStyle w:val="eop"/>
          <w:rFonts w:ascii="Arial" w:eastAsia="Calibri Light" w:hAnsi="Arial" w:cs="Arial"/>
          <w:sz w:val="22"/>
          <w:szCs w:val="22"/>
        </w:rPr>
        <w:t xml:space="preserve">e digital health adoption (Hepburn et al., 2025). </w:t>
      </w:r>
      <w:r w:rsidR="007C63C1">
        <w:rPr>
          <w:rStyle w:val="eop"/>
          <w:rFonts w:ascii="Arial" w:eastAsia="Calibri Light" w:hAnsi="Arial" w:cs="Arial"/>
          <w:sz w:val="22"/>
          <w:szCs w:val="22"/>
        </w:rPr>
        <w:t xml:space="preserve">However, critics contend that UTTAUT could not adequately represent </w:t>
      </w:r>
      <w:r w:rsidR="00E46177">
        <w:rPr>
          <w:rStyle w:val="eop"/>
          <w:rFonts w:ascii="Arial" w:eastAsia="Calibri Light" w:hAnsi="Arial" w:cs="Arial"/>
          <w:sz w:val="22"/>
          <w:szCs w:val="22"/>
        </w:rPr>
        <w:t>the complexity of ageing, especially th</w:t>
      </w:r>
      <w:r w:rsidR="00D859A0">
        <w:rPr>
          <w:rStyle w:val="eop"/>
          <w:rFonts w:ascii="Arial" w:eastAsia="Calibri Light" w:hAnsi="Arial" w:cs="Arial"/>
          <w:sz w:val="22"/>
          <w:szCs w:val="22"/>
        </w:rPr>
        <w:t>e impact of chronic disease, cognitive decline, and functional restrictions that impact the utilisation of digital healthcar</w:t>
      </w:r>
      <w:r w:rsidR="002F363E">
        <w:rPr>
          <w:rStyle w:val="eop"/>
          <w:rFonts w:ascii="Arial" w:eastAsia="Calibri Light" w:hAnsi="Arial" w:cs="Arial"/>
          <w:sz w:val="22"/>
          <w:szCs w:val="22"/>
        </w:rPr>
        <w:t xml:space="preserve">e. </w:t>
      </w:r>
    </w:p>
    <w:p w14:paraId="69AD92A7" w14:textId="77777777" w:rsidR="00350162" w:rsidRDefault="00350162" w:rsidP="00F44833">
      <w:pPr>
        <w:pStyle w:val="paragraph"/>
        <w:spacing w:before="0" w:beforeAutospacing="0" w:after="0" w:afterAutospacing="0" w:line="360" w:lineRule="auto"/>
        <w:textAlignment w:val="baseline"/>
        <w:rPr>
          <w:rStyle w:val="eop"/>
          <w:rFonts w:ascii="Arial" w:eastAsia="Calibri Light" w:hAnsi="Arial" w:cs="Arial"/>
          <w:sz w:val="22"/>
          <w:szCs w:val="22"/>
        </w:rPr>
      </w:pPr>
    </w:p>
    <w:p w14:paraId="292AAA3A" w14:textId="3CBAB23E" w:rsidR="00350162" w:rsidRDefault="00324FC4" w:rsidP="00F44833">
      <w:pPr>
        <w:pStyle w:val="paragraph"/>
        <w:spacing w:before="0" w:beforeAutospacing="0" w:after="0" w:afterAutospacing="0" w:line="360" w:lineRule="auto"/>
        <w:textAlignment w:val="baseline"/>
        <w:rPr>
          <w:rStyle w:val="eop"/>
          <w:rFonts w:ascii="Arial" w:eastAsia="Calibri Light" w:hAnsi="Arial" w:cs="Arial"/>
          <w:sz w:val="22"/>
          <w:szCs w:val="22"/>
        </w:rPr>
      </w:pPr>
      <w:r w:rsidRPr="00324FC4">
        <w:rPr>
          <w:rStyle w:val="eop"/>
          <w:rFonts w:ascii="Arial" w:eastAsia="Calibri Light" w:hAnsi="Arial" w:cs="Arial"/>
          <w:sz w:val="22"/>
          <w:szCs w:val="22"/>
        </w:rPr>
        <w:t xml:space="preserve">Digital Divide Theory, which examines disparities in access to and usage of digital technology, offers a more comprehensive viewpoint. According to Van Dijk (2005), digital exclusion </w:t>
      </w:r>
      <w:r w:rsidR="00CF4DF4" w:rsidRPr="00324FC4">
        <w:rPr>
          <w:rStyle w:val="eop"/>
          <w:rFonts w:ascii="Arial" w:eastAsia="Calibri Light" w:hAnsi="Arial" w:cs="Arial"/>
          <w:sz w:val="22"/>
          <w:szCs w:val="22"/>
        </w:rPr>
        <w:t>includes</w:t>
      </w:r>
      <w:r w:rsidRPr="00324FC4">
        <w:rPr>
          <w:rStyle w:val="eop"/>
          <w:rFonts w:ascii="Arial" w:eastAsia="Calibri Light" w:hAnsi="Arial" w:cs="Arial"/>
          <w:sz w:val="22"/>
          <w:szCs w:val="22"/>
        </w:rPr>
        <w:t xml:space="preserve"> disparities in digital skills, motivation, cost, and opportunity to profit from digital resources in addition to physical access to technology. This viewpoint is in line with recent research showing that older persons frequently encounter a variety of interrelated obstacles that lower their use of digital healthcare services (</w:t>
      </w:r>
      <w:proofErr w:type="spellStart"/>
      <w:r w:rsidRPr="00324FC4">
        <w:rPr>
          <w:rStyle w:val="eop"/>
          <w:rFonts w:ascii="Arial" w:eastAsia="Calibri Light" w:hAnsi="Arial" w:cs="Arial"/>
          <w:sz w:val="22"/>
          <w:szCs w:val="22"/>
        </w:rPr>
        <w:t>Kunonga</w:t>
      </w:r>
      <w:proofErr w:type="spellEnd"/>
      <w:r w:rsidRPr="00324FC4">
        <w:rPr>
          <w:rStyle w:val="eop"/>
          <w:rFonts w:ascii="Arial" w:eastAsia="Calibri Light" w:hAnsi="Arial" w:cs="Arial"/>
          <w:sz w:val="22"/>
          <w:szCs w:val="22"/>
        </w:rPr>
        <w:t xml:space="preserve"> et al., 2021).</w:t>
      </w:r>
      <w:r>
        <w:rPr>
          <w:rStyle w:val="eop"/>
          <w:rFonts w:ascii="Arial" w:eastAsia="Calibri Light" w:hAnsi="Arial" w:cs="Arial"/>
          <w:sz w:val="22"/>
          <w:szCs w:val="22"/>
        </w:rPr>
        <w:t xml:space="preserve"> </w:t>
      </w:r>
      <w:r w:rsidR="00852D2A">
        <w:rPr>
          <w:rStyle w:val="eop"/>
          <w:rFonts w:ascii="Arial" w:eastAsia="Calibri Light" w:hAnsi="Arial" w:cs="Arial"/>
          <w:sz w:val="22"/>
          <w:szCs w:val="22"/>
        </w:rPr>
        <w:t>In contrast to TAM and UTAUT, Digital Divide Theory is especially pertinent for analysing health disparities within the UK healthcare system</w:t>
      </w:r>
      <w:r w:rsidR="00BC1351">
        <w:rPr>
          <w:rStyle w:val="eop"/>
          <w:rFonts w:ascii="Arial" w:eastAsia="Calibri Light" w:hAnsi="Arial" w:cs="Arial"/>
          <w:sz w:val="22"/>
          <w:szCs w:val="22"/>
        </w:rPr>
        <w:t xml:space="preserve"> and acknowledges that structural and </w:t>
      </w:r>
      <w:r w:rsidR="00BC1351">
        <w:rPr>
          <w:rStyle w:val="eop"/>
          <w:rFonts w:ascii="Arial" w:eastAsia="Calibri Light" w:hAnsi="Arial" w:cs="Arial"/>
          <w:sz w:val="22"/>
          <w:szCs w:val="22"/>
        </w:rPr>
        <w:lastRenderedPageBreak/>
        <w:t>socioeconomic disparities play a major role in digital exclusion. The hypothesis has been challenged, meanwhile, for providing a general s</w:t>
      </w:r>
      <w:r w:rsidR="00411174">
        <w:rPr>
          <w:rStyle w:val="eop"/>
          <w:rFonts w:ascii="Arial" w:eastAsia="Calibri Light" w:hAnsi="Arial" w:cs="Arial"/>
          <w:sz w:val="22"/>
          <w:szCs w:val="22"/>
        </w:rPr>
        <w:t>ociological explanation without pinpointing particular behavioural re</w:t>
      </w:r>
      <w:r w:rsidR="00CE781B">
        <w:rPr>
          <w:rStyle w:val="eop"/>
          <w:rFonts w:ascii="Arial" w:eastAsia="Calibri Light" w:hAnsi="Arial" w:cs="Arial"/>
          <w:sz w:val="22"/>
          <w:szCs w:val="22"/>
        </w:rPr>
        <w:t xml:space="preserve">asons driving the adoption of technology. </w:t>
      </w:r>
    </w:p>
    <w:p w14:paraId="2162B9D6" w14:textId="77777777" w:rsidR="00D900E9" w:rsidRDefault="00D900E9" w:rsidP="00F44833">
      <w:pPr>
        <w:pStyle w:val="paragraph"/>
        <w:spacing w:before="0" w:beforeAutospacing="0" w:after="0" w:afterAutospacing="0" w:line="360" w:lineRule="auto"/>
        <w:textAlignment w:val="baseline"/>
        <w:rPr>
          <w:rStyle w:val="eop"/>
          <w:rFonts w:ascii="Arial" w:eastAsia="Calibri Light" w:hAnsi="Arial" w:cs="Arial"/>
          <w:sz w:val="22"/>
          <w:szCs w:val="22"/>
        </w:rPr>
      </w:pPr>
    </w:p>
    <w:p w14:paraId="43411EE4" w14:textId="77777777" w:rsidR="00D900E9" w:rsidRDefault="00D900E9" w:rsidP="00F44833">
      <w:pPr>
        <w:pStyle w:val="paragraph"/>
        <w:spacing w:before="0" w:beforeAutospacing="0" w:after="0" w:afterAutospacing="0" w:line="360" w:lineRule="auto"/>
        <w:textAlignment w:val="baseline"/>
        <w:rPr>
          <w:rStyle w:val="eop"/>
          <w:rFonts w:ascii="Arial" w:eastAsia="Calibri Light" w:hAnsi="Arial" w:cs="Arial"/>
          <w:sz w:val="22"/>
          <w:szCs w:val="22"/>
        </w:rPr>
      </w:pPr>
    </w:p>
    <w:p w14:paraId="381C7F2D" w14:textId="77777777" w:rsidR="00D900E9" w:rsidRDefault="00D900E9" w:rsidP="00F44833">
      <w:pPr>
        <w:pStyle w:val="paragraph"/>
        <w:spacing w:before="0" w:beforeAutospacing="0" w:after="0" w:afterAutospacing="0" w:line="360" w:lineRule="auto"/>
        <w:textAlignment w:val="baseline"/>
        <w:rPr>
          <w:rStyle w:val="eop"/>
          <w:rFonts w:ascii="Arial" w:eastAsia="Calibri Light" w:hAnsi="Arial" w:cs="Arial"/>
          <w:sz w:val="22"/>
          <w:szCs w:val="22"/>
        </w:rPr>
      </w:pPr>
    </w:p>
    <w:p w14:paraId="529565AC" w14:textId="44F78E3A" w:rsidR="00BD2909" w:rsidRPr="00D900E9"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normaltextrun"/>
          <w:rFonts w:ascii="Aptos" w:hAnsi="Aptos" w:cs="Arial"/>
          <w:color w:val="0F4761"/>
        </w:rPr>
        <w:t xml:space="preserve">2.4 International Context </w:t>
      </w:r>
    </w:p>
    <w:p w14:paraId="12A13B62" w14:textId="77777777" w:rsidR="00141D91" w:rsidRDefault="00BD2909" w:rsidP="00141D91">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357E9C8C" w14:textId="3617EB11" w:rsidR="00141D91" w:rsidRDefault="00A04221" w:rsidP="00141D91">
      <w:pPr>
        <w:pStyle w:val="paragraph"/>
        <w:spacing w:before="0" w:beforeAutospacing="0" w:after="0" w:afterAutospacing="0" w:line="360" w:lineRule="auto"/>
        <w:textAlignment w:val="baseline"/>
        <w:rPr>
          <w:rFonts w:ascii="Arial" w:hAnsi="Arial" w:cs="Arial"/>
          <w:sz w:val="22"/>
          <w:szCs w:val="22"/>
        </w:rPr>
      </w:pPr>
      <w:r>
        <w:rPr>
          <w:rFonts w:ascii="Arial" w:hAnsi="Arial" w:cs="Arial"/>
          <w:sz w:val="22"/>
          <w:szCs w:val="22"/>
        </w:rPr>
        <w:t xml:space="preserve">Digital health </w:t>
      </w:r>
      <w:r w:rsidR="00D91A62">
        <w:rPr>
          <w:rFonts w:ascii="Arial" w:hAnsi="Arial" w:cs="Arial"/>
          <w:sz w:val="22"/>
          <w:szCs w:val="22"/>
        </w:rPr>
        <w:t>has become a global priority, with healthcare systems increasingly a</w:t>
      </w:r>
      <w:r w:rsidR="00F43251">
        <w:rPr>
          <w:rFonts w:ascii="Arial" w:hAnsi="Arial" w:cs="Arial"/>
          <w:sz w:val="22"/>
          <w:szCs w:val="22"/>
        </w:rPr>
        <w:t>dopting digital te</w:t>
      </w:r>
      <w:r w:rsidR="00F12892">
        <w:rPr>
          <w:rFonts w:ascii="Arial" w:hAnsi="Arial" w:cs="Arial"/>
          <w:sz w:val="22"/>
          <w:szCs w:val="22"/>
        </w:rPr>
        <w:t xml:space="preserve">chnologies to improve access, efficiency, and </w:t>
      </w:r>
      <w:r w:rsidR="00335D69">
        <w:rPr>
          <w:rFonts w:ascii="Arial" w:hAnsi="Arial" w:cs="Arial"/>
          <w:sz w:val="22"/>
          <w:szCs w:val="22"/>
        </w:rPr>
        <w:t>person-centred</w:t>
      </w:r>
      <w:r w:rsidR="00F12892">
        <w:rPr>
          <w:rFonts w:ascii="Arial" w:hAnsi="Arial" w:cs="Arial"/>
          <w:sz w:val="22"/>
          <w:szCs w:val="22"/>
        </w:rPr>
        <w:t xml:space="preserve"> care. </w:t>
      </w:r>
      <w:r w:rsidR="00335D69" w:rsidRPr="00335D69">
        <w:rPr>
          <w:rFonts w:ascii="Arial" w:hAnsi="Arial" w:cs="Arial"/>
          <w:sz w:val="22"/>
          <w:szCs w:val="22"/>
        </w:rPr>
        <w:t xml:space="preserve">Through the Global Strategy on Digital Health 2020–2025, which encourages member states to incorporate digital technology into healthcare while guaranteeing fair access and lowering digital disparities, the World Health </w:t>
      </w:r>
      <w:r w:rsidR="008513B5">
        <w:rPr>
          <w:rFonts w:ascii="Arial" w:hAnsi="Arial" w:cs="Arial"/>
          <w:sz w:val="22"/>
          <w:szCs w:val="22"/>
        </w:rPr>
        <w:t>Organisation</w:t>
      </w:r>
      <w:r w:rsidR="00335D69" w:rsidRPr="00335D69">
        <w:rPr>
          <w:rFonts w:ascii="Arial" w:hAnsi="Arial" w:cs="Arial"/>
          <w:sz w:val="22"/>
          <w:szCs w:val="22"/>
        </w:rPr>
        <w:t xml:space="preserve"> (WHO) acknowledged this change (WHO, 2021). Despite the fact that many nations have effectively increased access to digital health services, the rate of adoption and the difficulties faced differ depending on the population's demographics, financial resources, and healthcare infrastructure.</w:t>
      </w:r>
    </w:p>
    <w:p w14:paraId="20E824C9" w14:textId="77777777" w:rsidR="00335D69" w:rsidRDefault="00335D69" w:rsidP="00141D91">
      <w:pPr>
        <w:pStyle w:val="paragraph"/>
        <w:spacing w:before="0" w:beforeAutospacing="0" w:after="0" w:afterAutospacing="0" w:line="360" w:lineRule="auto"/>
        <w:textAlignment w:val="baseline"/>
        <w:rPr>
          <w:rFonts w:ascii="Arial" w:hAnsi="Arial" w:cs="Arial"/>
          <w:sz w:val="22"/>
          <w:szCs w:val="22"/>
        </w:rPr>
      </w:pPr>
    </w:p>
    <w:p w14:paraId="705451F9" w14:textId="5E1A3749" w:rsidR="00141D91" w:rsidRDefault="00335D69" w:rsidP="00141D91">
      <w:pPr>
        <w:pStyle w:val="paragraph"/>
        <w:spacing w:before="0" w:beforeAutospacing="0" w:after="0" w:afterAutospacing="0" w:line="360" w:lineRule="auto"/>
        <w:textAlignment w:val="baseline"/>
        <w:rPr>
          <w:rFonts w:ascii="Arial" w:hAnsi="Arial" w:cs="Arial"/>
          <w:sz w:val="22"/>
          <w:szCs w:val="22"/>
        </w:rPr>
      </w:pPr>
      <w:r>
        <w:rPr>
          <w:rFonts w:ascii="Arial" w:hAnsi="Arial" w:cs="Arial"/>
          <w:sz w:val="22"/>
          <w:szCs w:val="22"/>
        </w:rPr>
        <w:t xml:space="preserve">Countries including Denmark, Estonia, and Finland </w:t>
      </w:r>
      <w:r w:rsidR="002868FB" w:rsidRPr="002868FB">
        <w:rPr>
          <w:rFonts w:ascii="Arial" w:hAnsi="Arial" w:cs="Arial"/>
          <w:sz w:val="22"/>
          <w:szCs w:val="22"/>
        </w:rPr>
        <w:t>are recognised as international leaders in digital healthcare due to their advanced electronic health record systems, national digital health platforms and widespread digital literacy.</w:t>
      </w:r>
      <w:r w:rsidR="00E84097">
        <w:rPr>
          <w:rFonts w:ascii="Arial" w:hAnsi="Arial" w:cs="Arial"/>
          <w:sz w:val="22"/>
          <w:szCs w:val="22"/>
        </w:rPr>
        <w:t xml:space="preserve"> </w:t>
      </w:r>
      <w:r w:rsidR="00E84097" w:rsidRPr="00E84097">
        <w:rPr>
          <w:rFonts w:ascii="Arial" w:hAnsi="Arial" w:cs="Arial"/>
          <w:sz w:val="22"/>
          <w:szCs w:val="22"/>
        </w:rPr>
        <w:t>Nearly all medical records in Estonia are digitally connected, facilitating safe information exchange across healthcare facilities and enhancing continuity of care.</w:t>
      </w:r>
      <w:r w:rsidR="00E84097">
        <w:rPr>
          <w:rFonts w:ascii="Arial" w:hAnsi="Arial" w:cs="Arial"/>
          <w:sz w:val="22"/>
          <w:szCs w:val="22"/>
        </w:rPr>
        <w:t xml:space="preserve"> Sim</w:t>
      </w:r>
      <w:r w:rsidR="00534585">
        <w:rPr>
          <w:rFonts w:ascii="Arial" w:hAnsi="Arial" w:cs="Arial"/>
          <w:sz w:val="22"/>
          <w:szCs w:val="22"/>
        </w:rPr>
        <w:t xml:space="preserve">ilarly, Denmark </w:t>
      </w:r>
      <w:r w:rsidR="00E8095F" w:rsidRPr="00E8095F">
        <w:rPr>
          <w:rFonts w:ascii="Arial" w:hAnsi="Arial" w:cs="Arial"/>
          <w:sz w:val="22"/>
          <w:szCs w:val="22"/>
        </w:rPr>
        <w:t>has effectively established national digital communication systems that enable patients to access medical records, schedule appointments, and interact electronically with medical providers (OECD, 2023</w:t>
      </w:r>
      <w:r w:rsidR="00FD5952">
        <w:rPr>
          <w:rFonts w:ascii="Arial" w:hAnsi="Arial" w:cs="Arial"/>
          <w:sz w:val="22"/>
          <w:szCs w:val="22"/>
        </w:rPr>
        <w:t>; ITU, 2023</w:t>
      </w:r>
      <w:r w:rsidR="00E8095F" w:rsidRPr="00E8095F">
        <w:rPr>
          <w:rFonts w:ascii="Arial" w:hAnsi="Arial" w:cs="Arial"/>
          <w:sz w:val="22"/>
          <w:szCs w:val="22"/>
        </w:rPr>
        <w:t>). These programs show how consistent investments in digital literacy and infrastructure can facilitate efficient healthcare delivery.</w:t>
      </w:r>
    </w:p>
    <w:p w14:paraId="5F731C36" w14:textId="77777777" w:rsidR="008513B5" w:rsidRDefault="008513B5" w:rsidP="00141D91">
      <w:pPr>
        <w:pStyle w:val="paragraph"/>
        <w:spacing w:before="0" w:beforeAutospacing="0" w:after="0" w:afterAutospacing="0" w:line="360" w:lineRule="auto"/>
        <w:textAlignment w:val="baseline"/>
        <w:rPr>
          <w:rFonts w:ascii="Arial" w:hAnsi="Arial" w:cs="Arial"/>
          <w:sz w:val="22"/>
          <w:szCs w:val="22"/>
        </w:rPr>
      </w:pPr>
    </w:p>
    <w:p w14:paraId="63020FD5" w14:textId="141A4C4C" w:rsidR="008513B5" w:rsidRDefault="00707117" w:rsidP="00141D91">
      <w:pPr>
        <w:pStyle w:val="paragraph"/>
        <w:spacing w:before="0" w:beforeAutospacing="0" w:after="0" w:afterAutospacing="0" w:line="360" w:lineRule="auto"/>
        <w:textAlignment w:val="baseline"/>
        <w:rPr>
          <w:rFonts w:ascii="Arial" w:hAnsi="Arial" w:cs="Arial"/>
          <w:sz w:val="22"/>
          <w:szCs w:val="22"/>
        </w:rPr>
      </w:pPr>
      <w:r>
        <w:rPr>
          <w:rFonts w:ascii="Arial" w:hAnsi="Arial" w:cs="Arial"/>
          <w:sz w:val="22"/>
          <w:szCs w:val="22"/>
        </w:rPr>
        <w:t>In contrast, many low and middle-income countries still struggle with a lack of financial resources, in</w:t>
      </w:r>
      <w:r w:rsidR="00194F3E">
        <w:rPr>
          <w:rFonts w:ascii="Arial" w:hAnsi="Arial" w:cs="Arial"/>
          <w:sz w:val="22"/>
          <w:szCs w:val="22"/>
        </w:rPr>
        <w:t xml:space="preserve">ternet connectivity, and digital infrastructure. </w:t>
      </w:r>
      <w:r w:rsidR="00BD1692" w:rsidRPr="00BD1692">
        <w:rPr>
          <w:rFonts w:ascii="Arial" w:hAnsi="Arial" w:cs="Arial"/>
          <w:sz w:val="22"/>
          <w:szCs w:val="22"/>
        </w:rPr>
        <w:t>Inequalities in digital access persist despite the fact that mobile health (mHealth) technology have made healthcare more accessible in some areas (WHO, 2021). Vulnerable groups continue to face digital exclusion even in high-income nations, especially older persons, those residing in rural areas, and those facing socioeconomic deprivation (</w:t>
      </w:r>
      <w:proofErr w:type="spellStart"/>
      <w:r w:rsidR="00BD1692" w:rsidRPr="00BD1692">
        <w:rPr>
          <w:rFonts w:ascii="Arial" w:hAnsi="Arial" w:cs="Arial"/>
          <w:sz w:val="22"/>
          <w:szCs w:val="22"/>
        </w:rPr>
        <w:t>Kunonga</w:t>
      </w:r>
      <w:proofErr w:type="spellEnd"/>
      <w:r w:rsidR="00BD1692" w:rsidRPr="00BD1692">
        <w:rPr>
          <w:rFonts w:ascii="Arial" w:hAnsi="Arial" w:cs="Arial"/>
          <w:sz w:val="22"/>
          <w:szCs w:val="22"/>
        </w:rPr>
        <w:t xml:space="preserve"> et al., 2021).</w:t>
      </w:r>
    </w:p>
    <w:p w14:paraId="4725F814" w14:textId="77777777" w:rsidR="000A5B16" w:rsidRDefault="000A5B16" w:rsidP="00141D91">
      <w:pPr>
        <w:pStyle w:val="paragraph"/>
        <w:spacing w:before="0" w:beforeAutospacing="0" w:after="0" w:afterAutospacing="0" w:line="360" w:lineRule="auto"/>
        <w:textAlignment w:val="baseline"/>
        <w:rPr>
          <w:rFonts w:ascii="Arial" w:hAnsi="Arial" w:cs="Arial"/>
          <w:sz w:val="22"/>
          <w:szCs w:val="22"/>
        </w:rPr>
      </w:pPr>
    </w:p>
    <w:p w14:paraId="7C98A357" w14:textId="17650300" w:rsidR="00594542" w:rsidRPr="008513B5" w:rsidRDefault="000A5B16" w:rsidP="00141D91">
      <w:pPr>
        <w:pStyle w:val="paragraph"/>
        <w:spacing w:before="0" w:beforeAutospacing="0" w:after="0" w:afterAutospacing="0" w:line="360" w:lineRule="auto"/>
        <w:textAlignment w:val="baseline"/>
        <w:rPr>
          <w:rFonts w:ascii="Arial" w:hAnsi="Arial" w:cs="Arial"/>
          <w:sz w:val="22"/>
          <w:szCs w:val="22"/>
        </w:rPr>
      </w:pPr>
      <w:r w:rsidRPr="000A5B16">
        <w:rPr>
          <w:rFonts w:ascii="Arial" w:hAnsi="Arial" w:cs="Arial"/>
          <w:sz w:val="22"/>
          <w:szCs w:val="22"/>
        </w:rPr>
        <w:t xml:space="preserve">Similar obstacles to older individuals' use of digital health services, such as low digital literacy, low confidence, accessibility problems, and insufficient technological support, are </w:t>
      </w:r>
      <w:r w:rsidRPr="000A5B16">
        <w:rPr>
          <w:rFonts w:ascii="Arial" w:hAnsi="Arial" w:cs="Arial"/>
          <w:sz w:val="22"/>
          <w:szCs w:val="22"/>
        </w:rPr>
        <w:lastRenderedPageBreak/>
        <w:t>regularly found in international research (</w:t>
      </w:r>
      <w:r w:rsidR="00E25B04">
        <w:rPr>
          <w:rFonts w:ascii="Arial" w:hAnsi="Arial" w:cs="Arial"/>
          <w:sz w:val="22"/>
          <w:szCs w:val="22"/>
        </w:rPr>
        <w:t xml:space="preserve">Kruse et al., 2018; </w:t>
      </w:r>
      <w:r w:rsidRPr="000A5B16">
        <w:rPr>
          <w:rFonts w:ascii="Arial" w:hAnsi="Arial" w:cs="Arial"/>
          <w:sz w:val="22"/>
          <w:szCs w:val="22"/>
        </w:rPr>
        <w:t>De Santis et al., 2023; Hepburn et al., 2025). However, a number of nations have shown that certain interventions, like national digital inclusion plans, accessible technology design, and community-based digital skills training, can enhance older individuals' digital engagement. For instance, Australia's Digital Health Strategy prioritises user-</w:t>
      </w:r>
      <w:r w:rsidR="00594542">
        <w:rPr>
          <w:rFonts w:ascii="Arial" w:hAnsi="Arial" w:cs="Arial"/>
          <w:sz w:val="22"/>
          <w:szCs w:val="22"/>
        </w:rPr>
        <w:t>focused</w:t>
      </w:r>
      <w:r w:rsidRPr="000A5B16">
        <w:rPr>
          <w:rFonts w:ascii="Arial" w:hAnsi="Arial" w:cs="Arial"/>
          <w:sz w:val="22"/>
          <w:szCs w:val="22"/>
        </w:rPr>
        <w:t xml:space="preserve"> design and digital inclusion to enhance healthcare accessibility, while Finland has made investments in digital competence programs to assist residents in accessing online public services.</w:t>
      </w:r>
    </w:p>
    <w:p w14:paraId="54147C50" w14:textId="77777777" w:rsidR="00141D91" w:rsidRDefault="00141D91" w:rsidP="00141D91">
      <w:pPr>
        <w:pStyle w:val="paragraph"/>
        <w:spacing w:before="0" w:beforeAutospacing="0" w:after="0" w:afterAutospacing="0" w:line="360" w:lineRule="auto"/>
        <w:textAlignment w:val="baseline"/>
        <w:rPr>
          <w:rFonts w:ascii="Aptos" w:hAnsi="Aptos" w:cs="Segoe UI"/>
          <w:sz w:val="16"/>
          <w:szCs w:val="16"/>
        </w:rPr>
      </w:pPr>
    </w:p>
    <w:p w14:paraId="4AF68573" w14:textId="77777777" w:rsidR="00141D91" w:rsidRDefault="00141D91" w:rsidP="00141D91">
      <w:pPr>
        <w:pStyle w:val="paragraph"/>
        <w:spacing w:before="0" w:beforeAutospacing="0" w:after="0" w:afterAutospacing="0" w:line="360" w:lineRule="auto"/>
        <w:textAlignment w:val="baseline"/>
        <w:rPr>
          <w:rFonts w:ascii="Aptos" w:hAnsi="Aptos" w:cs="Segoe UI"/>
          <w:sz w:val="16"/>
          <w:szCs w:val="16"/>
        </w:rPr>
      </w:pPr>
    </w:p>
    <w:p w14:paraId="061A289B" w14:textId="77777777" w:rsidR="00141D91" w:rsidRDefault="00141D91" w:rsidP="00141D91">
      <w:pPr>
        <w:pStyle w:val="paragraph"/>
        <w:spacing w:before="0" w:beforeAutospacing="0" w:after="0" w:afterAutospacing="0" w:line="360" w:lineRule="auto"/>
        <w:textAlignment w:val="baseline"/>
        <w:rPr>
          <w:rFonts w:ascii="Aptos" w:hAnsi="Aptos" w:cs="Segoe UI"/>
          <w:sz w:val="16"/>
          <w:szCs w:val="16"/>
        </w:rPr>
      </w:pPr>
    </w:p>
    <w:p w14:paraId="3CB705DE" w14:textId="77777777" w:rsidR="00141D91" w:rsidRDefault="00141D91" w:rsidP="00141D91">
      <w:pPr>
        <w:pStyle w:val="paragraph"/>
        <w:spacing w:before="0" w:beforeAutospacing="0" w:after="0" w:afterAutospacing="0" w:line="360" w:lineRule="auto"/>
        <w:textAlignment w:val="baseline"/>
        <w:rPr>
          <w:rFonts w:ascii="Aptos" w:hAnsi="Aptos" w:cs="Segoe UI"/>
          <w:sz w:val="16"/>
          <w:szCs w:val="16"/>
        </w:rPr>
      </w:pPr>
    </w:p>
    <w:p w14:paraId="302C6B72" w14:textId="071F6BF7" w:rsidR="00BD2909" w:rsidRPr="00F44833" w:rsidRDefault="00BD2909" w:rsidP="00141D91">
      <w:pPr>
        <w:pStyle w:val="paragraph"/>
        <w:spacing w:before="0" w:beforeAutospacing="0" w:after="0" w:afterAutospacing="0" w:line="360" w:lineRule="auto"/>
        <w:textAlignment w:val="baseline"/>
        <w:rPr>
          <w:rFonts w:ascii="Aptos" w:hAnsi="Aptos" w:cs="Segoe UI"/>
          <w:sz w:val="16"/>
          <w:szCs w:val="16"/>
        </w:rPr>
      </w:pPr>
    </w:p>
    <w:p w14:paraId="3322C689" w14:textId="7F014FD7"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 xml:space="preserve">2.5 National/Local UK Context </w:t>
      </w:r>
    </w:p>
    <w:p w14:paraId="363F6FA2" w14:textId="77777777" w:rsidR="00E224A8" w:rsidRDefault="00BD2909" w:rsidP="00E224A8">
      <w:pPr>
        <w:pStyle w:val="paragraph"/>
        <w:spacing w:before="0" w:beforeAutospacing="0" w:after="0" w:afterAutospacing="0" w:line="360" w:lineRule="auto"/>
        <w:textAlignment w:val="baseline"/>
        <w:rPr>
          <w:rStyle w:val="eop"/>
          <w:rFonts w:ascii="Aptos" w:eastAsia="Calibri Light" w:hAnsi="Aptos" w:cs="Arial"/>
          <w:sz w:val="22"/>
          <w:szCs w:val="22"/>
        </w:rPr>
      </w:pPr>
      <w:r w:rsidRPr="00F44833">
        <w:rPr>
          <w:rStyle w:val="eop"/>
          <w:rFonts w:ascii="Aptos" w:eastAsia="Calibri Light" w:hAnsi="Aptos" w:cs="Arial"/>
          <w:sz w:val="22"/>
          <w:szCs w:val="22"/>
        </w:rPr>
        <w:t> </w:t>
      </w:r>
    </w:p>
    <w:p w14:paraId="41E3950E" w14:textId="7C678EEE" w:rsidR="00E224A8" w:rsidRDefault="004A77C8" w:rsidP="00980A07">
      <w:pPr>
        <w:pStyle w:val="paragraph"/>
        <w:spacing w:before="0" w:beforeAutospacing="0" w:after="0" w:afterAutospacing="0" w:line="360" w:lineRule="auto"/>
        <w:textAlignment w:val="baseline"/>
        <w:rPr>
          <w:rStyle w:val="eop"/>
          <w:rFonts w:ascii="Arial" w:eastAsia="Calibri Light" w:hAnsi="Arial" w:cs="Arial"/>
          <w:sz w:val="22"/>
          <w:szCs w:val="22"/>
        </w:rPr>
      </w:pPr>
      <w:r>
        <w:rPr>
          <w:rStyle w:val="eop"/>
          <w:rFonts w:ascii="Arial" w:eastAsia="Calibri Light" w:hAnsi="Arial" w:cs="Arial"/>
          <w:sz w:val="22"/>
          <w:szCs w:val="22"/>
        </w:rPr>
        <w:t xml:space="preserve">With many government initiatives encouraging the use of digital technology to enhance healthcare accessibility, quality, and efficiency, the United Kingdom has positioned digital health as a crucial element of healthcare modernisation. </w:t>
      </w:r>
      <w:r w:rsidR="00711F82">
        <w:rPr>
          <w:rStyle w:val="eop"/>
          <w:rFonts w:ascii="Arial" w:eastAsia="Calibri Light" w:hAnsi="Arial" w:cs="Arial"/>
          <w:sz w:val="22"/>
          <w:szCs w:val="22"/>
        </w:rPr>
        <w:t>In order to enhance patient access and promote integrated care, the NHS Long Term Plan (NHS England, 2019) designated digital transformation as a strategic priority and committed to expanding digital prescribing, electronic health records, remote consultation</w:t>
      </w:r>
      <w:r w:rsidR="00BF153D">
        <w:rPr>
          <w:rStyle w:val="eop"/>
          <w:rFonts w:ascii="Arial" w:eastAsia="Calibri Light" w:hAnsi="Arial" w:cs="Arial"/>
          <w:sz w:val="22"/>
          <w:szCs w:val="22"/>
        </w:rPr>
        <w:t>, and the NHS App.</w:t>
      </w:r>
      <w:r w:rsidR="007D61AD">
        <w:rPr>
          <w:rStyle w:val="eop"/>
          <w:rFonts w:ascii="Arial" w:eastAsia="Calibri Light" w:hAnsi="Arial" w:cs="Arial"/>
          <w:sz w:val="22"/>
          <w:szCs w:val="22"/>
        </w:rPr>
        <w:t xml:space="preserve"> More recently, the Delivery Plan for Recovering Access to Primary Care (Department of Health and Social Care, 2023) further enhanced this commitment by pushing the use of digital services to promote timely access to healthcare. While these programs have enhanced options for patients to connect with healthcare </w:t>
      </w:r>
      <w:r w:rsidR="001944D5">
        <w:rPr>
          <w:rStyle w:val="eop"/>
          <w:rFonts w:ascii="Arial" w:eastAsia="Calibri Light" w:hAnsi="Arial" w:cs="Arial"/>
          <w:sz w:val="22"/>
          <w:szCs w:val="22"/>
        </w:rPr>
        <w:t xml:space="preserve">remotely, questions remain regarding equal access for older individuals who may experience digital exclusion. </w:t>
      </w:r>
    </w:p>
    <w:p w14:paraId="10953E6A" w14:textId="77777777" w:rsidR="000F1552" w:rsidRDefault="000F1552" w:rsidP="00980A07">
      <w:pPr>
        <w:pStyle w:val="paragraph"/>
        <w:spacing w:before="0" w:beforeAutospacing="0" w:after="0" w:afterAutospacing="0" w:line="360" w:lineRule="auto"/>
        <w:textAlignment w:val="baseline"/>
        <w:rPr>
          <w:rStyle w:val="eop"/>
          <w:rFonts w:ascii="Arial" w:eastAsia="Calibri Light" w:hAnsi="Arial" w:cs="Arial"/>
          <w:sz w:val="22"/>
          <w:szCs w:val="22"/>
        </w:rPr>
      </w:pPr>
    </w:p>
    <w:p w14:paraId="2875866B" w14:textId="06A53AA6" w:rsidR="000F1552" w:rsidRDefault="00F20117" w:rsidP="00980A07">
      <w:pPr>
        <w:pStyle w:val="paragraph"/>
        <w:spacing w:before="0" w:beforeAutospacing="0" w:after="0" w:afterAutospacing="0" w:line="360" w:lineRule="auto"/>
        <w:textAlignment w:val="baseline"/>
        <w:rPr>
          <w:rStyle w:val="eop"/>
          <w:rFonts w:ascii="Arial" w:eastAsia="Calibri Light" w:hAnsi="Arial" w:cs="Arial"/>
          <w:sz w:val="22"/>
          <w:szCs w:val="22"/>
        </w:rPr>
      </w:pPr>
      <w:r>
        <w:rPr>
          <w:rStyle w:val="eop"/>
          <w:rFonts w:ascii="Arial" w:eastAsia="Calibri Light" w:hAnsi="Arial" w:cs="Arial"/>
          <w:sz w:val="22"/>
          <w:szCs w:val="22"/>
        </w:rPr>
        <w:t xml:space="preserve">National policy </w:t>
      </w:r>
      <w:r w:rsidR="003C3C89">
        <w:rPr>
          <w:rStyle w:val="eop"/>
          <w:rFonts w:ascii="Arial" w:eastAsia="Calibri Light" w:hAnsi="Arial" w:cs="Arial"/>
          <w:sz w:val="22"/>
          <w:szCs w:val="22"/>
        </w:rPr>
        <w:t>recognises that successful digital transformation depends on digital in</w:t>
      </w:r>
      <w:r w:rsidR="008935FE">
        <w:rPr>
          <w:rStyle w:val="eop"/>
          <w:rFonts w:ascii="Arial" w:eastAsia="Calibri Light" w:hAnsi="Arial" w:cs="Arial"/>
          <w:sz w:val="22"/>
          <w:szCs w:val="22"/>
        </w:rPr>
        <w:t xml:space="preserve">clusion rather than technological advancement alone. </w:t>
      </w:r>
      <w:r w:rsidR="008935FE" w:rsidRPr="008935FE">
        <w:rPr>
          <w:rStyle w:val="eop"/>
          <w:rFonts w:ascii="Arial" w:eastAsia="Calibri Light" w:hAnsi="Arial" w:cs="Arial"/>
          <w:sz w:val="22"/>
          <w:szCs w:val="22"/>
        </w:rPr>
        <w:t>The Inclusive Digital Healthcare Framework (NHS England, 2023) recognises that some people encounter obstacles when trying to access digital services and suggests that healthcare providers offer targeted digital support, accessible service design, and alternate routes to care.</w:t>
      </w:r>
      <w:r w:rsidR="008935FE">
        <w:rPr>
          <w:rStyle w:val="eop"/>
          <w:rFonts w:ascii="Arial" w:eastAsia="Calibri Light" w:hAnsi="Arial" w:cs="Arial"/>
          <w:sz w:val="22"/>
          <w:szCs w:val="22"/>
        </w:rPr>
        <w:t xml:space="preserve"> </w:t>
      </w:r>
      <w:r w:rsidR="00C5331A">
        <w:rPr>
          <w:rStyle w:val="eop"/>
          <w:rFonts w:ascii="Arial" w:eastAsia="Calibri Light" w:hAnsi="Arial" w:cs="Arial"/>
          <w:sz w:val="22"/>
          <w:szCs w:val="22"/>
        </w:rPr>
        <w:t xml:space="preserve">Similarly, the National Institute for Health and Care Excellence (NICE, 2022) underlines that in order to provide fair access for every </w:t>
      </w:r>
      <w:r w:rsidR="00D50441">
        <w:rPr>
          <w:rStyle w:val="eop"/>
          <w:rFonts w:ascii="Arial" w:eastAsia="Calibri Light" w:hAnsi="Arial" w:cs="Arial"/>
          <w:sz w:val="22"/>
          <w:szCs w:val="22"/>
        </w:rPr>
        <w:t xml:space="preserve">patient, digital health innovations should enhance rather than replace conventional healthcare methods. These regulations show an increasing understanding that if digital healthcare is to lessen rather than increase health disparities, it must continue to be inclusive. </w:t>
      </w:r>
    </w:p>
    <w:p w14:paraId="0F3BC269" w14:textId="77777777" w:rsidR="00617629" w:rsidRDefault="00617629" w:rsidP="00980A07">
      <w:pPr>
        <w:pStyle w:val="paragraph"/>
        <w:spacing w:before="0" w:beforeAutospacing="0" w:after="0" w:afterAutospacing="0" w:line="360" w:lineRule="auto"/>
        <w:textAlignment w:val="baseline"/>
        <w:rPr>
          <w:rStyle w:val="eop"/>
          <w:rFonts w:ascii="Arial" w:eastAsia="Calibri Light" w:hAnsi="Arial" w:cs="Arial"/>
          <w:sz w:val="22"/>
          <w:szCs w:val="22"/>
        </w:rPr>
      </w:pPr>
    </w:p>
    <w:p w14:paraId="6490A253" w14:textId="6E96CA98" w:rsidR="00292761" w:rsidRDefault="00DB3B8F" w:rsidP="00980A07">
      <w:pPr>
        <w:pStyle w:val="paragraph"/>
        <w:spacing w:before="0" w:beforeAutospacing="0" w:after="0" w:afterAutospacing="0" w:line="360" w:lineRule="auto"/>
        <w:textAlignment w:val="baseline"/>
        <w:rPr>
          <w:rStyle w:val="eop"/>
          <w:rFonts w:ascii="Arial" w:eastAsia="Calibri Light" w:hAnsi="Arial" w:cs="Arial"/>
          <w:sz w:val="22"/>
          <w:szCs w:val="22"/>
        </w:rPr>
      </w:pPr>
      <w:r>
        <w:rPr>
          <w:rStyle w:val="eop"/>
          <w:rFonts w:ascii="Arial" w:eastAsia="Calibri Light" w:hAnsi="Arial" w:cs="Arial"/>
          <w:sz w:val="22"/>
          <w:szCs w:val="22"/>
        </w:rPr>
        <w:lastRenderedPageBreak/>
        <w:t>Despit</w:t>
      </w:r>
      <w:r w:rsidR="00D30086">
        <w:rPr>
          <w:rStyle w:val="eop"/>
          <w:rFonts w:ascii="Arial" w:eastAsia="Calibri Light" w:hAnsi="Arial" w:cs="Arial"/>
          <w:sz w:val="22"/>
          <w:szCs w:val="22"/>
        </w:rPr>
        <w:t xml:space="preserve">e these policy developments, national data indicates that many older individuals in the UK are still impacted by digital exclusion. </w:t>
      </w:r>
      <w:r w:rsidR="002D5587" w:rsidRPr="002D5587">
        <w:rPr>
          <w:rStyle w:val="eop"/>
          <w:rFonts w:ascii="Arial" w:eastAsia="Calibri Light" w:hAnsi="Arial" w:cs="Arial"/>
          <w:sz w:val="22"/>
          <w:szCs w:val="22"/>
        </w:rPr>
        <w:t xml:space="preserve">According to Age UK (2024), a significant percentage of </w:t>
      </w:r>
      <w:r w:rsidR="002D5587">
        <w:rPr>
          <w:rStyle w:val="eop"/>
          <w:rFonts w:ascii="Arial" w:eastAsia="Calibri Light" w:hAnsi="Arial" w:cs="Arial"/>
          <w:sz w:val="22"/>
          <w:szCs w:val="22"/>
        </w:rPr>
        <w:t>older individuals</w:t>
      </w:r>
      <w:r w:rsidR="002D5587" w:rsidRPr="002D5587">
        <w:rPr>
          <w:rStyle w:val="eop"/>
          <w:rFonts w:ascii="Arial" w:eastAsia="Calibri Light" w:hAnsi="Arial" w:cs="Arial"/>
          <w:sz w:val="22"/>
          <w:szCs w:val="22"/>
        </w:rPr>
        <w:t xml:space="preserve"> either stay offline or lack the self-assurance and proficiency necessary to use digital technology efficiently.</w:t>
      </w:r>
      <w:r w:rsidR="002D5587">
        <w:rPr>
          <w:rStyle w:val="eop"/>
          <w:rFonts w:ascii="Arial" w:eastAsia="Calibri Light" w:hAnsi="Arial" w:cs="Arial"/>
          <w:sz w:val="22"/>
          <w:szCs w:val="22"/>
        </w:rPr>
        <w:t xml:space="preserve"> </w:t>
      </w:r>
      <w:r w:rsidR="0018266E">
        <w:rPr>
          <w:rStyle w:val="eop"/>
          <w:rFonts w:ascii="Arial" w:eastAsia="Calibri Light" w:hAnsi="Arial" w:cs="Arial"/>
          <w:sz w:val="22"/>
          <w:szCs w:val="22"/>
        </w:rPr>
        <w:t xml:space="preserve">Likewise, age, disability, and socioeconomic disadvantage are key determinants of digital exclusion, according to the Office for National Statistics (ONS, 2024). </w:t>
      </w:r>
      <w:r w:rsidR="002A605B" w:rsidRPr="002A605B">
        <w:rPr>
          <w:rStyle w:val="eop"/>
          <w:rFonts w:ascii="Arial" w:eastAsia="Calibri Light" w:hAnsi="Arial" w:cs="Arial"/>
          <w:sz w:val="22"/>
          <w:szCs w:val="22"/>
        </w:rPr>
        <w:t>These results show that despite the significant expansion of digital healthcare, unequal access still exists, which raises worries that a greater dependence on digital services may unintentionally disadvantage vulnerable groups.</w:t>
      </w:r>
      <w:r w:rsidR="002A605B">
        <w:rPr>
          <w:rStyle w:val="eop"/>
          <w:rFonts w:ascii="Arial" w:eastAsia="Calibri Light" w:hAnsi="Arial" w:cs="Arial"/>
          <w:sz w:val="22"/>
          <w:szCs w:val="22"/>
        </w:rPr>
        <w:t xml:space="preserve"> </w:t>
      </w:r>
    </w:p>
    <w:p w14:paraId="2024F456" w14:textId="77777777" w:rsidR="00292761" w:rsidRDefault="00292761" w:rsidP="00980A07">
      <w:pPr>
        <w:pStyle w:val="paragraph"/>
        <w:spacing w:before="0" w:beforeAutospacing="0" w:after="0" w:afterAutospacing="0" w:line="360" w:lineRule="auto"/>
        <w:textAlignment w:val="baseline"/>
        <w:rPr>
          <w:rStyle w:val="eop"/>
          <w:rFonts w:ascii="Arial" w:eastAsia="Calibri Light" w:hAnsi="Arial" w:cs="Arial"/>
          <w:sz w:val="22"/>
          <w:szCs w:val="22"/>
        </w:rPr>
      </w:pPr>
    </w:p>
    <w:p w14:paraId="305216C8" w14:textId="53CDBE2E" w:rsidR="007D60F7" w:rsidRPr="00292761" w:rsidRDefault="00292761" w:rsidP="00980A07">
      <w:pPr>
        <w:pStyle w:val="paragraph"/>
        <w:spacing w:before="0" w:beforeAutospacing="0" w:after="0" w:afterAutospacing="0" w:line="360" w:lineRule="auto"/>
        <w:textAlignment w:val="baseline"/>
        <w:rPr>
          <w:rFonts w:ascii="Arial" w:eastAsia="Calibri Light" w:hAnsi="Arial" w:cs="Arial"/>
          <w:sz w:val="22"/>
          <w:szCs w:val="22"/>
        </w:rPr>
      </w:pPr>
      <w:r w:rsidRPr="00292761">
        <w:rPr>
          <w:rFonts w:ascii="Arial" w:eastAsia="Calibri Light" w:hAnsi="Arial" w:cs="Arial"/>
          <w:sz w:val="22"/>
          <w:szCs w:val="22"/>
        </w:rPr>
        <w:t xml:space="preserve">To increase fair access to healthcare, NHS Trusts and Integrated Care Systems (ICSs) have implemented a number of digital inclusion programs at the local level. Examples of initiatives to help older </w:t>
      </w:r>
      <w:r>
        <w:rPr>
          <w:rFonts w:ascii="Arial" w:eastAsia="Calibri Light" w:hAnsi="Arial" w:cs="Arial"/>
          <w:sz w:val="22"/>
          <w:szCs w:val="22"/>
        </w:rPr>
        <w:t>individuals</w:t>
      </w:r>
      <w:r w:rsidRPr="00292761">
        <w:rPr>
          <w:rFonts w:ascii="Arial" w:eastAsia="Calibri Light" w:hAnsi="Arial" w:cs="Arial"/>
          <w:sz w:val="22"/>
          <w:szCs w:val="22"/>
        </w:rPr>
        <w:t xml:space="preserve"> gain digital confidence include community-based digital skills programs, digital champion programs, device loan programs, and collaborations with local voluntary sector agencies and groups like the Good Things Foundation. </w:t>
      </w:r>
    </w:p>
    <w:p w14:paraId="378CC5D4" w14:textId="77777777" w:rsidR="00E224A8" w:rsidRDefault="00E224A8" w:rsidP="00E224A8">
      <w:pPr>
        <w:pStyle w:val="paragraph"/>
        <w:spacing w:before="0" w:beforeAutospacing="0" w:after="0" w:afterAutospacing="0" w:line="360" w:lineRule="auto"/>
        <w:textAlignment w:val="baseline"/>
        <w:rPr>
          <w:rFonts w:ascii="Aptos" w:hAnsi="Aptos" w:cs="Segoe UI"/>
          <w:sz w:val="16"/>
          <w:szCs w:val="16"/>
        </w:rPr>
      </w:pPr>
    </w:p>
    <w:p w14:paraId="1DFA2B50" w14:textId="77777777" w:rsidR="00E224A8" w:rsidRDefault="00E224A8" w:rsidP="00E224A8">
      <w:pPr>
        <w:pStyle w:val="paragraph"/>
        <w:spacing w:before="0" w:beforeAutospacing="0" w:after="0" w:afterAutospacing="0" w:line="360" w:lineRule="auto"/>
        <w:textAlignment w:val="baseline"/>
        <w:rPr>
          <w:rFonts w:ascii="Aptos" w:hAnsi="Aptos" w:cs="Segoe UI"/>
          <w:sz w:val="16"/>
          <w:szCs w:val="16"/>
        </w:rPr>
      </w:pPr>
    </w:p>
    <w:p w14:paraId="704131D3" w14:textId="77777777" w:rsidR="00E224A8" w:rsidRDefault="00E224A8" w:rsidP="00E224A8">
      <w:pPr>
        <w:pStyle w:val="paragraph"/>
        <w:spacing w:before="0" w:beforeAutospacing="0" w:after="0" w:afterAutospacing="0" w:line="360" w:lineRule="auto"/>
        <w:textAlignment w:val="baseline"/>
        <w:rPr>
          <w:rFonts w:ascii="Aptos" w:hAnsi="Aptos" w:cs="Segoe UI"/>
          <w:sz w:val="16"/>
          <w:szCs w:val="16"/>
        </w:rPr>
      </w:pPr>
    </w:p>
    <w:p w14:paraId="09099AFE" w14:textId="30BC6BB0" w:rsidR="00BD2909" w:rsidRPr="00F44833" w:rsidRDefault="00BD2909" w:rsidP="00E224A8">
      <w:pPr>
        <w:pStyle w:val="paragraph"/>
        <w:spacing w:before="0" w:beforeAutospacing="0" w:after="0" w:afterAutospacing="0" w:line="360" w:lineRule="auto"/>
        <w:textAlignment w:val="baseline"/>
        <w:rPr>
          <w:rFonts w:ascii="Aptos" w:hAnsi="Aptos" w:cs="Segoe UI"/>
          <w:sz w:val="16"/>
          <w:szCs w:val="16"/>
        </w:rPr>
      </w:pPr>
    </w:p>
    <w:p w14:paraId="508BC363" w14:textId="1D9BD31A"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 xml:space="preserve">2.6 Conclusion </w:t>
      </w:r>
    </w:p>
    <w:p w14:paraId="7D64DA06" w14:textId="77777777" w:rsidR="00BF70CA"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407ABDAE" w14:textId="45900B57" w:rsidR="00CB7F35" w:rsidRPr="00CB7F35" w:rsidRDefault="00894B63" w:rsidP="00CB7F35">
      <w:pPr>
        <w:pStyle w:val="paragraph"/>
        <w:spacing w:before="0" w:beforeAutospacing="0" w:after="0" w:afterAutospacing="0" w:line="360" w:lineRule="auto"/>
        <w:textAlignment w:val="baseline"/>
        <w:rPr>
          <w:rFonts w:ascii="Arial" w:hAnsi="Arial" w:cs="Arial"/>
          <w:sz w:val="16"/>
          <w:szCs w:val="16"/>
        </w:rPr>
        <w:sectPr w:rsidR="00CB7F35" w:rsidRPr="00CB7F35">
          <w:footerReference w:type="default" r:id="rId9"/>
          <w:pgSz w:w="11906" w:h="16838"/>
          <w:pgMar w:top="1440" w:right="1440" w:bottom="1440" w:left="1440" w:header="708" w:footer="708" w:gutter="0"/>
          <w:cols w:space="708"/>
          <w:docGrid w:linePitch="360"/>
        </w:sectPr>
      </w:pPr>
      <w:r w:rsidRPr="00894B63">
        <w:rPr>
          <w:rStyle w:val="eop"/>
          <w:rFonts w:ascii="Arial" w:eastAsia="Calibri Light" w:hAnsi="Arial" w:cs="Arial"/>
          <w:sz w:val="22"/>
          <w:szCs w:val="22"/>
        </w:rPr>
        <w:t xml:space="preserve">The theoretical, historical, and contextual framework for comprehending the obstacles preventing older individuals in the UK from accessing digital health services has been presented in this chapter. It examined the development of digital health, the main ideas supporting digital inclusion and technology adoption, and the worldwide and UK policy environment influencing the provision of digital healthcare. The conversation made clear that while digital transformation has increased healthcare's efficiency and accessibility, there are still many obstacles in the way of guaranteeing </w:t>
      </w:r>
      <w:r>
        <w:rPr>
          <w:rStyle w:val="eop"/>
          <w:rFonts w:ascii="Arial" w:eastAsia="Calibri Light" w:hAnsi="Arial" w:cs="Arial"/>
          <w:sz w:val="22"/>
          <w:szCs w:val="22"/>
        </w:rPr>
        <w:t>older individuals’</w:t>
      </w:r>
      <w:r w:rsidRPr="00894B63">
        <w:rPr>
          <w:rStyle w:val="eop"/>
          <w:rFonts w:ascii="Arial" w:eastAsia="Calibri Light" w:hAnsi="Arial" w:cs="Arial"/>
          <w:sz w:val="22"/>
          <w:szCs w:val="22"/>
        </w:rPr>
        <w:t xml:space="preserve"> fair access.</w:t>
      </w:r>
      <w:r w:rsidR="00BD2909" w:rsidRPr="00894B63">
        <w:rPr>
          <w:rStyle w:val="eop"/>
          <w:rFonts w:ascii="Arial" w:eastAsia="Calibri Light" w:hAnsi="Arial" w:cs="Arial"/>
          <w:sz w:val="22"/>
          <w:szCs w:val="22"/>
        </w:rPr>
        <w:t> </w:t>
      </w:r>
      <w:r w:rsidR="003A1BDA" w:rsidRPr="003A1BDA">
        <w:rPr>
          <w:rStyle w:val="eop"/>
          <w:rFonts w:ascii="Arial" w:eastAsia="Calibri Light" w:hAnsi="Arial" w:cs="Arial"/>
          <w:sz w:val="22"/>
          <w:szCs w:val="22"/>
        </w:rPr>
        <w:t xml:space="preserve">Additionally, although differences in implementation continue to affect access to care, national and local initiatives show growing recognition of digital exclusion as a public health concern. Altogether, this chapter has provided the background information and rationale for the research. </w:t>
      </w:r>
    </w:p>
    <w:p w14:paraId="10CA3A8E" w14:textId="77777777" w:rsidR="007D277B" w:rsidRDefault="007D277B" w:rsidP="0021364B">
      <w:pPr>
        <w:pStyle w:val="Heading1"/>
        <w:ind w:left="0"/>
        <w:rPr>
          <w:rFonts w:ascii="Aptos" w:hAnsi="Aptos"/>
        </w:rPr>
      </w:pPr>
    </w:p>
    <w:p w14:paraId="46A9E94C" w14:textId="77777777" w:rsidR="007D277B" w:rsidRDefault="007D277B" w:rsidP="0021364B">
      <w:pPr>
        <w:pStyle w:val="Heading1"/>
        <w:ind w:left="0"/>
        <w:rPr>
          <w:rFonts w:ascii="Aptos" w:hAnsi="Aptos"/>
        </w:rPr>
      </w:pPr>
    </w:p>
    <w:p w14:paraId="398427E3" w14:textId="6AFCDD56" w:rsidR="00292A36" w:rsidRPr="00292A36" w:rsidRDefault="00292A36" w:rsidP="0021364B">
      <w:pPr>
        <w:pStyle w:val="Heading1"/>
        <w:ind w:left="0"/>
        <w:rPr>
          <w:rFonts w:ascii="Aptos" w:hAnsi="Aptos"/>
        </w:rPr>
      </w:pPr>
      <w:r w:rsidRPr="00292A36">
        <w:rPr>
          <w:rFonts w:ascii="Aptos" w:hAnsi="Aptos"/>
        </w:rPr>
        <w:t>C</w:t>
      </w:r>
      <w:r>
        <w:rPr>
          <w:rFonts w:ascii="Aptos" w:hAnsi="Aptos"/>
        </w:rPr>
        <w:t>HAPTER</w:t>
      </w:r>
      <w:r w:rsidRPr="00292A36">
        <w:rPr>
          <w:rFonts w:ascii="Aptos" w:hAnsi="Aptos"/>
        </w:rPr>
        <w:t xml:space="preserve"> 3 – </w:t>
      </w:r>
      <w:r w:rsidR="00E325CF">
        <w:rPr>
          <w:rFonts w:ascii="Aptos" w:hAnsi="Aptos"/>
        </w:rPr>
        <w:t xml:space="preserve">Methods and Search Strategy  </w:t>
      </w:r>
    </w:p>
    <w:p w14:paraId="1DFAFBD2" w14:textId="77777777" w:rsidR="00292A36" w:rsidRPr="00292A36" w:rsidRDefault="00292A36" w:rsidP="00292A36"/>
    <w:p w14:paraId="5C2EC55E" w14:textId="77777777" w:rsidR="00B7073C" w:rsidRDefault="00B7073C" w:rsidP="00B7073C"/>
    <w:p w14:paraId="5C5CB7DF" w14:textId="3B3FE4F6" w:rsidR="00CE53AB" w:rsidRPr="00845B8E" w:rsidRDefault="008C45CB" w:rsidP="00B7073C">
      <w:pPr>
        <w:rPr>
          <w:rFonts w:ascii="Arial" w:hAnsi="Arial" w:cs="Arial"/>
        </w:rPr>
      </w:pPr>
      <w:r>
        <w:rPr>
          <w:rFonts w:ascii="Arial" w:hAnsi="Arial" w:cs="Arial"/>
        </w:rPr>
        <w:t xml:space="preserve">This chapter </w:t>
      </w:r>
      <w:r w:rsidRPr="008C45CB">
        <w:rPr>
          <w:rFonts w:ascii="Arial" w:hAnsi="Arial" w:cs="Arial"/>
        </w:rPr>
        <w:t>outlines the methodology adopted to investigate the barriers affecting older adults' access to digital health services in the United Kingdom.</w:t>
      </w:r>
      <w:r w:rsidR="00C01872">
        <w:rPr>
          <w:rFonts w:ascii="Arial" w:hAnsi="Arial" w:cs="Arial"/>
        </w:rPr>
        <w:t xml:space="preserve"> In order to fulfil the </w:t>
      </w:r>
      <w:r w:rsidR="00CE53AB">
        <w:rPr>
          <w:rFonts w:ascii="Arial" w:hAnsi="Arial" w:cs="Arial"/>
        </w:rPr>
        <w:t>research,</w:t>
      </w:r>
      <w:r w:rsidR="00C01872">
        <w:rPr>
          <w:rFonts w:ascii="Arial" w:hAnsi="Arial" w:cs="Arial"/>
        </w:rPr>
        <w:t xml:space="preserve"> aim and objectives, the study uses a secondary, desk-based approach that makes use of existing academic literature and policy papers. The research process was illustrated in the academic methodology poster created for Element 2; each step including search strategy, inclusion and exclusion criteria, source validation, data extraction,</w:t>
      </w:r>
      <w:r w:rsidR="00CE53AB">
        <w:rPr>
          <w:rFonts w:ascii="Arial" w:hAnsi="Arial" w:cs="Arial"/>
        </w:rPr>
        <w:t xml:space="preserve"> and thematic analysis. </w:t>
      </w:r>
      <w:r w:rsidR="00910731" w:rsidRPr="00910731">
        <w:rPr>
          <w:rFonts w:ascii="Arial" w:hAnsi="Arial" w:cs="Arial"/>
        </w:rPr>
        <w:t>To guarantee the validity and dependability of the evidence examined, a clear and methodical methodology was used. The techniques outlined in this chapter serve as the basis for locating, evaluating, and synthesising the literature that supports the theme conclusions</w:t>
      </w:r>
      <w:r w:rsidR="00DD344D">
        <w:rPr>
          <w:rFonts w:ascii="Arial" w:hAnsi="Arial" w:cs="Arial"/>
        </w:rPr>
        <w:t>.</w:t>
      </w:r>
    </w:p>
    <w:p w14:paraId="2DBE761B" w14:textId="77777777" w:rsidR="00762B22" w:rsidRPr="00292A36" w:rsidRDefault="00762B22" w:rsidP="00B7073C"/>
    <w:p w14:paraId="644CE1D2" w14:textId="6E3A18E5" w:rsidR="009E5B14" w:rsidRDefault="00292A36" w:rsidP="009E5B14">
      <w:pPr>
        <w:pStyle w:val="Heading2"/>
      </w:pPr>
      <w:r w:rsidRPr="0021364B">
        <w:t>3.</w:t>
      </w:r>
      <w:r w:rsidR="00E40B0D">
        <w:t>2</w:t>
      </w:r>
      <w:r w:rsidRPr="0021364B">
        <w:t xml:space="preserve"> – Search Strategy </w:t>
      </w:r>
    </w:p>
    <w:p w14:paraId="2B5C3282" w14:textId="57C07A2B" w:rsidR="005B3EDE" w:rsidRDefault="005B3EDE" w:rsidP="001C50D0"/>
    <w:p w14:paraId="565773D0" w14:textId="327B09FC" w:rsidR="001C50D0" w:rsidRPr="001C50D0" w:rsidRDefault="001C50D0" w:rsidP="001C50D0">
      <w:pPr>
        <w:rPr>
          <w:rFonts w:ascii="Arial" w:hAnsi="Arial" w:cs="Arial"/>
        </w:rPr>
      </w:pPr>
      <w:r>
        <w:rPr>
          <w:rFonts w:ascii="Arial" w:hAnsi="Arial" w:cs="Arial"/>
        </w:rPr>
        <w:t xml:space="preserve">This search strategy </w:t>
      </w:r>
      <w:r w:rsidR="000736BE" w:rsidRPr="000736BE">
        <w:rPr>
          <w:rFonts w:ascii="Arial" w:hAnsi="Arial" w:cs="Arial"/>
        </w:rPr>
        <w:t xml:space="preserve">was constructed from the research question and dissertation title to locate relevant literature on constraints impacting older individuals' access to digital health services in the United Kingdom. Keywords included digital health, digital health services, older </w:t>
      </w:r>
      <w:r w:rsidR="000736BE">
        <w:rPr>
          <w:rFonts w:ascii="Arial" w:hAnsi="Arial" w:cs="Arial"/>
        </w:rPr>
        <w:t>peop</w:t>
      </w:r>
      <w:r w:rsidR="008F6623">
        <w:rPr>
          <w:rFonts w:ascii="Arial" w:hAnsi="Arial" w:cs="Arial"/>
        </w:rPr>
        <w:t>le</w:t>
      </w:r>
      <w:r w:rsidR="000736BE" w:rsidRPr="000736BE">
        <w:rPr>
          <w:rFonts w:ascii="Arial" w:hAnsi="Arial" w:cs="Arial"/>
        </w:rPr>
        <w:t xml:space="preserve">, older </w:t>
      </w:r>
      <w:r w:rsidR="008F6623">
        <w:rPr>
          <w:rFonts w:ascii="Arial" w:hAnsi="Arial" w:cs="Arial"/>
        </w:rPr>
        <w:t>adults</w:t>
      </w:r>
      <w:r w:rsidR="000736BE" w:rsidRPr="000736BE">
        <w:rPr>
          <w:rFonts w:ascii="Arial" w:hAnsi="Arial" w:cs="Arial"/>
        </w:rPr>
        <w:t>, elderly, digital exclusion, digital literacy, telehealth, eHealth, and United Kingdom.</w:t>
      </w:r>
      <w:r w:rsidR="00BD74D2">
        <w:rPr>
          <w:rFonts w:ascii="Arial" w:hAnsi="Arial" w:cs="Arial"/>
        </w:rPr>
        <w:t xml:space="preserve"> </w:t>
      </w:r>
      <w:r w:rsidR="00474269">
        <w:rPr>
          <w:rFonts w:ascii="Arial" w:hAnsi="Arial" w:cs="Arial"/>
        </w:rPr>
        <w:t xml:space="preserve">Synonyms and related </w:t>
      </w:r>
      <w:r w:rsidR="00CF2D73">
        <w:rPr>
          <w:rFonts w:ascii="Arial" w:hAnsi="Arial" w:cs="Arial"/>
        </w:rPr>
        <w:t xml:space="preserve">phrases were incorporated to maximise the retrieval of relevant studies. </w:t>
      </w:r>
      <w:r w:rsidR="006F63FF" w:rsidRPr="006F63FF">
        <w:rPr>
          <w:rFonts w:ascii="Arial" w:hAnsi="Arial" w:cs="Arial"/>
        </w:rPr>
        <w:t xml:space="preserve">Boolean operators were used to refine the search, including AND to combine concepts (e.g. older adults AND digital health), OR to include alternative phrases (e.g. older adults OR elderly), and NOT to </w:t>
      </w:r>
      <w:r w:rsidR="004048B9">
        <w:rPr>
          <w:rFonts w:ascii="Arial" w:hAnsi="Arial" w:cs="Arial"/>
        </w:rPr>
        <w:t>exclude</w:t>
      </w:r>
      <w:r w:rsidR="006F63FF" w:rsidRPr="006F63FF">
        <w:rPr>
          <w:rFonts w:ascii="Arial" w:hAnsi="Arial" w:cs="Arial"/>
        </w:rPr>
        <w:t xml:space="preserve"> irrelevant results. A </w:t>
      </w:r>
      <w:r w:rsidR="004048B9">
        <w:rPr>
          <w:rFonts w:ascii="Arial" w:hAnsi="Arial" w:cs="Arial"/>
        </w:rPr>
        <w:t>structured</w:t>
      </w:r>
      <w:r w:rsidR="006F63FF" w:rsidRPr="006F63FF">
        <w:rPr>
          <w:rFonts w:ascii="Arial" w:hAnsi="Arial" w:cs="Arial"/>
        </w:rPr>
        <w:t xml:space="preserve"> search log was maintained to document databases searched, keyword combinations, search dates and pertinent research, ensuring a transparent and reproducible search procedure.</w:t>
      </w:r>
    </w:p>
    <w:p w14:paraId="0293381E" w14:textId="77777777" w:rsidR="00D13A82" w:rsidRPr="00D13A82" w:rsidRDefault="00D13A82" w:rsidP="00D13A82"/>
    <w:p w14:paraId="6F09D47B" w14:textId="33419D39" w:rsidR="00B575E2" w:rsidRDefault="00292A36">
      <w:pPr>
        <w:pStyle w:val="Heading2"/>
        <w:numPr>
          <w:ilvl w:val="1"/>
          <w:numId w:val="1"/>
        </w:numPr>
        <w:jc w:val="left"/>
      </w:pPr>
      <w:r w:rsidRPr="0021364B">
        <w:t xml:space="preserve">– Searching for Information </w:t>
      </w:r>
    </w:p>
    <w:p w14:paraId="3638D1FD" w14:textId="77777777" w:rsidR="00F11E7B" w:rsidRDefault="00F11E7B" w:rsidP="00F11E7B"/>
    <w:p w14:paraId="1DCCE24F" w14:textId="7144B5E4" w:rsidR="00AD3555" w:rsidRDefault="00B63CAD" w:rsidP="00F11E7B">
      <w:pPr>
        <w:rPr>
          <w:rFonts w:ascii="Arial" w:hAnsi="Arial" w:cs="Arial"/>
        </w:rPr>
      </w:pPr>
      <w:r>
        <w:rPr>
          <w:rFonts w:ascii="Arial" w:hAnsi="Arial" w:cs="Arial"/>
        </w:rPr>
        <w:t xml:space="preserve">A comprehensive </w:t>
      </w:r>
      <w:r w:rsidR="00A52A13">
        <w:rPr>
          <w:rFonts w:ascii="Arial" w:hAnsi="Arial" w:cs="Arial"/>
        </w:rPr>
        <w:t>literature search</w:t>
      </w:r>
      <w:r w:rsidR="0077408C">
        <w:rPr>
          <w:rFonts w:ascii="Arial" w:hAnsi="Arial" w:cs="Arial"/>
        </w:rPr>
        <w:t xml:space="preserve"> was undertaken using a range of reputable academic databases and healthcare information source</w:t>
      </w:r>
      <w:r w:rsidR="00577996">
        <w:rPr>
          <w:rFonts w:ascii="Arial" w:hAnsi="Arial" w:cs="Arial"/>
        </w:rPr>
        <w:t>s to identify evidence releva</w:t>
      </w:r>
      <w:r w:rsidR="00DE13F3">
        <w:rPr>
          <w:rFonts w:ascii="Arial" w:hAnsi="Arial" w:cs="Arial"/>
        </w:rPr>
        <w:t xml:space="preserve">nt to the research </w:t>
      </w:r>
      <w:r w:rsidR="00DE13F3">
        <w:rPr>
          <w:rFonts w:ascii="Arial" w:hAnsi="Arial" w:cs="Arial"/>
        </w:rPr>
        <w:lastRenderedPageBreak/>
        <w:t xml:space="preserve">question. The main databases used were </w:t>
      </w:r>
      <w:r w:rsidR="00C16A3D">
        <w:rPr>
          <w:rFonts w:ascii="Arial" w:hAnsi="Arial" w:cs="Arial"/>
        </w:rPr>
        <w:t>P</w:t>
      </w:r>
      <w:r w:rsidR="00C16A3D" w:rsidRPr="00C16A3D">
        <w:rPr>
          <w:rFonts w:ascii="Arial" w:hAnsi="Arial" w:cs="Arial"/>
        </w:rPr>
        <w:t>ubMed, CINAHL Ultimate, MEDLINE, Google Scholar, and the University of Wales Trinity Saint David (UWTSD) Library search platform</w:t>
      </w:r>
      <w:r w:rsidR="00C16A3D">
        <w:rPr>
          <w:rFonts w:ascii="Arial" w:hAnsi="Arial" w:cs="Arial"/>
        </w:rPr>
        <w:t>. T</w:t>
      </w:r>
      <w:r w:rsidR="00C16A3D" w:rsidRPr="00C16A3D">
        <w:rPr>
          <w:rFonts w:ascii="Arial" w:hAnsi="Arial" w:cs="Arial"/>
        </w:rPr>
        <w:t>hese resources were chosen because they offer access to government papers, systematic reviews pertinent to digital health, and high-quality, peer-reviewed research in the fields of health, nursing, and social care.</w:t>
      </w:r>
      <w:r w:rsidR="00983C48">
        <w:rPr>
          <w:rFonts w:ascii="Arial" w:hAnsi="Arial" w:cs="Arial"/>
        </w:rPr>
        <w:t xml:space="preserve"> </w:t>
      </w:r>
      <w:r w:rsidR="00076FE5">
        <w:rPr>
          <w:rFonts w:ascii="Arial" w:hAnsi="Arial" w:cs="Arial"/>
        </w:rPr>
        <w:t xml:space="preserve">Where available, search filters were used to enhance the evidence’s quality and applicability. To </w:t>
      </w:r>
      <w:r w:rsidR="009D3FBF">
        <w:rPr>
          <w:rFonts w:ascii="Arial" w:hAnsi="Arial" w:cs="Arial"/>
        </w:rPr>
        <w:t xml:space="preserve">guarantee </w:t>
      </w:r>
      <w:r w:rsidR="00983C48" w:rsidRPr="00983C48">
        <w:rPr>
          <w:rFonts w:ascii="Arial" w:hAnsi="Arial" w:cs="Arial"/>
        </w:rPr>
        <w:t>the inclusion of current evidence, English-language publications, peer-reviewed articles, and studies involving persons 65 years of age and older, these included publication dates between 2019 and 2025. Searches were narrowed down to concentrate on the UK when appropriate, but they also considered data from other countries to give a broader context.</w:t>
      </w:r>
      <w:r w:rsidR="000402C1">
        <w:rPr>
          <w:rFonts w:ascii="Arial" w:hAnsi="Arial" w:cs="Arial"/>
        </w:rPr>
        <w:t xml:space="preserve"> </w:t>
      </w:r>
      <w:r w:rsidR="00FD3130" w:rsidRPr="00FD3130">
        <w:rPr>
          <w:rFonts w:ascii="Arial" w:hAnsi="Arial" w:cs="Arial"/>
        </w:rPr>
        <w:t>To increase the relevance of search results, the search strategy was continually improved by changing keywords, experimenting with different search phrases, and revising Boolean operators. To ensure openness and reproducibility, a source tracking table was kept throughout the evaluation to document database searches, search terms, study features, and justifications for inclusion or exclusion. This table is shown in Appendix A</w:t>
      </w:r>
      <w:r w:rsidR="00DD344D">
        <w:rPr>
          <w:rFonts w:ascii="Arial" w:hAnsi="Arial" w:cs="Arial"/>
        </w:rPr>
        <w:t xml:space="preserve">. </w:t>
      </w:r>
    </w:p>
    <w:p w14:paraId="408B57A0" w14:textId="77777777" w:rsidR="00DE13F3" w:rsidRPr="00F11E7B" w:rsidRDefault="00DE13F3" w:rsidP="00F11E7B">
      <w:pPr>
        <w:rPr>
          <w:rFonts w:ascii="Arial" w:hAnsi="Arial" w:cs="Arial"/>
        </w:rPr>
      </w:pPr>
    </w:p>
    <w:p w14:paraId="0BEB0164" w14:textId="718756CD" w:rsidR="00E325CF" w:rsidRDefault="00292A36">
      <w:pPr>
        <w:pStyle w:val="Heading2"/>
        <w:numPr>
          <w:ilvl w:val="1"/>
          <w:numId w:val="1"/>
        </w:numPr>
        <w:jc w:val="left"/>
      </w:pPr>
      <w:r w:rsidRPr="0021364B">
        <w:t xml:space="preserve">– Research Validation </w:t>
      </w:r>
      <w:r w:rsidR="00E325CF">
        <w:br/>
      </w:r>
    </w:p>
    <w:p w14:paraId="1C1CD00C" w14:textId="684F89F4" w:rsidR="00B575E2" w:rsidRPr="00B97861" w:rsidRDefault="00921C27" w:rsidP="00B575E2">
      <w:pPr>
        <w:rPr>
          <w:rFonts w:ascii="Arial" w:hAnsi="Arial" w:cs="Arial"/>
        </w:rPr>
      </w:pPr>
      <w:r>
        <w:rPr>
          <w:rFonts w:ascii="Arial" w:hAnsi="Arial" w:cs="Arial"/>
        </w:rPr>
        <w:t xml:space="preserve">Following the initial search, </w:t>
      </w:r>
      <w:r w:rsidR="0066202C" w:rsidRPr="0066202C">
        <w:rPr>
          <w:rFonts w:ascii="Arial" w:hAnsi="Arial" w:cs="Arial"/>
        </w:rPr>
        <w:t>studies were screened by skimming the title, abstract, introduction and conclusion to determine their relevance to the research question.</w:t>
      </w:r>
      <w:r w:rsidR="00726F6E">
        <w:rPr>
          <w:rFonts w:ascii="Arial" w:hAnsi="Arial" w:cs="Arial"/>
        </w:rPr>
        <w:t xml:space="preserve"> </w:t>
      </w:r>
      <w:r w:rsidR="00726F6E" w:rsidRPr="00726F6E">
        <w:rPr>
          <w:rFonts w:ascii="Arial" w:hAnsi="Arial" w:cs="Arial"/>
        </w:rPr>
        <w:t>This procedure made it possible to quickly find publications about digital health, older individuals, and obstacles to healthcare access while excluding research that fell beyond the review's purview. The CRAAP test, which assesses Currency, Relevance, Authority, Accuracy, and Purpose, was then used to evaluate each source's quality and reliability (Blakeslee, 2004).</w:t>
      </w:r>
      <w:r w:rsidR="005B4C50">
        <w:rPr>
          <w:rFonts w:ascii="Arial" w:hAnsi="Arial" w:cs="Arial"/>
        </w:rPr>
        <w:t xml:space="preserve"> </w:t>
      </w:r>
      <w:r w:rsidR="005B4C50" w:rsidRPr="005B4C50">
        <w:rPr>
          <w:rFonts w:ascii="Arial" w:hAnsi="Arial" w:cs="Arial"/>
        </w:rPr>
        <w:t>Recent publications, peer-reviewed journals, and reliable sources</w:t>
      </w:r>
      <w:r w:rsidR="005B4C50">
        <w:rPr>
          <w:rFonts w:ascii="Arial" w:hAnsi="Arial" w:cs="Arial"/>
        </w:rPr>
        <w:t xml:space="preserve"> </w:t>
      </w:r>
      <w:r w:rsidR="005B4C50" w:rsidRPr="005B4C50">
        <w:rPr>
          <w:rFonts w:ascii="Arial" w:hAnsi="Arial" w:cs="Arial"/>
        </w:rPr>
        <w:t>such as government agencies and reputable medical facilities</w:t>
      </w:r>
      <w:r w:rsidR="005B4C50">
        <w:rPr>
          <w:rFonts w:ascii="Arial" w:hAnsi="Arial" w:cs="Arial"/>
        </w:rPr>
        <w:t xml:space="preserve"> </w:t>
      </w:r>
      <w:r w:rsidR="005B4C50" w:rsidRPr="005B4C50">
        <w:rPr>
          <w:rFonts w:ascii="Arial" w:hAnsi="Arial" w:cs="Arial"/>
        </w:rPr>
        <w:t>were given special attention. Priority was given to sources that showed strong currency, relevance, and authority, even though not all sources matched all five CRAAP criteria equally. For instance, a recent systematic review with a clear methodology that was published in a high-impact peer-reviewed journal was included, but an earlier opinion-based paper with scant evidence was left out. This method improved the synthesised evidence's dependability and credibility.</w:t>
      </w:r>
    </w:p>
    <w:p w14:paraId="331F659D" w14:textId="77777777" w:rsidR="00B97861" w:rsidRPr="00B575E2" w:rsidRDefault="00B97861" w:rsidP="00B575E2"/>
    <w:p w14:paraId="0E7E3997" w14:textId="53C3F643" w:rsidR="0021364B" w:rsidRDefault="00292A36">
      <w:pPr>
        <w:pStyle w:val="Heading2"/>
        <w:numPr>
          <w:ilvl w:val="1"/>
          <w:numId w:val="1"/>
        </w:numPr>
        <w:jc w:val="left"/>
      </w:pPr>
      <w:r w:rsidRPr="000D2B00">
        <w:rPr>
          <w:rStyle w:val="Heading2Char"/>
        </w:rPr>
        <w:lastRenderedPageBreak/>
        <w:t xml:space="preserve">- Inclusion and Exclusion Criteria </w:t>
      </w:r>
      <w:r w:rsidR="00C17A49">
        <w:rPr>
          <w:sz w:val="28"/>
          <w:szCs w:val="28"/>
        </w:rPr>
        <w:br/>
      </w:r>
    </w:p>
    <w:p w14:paraId="0D48A882" w14:textId="3FD1C042" w:rsidR="005E37DC" w:rsidRPr="00FB106C" w:rsidRDefault="00794826" w:rsidP="00B01396">
      <w:pPr>
        <w:rPr>
          <w:rFonts w:ascii="Arial" w:hAnsi="Arial" w:cs="Arial"/>
        </w:rPr>
      </w:pPr>
      <w:r w:rsidRPr="00794826">
        <w:rPr>
          <w:rFonts w:ascii="Arial" w:hAnsi="Arial" w:cs="Arial"/>
        </w:rPr>
        <w:t>Peer-reviewed journal publications, systematic reviews, government reports, and policy documents released between 2019 and 2025 made up the inclusion criteria. Studies on digital health services, digital exclusion, healthcare access, and persons 65 years of age and older were considered; UK-based research was given special attention while pertinent international data was incorporated. Opinion pieces, blogs, conference abstracts, non-peer-reviewed publications, duplicate records, articles published prior to 2019 (unless deemed seminal works), non-English publications, and studies unrelated to the research topic were all removed.</w:t>
      </w:r>
      <w:r w:rsidR="005E37DC">
        <w:rPr>
          <w:rFonts w:ascii="Arial" w:hAnsi="Arial" w:cs="Arial"/>
        </w:rPr>
        <w:t xml:space="preserve"> </w:t>
      </w:r>
      <w:r w:rsidR="005E37DC" w:rsidRPr="005E37DC">
        <w:rPr>
          <w:rFonts w:ascii="Arial" w:hAnsi="Arial" w:cs="Arial"/>
        </w:rPr>
        <w:t>These standards improved the quality and focus of the literature review by guaranteeing that the evidence examined was up-to-date, pertinent, reliable, and directly related to the goals and purpose of the study.</w:t>
      </w:r>
    </w:p>
    <w:p w14:paraId="7B1EFF3E" w14:textId="77777777" w:rsidR="00FB106C" w:rsidRDefault="00FB106C" w:rsidP="00B01396">
      <w:pPr>
        <w:rPr>
          <w:rFonts w:hAnsi="Symbol" w:hint="eastAsia"/>
        </w:rPr>
      </w:pPr>
    </w:p>
    <w:p w14:paraId="0C72B161" w14:textId="77777777" w:rsidR="00FB106C" w:rsidRPr="00292A36" w:rsidRDefault="00FB106C" w:rsidP="00B01396"/>
    <w:p w14:paraId="01A5598C" w14:textId="3B382265" w:rsidR="0021364B" w:rsidRDefault="00292A36">
      <w:pPr>
        <w:pStyle w:val="Heading2"/>
        <w:numPr>
          <w:ilvl w:val="1"/>
          <w:numId w:val="1"/>
        </w:numPr>
        <w:jc w:val="left"/>
      </w:pPr>
      <w:r w:rsidRPr="001C3AF6">
        <w:t xml:space="preserve">– Analysing Research </w:t>
      </w:r>
    </w:p>
    <w:p w14:paraId="701C686E" w14:textId="77777777" w:rsidR="00C17A49" w:rsidRDefault="00C17A49" w:rsidP="00B01396"/>
    <w:p w14:paraId="37609669" w14:textId="2FCD9D4A" w:rsidR="005D0B5A" w:rsidRPr="005D0B5A" w:rsidRDefault="005D0B5A" w:rsidP="00B01396">
      <w:pPr>
        <w:rPr>
          <w:rFonts w:ascii="Arial" w:hAnsi="Arial" w:cs="Arial"/>
        </w:rPr>
      </w:pPr>
      <w:r>
        <w:rPr>
          <w:rFonts w:ascii="Arial" w:hAnsi="Arial" w:cs="Arial"/>
        </w:rPr>
        <w:t xml:space="preserve">A </w:t>
      </w:r>
      <w:r w:rsidRPr="005D0B5A">
        <w:rPr>
          <w:rFonts w:ascii="Arial" w:hAnsi="Arial" w:cs="Arial"/>
        </w:rPr>
        <w:t>thematic coding strategy was used to examine the chosen literature, allowing for the methodical discovery of recurrent themes and patterns throughout the included studies. To create preliminary codes pertaining to the research subject, each article was carefully examined, with important conclusions, phrases, and recurrent themes marked. After that, similar codes were compared and categorised into more general themes that matched the goals and purpose of the study and represented the main obstacles preventing older persons from accessing digital health services.</w:t>
      </w:r>
      <w:r>
        <w:rPr>
          <w:rFonts w:ascii="Arial" w:hAnsi="Arial" w:cs="Arial"/>
        </w:rPr>
        <w:t xml:space="preserve"> </w:t>
      </w:r>
      <w:r w:rsidRPr="005D0B5A">
        <w:rPr>
          <w:rFonts w:ascii="Arial" w:hAnsi="Arial" w:cs="Arial"/>
        </w:rPr>
        <w:t>Data were arranged using Microsoft Excel spreadsheets and evidence tables to guarantee an ordered and transparent analysis. This allowed research to be classed by author, year, methodology, key findings, and developing codes. In order to establish connections between research and aid in the creation of overarching themes, colour coding was also employed. These topics served as the foundation for the analytical framework that was presented and critically examined in Chapter 4, guaranteeing that the conclusions were supported by the data found in the literature study.</w:t>
      </w:r>
    </w:p>
    <w:p w14:paraId="7DD346DA" w14:textId="77777777" w:rsidR="000E4662" w:rsidRDefault="000E4662" w:rsidP="00B01396"/>
    <w:p w14:paraId="298491AC" w14:textId="77777777" w:rsidR="000E4662" w:rsidRDefault="000E4662" w:rsidP="00B01396"/>
    <w:p w14:paraId="5929F029" w14:textId="77777777" w:rsidR="000E4662" w:rsidRPr="00B01396" w:rsidRDefault="000E4662" w:rsidP="00B01396"/>
    <w:p w14:paraId="34D844F4" w14:textId="25625030" w:rsidR="00B01396" w:rsidRDefault="00292A36">
      <w:pPr>
        <w:pStyle w:val="Heading2"/>
        <w:numPr>
          <w:ilvl w:val="1"/>
          <w:numId w:val="1"/>
        </w:numPr>
      </w:pPr>
      <w:r w:rsidRPr="001C3AF6">
        <w:lastRenderedPageBreak/>
        <w:t xml:space="preserve">– Ethical Considerations </w:t>
      </w:r>
    </w:p>
    <w:p w14:paraId="5569F915" w14:textId="77777777" w:rsidR="001C3AF6" w:rsidRDefault="001C3AF6" w:rsidP="00C17A49"/>
    <w:p w14:paraId="6AE41F81" w14:textId="171B9008" w:rsidR="005D0B5A" w:rsidRDefault="005D0B5A" w:rsidP="00C17A49">
      <w:pPr>
        <w:rPr>
          <w:rFonts w:ascii="Arial" w:hAnsi="Arial" w:cs="Arial"/>
        </w:rPr>
      </w:pPr>
      <w:r>
        <w:rPr>
          <w:rFonts w:ascii="Arial" w:hAnsi="Arial" w:cs="Arial"/>
        </w:rPr>
        <w:t xml:space="preserve">As this dissertation used a secondary research approach, </w:t>
      </w:r>
      <w:r w:rsidRPr="005D0B5A">
        <w:rPr>
          <w:rFonts w:ascii="Arial" w:hAnsi="Arial" w:cs="Arial"/>
        </w:rPr>
        <w:t>official ethical approval was not necessary because no primary data were gathered and no human subjects were engaged. By accurately reporting the results of the included research and making sure all sources were properly cited using the Harvard referencing style, ethical principles were upheld. Careful paraphrasing, precise in-text citations, and avoiding plagiarism or misinterpreting the evidence all contributed to maintaining academic integrity. Additionally, in order to reduce bias and guarantee that both supporting and contradicting evidence were presented equitably, the literature selection and analysis were carried out methodically and openly. This method improved the research findings' legitimacy, dependability, and trustworthiness.</w:t>
      </w:r>
    </w:p>
    <w:p w14:paraId="718A2DDE" w14:textId="77777777" w:rsidR="005D0B5A" w:rsidRPr="005D0B5A" w:rsidRDefault="005D0B5A" w:rsidP="00C17A49">
      <w:pPr>
        <w:rPr>
          <w:rFonts w:ascii="Arial" w:hAnsi="Arial" w:cs="Arial"/>
        </w:rPr>
      </w:pPr>
    </w:p>
    <w:p w14:paraId="3777C372" w14:textId="77777777" w:rsidR="005D0B5A" w:rsidRPr="001C3AF6" w:rsidRDefault="005D0B5A" w:rsidP="00C17A49"/>
    <w:p w14:paraId="7F51675F" w14:textId="20DD4BB3" w:rsidR="00292A36" w:rsidRDefault="00E325CF" w:rsidP="00E325CF">
      <w:pPr>
        <w:pStyle w:val="Heading2"/>
      </w:pPr>
      <w:r>
        <w:t xml:space="preserve">3.8 </w:t>
      </w:r>
      <w:r w:rsidR="00292A36" w:rsidRPr="001C3AF6">
        <w:t xml:space="preserve">– Chapter Conclusion </w:t>
      </w:r>
    </w:p>
    <w:p w14:paraId="7F8BD393" w14:textId="77777777" w:rsidR="005446BF" w:rsidRDefault="005446BF" w:rsidP="005446BF">
      <w:pPr>
        <w:pStyle w:val="ListParagraph"/>
      </w:pPr>
    </w:p>
    <w:p w14:paraId="55B4C446" w14:textId="7402DE17" w:rsidR="00C17A49" w:rsidRPr="005D0B5A" w:rsidRDefault="005D0B5A" w:rsidP="005D0B5A">
      <w:pPr>
        <w:rPr>
          <w:rFonts w:ascii="Arial" w:hAnsi="Arial" w:cs="Arial"/>
        </w:rPr>
      </w:pPr>
      <w:r w:rsidRPr="005D0B5A">
        <w:rPr>
          <w:rFonts w:ascii="Arial" w:hAnsi="Arial" w:cs="Arial"/>
        </w:rPr>
        <w:t xml:space="preserve">The methodical approach used to carry out this secondary literature review has been described in this chapter. It explained how to create a search strategy, choose relevant academic databases, apply inclusion and exclusion criteria, and assess source quality using the CRAAP test. In order to ensure an open and thorough approach to data analysis, the chapter also described the theme coding procedure used to find and arrange patterns within the literature. When taken as a whole, these techniques give the study a reliable basis. </w:t>
      </w:r>
    </w:p>
    <w:p w14:paraId="3D20102D" w14:textId="77777777" w:rsidR="005D0B5A" w:rsidRDefault="005D0B5A" w:rsidP="005D0B5A">
      <w:pPr>
        <w:rPr>
          <w:rFonts w:hAnsi="Symbol"/>
        </w:rPr>
      </w:pPr>
    </w:p>
    <w:p w14:paraId="75AA54FE" w14:textId="77777777" w:rsidR="005D0B5A" w:rsidRDefault="005D0B5A" w:rsidP="005D0B5A">
      <w:pPr>
        <w:rPr>
          <w:rFonts w:hAnsi="Symbol"/>
        </w:rPr>
      </w:pPr>
    </w:p>
    <w:p w14:paraId="73898CB8" w14:textId="77777777" w:rsidR="001F19A6" w:rsidRDefault="001F19A6" w:rsidP="005446BF">
      <w:pPr>
        <w:rPr>
          <w:rFonts w:hAnsi="Symbol"/>
        </w:rPr>
      </w:pPr>
    </w:p>
    <w:p w14:paraId="4B068842" w14:textId="77777777" w:rsidR="005D0B5A" w:rsidRDefault="005D0B5A" w:rsidP="005446BF">
      <w:pPr>
        <w:rPr>
          <w:rFonts w:hAnsi="Symbol"/>
        </w:rPr>
      </w:pPr>
    </w:p>
    <w:p w14:paraId="05BD8C53" w14:textId="77777777" w:rsidR="005D0B5A" w:rsidRDefault="005D0B5A" w:rsidP="005446BF">
      <w:pPr>
        <w:rPr>
          <w:rFonts w:hAnsi="Symbol"/>
        </w:rPr>
      </w:pPr>
    </w:p>
    <w:p w14:paraId="154E4DAA" w14:textId="77777777" w:rsidR="005D0B5A" w:rsidRDefault="005D0B5A" w:rsidP="005446BF">
      <w:pPr>
        <w:rPr>
          <w:rFonts w:hAnsi="Symbol"/>
        </w:rPr>
      </w:pPr>
    </w:p>
    <w:p w14:paraId="1D912D82" w14:textId="77777777" w:rsidR="005D0B5A" w:rsidRDefault="005D0B5A" w:rsidP="005446BF">
      <w:pPr>
        <w:rPr>
          <w:rFonts w:hAnsi="Symbol"/>
        </w:rPr>
      </w:pPr>
    </w:p>
    <w:p w14:paraId="36ADC15F" w14:textId="77777777" w:rsidR="005D0B5A" w:rsidRPr="005446BF" w:rsidRDefault="005D0B5A" w:rsidP="005446BF"/>
    <w:p w14:paraId="3733B770" w14:textId="77777777" w:rsidR="00DD344D" w:rsidRDefault="00DD344D" w:rsidP="00636D9A">
      <w:pPr>
        <w:pStyle w:val="Heading1"/>
        <w:ind w:left="0"/>
        <w:rPr>
          <w:rFonts w:ascii="Aptos" w:hAnsi="Aptos"/>
        </w:rPr>
      </w:pPr>
    </w:p>
    <w:p w14:paraId="5D2C2BB2" w14:textId="77777777" w:rsidR="007D277B" w:rsidRDefault="007D277B" w:rsidP="00636D9A">
      <w:pPr>
        <w:pStyle w:val="Heading1"/>
        <w:ind w:left="0"/>
        <w:rPr>
          <w:rFonts w:ascii="Aptos" w:hAnsi="Aptos"/>
        </w:rPr>
      </w:pPr>
    </w:p>
    <w:p w14:paraId="304AFD57" w14:textId="77777777" w:rsidR="007D277B" w:rsidRDefault="007D277B" w:rsidP="00636D9A">
      <w:pPr>
        <w:pStyle w:val="Heading1"/>
        <w:ind w:left="0"/>
        <w:rPr>
          <w:rFonts w:ascii="Aptos" w:hAnsi="Aptos"/>
        </w:rPr>
      </w:pPr>
    </w:p>
    <w:p w14:paraId="3E27A013" w14:textId="52CD7D86" w:rsidR="001C3AF6" w:rsidRPr="00636D9A" w:rsidRDefault="001C3AF6" w:rsidP="00636D9A">
      <w:pPr>
        <w:pStyle w:val="Heading1"/>
        <w:ind w:left="0"/>
        <w:rPr>
          <w:rFonts w:ascii="Aptos" w:hAnsi="Aptos"/>
        </w:rPr>
      </w:pPr>
      <w:r w:rsidRPr="00636D9A">
        <w:rPr>
          <w:rFonts w:ascii="Aptos" w:hAnsi="Aptos"/>
        </w:rPr>
        <w:t>C</w:t>
      </w:r>
      <w:r w:rsidR="00636D9A">
        <w:rPr>
          <w:rFonts w:ascii="Aptos" w:hAnsi="Aptos"/>
        </w:rPr>
        <w:t>HAPTER</w:t>
      </w:r>
      <w:r w:rsidRPr="00636D9A">
        <w:rPr>
          <w:rFonts w:ascii="Aptos" w:hAnsi="Aptos"/>
        </w:rPr>
        <w:t xml:space="preserve"> 4 – Findings and Discussion</w:t>
      </w:r>
    </w:p>
    <w:p w14:paraId="7B6D738E" w14:textId="77777777" w:rsidR="002865F5" w:rsidRDefault="002865F5" w:rsidP="00636D9A"/>
    <w:p w14:paraId="5509B7EE" w14:textId="77777777" w:rsidR="00E1292F" w:rsidRDefault="00E1292F" w:rsidP="00636D9A"/>
    <w:p w14:paraId="443E53FA" w14:textId="220C50F9" w:rsidR="005D2E4F" w:rsidRPr="005D2E4F" w:rsidRDefault="005D2E4F" w:rsidP="00636D9A">
      <w:pPr>
        <w:rPr>
          <w:rFonts w:ascii="Arial" w:hAnsi="Arial" w:cs="Arial"/>
        </w:rPr>
      </w:pPr>
      <w:r w:rsidRPr="005D2E4F">
        <w:rPr>
          <w:rFonts w:ascii="Arial" w:hAnsi="Arial" w:cs="Arial"/>
        </w:rPr>
        <w:t xml:space="preserve">This chapter presents and critically discusses the findings of the secondary literature review conducted to investigate the barriers affecting older </w:t>
      </w:r>
      <w:r w:rsidRPr="005D2E4F">
        <w:rPr>
          <w:rFonts w:ascii="Arial" w:hAnsi="Arial" w:cs="Arial"/>
        </w:rPr>
        <w:t>individuals’</w:t>
      </w:r>
      <w:r w:rsidRPr="005D2E4F">
        <w:rPr>
          <w:rFonts w:ascii="Arial" w:hAnsi="Arial" w:cs="Arial"/>
        </w:rPr>
        <w:t xml:space="preserve"> access to digital health services in the United Kingdom.</w:t>
      </w:r>
      <w:r w:rsidRPr="005D2E4F">
        <w:rPr>
          <w:rFonts w:ascii="Arial" w:hAnsi="Arial" w:cs="Arial"/>
        </w:rPr>
        <w:t xml:space="preserve"> The results</w:t>
      </w:r>
      <w:r>
        <w:rPr>
          <w:rFonts w:ascii="Arial" w:hAnsi="Arial" w:cs="Arial"/>
        </w:rPr>
        <w:t xml:space="preserve"> are arranged according to major themes that were found using thematic analysis that is explained in Chapter 3. </w:t>
      </w:r>
      <w:r w:rsidRPr="005D2E4F">
        <w:rPr>
          <w:rFonts w:ascii="Arial" w:hAnsi="Arial" w:cs="Arial"/>
        </w:rPr>
        <w:t xml:space="preserve">Evidence from official publications, policy documents, and peer-reviewed literature is synthesised and critically assessed for each theme. To have a thorough grasp of the variables affecting older </w:t>
      </w:r>
      <w:r>
        <w:rPr>
          <w:rFonts w:ascii="Arial" w:hAnsi="Arial" w:cs="Arial"/>
        </w:rPr>
        <w:t>individuals’</w:t>
      </w:r>
      <w:r w:rsidRPr="005D2E4F">
        <w:rPr>
          <w:rFonts w:ascii="Arial" w:hAnsi="Arial" w:cs="Arial"/>
        </w:rPr>
        <w:t xml:space="preserve"> access to digital health, similarities, differences, and gaps in the available data are investigated. The study </w:t>
      </w:r>
      <w:r w:rsidRPr="005D2E4F">
        <w:rPr>
          <w:rFonts w:ascii="Arial" w:hAnsi="Arial" w:cs="Arial"/>
        </w:rPr>
        <w:t>aims</w:t>
      </w:r>
      <w:r w:rsidRPr="005D2E4F">
        <w:rPr>
          <w:rFonts w:ascii="Arial" w:hAnsi="Arial" w:cs="Arial"/>
        </w:rPr>
        <w:t xml:space="preserve"> and objectives are directly addressed in the discussion, which is guided by the theoretical perspectives discussed in Chapter 2 and serves as the foundation for the conclusions and suggestions made in </w:t>
      </w:r>
      <w:r>
        <w:rPr>
          <w:rFonts w:ascii="Arial" w:hAnsi="Arial" w:cs="Arial"/>
        </w:rPr>
        <w:t xml:space="preserve">the final chapter of the dissertation. </w:t>
      </w:r>
    </w:p>
    <w:p w14:paraId="595F2B66" w14:textId="77777777" w:rsidR="005D2E4F" w:rsidRDefault="005D2E4F" w:rsidP="00636D9A"/>
    <w:p w14:paraId="2739E815" w14:textId="77777777" w:rsidR="00636D9A" w:rsidRDefault="00636D9A" w:rsidP="00E1292F">
      <w:pPr>
        <w:pStyle w:val="Heading1"/>
        <w:ind w:left="0"/>
      </w:pPr>
    </w:p>
    <w:p w14:paraId="7A7014AE" w14:textId="1340F713" w:rsidR="00750B5B" w:rsidRDefault="008F23C7" w:rsidP="008F23C7">
      <w:pPr>
        <w:rPr>
          <w:rFonts w:ascii="Arial" w:hAnsi="Arial" w:cs="Arial"/>
        </w:rPr>
      </w:pPr>
      <w:r w:rsidRPr="008F23C7">
        <w:rPr>
          <w:rFonts w:ascii="Arial" w:hAnsi="Arial" w:cs="Arial"/>
        </w:rPr>
        <w:t>A qualitative technique called thematic analysis is used to find, examine, and interpret recurrent themes or patterns in a dataset (Braun and Clarke, 2006). Thematic analysis allowed for the systematic synthesis of findings from several academic research within the framework of this secondary literature review, enabling the identification and critical examination of common barriers impacting older individuals' access to digital health services. Each included study was thoroughly examined and coded based on important ideas, conclusions, and recurrent problems in accordance with the methodology described in Chapter 3. A data extraction and coding table (see Appendix A) was used to record the coding process. This table made it clear how different codes were categorised into more general analytical themes.</w:t>
      </w:r>
    </w:p>
    <w:p w14:paraId="40677617" w14:textId="77777777" w:rsidR="008F23C7" w:rsidRPr="00750B5B" w:rsidRDefault="008F23C7" w:rsidP="008F23C7"/>
    <w:p w14:paraId="3B39D7B4" w14:textId="77777777" w:rsidR="00636D9A" w:rsidRDefault="00636D9A" w:rsidP="001C3AF6"/>
    <w:p w14:paraId="1E614ABD" w14:textId="7ADC5C70" w:rsidR="001C3AF6" w:rsidRDefault="001C3AF6" w:rsidP="003B1E32">
      <w:pPr>
        <w:pStyle w:val="Heading2"/>
      </w:pPr>
      <w:r w:rsidRPr="00636D9A">
        <w:t xml:space="preserve">4.3 – </w:t>
      </w:r>
      <w:r w:rsidR="006044AC" w:rsidRPr="00793A41">
        <w:rPr>
          <w:b/>
          <w:bCs/>
          <w:u w:val="single"/>
        </w:rPr>
        <w:t>Digital Literacy and Digital Skills</w:t>
      </w:r>
      <w:r w:rsidR="006044AC">
        <w:t xml:space="preserve"> </w:t>
      </w:r>
      <w:r w:rsidRPr="00636D9A">
        <w:t xml:space="preserve"> </w:t>
      </w:r>
    </w:p>
    <w:p w14:paraId="349CC293" w14:textId="77777777" w:rsidR="00793A41" w:rsidRDefault="00793A41" w:rsidP="007063BA">
      <w:pPr>
        <w:pStyle w:val="Heading4"/>
        <w:rPr>
          <w:rFonts w:ascii="Aptos" w:hAnsi="Aptos"/>
        </w:rPr>
      </w:pPr>
    </w:p>
    <w:p w14:paraId="6A9340EB" w14:textId="14605A1C" w:rsidR="00793A41" w:rsidRPr="00AA483F" w:rsidRDefault="00793A41" w:rsidP="00AA483F">
      <w:pPr>
        <w:rPr>
          <w:rFonts w:ascii="Arial" w:hAnsi="Arial" w:cs="Arial"/>
        </w:rPr>
      </w:pPr>
      <w:r>
        <w:rPr>
          <w:rFonts w:ascii="Arial" w:hAnsi="Arial" w:cs="Arial"/>
        </w:rPr>
        <w:t xml:space="preserve">The ability </w:t>
      </w:r>
      <w:r w:rsidRPr="00793A41">
        <w:rPr>
          <w:rFonts w:ascii="Arial" w:hAnsi="Arial" w:cs="Arial"/>
        </w:rPr>
        <w:t>to</w:t>
      </w:r>
      <w:r w:rsidRPr="00793A41">
        <w:rPr>
          <w:rFonts w:ascii="Arial" w:hAnsi="Arial" w:cs="Arial"/>
        </w:rPr>
        <w:t xml:space="preserve"> access, comprehend, assess, and effectively use digital technology to find information, communicate, and carry out daily duties is referred to as digital literacy (NHS England, 2023). Digital literacy in the healthcare industry goes beyond simple computer skills </w:t>
      </w:r>
      <w:r w:rsidRPr="00793A41">
        <w:rPr>
          <w:rFonts w:ascii="Arial" w:hAnsi="Arial" w:cs="Arial"/>
        </w:rPr>
        <w:lastRenderedPageBreak/>
        <w:t>to include the information, self-assurance, and proficiency needed to utilise digital health services, such as telehealth consultations, electronic health records, online appointment scheduling, and mobile health apps. The ability to comprehend health information provided by digital platforms and make knowledgeable decisions about their medical care is another aspect of digital literacy for older individuals</w:t>
      </w:r>
      <w:r>
        <w:rPr>
          <w:rFonts w:ascii="Arial" w:hAnsi="Arial" w:cs="Arial"/>
        </w:rPr>
        <w:t xml:space="preserve"> (World Health Organisation, 2021). </w:t>
      </w:r>
      <w:r w:rsidRPr="00793A41">
        <w:rPr>
          <w:rFonts w:ascii="Arial" w:hAnsi="Arial" w:cs="Arial"/>
        </w:rPr>
        <w:t>As a result, digital literacy is acknowledged as a key factor in determining digital inclusion, impacting a person's ability to interact with increasingly digital healthcare systems. According to this dissertation, one of the main factors influencing older individuals' fair access to digital health services in the UK is digital literacy</w:t>
      </w:r>
    </w:p>
    <w:p w14:paraId="737DCCB9" w14:textId="77777777" w:rsidR="00AA483F" w:rsidRDefault="00AA483F" w:rsidP="007063BA">
      <w:pPr>
        <w:pStyle w:val="Heading4"/>
        <w:rPr>
          <w:rFonts w:ascii="Aptos" w:hAnsi="Aptos"/>
        </w:rPr>
      </w:pPr>
    </w:p>
    <w:p w14:paraId="2A630F43" w14:textId="7CF39E4C" w:rsidR="00AA483F" w:rsidRPr="00AA483F" w:rsidRDefault="00AA483F" w:rsidP="00AA483F">
      <w:pPr>
        <w:rPr>
          <w:rFonts w:ascii="Arial" w:hAnsi="Arial" w:cs="Arial"/>
        </w:rPr>
      </w:pPr>
      <w:r>
        <w:rPr>
          <w:rFonts w:ascii="Arial" w:hAnsi="Arial" w:cs="Arial"/>
        </w:rPr>
        <w:t xml:space="preserve">As health </w:t>
      </w:r>
      <w:r w:rsidRPr="00AA483F">
        <w:rPr>
          <w:rFonts w:ascii="Arial" w:hAnsi="Arial" w:cs="Arial"/>
        </w:rPr>
        <w:t>systems have shifted to technologically enabled forms of care, the significance of digital literacy has grown significantly. In the past, digital technologies were used to increase administrative efficiency through digital communication between healthcare providers and electronic patient data. However, the integration of online consultations, electronic prescribing, patient portals, and the NHS App into regular healthcare delivery was hastened by the quick growth of digital health services, especially during the COVID-19 pandemic (</w:t>
      </w:r>
      <w:r w:rsidR="00E25B04">
        <w:rPr>
          <w:rFonts w:ascii="Arial" w:hAnsi="Arial" w:cs="Arial"/>
        </w:rPr>
        <w:t xml:space="preserve">Peek et al., 2014; </w:t>
      </w:r>
      <w:r w:rsidRPr="00AA483F">
        <w:rPr>
          <w:rFonts w:ascii="Arial" w:hAnsi="Arial" w:cs="Arial"/>
        </w:rPr>
        <w:t xml:space="preserve">NHS England, 2019; World Health </w:t>
      </w:r>
      <w:r>
        <w:rPr>
          <w:rFonts w:ascii="Arial" w:hAnsi="Arial" w:cs="Arial"/>
        </w:rPr>
        <w:t>Organisation</w:t>
      </w:r>
      <w:r w:rsidRPr="00AA483F">
        <w:rPr>
          <w:rFonts w:ascii="Arial" w:hAnsi="Arial" w:cs="Arial"/>
        </w:rPr>
        <w:t>, 2021).</w:t>
      </w:r>
      <w:r>
        <w:rPr>
          <w:rFonts w:ascii="Arial" w:hAnsi="Arial" w:cs="Arial"/>
        </w:rPr>
        <w:t xml:space="preserve"> </w:t>
      </w:r>
      <w:r w:rsidRPr="00AA483F">
        <w:rPr>
          <w:rFonts w:ascii="Arial" w:hAnsi="Arial" w:cs="Arial"/>
        </w:rPr>
        <w:t>As a result, patients are expected to have the digital skills necessary to access and use these services on their own.</w:t>
      </w:r>
      <w:r>
        <w:rPr>
          <w:rFonts w:ascii="Arial" w:hAnsi="Arial" w:cs="Arial"/>
        </w:rPr>
        <w:t xml:space="preserve"> </w:t>
      </w:r>
      <w:r w:rsidRPr="00AA483F">
        <w:rPr>
          <w:rFonts w:ascii="Arial" w:hAnsi="Arial" w:cs="Arial"/>
        </w:rPr>
        <w:t xml:space="preserve">This shift has brought both opportunities and difficulties for </w:t>
      </w:r>
      <w:r>
        <w:rPr>
          <w:rFonts w:ascii="Arial" w:hAnsi="Arial" w:cs="Arial"/>
        </w:rPr>
        <w:t>older individuals</w:t>
      </w:r>
      <w:r w:rsidRPr="00AA483F">
        <w:rPr>
          <w:rFonts w:ascii="Arial" w:hAnsi="Arial" w:cs="Arial"/>
        </w:rPr>
        <w:t xml:space="preserve">. For many people, digital health has enhanced convenience, access, and continuity of care; </w:t>
      </w:r>
      <w:r w:rsidRPr="00AA483F">
        <w:rPr>
          <w:rFonts w:ascii="Arial" w:hAnsi="Arial" w:cs="Arial"/>
        </w:rPr>
        <w:t>yet</w:t>
      </w:r>
      <w:r w:rsidRPr="00AA483F">
        <w:rPr>
          <w:rFonts w:ascii="Arial" w:hAnsi="Arial" w:cs="Arial"/>
        </w:rPr>
        <w:t xml:space="preserve"> people with low levels of digital literacy have found it more challenging to interact with healthcare services. Because of this, digital literacy has changed from being a desirable ability to an essential part of healthcare access, which makes it crucial to comprehending digital inclusion and health disparities in the UK.</w:t>
      </w:r>
    </w:p>
    <w:p w14:paraId="51708B00" w14:textId="77777777" w:rsidR="00AA483F" w:rsidRDefault="00AA483F" w:rsidP="007063BA">
      <w:pPr>
        <w:pStyle w:val="Heading4"/>
        <w:rPr>
          <w:rFonts w:ascii="Aptos" w:hAnsi="Aptos"/>
        </w:rPr>
      </w:pPr>
    </w:p>
    <w:p w14:paraId="66A078C1" w14:textId="299392EF" w:rsidR="00AA483F" w:rsidRPr="00C16392" w:rsidRDefault="00AA483F" w:rsidP="00C16392">
      <w:pPr>
        <w:rPr>
          <w:rFonts w:ascii="Arial" w:hAnsi="Arial" w:cs="Arial"/>
        </w:rPr>
      </w:pPr>
      <w:r w:rsidRPr="00AA483F">
        <w:rPr>
          <w:rFonts w:ascii="Arial" w:hAnsi="Arial" w:cs="Arial"/>
        </w:rPr>
        <w:t>This dissertation focuses on digital literacy since it has a direct impact on older individuals' access to, comprehension of, and usage of digital health services in the UK. People who lack the requisite digital knowledge, confidence, or practical abilities may find it challenging to interact with online consultations, electronic appointment systems, digital prescriptions, and patient portals as healthcare delivery increasingly uses digital technologies. As a result, digital inclusion and healthcare accessibility are now significantly influenced by digital literacy.</w:t>
      </w:r>
      <w:r>
        <w:rPr>
          <w:rFonts w:ascii="Arial" w:hAnsi="Arial" w:cs="Arial"/>
        </w:rPr>
        <w:t xml:space="preserve"> </w:t>
      </w:r>
      <w:r w:rsidRPr="00AA483F">
        <w:rPr>
          <w:rFonts w:ascii="Arial" w:hAnsi="Arial" w:cs="Arial"/>
        </w:rPr>
        <w:t xml:space="preserve">Since it sheds light on one of the main obstacles preventing older </w:t>
      </w:r>
      <w:r>
        <w:rPr>
          <w:rFonts w:ascii="Arial" w:hAnsi="Arial" w:cs="Arial"/>
        </w:rPr>
        <w:t>people</w:t>
      </w:r>
      <w:r w:rsidRPr="00AA483F">
        <w:rPr>
          <w:rFonts w:ascii="Arial" w:hAnsi="Arial" w:cs="Arial"/>
        </w:rPr>
        <w:t xml:space="preserve"> from using digital healthcare, this issue is closely related to the study question. A more thorough assessment of why access gaps endure despite ongoing investments in digital transformation throughout the NHS is made possible by an understanding of the impact of digital literacy. Additionally, by highlighting how deficiencies in digital capability may contribute to health disparities and </w:t>
      </w:r>
      <w:r w:rsidRPr="00AA483F">
        <w:rPr>
          <w:rFonts w:ascii="Arial" w:hAnsi="Arial" w:cs="Arial"/>
        </w:rPr>
        <w:lastRenderedPageBreak/>
        <w:t xml:space="preserve">limited access to healthcare, as well as by acknowledging that digital literacy interacts with broader personal, social, and organisational factors that will be examined in the following themes, analysing this theme advances the dissertation's overall </w:t>
      </w:r>
      <w:r w:rsidR="00095404" w:rsidRPr="00AA483F">
        <w:rPr>
          <w:rFonts w:ascii="Arial" w:hAnsi="Arial" w:cs="Arial"/>
        </w:rPr>
        <w:t>goal.</w:t>
      </w:r>
      <w:r w:rsidR="00095404" w:rsidRPr="005124EA">
        <w:rPr>
          <w:rFonts w:ascii="Arial" w:hAnsi="Arial" w:cs="Arial"/>
        </w:rPr>
        <w:t xml:space="preserve"> Digital</w:t>
      </w:r>
      <w:r w:rsidR="005124EA" w:rsidRPr="005124EA">
        <w:rPr>
          <w:rFonts w:ascii="Arial" w:hAnsi="Arial" w:cs="Arial"/>
        </w:rPr>
        <w:t xml:space="preserve"> literacy has been found to be a significant factor in determining older individuals' use of digital health services. In the UK, growing older is still disproportionately linked to digital marginalisation. According to Age UK (2024), 2.3 million adults 65 and older lack the fundamental digital skills needed to use online services on their own, which restricts their access to digital healthcare. In a similar vein, the Office for National Statistics (2024) discovered that internet use among people over 75 has drastically decreased, making older persons one of the least tech-savvy demographics. Given the growing reliance on digital platforms for obtaining NHS services, these findings are especially troubling.</w:t>
      </w:r>
      <w:r w:rsidR="005124EA">
        <w:rPr>
          <w:rFonts w:ascii="Arial" w:hAnsi="Arial" w:cs="Arial"/>
          <w:i/>
          <w:iCs/>
        </w:rPr>
        <w:t xml:space="preserve"> </w:t>
      </w:r>
      <w:r w:rsidR="005124EA" w:rsidRPr="005124EA">
        <w:rPr>
          <w:rFonts w:ascii="Arial" w:hAnsi="Arial" w:cs="Arial"/>
        </w:rPr>
        <w:t xml:space="preserve">These figures should be regarded cautiously, though. They show how widespread digital exclusion is, but they don't adequately address the causes of low digital involvement. While some older persons may have access to digital devices but lack the required assistance, confidence, or drive, others may decide not to utilise them despite having the requisite skills. Therefore, rather than being the only reason for digital exclusion, digital literacy should be seen as one part of a larger set of interrelated obstacles. These results highlight how crucial it is to build digital healthcare services using person-centred approaches that acknowledge the variety of experiences among older </w:t>
      </w:r>
      <w:r w:rsidR="005124EA">
        <w:rPr>
          <w:rFonts w:ascii="Arial" w:hAnsi="Arial" w:cs="Arial"/>
          <w:i/>
          <w:iCs/>
        </w:rPr>
        <w:t>individuals</w:t>
      </w:r>
      <w:r w:rsidR="005124EA" w:rsidRPr="005124EA">
        <w:rPr>
          <w:rFonts w:ascii="Arial" w:hAnsi="Arial" w:cs="Arial"/>
        </w:rPr>
        <w:t>.</w:t>
      </w:r>
    </w:p>
    <w:p w14:paraId="41FE4221" w14:textId="77777777" w:rsidR="00AA483F" w:rsidRDefault="00AA483F" w:rsidP="007063BA">
      <w:pPr>
        <w:pStyle w:val="Heading4"/>
        <w:rPr>
          <w:rFonts w:ascii="Aptos" w:hAnsi="Aptos"/>
        </w:rPr>
      </w:pPr>
    </w:p>
    <w:p w14:paraId="57089500" w14:textId="3FA2A6CB" w:rsidR="005124EA" w:rsidRDefault="005124EA" w:rsidP="005124EA">
      <w:pPr>
        <w:rPr>
          <w:rFonts w:ascii="Arial" w:hAnsi="Arial" w:cs="Arial"/>
        </w:rPr>
      </w:pPr>
      <w:r w:rsidRPr="005124EA">
        <w:rPr>
          <w:rFonts w:ascii="Arial" w:hAnsi="Arial" w:cs="Arial"/>
        </w:rPr>
        <w:t xml:space="preserve">A number of theoretical stances covered in Chapter 2 can help explain the results pertaining to digital literacy. According to the Technology Acceptance Model (TAM), people are more likely to embrace digital technologies if they believe they are practical and simple to use (Davis, 1989). This implies that older persons with low levels of digital literacy would find it challenging to use digital health platforms, which would make them less inclined to interact with services. In a similar vein, the Unified Theory of Acceptance and Use of Technology (UTAUT) </w:t>
      </w:r>
      <w:r w:rsidRPr="005124EA">
        <w:rPr>
          <w:rFonts w:ascii="Arial" w:hAnsi="Arial" w:cs="Arial"/>
        </w:rPr>
        <w:t>emphasise</w:t>
      </w:r>
      <w:r w:rsidRPr="005124EA">
        <w:rPr>
          <w:rFonts w:ascii="Arial" w:hAnsi="Arial" w:cs="Arial"/>
        </w:rPr>
        <w:t xml:space="preserve"> the significance of social influence and enabling circumstances, suggesting that digital skills training, family support, and advice from medical professionals can all have a positive impact on technology adoption (Venkatesh et al., 2003</w:t>
      </w:r>
      <w:r w:rsidR="00E25B04">
        <w:rPr>
          <w:rFonts w:ascii="Arial" w:hAnsi="Arial" w:cs="Arial"/>
        </w:rPr>
        <w:t xml:space="preserve">; Heart  &amp; </w:t>
      </w:r>
      <w:proofErr w:type="spellStart"/>
      <w:r w:rsidR="00E25B04">
        <w:rPr>
          <w:rFonts w:ascii="Arial" w:hAnsi="Arial" w:cs="Arial"/>
        </w:rPr>
        <w:t>Kalderon</w:t>
      </w:r>
      <w:proofErr w:type="spellEnd"/>
      <w:r w:rsidR="00E25B04">
        <w:rPr>
          <w:rFonts w:ascii="Arial" w:hAnsi="Arial" w:cs="Arial"/>
        </w:rPr>
        <w:t>, 2013</w:t>
      </w:r>
      <w:r w:rsidRPr="005124EA">
        <w:rPr>
          <w:rFonts w:ascii="Arial" w:hAnsi="Arial" w:cs="Arial"/>
        </w:rPr>
        <w:t>).</w:t>
      </w:r>
      <w:r>
        <w:rPr>
          <w:rFonts w:ascii="Arial" w:hAnsi="Arial" w:cs="Arial"/>
        </w:rPr>
        <w:t xml:space="preserve"> </w:t>
      </w:r>
      <w:r w:rsidRPr="005124EA">
        <w:rPr>
          <w:rFonts w:ascii="Arial" w:hAnsi="Arial" w:cs="Arial"/>
        </w:rPr>
        <w:t>Additionally, Digital Divide Theory (Van Dijk, 2005) offers a more comprehensive explanation by acknowledging that opportunities to acquire digital skills, socioeconomic disparities, and individual ability all influence digital exclusion.</w:t>
      </w:r>
    </w:p>
    <w:p w14:paraId="2B34D3C4" w14:textId="3AB21EC3" w:rsidR="005124EA" w:rsidRPr="005124EA" w:rsidRDefault="005124EA" w:rsidP="005124EA">
      <w:pPr>
        <w:rPr>
          <w:rFonts w:ascii="Arial" w:hAnsi="Arial" w:cs="Arial"/>
        </w:rPr>
      </w:pPr>
      <w:r w:rsidRPr="005124EA">
        <w:rPr>
          <w:rFonts w:ascii="Arial" w:hAnsi="Arial" w:cs="Arial"/>
        </w:rPr>
        <w:t xml:space="preserve">Current UK policy reflects these theoretical viewpoints. In order to increase patient access and service efficiency, the NHS Long Term Plan (NHS England, 2019) encourages the growth of digitally enabled healthcare while acknowledging the need to make sure that no patient is disadvantaged by growing digitalisation. The Inclusive Digital Healthcare Framework (NHS England, 2023) places additional emphasis on digital assistance, accessible service design, </w:t>
      </w:r>
      <w:r w:rsidRPr="005124EA">
        <w:rPr>
          <w:rFonts w:ascii="Arial" w:hAnsi="Arial" w:cs="Arial"/>
        </w:rPr>
        <w:lastRenderedPageBreak/>
        <w:t>and alternate pathways to care for people who are unable to independently access digital services. Similarly, in order to support equal access, the National Institute for Health and Care Excellence (NICE, 2022) suggests that digital health technologies should supplement rather than replace conventional healthcare approaches.</w:t>
      </w:r>
      <w:r>
        <w:rPr>
          <w:rFonts w:ascii="Arial" w:hAnsi="Arial" w:cs="Arial"/>
        </w:rPr>
        <w:t xml:space="preserve"> </w:t>
      </w:r>
      <w:r w:rsidRPr="005124EA">
        <w:rPr>
          <w:rFonts w:ascii="Arial" w:hAnsi="Arial" w:cs="Arial"/>
        </w:rPr>
        <w:t>These rules show a strong commitment to digital inclusion, but their application is still uneven in various healthcare environments. Persistent differences in older persons' digital literacy indicate that policy goals have not yet been consistently implemented. This emphasises the necessity of ongoing funding for community-based assistance, inclusive service design, and training in digital skills to make sure that digital transformation helps to lessen rather than increase health disparities.</w:t>
      </w:r>
    </w:p>
    <w:p w14:paraId="0C8ECC09" w14:textId="77777777" w:rsidR="005124EA" w:rsidRDefault="005124EA" w:rsidP="007063BA">
      <w:pPr>
        <w:pStyle w:val="Heading4"/>
        <w:rPr>
          <w:rFonts w:ascii="Aptos" w:hAnsi="Aptos"/>
        </w:rPr>
      </w:pPr>
    </w:p>
    <w:p w14:paraId="6A14DB8A" w14:textId="454DB6C0" w:rsidR="005124EA" w:rsidRPr="009440EA" w:rsidRDefault="009440EA" w:rsidP="009440EA">
      <w:pPr>
        <w:rPr>
          <w:rFonts w:ascii="Arial" w:hAnsi="Arial" w:cs="Arial"/>
        </w:rPr>
      </w:pPr>
      <w:r w:rsidRPr="009440EA">
        <w:rPr>
          <w:rFonts w:ascii="Arial" w:hAnsi="Arial" w:cs="Arial"/>
        </w:rPr>
        <w:t xml:space="preserve">The results show that older </w:t>
      </w:r>
      <w:r>
        <w:rPr>
          <w:rFonts w:ascii="Arial" w:hAnsi="Arial" w:cs="Arial"/>
        </w:rPr>
        <w:t>individuals’</w:t>
      </w:r>
      <w:r w:rsidRPr="009440EA">
        <w:rPr>
          <w:rFonts w:ascii="Arial" w:hAnsi="Arial" w:cs="Arial"/>
        </w:rPr>
        <w:t xml:space="preserve"> access to healthcare and health equity are significantly impacted by digital literacy. People with low levels of digital literacy may find it harder to manage long-term diseases using digital platforms, have less access to primary care services, and communicate with medical experts more slowly. As a result, lower levels of digital proficiency may exacerbate already-existing health disparities and lead to worse health outcomes. On the other hand, enhancing digital literacy through customised instruction, community support initiatives, and user-centred digital design may boost patient confidence, boost involvement with digital health services, and encourage more independence.</w:t>
      </w:r>
      <w:r>
        <w:rPr>
          <w:rFonts w:ascii="Arial" w:hAnsi="Arial" w:cs="Arial"/>
        </w:rPr>
        <w:t xml:space="preserve"> </w:t>
      </w:r>
      <w:r w:rsidRPr="009440EA">
        <w:rPr>
          <w:rFonts w:ascii="Arial" w:hAnsi="Arial" w:cs="Arial"/>
        </w:rPr>
        <w:t>However, rather than taking the place of conventional healthcare access techniques, digital literacy initiatives should enhance them. In order to uphold the values of person-centred care and lower the danger of digital exclusion, a balanced approach is necessary to guarantee that people who are unable or unwilling to use digital technology continue to have fair access to healthcare services.</w:t>
      </w:r>
    </w:p>
    <w:p w14:paraId="06E34FD6" w14:textId="77777777" w:rsidR="005124EA" w:rsidRDefault="005124EA" w:rsidP="0082760D">
      <w:pPr>
        <w:pStyle w:val="Heading4"/>
        <w:rPr>
          <w:rFonts w:ascii="Aptos" w:hAnsi="Aptos"/>
        </w:rPr>
      </w:pPr>
    </w:p>
    <w:p w14:paraId="7919DFD4" w14:textId="18FEF077" w:rsidR="00986361" w:rsidRDefault="009440EA" w:rsidP="00986361">
      <w:r>
        <w:rPr>
          <w:rFonts w:ascii="Arial" w:hAnsi="Arial" w:cs="Arial"/>
        </w:rPr>
        <w:t xml:space="preserve">The </w:t>
      </w:r>
      <w:r w:rsidRPr="009440EA">
        <w:rPr>
          <w:rFonts w:ascii="Arial" w:hAnsi="Arial" w:cs="Arial"/>
        </w:rPr>
        <w:t>literature</w:t>
      </w:r>
      <w:r w:rsidRPr="009440EA">
        <w:rPr>
          <w:rFonts w:ascii="Arial" w:hAnsi="Arial" w:cs="Arial"/>
        </w:rPr>
        <w:t xml:space="preserve"> review constantly highlighted the significance of digital literacy. In a comprehensive assessment of older individuals' barriers to digital healthcare, </w:t>
      </w:r>
      <w:proofErr w:type="spellStart"/>
      <w:r w:rsidRPr="009440EA">
        <w:rPr>
          <w:rFonts w:ascii="Arial" w:hAnsi="Arial" w:cs="Arial"/>
        </w:rPr>
        <w:t>Kunonga</w:t>
      </w:r>
      <w:proofErr w:type="spellEnd"/>
      <w:r w:rsidRPr="009440EA">
        <w:rPr>
          <w:rFonts w:ascii="Arial" w:hAnsi="Arial" w:cs="Arial"/>
        </w:rPr>
        <w:t xml:space="preserve"> et al. (2021) found that low digital confidence and skills greatly decreased use of digital health devices. Improving digital literacy may boost involvement in digital healthcare, according to the authors, who noted that many older persons needed more training and more support to use online healthcare services efficiently. These results show that a significant obstacle to healthcare access is insufficient digital competence, which is in line with the current study question.</w:t>
      </w:r>
      <w:r>
        <w:rPr>
          <w:rFonts w:ascii="Arial" w:hAnsi="Arial" w:cs="Arial"/>
        </w:rPr>
        <w:t xml:space="preserve"> </w:t>
      </w:r>
      <w:r w:rsidRPr="009440EA">
        <w:rPr>
          <w:rFonts w:ascii="Arial" w:hAnsi="Arial" w:cs="Arial"/>
        </w:rPr>
        <w:t xml:space="preserve">In a similar </w:t>
      </w:r>
      <w:r>
        <w:rPr>
          <w:rFonts w:ascii="Arial" w:hAnsi="Arial" w:cs="Arial"/>
        </w:rPr>
        <w:t>circumstance</w:t>
      </w:r>
      <w:r w:rsidRPr="009440EA">
        <w:rPr>
          <w:rFonts w:ascii="Arial" w:hAnsi="Arial" w:cs="Arial"/>
        </w:rPr>
        <w:t xml:space="preserve">, Xie et al. (2022) discovered that interventions aimed at boosting digital literacy considerably increased older persons' self-assurance and inclination to interact with digital technologies. Their analysis showed that organised educational programs, hands-on training, and ongoing technical assistance enhanced digital competency and raised the utilisation of digital health services. These results lend credence to the idea </w:t>
      </w:r>
      <w:r w:rsidRPr="009440EA">
        <w:rPr>
          <w:rFonts w:ascii="Arial" w:hAnsi="Arial" w:cs="Arial"/>
        </w:rPr>
        <w:lastRenderedPageBreak/>
        <w:t>that digital literacy is a changeable obstacle rather than an unavoidable aspect of growing older.</w:t>
      </w:r>
      <w:r>
        <w:rPr>
          <w:rFonts w:ascii="Arial" w:hAnsi="Arial" w:cs="Arial"/>
        </w:rPr>
        <w:t xml:space="preserve"> </w:t>
      </w:r>
      <w:r w:rsidRPr="009440EA">
        <w:rPr>
          <w:rFonts w:ascii="Arial" w:hAnsi="Arial" w:cs="Arial"/>
        </w:rPr>
        <w:t>However, not all studies identified digital literacy as the sole determinant of digital health engagement.</w:t>
      </w:r>
      <w:r>
        <w:rPr>
          <w:rFonts w:ascii="Arial" w:hAnsi="Arial" w:cs="Arial"/>
        </w:rPr>
        <w:t xml:space="preserve"> </w:t>
      </w:r>
      <w:r w:rsidRPr="009440EA">
        <w:rPr>
          <w:rFonts w:ascii="Arial" w:hAnsi="Arial" w:cs="Arial"/>
        </w:rPr>
        <w:t xml:space="preserve">According to Gordon et al. (2022), organisational elements including inaccessible digital platforms, uneven support from healthcare professionals, and service design also affect engagement, even though digital skills are crucial. According to this viewpoint, increasing individual digital literacy might not be sufficient to end digital exclusion unless healthcare services are also made to be more inclusive and </w:t>
      </w:r>
      <w:r w:rsidR="00986361" w:rsidRPr="009440EA">
        <w:rPr>
          <w:rFonts w:ascii="Arial" w:hAnsi="Arial" w:cs="Arial"/>
        </w:rPr>
        <w:t>accessible</w:t>
      </w:r>
      <w:r w:rsidR="00986361">
        <w:t>.</w:t>
      </w:r>
    </w:p>
    <w:p w14:paraId="77575161" w14:textId="70ACBA0E" w:rsidR="00986361" w:rsidRPr="00986361" w:rsidRDefault="00986361" w:rsidP="00986361">
      <w:pPr>
        <w:rPr>
          <w:rFonts w:ascii="Arial" w:hAnsi="Arial" w:cs="Arial"/>
        </w:rPr>
      </w:pPr>
      <w:r w:rsidRPr="00986361">
        <w:rPr>
          <w:rFonts w:ascii="Arial" w:hAnsi="Arial" w:cs="Arial"/>
        </w:rPr>
        <w:t>The results show that the remaining subjects in this dissertation are directly related to digital literacy. Digital skills are essential for obtaining digital health services, but they are impacted by broader individual and socioeconomic factors, such as income, educational attainment, age-related physical and cognitive changes, and access to digital technologies. Additionally, the design of digital health services, the availability of expert assistance, and the accessibility of healthcare systems all affect how successful digital literacy is.</w:t>
      </w:r>
    </w:p>
    <w:p w14:paraId="25121051" w14:textId="77777777" w:rsidR="00986361" w:rsidRDefault="00986361" w:rsidP="003B1E32">
      <w:pPr>
        <w:pStyle w:val="Heading2"/>
      </w:pPr>
    </w:p>
    <w:p w14:paraId="04C6B448" w14:textId="77777777" w:rsidR="00986361" w:rsidRDefault="00986361" w:rsidP="003B1E32">
      <w:pPr>
        <w:pStyle w:val="Heading2"/>
      </w:pPr>
    </w:p>
    <w:p w14:paraId="2F9884B6" w14:textId="77777777" w:rsidR="00986361" w:rsidRDefault="00986361" w:rsidP="003B1E32">
      <w:pPr>
        <w:pStyle w:val="Heading2"/>
      </w:pPr>
    </w:p>
    <w:p w14:paraId="61B4EE1F" w14:textId="77777777" w:rsidR="00986361" w:rsidRDefault="00986361" w:rsidP="003B1E32">
      <w:pPr>
        <w:pStyle w:val="Heading2"/>
      </w:pPr>
    </w:p>
    <w:p w14:paraId="620F671D" w14:textId="4B5ABC93" w:rsidR="001C3AF6" w:rsidRDefault="001C3AF6" w:rsidP="003B1E32">
      <w:pPr>
        <w:pStyle w:val="Heading2"/>
      </w:pPr>
      <w:r w:rsidRPr="00636D9A">
        <w:t xml:space="preserve">4.4 – </w:t>
      </w:r>
      <w:r w:rsidR="00E77788" w:rsidRPr="00DD344D">
        <w:rPr>
          <w:b/>
          <w:bCs/>
        </w:rPr>
        <w:t>Individual and Socioeconomic Barriers to Digital Health Access</w:t>
      </w:r>
    </w:p>
    <w:p w14:paraId="35C7BB28" w14:textId="77777777" w:rsidR="00636D9A" w:rsidRPr="00636D9A" w:rsidRDefault="00636D9A" w:rsidP="001C3AF6">
      <w:pPr>
        <w:pStyle w:val="Heading1"/>
        <w:rPr>
          <w:rFonts w:ascii="Aptos" w:hAnsi="Aptos"/>
          <w:sz w:val="28"/>
          <w:szCs w:val="28"/>
        </w:rPr>
      </w:pPr>
    </w:p>
    <w:p w14:paraId="7D325FE0" w14:textId="77777777" w:rsidR="00E77788" w:rsidRDefault="00E77788" w:rsidP="002865F5">
      <w:pPr>
        <w:pStyle w:val="Heading4"/>
        <w:rPr>
          <w:rFonts w:ascii="Aptos" w:hAnsi="Aptos"/>
        </w:rPr>
      </w:pPr>
    </w:p>
    <w:p w14:paraId="4538AFFB" w14:textId="2F31DCC7" w:rsidR="00E77788" w:rsidRPr="00E77788" w:rsidRDefault="00E77788" w:rsidP="00E77788">
      <w:pPr>
        <w:rPr>
          <w:rFonts w:ascii="Arial" w:hAnsi="Arial" w:cs="Arial"/>
        </w:rPr>
      </w:pPr>
      <w:r w:rsidRPr="00E77788">
        <w:rPr>
          <w:rFonts w:ascii="Arial" w:hAnsi="Arial" w:cs="Arial"/>
        </w:rPr>
        <w:t>The psychological, physical, cognitive, and social aspects that affect an older adult's access to and use of digital health services are referred to as individual and socioeconomic obstacles. Age-related changes such diminished vision, hearing loss, diminished manual dexterity, cognitive decline, and decreasing confidence when utilising digital technologies are examples of individual barriers. Wider determinants of health, such as educational achievement, income, work history, internet connectivity, and access to suitable digital gadgets, are all included in socioeconomic barriers. These variables affect a person's ability to learn digital skills and engage in digitally enabled healthcare. Individual and socioeconomic constraints are acknowledged in this research as interrelated factors that lead to digital exclusion and affect how much older persons in the UK can benefit from digital health services.</w:t>
      </w:r>
      <w:r>
        <w:rPr>
          <w:rFonts w:ascii="Arial" w:hAnsi="Arial" w:cs="Arial"/>
        </w:rPr>
        <w:t xml:space="preserve"> </w:t>
      </w:r>
    </w:p>
    <w:p w14:paraId="41322FB9" w14:textId="77777777" w:rsidR="00E77788" w:rsidRDefault="00E77788" w:rsidP="002865F5">
      <w:pPr>
        <w:pStyle w:val="Heading4"/>
        <w:rPr>
          <w:rFonts w:ascii="Aptos" w:hAnsi="Aptos"/>
        </w:rPr>
      </w:pPr>
    </w:p>
    <w:p w14:paraId="60128C35" w14:textId="1CDC5DE7" w:rsidR="00CE4BC6" w:rsidRPr="00CE4BC6" w:rsidRDefault="00CE4BC6" w:rsidP="00CE4BC6">
      <w:pPr>
        <w:rPr>
          <w:rFonts w:ascii="Arial" w:hAnsi="Arial" w:cs="Arial"/>
        </w:rPr>
      </w:pPr>
      <w:r w:rsidRPr="00CE4BC6">
        <w:rPr>
          <w:rFonts w:ascii="Arial" w:hAnsi="Arial" w:cs="Arial"/>
        </w:rPr>
        <w:t>Individual and socioeconomic barriers have long been recognised as important determinants of health inequalities and healthcare access.</w:t>
      </w:r>
      <w:r>
        <w:rPr>
          <w:rFonts w:ascii="Arial" w:hAnsi="Arial" w:cs="Arial"/>
        </w:rPr>
        <w:t xml:space="preserve"> </w:t>
      </w:r>
      <w:r w:rsidRPr="00CE4BC6">
        <w:rPr>
          <w:rFonts w:ascii="Arial" w:hAnsi="Arial" w:cs="Arial"/>
        </w:rPr>
        <w:t xml:space="preserve">However, their impact on older individuals' access to health services has increased due to the growing digitisation of healthcare. In the </w:t>
      </w:r>
      <w:r w:rsidRPr="00CE4BC6">
        <w:rPr>
          <w:rFonts w:ascii="Arial" w:hAnsi="Arial" w:cs="Arial"/>
        </w:rPr>
        <w:lastRenderedPageBreak/>
        <w:t>past, in-person consultations, phone appointments, and paper-based correspondence were the main ways that healthcare was provided. The NHS has increased the rollout of digital services, including as online appointment scheduling, remote consultations, electronic prescribing, and the NHS App, over the last ten years, especially after the COVID-19 epidemic (NHS England, 2019). For many service users, these advancements have boosted efficiency and convenience, but they have also increased reliance on digital technologies.</w:t>
      </w:r>
      <w:r>
        <w:rPr>
          <w:rFonts w:ascii="Arial" w:hAnsi="Arial" w:cs="Arial"/>
        </w:rPr>
        <w:t xml:space="preserve"> </w:t>
      </w:r>
      <w:r w:rsidRPr="00CE4BC6">
        <w:rPr>
          <w:rFonts w:ascii="Arial" w:hAnsi="Arial" w:cs="Arial"/>
        </w:rPr>
        <w:t xml:space="preserve">Many older </w:t>
      </w:r>
      <w:r>
        <w:rPr>
          <w:rFonts w:ascii="Arial" w:hAnsi="Arial" w:cs="Arial"/>
        </w:rPr>
        <w:t>people</w:t>
      </w:r>
      <w:r w:rsidRPr="00CE4BC6">
        <w:rPr>
          <w:rFonts w:ascii="Arial" w:hAnsi="Arial" w:cs="Arial"/>
        </w:rPr>
        <w:t xml:space="preserve"> may have less opportunity to use digital healthcare due to age-related physical changes, chronic health issues, decreased educational attainment, and socioeconomic hardship. Digital exclusion is impacted by broader societal variables rather than just technology, as acknowledged by the Digital Inclusion Strategy and following NHS digital inclusion activities (Department for Science, Innovation and Technology, 2024). Therefore, ensuring fair access to healthcare and lowering health disparities among older persons require a knowledge of these interrelated hurdles.</w:t>
      </w:r>
    </w:p>
    <w:p w14:paraId="1800EAD5" w14:textId="7BA1BF42" w:rsidR="002865F5" w:rsidRPr="007063BA" w:rsidRDefault="002865F5" w:rsidP="002865F5">
      <w:pPr>
        <w:pStyle w:val="Heading4"/>
        <w:rPr>
          <w:rFonts w:ascii="Aptos" w:hAnsi="Aptos"/>
        </w:rPr>
      </w:pPr>
    </w:p>
    <w:p w14:paraId="385FA702" w14:textId="604A6733" w:rsidR="00CE4BC6" w:rsidRPr="00CE4BC6" w:rsidRDefault="00CE4BC6" w:rsidP="00CE4BC6">
      <w:pPr>
        <w:rPr>
          <w:rFonts w:ascii="Arial" w:hAnsi="Arial" w:cs="Arial"/>
        </w:rPr>
      </w:pPr>
      <w:r w:rsidRPr="00CE4BC6">
        <w:rPr>
          <w:rFonts w:ascii="Arial" w:hAnsi="Arial" w:cs="Arial"/>
        </w:rPr>
        <w:t>The research topic of the dissertation is directly addressed by this theme, which looks at how socioeconomic status and personal traits affect older individuals' access to digital health services in the UK. The literature shows that obstacles like physical impairment, cognitive decline, lower income, limited educational opportunities, and restricted access to digital infrastructure often coexist and collectively reduce digital health participation, even though digital literacy is a significant determinant of engagement. Consequently, digital exclusion and unequal access to healthcare are more likely to affect older persons who face numerous disadvantages.</w:t>
      </w:r>
      <w:r>
        <w:rPr>
          <w:rFonts w:ascii="Arial" w:hAnsi="Arial" w:cs="Arial"/>
        </w:rPr>
        <w:t xml:space="preserve"> </w:t>
      </w:r>
      <w:r w:rsidRPr="00CE4BC6">
        <w:rPr>
          <w:rFonts w:ascii="Arial" w:hAnsi="Arial" w:cs="Arial"/>
        </w:rPr>
        <w:t>Comprehending these obstacles is essential to accomplishing the research goal since it shows that increasing access to digital health services necessitates more than just developing digital skills. To ensure that digital transformation promotes equitable healthcare delivery rather than perpetuating current inequities, it is equally vital to address broader social determinants of health, improve accessibility, and reduce socioeconomic disparities.</w:t>
      </w:r>
    </w:p>
    <w:p w14:paraId="67972AF3" w14:textId="77777777" w:rsidR="00CE4BC6" w:rsidRDefault="00CE4BC6" w:rsidP="002865F5">
      <w:pPr>
        <w:pStyle w:val="Heading4"/>
        <w:rPr>
          <w:rFonts w:ascii="Aptos" w:hAnsi="Aptos"/>
        </w:rPr>
      </w:pPr>
    </w:p>
    <w:p w14:paraId="4EE9073E" w14:textId="54281218" w:rsidR="00CE4BC6" w:rsidRPr="00CE4BC6" w:rsidRDefault="00F228C5" w:rsidP="00CE4BC6">
      <w:pPr>
        <w:rPr>
          <w:rFonts w:ascii="Arial" w:hAnsi="Arial" w:cs="Arial"/>
        </w:rPr>
      </w:pPr>
      <w:r w:rsidRPr="00F228C5">
        <w:rPr>
          <w:rFonts w:ascii="Arial" w:hAnsi="Arial" w:cs="Arial"/>
        </w:rPr>
        <w:t xml:space="preserve">Evidence from throughout the country shows that socioeconomic and individual factors still have an impact on older individuals' digital exclusion. Despite ongoing advancements in digital connectivity, the Office for National Statistics (2024) reports that internet use among adults 75 years of age and older is still significantly lower than in younger age groups. According to Lloyds Bank (2024), the UK's digitally excluded population is still disproportionately made up of older folks, people with impairments, and those with lower incomes. These results imply that rather than being solely related to age, digital exclusion </w:t>
      </w:r>
      <w:r w:rsidR="00B137EA" w:rsidRPr="00F228C5">
        <w:rPr>
          <w:rFonts w:ascii="Arial" w:hAnsi="Arial" w:cs="Arial"/>
        </w:rPr>
        <w:t>reflects</w:t>
      </w:r>
      <w:r w:rsidRPr="00F228C5">
        <w:rPr>
          <w:rFonts w:ascii="Arial" w:hAnsi="Arial" w:cs="Arial"/>
        </w:rPr>
        <w:t xml:space="preserve"> broader socioeconomic disparities.</w:t>
      </w:r>
      <w:r>
        <w:rPr>
          <w:rFonts w:ascii="Arial" w:hAnsi="Arial" w:cs="Arial"/>
        </w:rPr>
        <w:t xml:space="preserve"> </w:t>
      </w:r>
      <w:r w:rsidRPr="00F228C5">
        <w:rPr>
          <w:rFonts w:ascii="Arial" w:hAnsi="Arial" w:cs="Arial"/>
        </w:rPr>
        <w:t xml:space="preserve">Additionally, studies show that disability and multimorbidity raise the risk of </w:t>
      </w:r>
      <w:r w:rsidRPr="00F228C5">
        <w:rPr>
          <w:rFonts w:ascii="Arial" w:hAnsi="Arial" w:cs="Arial"/>
        </w:rPr>
        <w:lastRenderedPageBreak/>
        <w:t xml:space="preserve">encountering obstacles to digital healthcare. According to a systematic review by </w:t>
      </w:r>
      <w:proofErr w:type="spellStart"/>
      <w:r w:rsidRPr="00F228C5">
        <w:rPr>
          <w:rFonts w:ascii="Arial" w:hAnsi="Arial" w:cs="Arial"/>
        </w:rPr>
        <w:t>Kunonga</w:t>
      </w:r>
      <w:proofErr w:type="spellEnd"/>
      <w:r w:rsidRPr="00F228C5">
        <w:rPr>
          <w:rFonts w:ascii="Arial" w:hAnsi="Arial" w:cs="Arial"/>
        </w:rPr>
        <w:t xml:space="preserve"> et al. (2021), physical constraints, low self-esteem, and restricted access to suitable technology often combine, resulting in cumulative barriers to digital health involvement. These results have significant ramifications because they show that single-factor treatments, including training in digital skills, may be ineffective unless more comprehensive socioeconomic and accessibility challenges are addressed concurrently. This highlights the necessity of coordinated strategies for digital inclusion in social and health care.</w:t>
      </w:r>
    </w:p>
    <w:p w14:paraId="12E91141" w14:textId="77777777" w:rsidR="00CE4BC6" w:rsidRDefault="00CE4BC6" w:rsidP="002865F5">
      <w:pPr>
        <w:pStyle w:val="Heading4"/>
        <w:rPr>
          <w:rFonts w:ascii="Aptos" w:hAnsi="Aptos"/>
        </w:rPr>
      </w:pPr>
    </w:p>
    <w:p w14:paraId="49BECA28" w14:textId="77777777" w:rsidR="008E0776" w:rsidRPr="008E0776" w:rsidRDefault="008E0776" w:rsidP="008E0776">
      <w:pPr>
        <w:rPr>
          <w:rFonts w:ascii="Arial" w:hAnsi="Arial" w:cs="Arial"/>
        </w:rPr>
      </w:pPr>
      <w:r w:rsidRPr="008E0776">
        <w:rPr>
          <w:rFonts w:ascii="Arial" w:hAnsi="Arial" w:cs="Arial"/>
        </w:rPr>
        <w:t xml:space="preserve">The Digital Divide Theory, which contends that digital exclusion goes beyond access to technology and is impacted by variations in digital skills, socioeconomic status, and the capacity to benefit from digital resources, can help explain the findings pertaining to individual and socioeconomic barriers (Van Dijk, 2005). This notion is especially pertinent to older </w:t>
      </w:r>
      <w:r>
        <w:rPr>
          <w:rFonts w:ascii="Arial" w:hAnsi="Arial" w:cs="Arial"/>
        </w:rPr>
        <w:t>people</w:t>
      </w:r>
      <w:r w:rsidRPr="008E0776">
        <w:rPr>
          <w:rFonts w:ascii="Arial" w:hAnsi="Arial" w:cs="Arial"/>
        </w:rPr>
        <w:t xml:space="preserve"> because they may have less opportunity to use digital health services due to variables like reduced educational attainment, limited income, and deteriorating physical or cognitive ability. Additionally, the World Health </w:t>
      </w:r>
      <w:r>
        <w:rPr>
          <w:rFonts w:ascii="Arial" w:hAnsi="Arial" w:cs="Arial"/>
        </w:rPr>
        <w:t>Organisation’s</w:t>
      </w:r>
      <w:r w:rsidRPr="008E0776">
        <w:rPr>
          <w:rFonts w:ascii="Arial" w:hAnsi="Arial" w:cs="Arial"/>
        </w:rPr>
        <w:t xml:space="preserve"> Social Determinants of Health Framework (WHO, 2008) emphasises how broader social, economic, and environmental factors influence health outcomes.</w:t>
      </w:r>
      <w:r>
        <w:rPr>
          <w:rFonts w:ascii="Arial" w:hAnsi="Arial" w:cs="Arial"/>
        </w:rPr>
        <w:t xml:space="preserve"> </w:t>
      </w:r>
      <w:r w:rsidRPr="008E0776">
        <w:rPr>
          <w:rFonts w:ascii="Arial" w:hAnsi="Arial" w:cs="Arial"/>
        </w:rPr>
        <w:t>Using this paradigm for the current study shows that digital exclusion is closely related to more general disparities that impact healthcare access and is not just a problem associated with ageing.</w:t>
      </w:r>
    </w:p>
    <w:p w14:paraId="375E392C" w14:textId="77777777" w:rsidR="008E0776" w:rsidRPr="008E0776" w:rsidRDefault="008E0776" w:rsidP="008E0776">
      <w:pPr>
        <w:rPr>
          <w:rFonts w:ascii="Arial" w:hAnsi="Arial" w:cs="Arial"/>
        </w:rPr>
      </w:pPr>
    </w:p>
    <w:p w14:paraId="05419EF0" w14:textId="4ECAFD9C" w:rsidR="008E0776" w:rsidRPr="008E0776" w:rsidRDefault="008E0776" w:rsidP="008E0776">
      <w:pPr>
        <w:rPr>
          <w:rFonts w:ascii="Arial" w:hAnsi="Arial" w:cs="Arial"/>
        </w:rPr>
      </w:pPr>
      <w:r w:rsidRPr="008E0776">
        <w:rPr>
          <w:rFonts w:ascii="Arial" w:hAnsi="Arial" w:cs="Arial"/>
        </w:rPr>
        <w:t>The UK's current policy acknowledges these difficulties. While promoting digitally enabled healthcare, the NHS Long Term Plan (NHS England, 2019) emphasises that those who are unable to use digital technologies should still have access to alternate ways of receiving treatments. By enhancing digital skills, expanding access to devices and connectivity, and bolstering community-based support, the Department for Science, Innovation, and Technology's Digital Inclusion Action Plan (2024) seeks to lessen digital exclusion.</w:t>
      </w:r>
      <w:r w:rsidRPr="008E0776">
        <w:t xml:space="preserve"> </w:t>
      </w:r>
      <w:r w:rsidRPr="008E0776">
        <w:rPr>
          <w:rFonts w:ascii="Arial" w:hAnsi="Arial" w:cs="Arial"/>
        </w:rPr>
        <w:t xml:space="preserve">Additionally, the Health and Care Act of 2022 </w:t>
      </w:r>
      <w:r w:rsidRPr="008E0776">
        <w:rPr>
          <w:rFonts w:ascii="Arial" w:hAnsi="Arial" w:cs="Arial"/>
        </w:rPr>
        <w:t>encourage</w:t>
      </w:r>
      <w:r w:rsidRPr="008E0776">
        <w:rPr>
          <w:rFonts w:ascii="Arial" w:hAnsi="Arial" w:cs="Arial"/>
        </w:rPr>
        <w:t xml:space="preserve"> local services to overcome barriers impacting disadvantaged populations by emphasising the use of integrated care systems to reduce health disparities. Despite these advancements, data indicates that regional implementation is still uneven, suggesting that policy pledges by themselves are inadequate unless they are combined with ongoing funding for digital inclusion programs and easily available healthcare services.</w:t>
      </w:r>
      <w:r>
        <w:rPr>
          <w:rFonts w:ascii="Arial" w:hAnsi="Arial" w:cs="Arial"/>
        </w:rPr>
        <w:t xml:space="preserve"> </w:t>
      </w:r>
    </w:p>
    <w:p w14:paraId="525D080C" w14:textId="77777777" w:rsidR="008E0776" w:rsidRDefault="008E0776" w:rsidP="002865F5">
      <w:pPr>
        <w:pStyle w:val="Heading4"/>
        <w:rPr>
          <w:rFonts w:ascii="Aptos" w:hAnsi="Aptos"/>
        </w:rPr>
      </w:pPr>
    </w:p>
    <w:p w14:paraId="50A90797" w14:textId="77777777" w:rsidR="008E0776" w:rsidRDefault="008E0776" w:rsidP="0082760D">
      <w:pPr>
        <w:pStyle w:val="Heading4"/>
        <w:rPr>
          <w:rFonts w:ascii="Aptos" w:hAnsi="Aptos"/>
        </w:rPr>
      </w:pPr>
    </w:p>
    <w:p w14:paraId="6E95440E" w14:textId="3976251E" w:rsidR="008E0776" w:rsidRDefault="008E0776" w:rsidP="008E0776">
      <w:pPr>
        <w:rPr>
          <w:rFonts w:ascii="Arial" w:hAnsi="Arial" w:cs="Arial"/>
        </w:rPr>
      </w:pPr>
      <w:r w:rsidRPr="008E0776">
        <w:rPr>
          <w:rFonts w:ascii="Arial" w:hAnsi="Arial" w:cs="Arial"/>
        </w:rPr>
        <w:t>The results show that socioeconomic and personal obstacles have a big impact on fair access to digital health services. Digital exclusion and limited access to healthcare are more common among older persons with several disadvantages, such as physical limitations, financial hardships, and limited educational chances. This could lead to more health disparities, poorer long-term condition management, and delayed treatment. On the other hand, removing these obstacles through focused digital inclusion initiatives, reasonably priced internet access, easily accessible technology, and community-based assistance may enhance patient autonomy and healthcare engagement.</w:t>
      </w:r>
      <w:r>
        <w:rPr>
          <w:rFonts w:ascii="Arial" w:hAnsi="Arial" w:cs="Arial"/>
        </w:rPr>
        <w:t xml:space="preserve"> </w:t>
      </w:r>
      <w:r w:rsidRPr="008E0776">
        <w:rPr>
          <w:rFonts w:ascii="Arial" w:hAnsi="Arial" w:cs="Arial"/>
        </w:rPr>
        <w:t>However, interventions must recognise that older adults are a diverse population with varying needs and preferences.</w:t>
      </w:r>
      <w:r>
        <w:rPr>
          <w:rFonts w:ascii="Arial" w:hAnsi="Arial" w:cs="Arial"/>
        </w:rPr>
        <w:t xml:space="preserve"> </w:t>
      </w:r>
      <w:r w:rsidRPr="008E0776">
        <w:rPr>
          <w:rFonts w:ascii="Arial" w:hAnsi="Arial" w:cs="Arial"/>
        </w:rPr>
        <w:t>Therefore, in order to guarantee that digital transformation fosters inclusiveness rather than unintentionally exacerbating already-existing disparities, healthcare providers should embrace adaptable, person-centred strategies that integrate digital innovation with conventional healthcare delivery methods.</w:t>
      </w:r>
    </w:p>
    <w:p w14:paraId="7363E2CE" w14:textId="77777777" w:rsidR="008E0776" w:rsidRPr="008E0776" w:rsidRDefault="008E0776" w:rsidP="008E0776">
      <w:pPr>
        <w:rPr>
          <w:rFonts w:ascii="Arial" w:hAnsi="Arial" w:cs="Arial"/>
        </w:rPr>
      </w:pPr>
    </w:p>
    <w:p w14:paraId="48D7630B" w14:textId="511F2854" w:rsidR="008E0776" w:rsidRPr="008E0776" w:rsidRDefault="00B137EA" w:rsidP="008E0776">
      <w:pPr>
        <w:rPr>
          <w:rFonts w:ascii="Arial" w:hAnsi="Arial" w:cs="Arial"/>
        </w:rPr>
      </w:pPr>
      <w:r w:rsidRPr="00B137EA">
        <w:rPr>
          <w:rFonts w:ascii="Arial" w:hAnsi="Arial" w:cs="Arial"/>
        </w:rPr>
        <w:t xml:space="preserve">Evidence from the reviewed studies consistently demonstrates that individual and socioeconomic factors influence older </w:t>
      </w:r>
      <w:r>
        <w:rPr>
          <w:rFonts w:ascii="Arial" w:hAnsi="Arial" w:cs="Arial"/>
        </w:rPr>
        <w:t>individuals’</w:t>
      </w:r>
      <w:r w:rsidRPr="00B137EA">
        <w:rPr>
          <w:rFonts w:ascii="Arial" w:hAnsi="Arial" w:cs="Arial"/>
        </w:rPr>
        <w:t xml:space="preserve"> engagement with digital health services.</w:t>
      </w:r>
      <w:r>
        <w:rPr>
          <w:rFonts w:ascii="Arial" w:hAnsi="Arial" w:cs="Arial"/>
        </w:rPr>
        <w:t xml:space="preserve"> </w:t>
      </w:r>
      <w:r w:rsidRPr="00B137EA">
        <w:rPr>
          <w:rFonts w:ascii="Arial" w:hAnsi="Arial" w:cs="Arial"/>
        </w:rPr>
        <w:t xml:space="preserve">In a systematic assessment of digital technologies in health and social care, </w:t>
      </w:r>
      <w:proofErr w:type="spellStart"/>
      <w:r w:rsidRPr="00B137EA">
        <w:rPr>
          <w:rFonts w:ascii="Arial" w:hAnsi="Arial" w:cs="Arial"/>
        </w:rPr>
        <w:t>Kunonga</w:t>
      </w:r>
      <w:proofErr w:type="spellEnd"/>
      <w:r w:rsidRPr="00B137EA">
        <w:rPr>
          <w:rFonts w:ascii="Arial" w:hAnsi="Arial" w:cs="Arial"/>
        </w:rPr>
        <w:t xml:space="preserve"> et al. (2021) discovered that socioeconomic deprivation, physical restrictions, and low digital trust typically combined to lower use of digital services. The authors </w:t>
      </w:r>
      <w:r w:rsidRPr="00B137EA">
        <w:rPr>
          <w:rFonts w:ascii="Arial" w:hAnsi="Arial" w:cs="Arial"/>
        </w:rPr>
        <w:t>concluded</w:t>
      </w:r>
      <w:r w:rsidRPr="00B137EA">
        <w:rPr>
          <w:rFonts w:ascii="Arial" w:hAnsi="Arial" w:cs="Arial"/>
        </w:rPr>
        <w:t xml:space="preserve"> that interventions addressing both broader structural constraints and individual competence are necessary for successful digital inclusion.</w:t>
      </w:r>
      <w:r>
        <w:rPr>
          <w:rFonts w:ascii="Arial" w:hAnsi="Arial" w:cs="Arial"/>
        </w:rPr>
        <w:t xml:space="preserve"> Similarly, </w:t>
      </w:r>
      <w:r w:rsidR="00FD5952">
        <w:rPr>
          <w:rFonts w:ascii="Arial" w:hAnsi="Arial" w:cs="Arial"/>
        </w:rPr>
        <w:t xml:space="preserve">Seifert et al., &amp; </w:t>
      </w:r>
      <w:r w:rsidR="00F900A5">
        <w:rPr>
          <w:rFonts w:ascii="Arial" w:hAnsi="Arial" w:cs="Arial"/>
        </w:rPr>
        <w:t>Jokisch</w:t>
      </w:r>
      <w:r w:rsidRPr="00B137EA">
        <w:rPr>
          <w:rFonts w:ascii="Arial" w:hAnsi="Arial" w:cs="Arial"/>
        </w:rPr>
        <w:t xml:space="preserve"> et al (</w:t>
      </w:r>
      <w:r w:rsidR="00FD5952">
        <w:rPr>
          <w:rFonts w:ascii="Arial" w:hAnsi="Arial" w:cs="Arial"/>
        </w:rPr>
        <w:t xml:space="preserve">2021, </w:t>
      </w:r>
      <w:r w:rsidRPr="00B137EA">
        <w:rPr>
          <w:rFonts w:ascii="Arial" w:hAnsi="Arial" w:cs="Arial"/>
        </w:rPr>
        <w:t>2022) looked at older individuals' access to digital healthcare after the COVID-19 pandemic and found that lower income, less education, and limited availability to digital devices decreased involvement in remote treatment. The study contended that even in situations where services were broadly accessible, socioeconomic disparities still had an impact on digital engagement, underscoring the significance of tackling broader determinants of health.</w:t>
      </w:r>
      <w:r>
        <w:rPr>
          <w:rFonts w:ascii="Arial" w:hAnsi="Arial" w:cs="Arial"/>
        </w:rPr>
        <w:t xml:space="preserve"> Comparable results </w:t>
      </w:r>
      <w:r w:rsidRPr="00B137EA">
        <w:rPr>
          <w:rFonts w:ascii="Arial" w:hAnsi="Arial" w:cs="Arial"/>
        </w:rPr>
        <w:t xml:space="preserve">were reported by </w:t>
      </w:r>
      <w:r w:rsidR="00FD5952">
        <w:rPr>
          <w:rFonts w:ascii="Arial" w:hAnsi="Arial" w:cs="Arial"/>
        </w:rPr>
        <w:t>(Mace et al., 2022; Marston et al., 2020</w:t>
      </w:r>
      <w:r w:rsidRPr="00B137EA">
        <w:rPr>
          <w:rFonts w:ascii="Arial" w:hAnsi="Arial" w:cs="Arial"/>
        </w:rPr>
        <w:t xml:space="preserve">), who found that physical restrictions, low self-esteem, and accessibility issues were more likely to cause older persons with chronic disease or disability to have trouble utilising digital health technologies. All </w:t>
      </w:r>
      <w:r w:rsidR="00FD5952">
        <w:rPr>
          <w:rFonts w:ascii="Arial" w:hAnsi="Arial" w:cs="Arial"/>
        </w:rPr>
        <w:t>five</w:t>
      </w:r>
      <w:r w:rsidRPr="00B137EA">
        <w:rPr>
          <w:rFonts w:ascii="Arial" w:hAnsi="Arial" w:cs="Arial"/>
        </w:rPr>
        <w:t xml:space="preserve"> research</w:t>
      </w:r>
      <w:r w:rsidR="00FD5952">
        <w:rPr>
          <w:rFonts w:ascii="Arial" w:hAnsi="Arial" w:cs="Arial"/>
        </w:rPr>
        <w:t xml:space="preserve"> papers</w:t>
      </w:r>
      <w:r w:rsidRPr="00B137EA">
        <w:rPr>
          <w:rFonts w:ascii="Arial" w:hAnsi="Arial" w:cs="Arial"/>
        </w:rPr>
        <w:t xml:space="preserve"> acknowledged socioeconomic and individual barriers as important causes of digital exclusion, but they also underlined how these barriers interact with digital literacy and healthcare system design. The study issue is directly supported by the evidence, which collectively indicates that eliminating digital exclusion necessitates integrated actions targeting both individual situations and systemic inequities.</w:t>
      </w:r>
      <w:r>
        <w:rPr>
          <w:rFonts w:ascii="Arial" w:hAnsi="Arial" w:cs="Arial"/>
        </w:rPr>
        <w:t xml:space="preserve"> </w:t>
      </w:r>
    </w:p>
    <w:p w14:paraId="733C1C58" w14:textId="77777777" w:rsidR="008E0776" w:rsidRDefault="008E0776" w:rsidP="008E0776"/>
    <w:p w14:paraId="31FF77BA" w14:textId="77777777" w:rsidR="00B137EA" w:rsidRDefault="00B137EA" w:rsidP="003B1E32">
      <w:pPr>
        <w:pStyle w:val="Heading2"/>
      </w:pPr>
    </w:p>
    <w:p w14:paraId="46251200" w14:textId="67EAFAB7" w:rsidR="00B137EA" w:rsidRPr="00B137EA" w:rsidRDefault="00B137EA" w:rsidP="00B137EA">
      <w:pPr>
        <w:rPr>
          <w:rFonts w:ascii="Arial" w:hAnsi="Arial" w:cs="Arial"/>
        </w:rPr>
      </w:pPr>
      <w:r w:rsidRPr="00B137EA">
        <w:rPr>
          <w:rFonts w:ascii="Arial" w:hAnsi="Arial" w:cs="Arial"/>
        </w:rPr>
        <w:t>The other topics found in the thematic analysis are intimately related to this theme. The development of digital literacy and the degree to which older persons can profit from training in digital skills are often influenced by individual and social limitations. Similarly, elements of the healthcare system, such as the availability of digital platforms, service design, and expert assistance, can either lessen or increase the difficulties brought on by socioeconomic inequality. These connections show that obstacles to accessing digital health are cumulative rather than separate.</w:t>
      </w:r>
    </w:p>
    <w:p w14:paraId="29433807" w14:textId="77777777" w:rsidR="00B137EA" w:rsidRDefault="00B137EA" w:rsidP="003B1E32">
      <w:pPr>
        <w:pStyle w:val="Heading2"/>
      </w:pPr>
    </w:p>
    <w:p w14:paraId="487FFFEB" w14:textId="77777777" w:rsidR="00B137EA" w:rsidRDefault="00B137EA" w:rsidP="003B1E32">
      <w:pPr>
        <w:pStyle w:val="Heading2"/>
      </w:pPr>
    </w:p>
    <w:p w14:paraId="3CADB6AC" w14:textId="36BD8E4E" w:rsidR="001C3AF6" w:rsidRDefault="001C3AF6" w:rsidP="003B1E32">
      <w:pPr>
        <w:pStyle w:val="Heading2"/>
      </w:pPr>
      <w:r w:rsidRPr="00636D9A">
        <w:t>4.5 – Theme 3</w:t>
      </w:r>
      <w:r w:rsidR="00BA1B12">
        <w:t xml:space="preserve">: </w:t>
      </w:r>
      <w:r w:rsidR="00BA1B12" w:rsidRPr="00BA1B12">
        <w:rPr>
          <w:b/>
          <w:bCs/>
        </w:rPr>
        <w:t>Health System Barriers and Strategies for Improving Digital Inclusion</w:t>
      </w:r>
      <w:r w:rsidR="00BA1B12">
        <w:t xml:space="preserve"> </w:t>
      </w:r>
      <w:r w:rsidRPr="00636D9A">
        <w:t xml:space="preserve"> </w:t>
      </w:r>
    </w:p>
    <w:p w14:paraId="0D8B4DA0" w14:textId="77777777" w:rsidR="00636D9A" w:rsidRPr="00636D9A" w:rsidRDefault="00636D9A" w:rsidP="001C3AF6">
      <w:pPr>
        <w:pStyle w:val="Heading1"/>
        <w:rPr>
          <w:rFonts w:ascii="Aptos" w:hAnsi="Aptos"/>
          <w:sz w:val="28"/>
          <w:szCs w:val="28"/>
        </w:rPr>
      </w:pPr>
    </w:p>
    <w:p w14:paraId="4BC2DA53" w14:textId="7A51F37B" w:rsidR="00BA1B12" w:rsidRPr="00BA1B12" w:rsidRDefault="00BA1B12" w:rsidP="00BA1B12">
      <w:pPr>
        <w:rPr>
          <w:rFonts w:ascii="Arial" w:hAnsi="Arial" w:cs="Arial"/>
        </w:rPr>
      </w:pPr>
      <w:r w:rsidRPr="00BA1B12">
        <w:rPr>
          <w:rFonts w:ascii="Arial" w:hAnsi="Arial" w:cs="Arial"/>
        </w:rPr>
        <w:t xml:space="preserve">Organisational, structural, and service-related variables that affect a person's capacity to get and efficiently utilise healthcare services are referred to as health system barriers. These obstacles in the context of digital healthcare include the layout and usability of digital platforms, the accessibility of technical assistance, the digital proficiency of medical personnel, organisational preparedness, and the availability of alternate ways to obtain care. The idea of "digital inclusion," which refers to the process of guaranteeing that everyone has equal opportunities to access and benefit from digital technologies and services, regardless of age, socioeconomic status, or digital ability, is closely related to these obstacles (World Health </w:t>
      </w:r>
      <w:r>
        <w:rPr>
          <w:rFonts w:ascii="Arial" w:hAnsi="Arial" w:cs="Arial"/>
        </w:rPr>
        <w:t>Organisation</w:t>
      </w:r>
      <w:r w:rsidRPr="00BA1B12">
        <w:rPr>
          <w:rFonts w:ascii="Arial" w:hAnsi="Arial" w:cs="Arial"/>
        </w:rPr>
        <w:t>, 2021).</w:t>
      </w:r>
      <w:r w:rsidR="006B433A" w:rsidRPr="006B433A">
        <w:t xml:space="preserve"> </w:t>
      </w:r>
      <w:r w:rsidR="006B433A" w:rsidRPr="006B433A">
        <w:rPr>
          <w:rFonts w:ascii="Arial" w:hAnsi="Arial" w:cs="Arial"/>
        </w:rPr>
        <w:t xml:space="preserve">Since healthcare organisations are crucial in determining whether digital transformation enhances accessibility or unintentionally adds to digital exclusion among older persons, health system hurdles are </w:t>
      </w:r>
      <w:r w:rsidR="006B433A" w:rsidRPr="006B433A">
        <w:rPr>
          <w:rFonts w:ascii="Arial" w:hAnsi="Arial" w:cs="Arial"/>
        </w:rPr>
        <w:t>considered</w:t>
      </w:r>
      <w:r w:rsidR="006B433A" w:rsidRPr="006B433A">
        <w:rPr>
          <w:rFonts w:ascii="Arial" w:hAnsi="Arial" w:cs="Arial"/>
        </w:rPr>
        <w:t xml:space="preserve"> alongside digital inclusion methods in this dissertation.</w:t>
      </w:r>
      <w:r w:rsidR="006B433A">
        <w:rPr>
          <w:rFonts w:ascii="Arial" w:hAnsi="Arial" w:cs="Arial"/>
        </w:rPr>
        <w:t xml:space="preserve"> </w:t>
      </w:r>
    </w:p>
    <w:p w14:paraId="1159CA74" w14:textId="77777777" w:rsidR="00BA1B12" w:rsidRDefault="00BA1B12" w:rsidP="002865F5">
      <w:pPr>
        <w:pStyle w:val="Heading4"/>
        <w:rPr>
          <w:rFonts w:ascii="Aptos" w:hAnsi="Aptos"/>
        </w:rPr>
      </w:pPr>
    </w:p>
    <w:p w14:paraId="443D4654" w14:textId="77777777" w:rsidR="00BA1B12" w:rsidRDefault="00BA1B12" w:rsidP="002865F5">
      <w:pPr>
        <w:pStyle w:val="Heading4"/>
        <w:rPr>
          <w:rFonts w:ascii="Aptos" w:hAnsi="Aptos"/>
        </w:rPr>
      </w:pPr>
    </w:p>
    <w:p w14:paraId="086CC69D" w14:textId="77777777" w:rsidR="006B433A" w:rsidRDefault="006B433A" w:rsidP="002865F5">
      <w:pPr>
        <w:pStyle w:val="Heading4"/>
        <w:rPr>
          <w:rFonts w:ascii="Aptos" w:hAnsi="Aptos"/>
        </w:rPr>
      </w:pPr>
    </w:p>
    <w:p w14:paraId="28EC5C3F" w14:textId="21990D1A" w:rsidR="006B433A" w:rsidRPr="006B433A" w:rsidRDefault="006B433A" w:rsidP="006B433A">
      <w:pPr>
        <w:rPr>
          <w:rFonts w:ascii="Arial" w:hAnsi="Arial" w:cs="Arial"/>
        </w:rPr>
      </w:pPr>
      <w:r w:rsidRPr="006B433A">
        <w:rPr>
          <w:rFonts w:ascii="Arial" w:hAnsi="Arial" w:cs="Arial"/>
        </w:rPr>
        <w:t xml:space="preserve">Over the past ten years, the digital transformation of healthcare has progressed significantly, with health systems progressively implementing digital technologies to enhance patient access, service efficiency, and continuity of treatment. A major turning point was reached in England with the release of the NHS Long Term Plan (NHS England, 2019), which committed to expanding digital-first healthcare through programs including online consultations, the NHS App, and electronic prescribing. These advancements were further expedited during the </w:t>
      </w:r>
      <w:r w:rsidRPr="006B433A">
        <w:rPr>
          <w:rFonts w:ascii="Arial" w:hAnsi="Arial" w:cs="Arial"/>
        </w:rPr>
        <w:lastRenderedPageBreak/>
        <w:t xml:space="preserve">COVID-19 pandemic, when virtual consultations emerged as a crucial means of preserving healthcare delivery while minimising </w:t>
      </w:r>
      <w:r>
        <w:rPr>
          <w:rFonts w:ascii="Arial" w:hAnsi="Arial" w:cs="Arial"/>
        </w:rPr>
        <w:t>face to face</w:t>
      </w:r>
      <w:r w:rsidRPr="006B433A">
        <w:rPr>
          <w:rFonts w:ascii="Arial" w:hAnsi="Arial" w:cs="Arial"/>
        </w:rPr>
        <w:t xml:space="preserve"> interactions.</w:t>
      </w:r>
      <w:r>
        <w:rPr>
          <w:rFonts w:ascii="Arial" w:hAnsi="Arial" w:cs="Arial"/>
        </w:rPr>
        <w:t xml:space="preserve"> </w:t>
      </w:r>
      <w:r w:rsidRPr="006B433A">
        <w:rPr>
          <w:rFonts w:ascii="Arial" w:hAnsi="Arial" w:cs="Arial"/>
        </w:rPr>
        <w:t>While many patients now have better access, these developments have also brought attention to organisational issues with digital accessibility, service usability, and healthcare providers' abilities to assist groups that are digitally excluded. As a result, digital inclusion has emerged as a key strategic focus in UK healthcare policy, acknowledging that in order to guarantee fair healthcare delivery, technical innovation must be paired with accessible service design and suitable patient support.</w:t>
      </w:r>
    </w:p>
    <w:p w14:paraId="0085F838" w14:textId="77777777" w:rsidR="006B433A" w:rsidRDefault="006B433A" w:rsidP="002865F5">
      <w:pPr>
        <w:pStyle w:val="Heading4"/>
        <w:rPr>
          <w:rFonts w:ascii="Aptos" w:hAnsi="Aptos"/>
        </w:rPr>
      </w:pPr>
    </w:p>
    <w:p w14:paraId="318B07D4" w14:textId="7F1EE194" w:rsidR="006B433A" w:rsidRPr="006B433A" w:rsidRDefault="006B433A" w:rsidP="006B433A">
      <w:pPr>
        <w:rPr>
          <w:rFonts w:ascii="Arial" w:hAnsi="Arial" w:cs="Arial"/>
        </w:rPr>
      </w:pPr>
      <w:r w:rsidRPr="006B433A">
        <w:rPr>
          <w:rFonts w:ascii="Arial" w:hAnsi="Arial" w:cs="Arial"/>
        </w:rPr>
        <w:t>This theme is directly related to the study question since the design, implementation, and delivery of healthcare systems, in addition to older individuals' capacities, determine the accessibility of digital health services. Barriers within healthcare companies, such as poorly designed digital platforms, limited technical assistance, and inconsistent service supply, may lower participation with digital health services even in cases when people have sufficient digital literacy and access to technology. In order to determine why digital exclusion continues despite substantial investment in digital transformation throughout the NHS, it is crucial to comprehend health system constraints.</w:t>
      </w:r>
      <w:r>
        <w:rPr>
          <w:rFonts w:ascii="Arial" w:hAnsi="Arial" w:cs="Arial"/>
        </w:rPr>
        <w:t xml:space="preserve"> </w:t>
      </w:r>
      <w:r w:rsidRPr="006B433A">
        <w:rPr>
          <w:rFonts w:ascii="Arial" w:hAnsi="Arial" w:cs="Arial"/>
        </w:rPr>
        <w:t xml:space="preserve">Furthermore, by acknowledging that healthcare companies have an obligation to offer inclusive, accessible, and person-centred services, this issue expands the dissertation's emphasis beyond individual accountability. The overarching goal of creating measures that increase equitable access to digital healthcare throughout the United Kingdom is supported by an examination of organisational variables, which facilitates a more thorough understanding of the hurdles impacting older </w:t>
      </w:r>
      <w:r>
        <w:rPr>
          <w:rFonts w:ascii="Arial" w:hAnsi="Arial" w:cs="Arial"/>
        </w:rPr>
        <w:t>people</w:t>
      </w:r>
      <w:r w:rsidRPr="006B433A">
        <w:rPr>
          <w:rFonts w:ascii="Arial" w:hAnsi="Arial" w:cs="Arial"/>
        </w:rPr>
        <w:t>.</w:t>
      </w:r>
    </w:p>
    <w:p w14:paraId="5ACB8309" w14:textId="77777777" w:rsidR="006B433A" w:rsidRDefault="006B433A" w:rsidP="002865F5">
      <w:pPr>
        <w:pStyle w:val="Heading4"/>
        <w:rPr>
          <w:rFonts w:ascii="Aptos" w:hAnsi="Aptos"/>
        </w:rPr>
      </w:pPr>
    </w:p>
    <w:p w14:paraId="35725AF0" w14:textId="45100BC7" w:rsidR="00BC369B" w:rsidRPr="00BC369B" w:rsidRDefault="00BC369B" w:rsidP="00BC369B">
      <w:pPr>
        <w:rPr>
          <w:rFonts w:ascii="Arial" w:hAnsi="Arial" w:cs="Arial"/>
        </w:rPr>
      </w:pPr>
      <w:r w:rsidRPr="00BC369B">
        <w:rPr>
          <w:rFonts w:ascii="Arial" w:hAnsi="Arial" w:cs="Arial"/>
        </w:rPr>
        <w:t xml:space="preserve">Evidence from throughout the country shows how quickly digital healthcare is spreading throughout the NHS. Tens of millions of registered users use the NHS App to access services including scheduling appointments, getting repeat prescriptions, and viewing medical data, making it one of the most popular digital health platforms, according to NHS England (NHS England, 2024). Although the public's use of digital healthcare is growing, adoption is still unequal among demographic groups; older </w:t>
      </w:r>
      <w:r>
        <w:rPr>
          <w:rFonts w:ascii="Arial" w:hAnsi="Arial" w:cs="Arial"/>
        </w:rPr>
        <w:t>people</w:t>
      </w:r>
      <w:r w:rsidRPr="00BC369B">
        <w:rPr>
          <w:rFonts w:ascii="Arial" w:hAnsi="Arial" w:cs="Arial"/>
        </w:rPr>
        <w:t xml:space="preserve"> continue to report lower levels of digital engagement than younger adults (Office for National Statistics, 2024</w:t>
      </w:r>
      <w:r w:rsidR="00FD5952">
        <w:rPr>
          <w:rFonts w:ascii="Arial" w:hAnsi="Arial" w:cs="Arial"/>
        </w:rPr>
        <w:t>; Ofcom, 2024</w:t>
      </w:r>
      <w:r w:rsidRPr="00BC369B">
        <w:rPr>
          <w:rFonts w:ascii="Arial" w:hAnsi="Arial" w:cs="Arial"/>
        </w:rPr>
        <w:t>).</w:t>
      </w:r>
      <w:r>
        <w:rPr>
          <w:rFonts w:ascii="Arial" w:hAnsi="Arial" w:cs="Arial"/>
        </w:rPr>
        <w:t xml:space="preserve"> </w:t>
      </w:r>
      <w:r w:rsidRPr="00BC369B">
        <w:rPr>
          <w:rFonts w:ascii="Arial" w:hAnsi="Arial" w:cs="Arial"/>
        </w:rPr>
        <w:t>Additionally, data indicates that accessibility is still a major organisational concern. According to the Care Quality Commission (2024), even though digital innovations have increased service efficiency, some patients still have trouble getting care due to complicated digital systems, a lack of digital assistance, and uneven adoption across healthcare providers. These results show that reducing digital exclusion requires more than just technological innovation. For patients who are unable or unwilling to interact digitally, healthcare institutions must make sure that digital services are inclusive, accessible, and supported by alternate channels.</w:t>
      </w:r>
    </w:p>
    <w:p w14:paraId="2125F99F" w14:textId="77777777" w:rsidR="00BC369B" w:rsidRDefault="00BC369B" w:rsidP="002865F5">
      <w:pPr>
        <w:pStyle w:val="Heading4"/>
        <w:rPr>
          <w:rFonts w:ascii="Aptos" w:hAnsi="Aptos"/>
        </w:rPr>
      </w:pPr>
    </w:p>
    <w:p w14:paraId="3BA047C8" w14:textId="25699347" w:rsidR="00BC369B" w:rsidRPr="00BC369B" w:rsidRDefault="00BC369B" w:rsidP="00BC369B">
      <w:pPr>
        <w:rPr>
          <w:rFonts w:ascii="Arial" w:hAnsi="Arial" w:cs="Arial"/>
        </w:rPr>
      </w:pPr>
      <w:r w:rsidRPr="00BC369B">
        <w:rPr>
          <w:rFonts w:ascii="Arial" w:hAnsi="Arial" w:cs="Arial"/>
        </w:rPr>
        <w:t>The principles of person-centred care, which highlight that healthcare services should be responsive to the unique needs, preferences, and capacities of patients rather than following a uniform approach, can help explain health system limitations (McCormack and McCance, 2017</w:t>
      </w:r>
      <w:r w:rsidR="00FD5952">
        <w:rPr>
          <w:rFonts w:ascii="Arial" w:hAnsi="Arial" w:cs="Arial"/>
        </w:rPr>
        <w:t>; What Good Looks Like, 2022</w:t>
      </w:r>
      <w:r w:rsidRPr="00BC369B">
        <w:rPr>
          <w:rFonts w:ascii="Arial" w:hAnsi="Arial" w:cs="Arial"/>
        </w:rPr>
        <w:t>). This viewpoint emphasises the significance of creating services for people with different levels of digital confidence, physical ability, and health literacy in the context of digital healthcare. Applying person-centred care to this subject implies that rather than expecting patients to adapt to technology, healthcare organisations must adapt services to patients in order for digital transformation to be effective.</w:t>
      </w:r>
      <w:r>
        <w:rPr>
          <w:rFonts w:ascii="Arial" w:hAnsi="Arial" w:cs="Arial"/>
        </w:rPr>
        <w:t xml:space="preserve"> </w:t>
      </w:r>
      <w:r w:rsidRPr="00BC369B">
        <w:rPr>
          <w:rFonts w:ascii="Arial" w:hAnsi="Arial" w:cs="Arial"/>
        </w:rPr>
        <w:t xml:space="preserve">This strategy is highly supported by current UK policy. The Health and Care Act of 2022 </w:t>
      </w:r>
      <w:r w:rsidRPr="00BC369B">
        <w:rPr>
          <w:rFonts w:ascii="Arial" w:hAnsi="Arial" w:cs="Arial"/>
        </w:rPr>
        <w:t>uphold</w:t>
      </w:r>
      <w:r w:rsidRPr="00BC369B">
        <w:rPr>
          <w:rFonts w:ascii="Arial" w:hAnsi="Arial" w:cs="Arial"/>
        </w:rPr>
        <w:t xml:space="preserve"> Integrated Care Systems' obligation to lessen health disparities and enhance service accessibility for a variety of demographics. A Plan for Digital Health and Social Care (Department of Health and Social Care, 2022) and the NHS Long Term Plan (NHS England, 2019) both encourage the growth of digital healthcare while acknowledging that patient choice, accessibility, and inclusiveness are still essential values. Healthcare providers must also show that their services are responsive, equitable, and accessible to all service users, including those who could face digital exclusion, according to the Care Quality Commission's Single Assessment Framework (Care Quality Commission, 2023).</w:t>
      </w:r>
      <w:r w:rsidR="007B47DE">
        <w:rPr>
          <w:rFonts w:ascii="Arial" w:hAnsi="Arial" w:cs="Arial"/>
        </w:rPr>
        <w:t xml:space="preserve"> </w:t>
      </w:r>
      <w:r w:rsidR="007B47DE" w:rsidRPr="007B47DE">
        <w:rPr>
          <w:rFonts w:ascii="Arial" w:hAnsi="Arial" w:cs="Arial"/>
        </w:rPr>
        <w:t>When taken as a whole, these initiatives demonstrate a strong national commitment to digital transformation. However, research shows that implementation differs significantly throughout healthcare contexts because to variations in organisational resources, staff capabilities, and digital infrastructure. Therefore, sustained investment in accessible technology, workforce training, and inclusive service design, together with continuous assessment of digital inclusion activities, are necessary to achieve equitable digital healthcare.</w:t>
      </w:r>
    </w:p>
    <w:p w14:paraId="5F48EE6E" w14:textId="77777777" w:rsidR="00BC369B" w:rsidRDefault="00BC369B" w:rsidP="002865F5">
      <w:pPr>
        <w:pStyle w:val="Heading4"/>
        <w:rPr>
          <w:rFonts w:ascii="Aptos" w:hAnsi="Aptos"/>
        </w:rPr>
      </w:pPr>
    </w:p>
    <w:p w14:paraId="282C5883" w14:textId="77777777" w:rsidR="00BC369B" w:rsidRDefault="00BC369B" w:rsidP="002865F5">
      <w:pPr>
        <w:pStyle w:val="Heading4"/>
        <w:rPr>
          <w:rFonts w:ascii="Aptos" w:hAnsi="Aptos"/>
        </w:rPr>
      </w:pPr>
    </w:p>
    <w:p w14:paraId="4EAC517C" w14:textId="77777777" w:rsidR="003B755A" w:rsidRDefault="003B755A" w:rsidP="00FE5C58">
      <w:pPr>
        <w:pStyle w:val="Heading4"/>
        <w:rPr>
          <w:rFonts w:ascii="Aptos" w:hAnsi="Aptos"/>
        </w:rPr>
      </w:pPr>
    </w:p>
    <w:p w14:paraId="36713A6D" w14:textId="6E548520" w:rsidR="003B755A" w:rsidRPr="003B755A" w:rsidRDefault="003B755A" w:rsidP="003B755A">
      <w:pPr>
        <w:rPr>
          <w:rFonts w:ascii="Arial" w:hAnsi="Arial" w:cs="Arial"/>
        </w:rPr>
      </w:pPr>
      <w:r w:rsidRPr="003B755A">
        <w:rPr>
          <w:rFonts w:ascii="Arial" w:hAnsi="Arial" w:cs="Arial"/>
        </w:rPr>
        <w:t xml:space="preserve">The results imply that obstacles in the health system have a big impact on older </w:t>
      </w:r>
      <w:r w:rsidR="00102DFB">
        <w:rPr>
          <w:rFonts w:ascii="Arial" w:hAnsi="Arial" w:cs="Arial"/>
        </w:rPr>
        <w:t>individuals’</w:t>
      </w:r>
      <w:r w:rsidRPr="003B755A">
        <w:rPr>
          <w:rFonts w:ascii="Arial" w:hAnsi="Arial" w:cs="Arial"/>
        </w:rPr>
        <w:t xml:space="preserve"> ability to successfully adopt digital healthcare. Even while digital transformation has made healthcare services more effective, accessible, and convenient for many patients, organisational flaws could inadvertently make health disparities worse if services are not created with inclusivity in mind. Older </w:t>
      </w:r>
      <w:r w:rsidR="00102DFB">
        <w:rPr>
          <w:rFonts w:ascii="Arial" w:hAnsi="Arial" w:cs="Arial"/>
        </w:rPr>
        <w:t>individuals</w:t>
      </w:r>
      <w:r w:rsidRPr="003B755A">
        <w:rPr>
          <w:rFonts w:ascii="Arial" w:hAnsi="Arial" w:cs="Arial"/>
        </w:rPr>
        <w:t xml:space="preserve"> may be discouraged from using digital health services due to inaccessible digital platforms, uneven digital support, and differences in staff training. This could lead to delayed access to care and worse health outcomes.</w:t>
      </w:r>
      <w:r w:rsidR="00102DFB">
        <w:rPr>
          <w:rFonts w:ascii="Arial" w:hAnsi="Arial" w:cs="Arial"/>
        </w:rPr>
        <w:t xml:space="preserve"> </w:t>
      </w:r>
      <w:r w:rsidR="00102DFB" w:rsidRPr="00102DFB">
        <w:rPr>
          <w:rFonts w:ascii="Arial" w:hAnsi="Arial" w:cs="Arial"/>
        </w:rPr>
        <w:t>On the other hand, healthcare organisations may increase digital inclusion and improve healthcare experiences by placing a high priority on staff development, patient-</w:t>
      </w:r>
      <w:r w:rsidR="00102DFB" w:rsidRPr="00102DFB">
        <w:rPr>
          <w:rFonts w:ascii="Arial" w:hAnsi="Arial" w:cs="Arial"/>
        </w:rPr>
        <w:t>centred</w:t>
      </w:r>
      <w:r w:rsidR="00102DFB" w:rsidRPr="00102DFB">
        <w:rPr>
          <w:rFonts w:ascii="Arial" w:hAnsi="Arial" w:cs="Arial"/>
        </w:rPr>
        <w:t xml:space="preserve"> digital assistance, </w:t>
      </w:r>
      <w:r w:rsidR="00102DFB" w:rsidRPr="00102DFB">
        <w:rPr>
          <w:rFonts w:ascii="Arial" w:hAnsi="Arial" w:cs="Arial"/>
        </w:rPr>
        <w:lastRenderedPageBreak/>
        <w:t>and accessible service design. These results suggest that healthcare professionals, legislators, and tech developers should collaborate to guarantee that digital innovation benefits all parts of society, rather than relying exclusively on older persons to reduce digital exclusion. Therefore, attaining fair access and lowering health disparities requires organisational commitment to inclusive digital healthcare.</w:t>
      </w:r>
    </w:p>
    <w:p w14:paraId="3CCFDB7C" w14:textId="77777777" w:rsidR="003B755A" w:rsidRDefault="003B755A" w:rsidP="00FE5C58">
      <w:pPr>
        <w:pStyle w:val="Heading4"/>
        <w:rPr>
          <w:rFonts w:ascii="Aptos" w:hAnsi="Aptos"/>
        </w:rPr>
      </w:pPr>
    </w:p>
    <w:p w14:paraId="35D169C2" w14:textId="4D5262B4" w:rsidR="00102DFB" w:rsidRPr="00917E6F" w:rsidRDefault="00917E6F" w:rsidP="00917E6F">
      <w:pPr>
        <w:rPr>
          <w:rFonts w:ascii="Arial" w:hAnsi="Arial" w:cs="Arial"/>
        </w:rPr>
      </w:pPr>
      <w:r w:rsidRPr="00917E6F">
        <w:rPr>
          <w:rFonts w:ascii="Arial" w:hAnsi="Arial" w:cs="Arial"/>
        </w:rPr>
        <w:t>The role of healthcare systems in influencing older individuals' use of digital health services is frequently emphasised in the reviewed research. According to Mace et al. (2022), healthcare practitioners' ageist presumptions may lead to reduced expectations about older individuals' proficiency with digital technologies. The authors underlined that when given the right tools, support, and training, older persons may successfully engage with digital health. These results imply that professional attitudes and organisational culture are crucial in fostering digital inclusion.</w:t>
      </w:r>
      <w:r>
        <w:rPr>
          <w:rFonts w:ascii="Arial" w:hAnsi="Arial" w:cs="Arial"/>
        </w:rPr>
        <w:t xml:space="preserve"> </w:t>
      </w:r>
      <w:r w:rsidRPr="00917E6F">
        <w:rPr>
          <w:rFonts w:ascii="Arial" w:hAnsi="Arial" w:cs="Arial"/>
        </w:rPr>
        <w:t xml:space="preserve">In a similar </w:t>
      </w:r>
      <w:r>
        <w:rPr>
          <w:rFonts w:ascii="Arial" w:hAnsi="Arial" w:cs="Arial"/>
        </w:rPr>
        <w:t>circumstance</w:t>
      </w:r>
      <w:r w:rsidRPr="00917E6F">
        <w:rPr>
          <w:rFonts w:ascii="Arial" w:hAnsi="Arial" w:cs="Arial"/>
        </w:rPr>
        <w:t>, Brewster et al. (2014) found that staff involvement, organisational preparedness, and the usability of digital technologies are important factors that determine how well they are implemented in healthcare settings. Even though the analysis concentrated on telehealth uptake, the results are still pertinent since they show that organisational leadership, employee confidence, and continuous support all have an impact on digital innovation in addition to technology.</w:t>
      </w:r>
      <w:r>
        <w:rPr>
          <w:rFonts w:ascii="Arial" w:hAnsi="Arial" w:cs="Arial"/>
        </w:rPr>
        <w:t xml:space="preserve"> </w:t>
      </w:r>
      <w:r w:rsidRPr="00917E6F">
        <w:rPr>
          <w:rFonts w:ascii="Arial" w:hAnsi="Arial" w:cs="Arial"/>
        </w:rPr>
        <w:t>Jokisch, Schmidt, and Doh (2022), who discovered that perceived utility, self-efficacy, and available support greatly influenced older individuals' acceptance of digital health services, offer more proof. According to the study's findings, people were more inclined to use digital healthcare when they had access to technology along with social and professional support. When taken as a whole, these findings show that there is widespread consensus that healthcare institutions have a basic need to establish welcoming and inclusive settings that allow senior citizens to take use of digital health services. When taken as a whole, they support the research question by showing that increasing access to digital health necessitates both organisational commitment to digital inclusion and individual capabilities.</w:t>
      </w:r>
    </w:p>
    <w:p w14:paraId="5D397A48" w14:textId="77777777" w:rsidR="00FE5C58" w:rsidRDefault="00FE5C58" w:rsidP="00102DFB"/>
    <w:p w14:paraId="3150F1F9" w14:textId="77777777" w:rsidR="00102DFB" w:rsidRPr="00FE5C58" w:rsidRDefault="00102DFB" w:rsidP="00102DFB"/>
    <w:p w14:paraId="0866BC6B" w14:textId="77777777" w:rsidR="00917E6F" w:rsidRDefault="00917E6F" w:rsidP="003B1E32">
      <w:pPr>
        <w:pStyle w:val="Heading2"/>
      </w:pPr>
    </w:p>
    <w:p w14:paraId="262F5D7C" w14:textId="0E0508D4" w:rsidR="00636D9A" w:rsidRPr="0027008C" w:rsidRDefault="00917E6F" w:rsidP="0027008C">
      <w:pPr>
        <w:rPr>
          <w:rFonts w:ascii="Arial" w:hAnsi="Arial" w:cs="Arial"/>
        </w:rPr>
      </w:pPr>
      <w:r w:rsidRPr="00917E6F">
        <w:rPr>
          <w:rFonts w:ascii="Arial" w:hAnsi="Arial" w:cs="Arial"/>
        </w:rPr>
        <w:t xml:space="preserve">By showing how digital literacy and individual or socioeconomic characteristics both influence and are influenced by healthcare system barriers, this theme unifies the data given throughout the thematic analysis. When digital services are inaccessible or inadequately supported, older persons with weak digital abilities or those who are socioeconomically disadvantaged are especially impacted. On the other hand, effective communication, inclusive service design, </w:t>
      </w:r>
      <w:r w:rsidRPr="00917E6F">
        <w:rPr>
          <w:rFonts w:ascii="Arial" w:hAnsi="Arial" w:cs="Arial"/>
        </w:rPr>
        <w:lastRenderedPageBreak/>
        <w:t>and organisational dedication to digital inclusion can lessen the effects of these obstacles.</w:t>
      </w:r>
      <w:r>
        <w:rPr>
          <w:rFonts w:ascii="Arial" w:hAnsi="Arial" w:cs="Arial"/>
        </w:rPr>
        <w:t xml:space="preserve"> </w:t>
      </w:r>
      <w:r w:rsidR="007F76A1" w:rsidRPr="007F76A1">
        <w:rPr>
          <w:rFonts w:ascii="Arial" w:hAnsi="Arial" w:cs="Arial"/>
        </w:rPr>
        <w:t xml:space="preserve">The connections between the three </w:t>
      </w:r>
      <w:r w:rsidR="007F76A1">
        <w:rPr>
          <w:rFonts w:ascii="Arial" w:hAnsi="Arial" w:cs="Arial"/>
        </w:rPr>
        <w:t>themes</w:t>
      </w:r>
      <w:r w:rsidR="007F76A1" w:rsidRPr="007F76A1">
        <w:rPr>
          <w:rFonts w:ascii="Arial" w:hAnsi="Arial" w:cs="Arial"/>
        </w:rPr>
        <w:t xml:space="preserve"> show that increasing access to digital health services necessitates a comprehensive strategy that simultaneously addresses societal conditions, human capacity, and healthcare system architecture. The suggestions made in Chapter 5 are directly influenced by this integrated viewpoint, which offers a thorough grasp of the variables influencing older individuals' access to digital health services.</w:t>
      </w:r>
    </w:p>
    <w:p w14:paraId="455A0ECA" w14:textId="77777777" w:rsidR="0027008C" w:rsidRDefault="0027008C" w:rsidP="007F76A1">
      <w:pPr>
        <w:pStyle w:val="Heading1"/>
        <w:spacing w:line="360" w:lineRule="auto"/>
        <w:rPr>
          <w:rFonts w:cs="Arial"/>
          <w:b w:val="0"/>
          <w:bCs/>
          <w:sz w:val="22"/>
          <w:szCs w:val="22"/>
        </w:rPr>
      </w:pPr>
    </w:p>
    <w:p w14:paraId="5BDB517D" w14:textId="3CA13A0A" w:rsidR="007F76A1" w:rsidRPr="007F76A1" w:rsidRDefault="0027008C" w:rsidP="00C225F7">
      <w:pPr>
        <w:pStyle w:val="Heading1"/>
        <w:spacing w:line="360" w:lineRule="auto"/>
        <w:ind w:left="0"/>
        <w:rPr>
          <w:rFonts w:cs="Arial"/>
          <w:b w:val="0"/>
          <w:bCs/>
          <w:sz w:val="22"/>
          <w:szCs w:val="22"/>
        </w:rPr>
      </w:pPr>
      <w:r w:rsidRPr="0027008C">
        <w:rPr>
          <w:rFonts w:cs="Arial"/>
          <w:b w:val="0"/>
          <w:bCs/>
          <w:sz w:val="22"/>
          <w:szCs w:val="22"/>
        </w:rPr>
        <w:t xml:space="preserve">The results of the theme analysis were provided in this chapter, together with a critical discussion of the main obstacles preventing older individuals in the UK from accessing digital health services. Digital literacy and digital skills, individual and socioeconomic hurdles, and health system barriers and methods for enhancing digital inclusion were found to be three interrelated issues. When taken as a whole, these themes showed that digital exclusion is a complex problem impacted by personal capacities, broader social determinants of health, and healthcare system accessibility. The data showed that many older </w:t>
      </w:r>
      <w:r>
        <w:rPr>
          <w:rFonts w:cs="Arial"/>
          <w:b w:val="0"/>
          <w:bCs/>
          <w:sz w:val="22"/>
          <w:szCs w:val="22"/>
        </w:rPr>
        <w:t>individuals</w:t>
      </w:r>
      <w:r w:rsidRPr="0027008C">
        <w:rPr>
          <w:rFonts w:cs="Arial"/>
          <w:b w:val="0"/>
          <w:bCs/>
          <w:sz w:val="22"/>
          <w:szCs w:val="22"/>
        </w:rPr>
        <w:t xml:space="preserve"> still face obstacles that prevent equitable use of digital services, despite the fact that digital health technologies have substantial prospects to enhance healthcare accessibility, efficiency, and patient empowerment.</w:t>
      </w:r>
      <w:r>
        <w:rPr>
          <w:rFonts w:cs="Arial"/>
          <w:b w:val="0"/>
          <w:bCs/>
          <w:sz w:val="22"/>
          <w:szCs w:val="22"/>
        </w:rPr>
        <w:t xml:space="preserve"> </w:t>
      </w:r>
      <w:r w:rsidRPr="0027008C">
        <w:rPr>
          <w:rFonts w:cs="Arial"/>
          <w:b w:val="0"/>
          <w:bCs/>
          <w:sz w:val="22"/>
          <w:szCs w:val="22"/>
        </w:rPr>
        <w:t xml:space="preserve">The dissertation's overall conclusions in regard to the goals and purpose of the study will be compiled in the next chapter. </w:t>
      </w:r>
    </w:p>
    <w:p w14:paraId="02F8FC12" w14:textId="77777777" w:rsidR="007F76A1" w:rsidRDefault="007F76A1" w:rsidP="00636D9A">
      <w:pPr>
        <w:pStyle w:val="Heading1"/>
        <w:ind w:left="0"/>
        <w:rPr>
          <w:rFonts w:ascii="Aptos" w:hAnsi="Aptos"/>
        </w:rPr>
      </w:pPr>
    </w:p>
    <w:p w14:paraId="660B2157" w14:textId="77777777" w:rsidR="007F76A1" w:rsidRDefault="007F76A1" w:rsidP="00636D9A">
      <w:pPr>
        <w:pStyle w:val="Heading1"/>
        <w:ind w:left="0"/>
        <w:rPr>
          <w:rFonts w:ascii="Aptos" w:hAnsi="Aptos"/>
        </w:rPr>
      </w:pPr>
    </w:p>
    <w:p w14:paraId="41317D00" w14:textId="77777777" w:rsidR="007F76A1" w:rsidRDefault="007F76A1" w:rsidP="00636D9A">
      <w:pPr>
        <w:pStyle w:val="Heading1"/>
        <w:ind w:left="0"/>
        <w:rPr>
          <w:rFonts w:ascii="Aptos" w:hAnsi="Aptos"/>
        </w:rPr>
      </w:pPr>
    </w:p>
    <w:p w14:paraId="50F31DA4" w14:textId="77777777" w:rsidR="007F76A1" w:rsidRDefault="007F76A1" w:rsidP="00636D9A">
      <w:pPr>
        <w:pStyle w:val="Heading1"/>
        <w:ind w:left="0"/>
        <w:rPr>
          <w:rFonts w:ascii="Aptos" w:hAnsi="Aptos"/>
        </w:rPr>
      </w:pPr>
    </w:p>
    <w:p w14:paraId="36E5D93F" w14:textId="77777777" w:rsidR="007F76A1" w:rsidRDefault="007F76A1" w:rsidP="00636D9A">
      <w:pPr>
        <w:pStyle w:val="Heading1"/>
        <w:ind w:left="0"/>
        <w:rPr>
          <w:rFonts w:ascii="Aptos" w:hAnsi="Aptos"/>
        </w:rPr>
      </w:pPr>
    </w:p>
    <w:p w14:paraId="73DE74C2" w14:textId="77777777" w:rsidR="007F76A1" w:rsidRDefault="007F76A1" w:rsidP="00636D9A">
      <w:pPr>
        <w:pStyle w:val="Heading1"/>
        <w:ind w:left="0"/>
        <w:rPr>
          <w:rFonts w:ascii="Aptos" w:hAnsi="Aptos"/>
        </w:rPr>
      </w:pPr>
    </w:p>
    <w:p w14:paraId="760FE97E" w14:textId="77777777" w:rsidR="007F76A1" w:rsidRDefault="007F76A1" w:rsidP="00636D9A">
      <w:pPr>
        <w:pStyle w:val="Heading1"/>
        <w:ind w:left="0"/>
        <w:rPr>
          <w:rFonts w:ascii="Aptos" w:hAnsi="Aptos"/>
        </w:rPr>
      </w:pPr>
    </w:p>
    <w:p w14:paraId="7ABB4A76" w14:textId="77777777" w:rsidR="007F76A1" w:rsidRDefault="007F76A1" w:rsidP="00636D9A">
      <w:pPr>
        <w:pStyle w:val="Heading1"/>
        <w:ind w:left="0"/>
        <w:rPr>
          <w:rFonts w:ascii="Aptos" w:hAnsi="Aptos"/>
        </w:rPr>
      </w:pPr>
    </w:p>
    <w:p w14:paraId="561C6EB4" w14:textId="77777777" w:rsidR="007D277B" w:rsidRDefault="007D277B" w:rsidP="00636D9A">
      <w:pPr>
        <w:pStyle w:val="Heading1"/>
        <w:ind w:left="0"/>
        <w:rPr>
          <w:rFonts w:ascii="Aptos" w:hAnsi="Aptos"/>
        </w:rPr>
      </w:pPr>
    </w:p>
    <w:p w14:paraId="0C289C77" w14:textId="77777777" w:rsidR="007D277B" w:rsidRDefault="007D277B" w:rsidP="00636D9A">
      <w:pPr>
        <w:pStyle w:val="Heading1"/>
        <w:ind w:left="0"/>
        <w:rPr>
          <w:rFonts w:ascii="Aptos" w:hAnsi="Aptos"/>
        </w:rPr>
      </w:pPr>
    </w:p>
    <w:p w14:paraId="67FC7B3E" w14:textId="77777777" w:rsidR="007D277B" w:rsidRDefault="007D277B" w:rsidP="00636D9A">
      <w:pPr>
        <w:pStyle w:val="Heading1"/>
        <w:ind w:left="0"/>
        <w:rPr>
          <w:rFonts w:ascii="Aptos" w:hAnsi="Aptos"/>
        </w:rPr>
      </w:pPr>
    </w:p>
    <w:p w14:paraId="11439204" w14:textId="77777777" w:rsidR="007D277B" w:rsidRDefault="007D277B" w:rsidP="00636D9A">
      <w:pPr>
        <w:pStyle w:val="Heading1"/>
        <w:ind w:left="0"/>
        <w:rPr>
          <w:rFonts w:ascii="Aptos" w:hAnsi="Aptos"/>
        </w:rPr>
      </w:pPr>
    </w:p>
    <w:p w14:paraId="45C8E9C8" w14:textId="77777777" w:rsidR="007D277B" w:rsidRDefault="007D277B" w:rsidP="00636D9A">
      <w:pPr>
        <w:pStyle w:val="Heading1"/>
        <w:ind w:left="0"/>
        <w:rPr>
          <w:rFonts w:ascii="Aptos" w:hAnsi="Aptos"/>
        </w:rPr>
      </w:pPr>
    </w:p>
    <w:p w14:paraId="4A89F5B7" w14:textId="77777777" w:rsidR="007D277B" w:rsidRDefault="007D277B" w:rsidP="00636D9A">
      <w:pPr>
        <w:pStyle w:val="Heading1"/>
        <w:ind w:left="0"/>
        <w:rPr>
          <w:rFonts w:ascii="Aptos" w:hAnsi="Aptos"/>
        </w:rPr>
      </w:pPr>
    </w:p>
    <w:p w14:paraId="1CD297AA" w14:textId="77777777" w:rsidR="007D277B" w:rsidRDefault="007D277B" w:rsidP="00636D9A">
      <w:pPr>
        <w:pStyle w:val="Heading1"/>
        <w:ind w:left="0"/>
        <w:rPr>
          <w:rFonts w:ascii="Aptos" w:hAnsi="Aptos"/>
        </w:rPr>
      </w:pPr>
    </w:p>
    <w:p w14:paraId="680B053B" w14:textId="77777777" w:rsidR="007D277B" w:rsidRDefault="007D277B" w:rsidP="00636D9A">
      <w:pPr>
        <w:pStyle w:val="Heading1"/>
        <w:ind w:left="0"/>
        <w:rPr>
          <w:rFonts w:ascii="Aptos" w:hAnsi="Aptos"/>
        </w:rPr>
      </w:pPr>
    </w:p>
    <w:p w14:paraId="3D6D715D" w14:textId="77777777" w:rsidR="007D277B" w:rsidRDefault="007D277B" w:rsidP="00636D9A">
      <w:pPr>
        <w:pStyle w:val="Heading1"/>
        <w:ind w:left="0"/>
        <w:rPr>
          <w:rFonts w:ascii="Aptos" w:hAnsi="Aptos"/>
        </w:rPr>
      </w:pPr>
    </w:p>
    <w:p w14:paraId="42477E5C" w14:textId="77777777" w:rsidR="007D277B" w:rsidRDefault="007D277B" w:rsidP="00636D9A">
      <w:pPr>
        <w:pStyle w:val="Heading1"/>
        <w:ind w:left="0"/>
        <w:rPr>
          <w:rFonts w:ascii="Aptos" w:hAnsi="Aptos"/>
        </w:rPr>
      </w:pPr>
    </w:p>
    <w:p w14:paraId="3C829C7C" w14:textId="77777777" w:rsidR="007D277B" w:rsidRDefault="007D277B" w:rsidP="00636D9A">
      <w:pPr>
        <w:pStyle w:val="Heading1"/>
        <w:ind w:left="0"/>
        <w:rPr>
          <w:rFonts w:ascii="Aptos" w:hAnsi="Aptos"/>
        </w:rPr>
      </w:pPr>
    </w:p>
    <w:p w14:paraId="519EB35A" w14:textId="3521DCE6" w:rsidR="00636D9A" w:rsidRPr="00636D9A" w:rsidRDefault="00636D9A" w:rsidP="00636D9A">
      <w:pPr>
        <w:pStyle w:val="Heading1"/>
        <w:ind w:left="0"/>
        <w:rPr>
          <w:rFonts w:ascii="Aptos" w:hAnsi="Aptos"/>
        </w:rPr>
      </w:pPr>
      <w:r w:rsidRPr="00636D9A">
        <w:rPr>
          <w:rFonts w:ascii="Aptos" w:hAnsi="Aptos"/>
        </w:rPr>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r w:rsidRPr="00636D9A">
        <w:rPr>
          <w:rFonts w:ascii="Aptos" w:hAnsi="Aptos"/>
        </w:rPr>
        <w:t xml:space="preserve"> </w:t>
      </w:r>
    </w:p>
    <w:p w14:paraId="3628F6DF" w14:textId="77777777" w:rsidR="00292A36" w:rsidRDefault="00292A36"/>
    <w:p w14:paraId="5933477A" w14:textId="103C5944" w:rsidR="00FD5952" w:rsidRDefault="00FD5952" w:rsidP="00FD5952">
      <w:pPr>
        <w:rPr>
          <w:rFonts w:ascii="Arial" w:hAnsi="Arial" w:cs="Arial"/>
        </w:rPr>
      </w:pPr>
      <w:r w:rsidRPr="00FD5952">
        <w:rPr>
          <w:rFonts w:ascii="Arial" w:hAnsi="Arial" w:cs="Arial"/>
        </w:rPr>
        <w:t>Through a thorough analysis of the body of research, this dissertation investigated the obstacles older persons in the UK have when trying to use digital health services. The study looked at the implications for healthcare policy and practice while identifying and critically assessing the factors impacting access to digital health. The historical, theoretical, and policy background of digital healthcare was established in Chapter 2, which also emphasised the significance of digital inclusion and the NHS's growing reliance on digital technologies. The technique, including the structured search strategy, source selection procedure, and thematic analysis utilised to find and assess the literature, was described in Chapter 3.</w:t>
      </w:r>
      <w:r>
        <w:rPr>
          <w:rFonts w:ascii="Arial" w:hAnsi="Arial" w:cs="Arial"/>
        </w:rPr>
        <w:t xml:space="preserve"> </w:t>
      </w:r>
      <w:r w:rsidR="00C142C4" w:rsidRPr="00C142C4">
        <w:rPr>
          <w:rFonts w:ascii="Arial" w:hAnsi="Arial" w:cs="Arial"/>
        </w:rPr>
        <w:t>Chapter 4 presented the findings, identifying three interconnected themes: digital literacy and digital skills, individual and socioeconomic barriers, and health system barriers and strategies for improving digital inclusion.</w:t>
      </w:r>
      <w:r w:rsidR="00C142C4">
        <w:rPr>
          <w:rFonts w:ascii="Arial" w:hAnsi="Arial" w:cs="Arial"/>
        </w:rPr>
        <w:t xml:space="preserve"> </w:t>
      </w:r>
      <w:r w:rsidR="00C142C4" w:rsidRPr="00C142C4">
        <w:rPr>
          <w:rFonts w:ascii="Arial" w:hAnsi="Arial" w:cs="Arial"/>
        </w:rPr>
        <w:t xml:space="preserve">The results showed that older </w:t>
      </w:r>
      <w:r w:rsidR="00C142C4">
        <w:rPr>
          <w:rFonts w:ascii="Arial" w:hAnsi="Arial" w:cs="Arial"/>
        </w:rPr>
        <w:t>individuals’</w:t>
      </w:r>
      <w:r w:rsidR="00C142C4" w:rsidRPr="00C142C4">
        <w:rPr>
          <w:rFonts w:ascii="Arial" w:hAnsi="Arial" w:cs="Arial"/>
        </w:rPr>
        <w:t xml:space="preserve"> digital exclusion is a complicated, multidimensional problem that cannot be accounted for by a single reason. Rather, the interplay of healthcare system accessibility, broader societal variables, and individual competence affects access to digital health services.</w:t>
      </w:r>
      <w:r w:rsidR="00C142C4">
        <w:rPr>
          <w:rFonts w:ascii="Arial" w:hAnsi="Arial" w:cs="Arial"/>
        </w:rPr>
        <w:t xml:space="preserve"> </w:t>
      </w:r>
      <w:r w:rsidR="00C142C4" w:rsidRPr="00C142C4">
        <w:rPr>
          <w:rFonts w:ascii="Arial" w:hAnsi="Arial" w:cs="Arial"/>
        </w:rPr>
        <w:t xml:space="preserve">While the research objectives were addressed through critical analysis of recent literature, thematic evaluation of the evidence, and consideration of strategies to promote digital inclusion, the research aim was accomplished by identifying the primary barriers affecting older adults' engagement with digital health services. </w:t>
      </w:r>
    </w:p>
    <w:p w14:paraId="4D47657D" w14:textId="77777777" w:rsidR="00FD5952" w:rsidRDefault="00FD5952"/>
    <w:p w14:paraId="6D481D61" w14:textId="245A0664" w:rsidR="005C5E80" w:rsidRDefault="005C5E80" w:rsidP="001B20E4">
      <w:pPr>
        <w:pStyle w:val="Heading1"/>
        <w:ind w:left="0"/>
        <w:rPr>
          <w:rFonts w:ascii="Aptos" w:hAnsi="Aptos"/>
          <w:sz w:val="28"/>
          <w:szCs w:val="28"/>
        </w:rPr>
      </w:pPr>
      <w:r w:rsidRPr="005C5E80">
        <w:rPr>
          <w:rFonts w:ascii="Aptos" w:hAnsi="Aptos"/>
          <w:sz w:val="28"/>
          <w:szCs w:val="28"/>
        </w:rPr>
        <w:t xml:space="preserve">5.2.1 – Recommendation 1 </w:t>
      </w:r>
    </w:p>
    <w:p w14:paraId="22DC7BC7" w14:textId="77777777" w:rsidR="001B20E4" w:rsidRDefault="001B20E4" w:rsidP="005C5E80">
      <w:pPr>
        <w:pStyle w:val="Heading1"/>
        <w:rPr>
          <w:rFonts w:ascii="Aptos" w:hAnsi="Aptos"/>
          <w:sz w:val="28"/>
          <w:szCs w:val="28"/>
        </w:rPr>
      </w:pPr>
    </w:p>
    <w:p w14:paraId="43F16442" w14:textId="5E29477F" w:rsidR="001B20E4" w:rsidRDefault="001B20E4" w:rsidP="001B20E4">
      <w:pPr>
        <w:pStyle w:val="Heading1"/>
        <w:spacing w:line="360" w:lineRule="auto"/>
        <w:ind w:left="0"/>
        <w:rPr>
          <w:rFonts w:cs="Arial"/>
          <w:b w:val="0"/>
          <w:bCs/>
          <w:sz w:val="22"/>
          <w:szCs w:val="22"/>
        </w:rPr>
      </w:pPr>
      <w:r w:rsidRPr="001B20E4">
        <w:rPr>
          <w:rFonts w:cs="Arial"/>
          <w:b w:val="0"/>
          <w:bCs/>
          <w:sz w:val="22"/>
          <w:szCs w:val="22"/>
        </w:rPr>
        <w:t xml:space="preserve">The results of this dissertation suggest that politicians and healthcare professionals should prioritise increasing older individuals' digital literacy. Despite the NHS's ongoing expansion of digital health services, many older </w:t>
      </w:r>
      <w:r>
        <w:rPr>
          <w:rFonts w:cs="Arial"/>
          <w:b w:val="0"/>
          <w:bCs/>
          <w:sz w:val="22"/>
          <w:szCs w:val="22"/>
        </w:rPr>
        <w:t>people</w:t>
      </w:r>
      <w:r w:rsidRPr="001B20E4">
        <w:rPr>
          <w:rFonts w:cs="Arial"/>
          <w:b w:val="0"/>
          <w:bCs/>
          <w:sz w:val="22"/>
          <w:szCs w:val="22"/>
        </w:rPr>
        <w:t xml:space="preserve"> are still unable to fully benefit from these services due to a lack of confidence, knowledge, or practical skills necessary to use digital technologies efficiently. As a result, community partners, integrated care systems, and local NHS organisations should create structured digital literacy programs that are especially suited to the requirements of </w:t>
      </w:r>
      <w:r>
        <w:rPr>
          <w:rFonts w:cs="Arial"/>
          <w:b w:val="0"/>
          <w:bCs/>
          <w:sz w:val="22"/>
          <w:szCs w:val="22"/>
        </w:rPr>
        <w:t>older individuals</w:t>
      </w:r>
      <w:r w:rsidRPr="001B20E4">
        <w:rPr>
          <w:rFonts w:cs="Arial"/>
          <w:b w:val="0"/>
          <w:bCs/>
          <w:sz w:val="22"/>
          <w:szCs w:val="22"/>
        </w:rPr>
        <w:t>.</w:t>
      </w:r>
      <w:r>
        <w:rPr>
          <w:rFonts w:cs="Arial"/>
          <w:b w:val="0"/>
          <w:bCs/>
          <w:sz w:val="22"/>
          <w:szCs w:val="22"/>
        </w:rPr>
        <w:t xml:space="preserve"> </w:t>
      </w:r>
      <w:r w:rsidRPr="001B20E4">
        <w:rPr>
          <w:rFonts w:cs="Arial"/>
          <w:b w:val="0"/>
          <w:bCs/>
          <w:sz w:val="22"/>
          <w:szCs w:val="22"/>
        </w:rPr>
        <w:t xml:space="preserve">Essential digital health tasks, such as downloading and using the NHS App, scheduling appointments online, obtaining repeat medications, and taking part in remote consultations, should be covered in these programs through practical, hands-on instruction. While acknowledging that learning should take place </w:t>
      </w:r>
      <w:r w:rsidRPr="001B20E4">
        <w:rPr>
          <w:rFonts w:cs="Arial"/>
          <w:b w:val="0"/>
          <w:bCs/>
          <w:sz w:val="22"/>
          <w:szCs w:val="22"/>
        </w:rPr>
        <w:lastRenderedPageBreak/>
        <w:t xml:space="preserve">at a suitable speed with continual chances for practice and assistance, training should be provided in easily accessible community venues, such as libraries, community </w:t>
      </w:r>
      <w:r w:rsidRPr="001B20E4">
        <w:rPr>
          <w:rFonts w:cs="Arial"/>
          <w:b w:val="0"/>
          <w:bCs/>
          <w:sz w:val="22"/>
          <w:szCs w:val="22"/>
        </w:rPr>
        <w:t>centres</w:t>
      </w:r>
      <w:r w:rsidRPr="001B20E4">
        <w:rPr>
          <w:rFonts w:cs="Arial"/>
          <w:b w:val="0"/>
          <w:bCs/>
          <w:sz w:val="22"/>
          <w:szCs w:val="22"/>
        </w:rPr>
        <w:t>, and volunteer organisations. Program reach and sustainability could be further improved by working with local volunteer organisations and organisations like Age UK.</w:t>
      </w:r>
      <w:r>
        <w:rPr>
          <w:rFonts w:cs="Arial"/>
          <w:b w:val="0"/>
          <w:bCs/>
          <w:sz w:val="22"/>
          <w:szCs w:val="22"/>
        </w:rPr>
        <w:t xml:space="preserve"> </w:t>
      </w:r>
      <w:r w:rsidRPr="001B20E4">
        <w:rPr>
          <w:rFonts w:cs="Arial"/>
          <w:b w:val="0"/>
          <w:bCs/>
          <w:sz w:val="22"/>
          <w:szCs w:val="22"/>
        </w:rPr>
        <w:t>Notwithstanding the possible advantages, implementation can be hampered by a lack of funds, a shortage of workers, and regional differences in digital infrastructure. Due to worry, bad experiences in the past, or a preference for traditional healthcare services, some older persons can still be reluctant to participate. Securing long-term funding through NHS digital inclusion programs, preparing community volunteers to be digital champions, and making sure that participation is still optional rather than required are some ways to overcome these obstacles. Healthcare businesses may encourage digital confidence while maintaining patient choice and lowering digital exclusion by implementing a person-centred approach to digital skills development.</w:t>
      </w:r>
    </w:p>
    <w:p w14:paraId="7E1F8C1F" w14:textId="77777777" w:rsidR="001B20E4" w:rsidRPr="001B20E4" w:rsidRDefault="001B20E4" w:rsidP="001B20E4">
      <w:pPr>
        <w:pStyle w:val="Heading1"/>
        <w:spacing w:line="360" w:lineRule="auto"/>
        <w:ind w:left="0"/>
        <w:rPr>
          <w:rFonts w:cs="Arial"/>
          <w:b w:val="0"/>
          <w:bCs/>
          <w:sz w:val="22"/>
          <w:szCs w:val="22"/>
        </w:rPr>
      </w:pPr>
    </w:p>
    <w:p w14:paraId="4263DD9E" w14:textId="77777777" w:rsidR="005C5E80" w:rsidRPr="005C5E80" w:rsidRDefault="005C5E80" w:rsidP="005C5E80">
      <w:pPr>
        <w:pStyle w:val="Heading1"/>
        <w:rPr>
          <w:rFonts w:ascii="Aptos" w:hAnsi="Aptos"/>
          <w:sz w:val="28"/>
          <w:szCs w:val="28"/>
        </w:rPr>
      </w:pPr>
    </w:p>
    <w:p w14:paraId="1019826B" w14:textId="5D351239" w:rsidR="005C5E80" w:rsidRDefault="005C5E80" w:rsidP="005C5E80">
      <w:pPr>
        <w:pStyle w:val="Heading1"/>
        <w:rPr>
          <w:rFonts w:ascii="Aptos" w:hAnsi="Aptos"/>
          <w:sz w:val="28"/>
          <w:szCs w:val="28"/>
        </w:rPr>
      </w:pPr>
      <w:r w:rsidRPr="005C5E80">
        <w:rPr>
          <w:rFonts w:ascii="Aptos" w:hAnsi="Aptos"/>
          <w:sz w:val="28"/>
          <w:szCs w:val="28"/>
        </w:rPr>
        <w:t xml:space="preserve">5.2.2 – Recommendation 2 </w:t>
      </w:r>
    </w:p>
    <w:p w14:paraId="16CC2D46" w14:textId="77777777" w:rsidR="001B20E4" w:rsidRDefault="001B20E4" w:rsidP="005C5E80">
      <w:pPr>
        <w:pStyle w:val="Heading1"/>
        <w:rPr>
          <w:rFonts w:ascii="Aptos" w:hAnsi="Aptos"/>
          <w:sz w:val="28"/>
          <w:szCs w:val="28"/>
        </w:rPr>
      </w:pPr>
    </w:p>
    <w:p w14:paraId="1AF692F0" w14:textId="7670F7E9" w:rsidR="001B20E4" w:rsidRPr="001B20E4" w:rsidRDefault="000B24D7" w:rsidP="000B24D7">
      <w:pPr>
        <w:pStyle w:val="Heading1"/>
        <w:spacing w:line="360" w:lineRule="auto"/>
        <w:rPr>
          <w:rFonts w:cs="Arial"/>
          <w:b w:val="0"/>
          <w:bCs/>
          <w:sz w:val="22"/>
          <w:szCs w:val="22"/>
        </w:rPr>
      </w:pPr>
      <w:r w:rsidRPr="000B24D7">
        <w:rPr>
          <w:rFonts w:cs="Arial"/>
          <w:b w:val="0"/>
          <w:bCs/>
          <w:sz w:val="22"/>
          <w:szCs w:val="22"/>
        </w:rPr>
        <w:t>The results show that enhancing personal digital abilities alone is insufficient to address digital exclusion. Additionally, healthcare institutions must make sure that digital health services are tailored to older individuals' varied needs. In order to ensure that digital services are user-friendly, accessible, and appropriate for people with different levels of digital literacy, physical ability, and cognitive function, future development of NHS digital platforms should incorporate universal design principles.</w:t>
      </w:r>
      <w:r>
        <w:rPr>
          <w:rFonts w:cs="Arial"/>
          <w:b w:val="0"/>
          <w:bCs/>
          <w:sz w:val="22"/>
          <w:szCs w:val="22"/>
        </w:rPr>
        <w:t xml:space="preserve"> </w:t>
      </w:r>
      <w:r w:rsidRPr="000B24D7">
        <w:rPr>
          <w:rFonts w:cs="Arial"/>
          <w:b w:val="0"/>
          <w:bCs/>
          <w:sz w:val="22"/>
          <w:szCs w:val="22"/>
        </w:rPr>
        <w:t>Simplified navigation, larger fonts, plain language, compatibility with assistive technology, multilingual options, and alternate authentication methods for people with memory problems are examples of practical enhancements. In order to guarantee that services represent the experiences and preferences of intended users rather than developer assumptions, it is crucial that older persons be actively involved in the design, testing, and assessment of digital health technologies.</w:t>
      </w:r>
      <w:r>
        <w:rPr>
          <w:rFonts w:cs="Arial"/>
          <w:b w:val="0"/>
          <w:bCs/>
          <w:sz w:val="22"/>
          <w:szCs w:val="22"/>
        </w:rPr>
        <w:t xml:space="preserve"> </w:t>
      </w:r>
      <w:r w:rsidRPr="000B24D7">
        <w:rPr>
          <w:rFonts w:cs="Arial"/>
          <w:b w:val="0"/>
          <w:bCs/>
          <w:sz w:val="22"/>
          <w:szCs w:val="22"/>
        </w:rPr>
        <w:t>The organisational and financial commitment needed to rebuild current systems while preserving the continuity of healthcare delivery presents a major implementation barrier. Additionally, disparities in service accessibility may result from different NHS entities' differing degrees of digital maturity. National accessibility guidelines, frequent usability testing, and ongoing investments in digital infrastructure can all help lower these obstacles. To ensure that patients who cannot access digital services are not disadvantaged, maintaining non-digital routes to healthcare, such as phone and in-person services, should continue to be a crucial part of inclusive healthcare delivery.</w:t>
      </w:r>
    </w:p>
    <w:p w14:paraId="5A5599B4" w14:textId="77777777" w:rsidR="001B20E4" w:rsidRDefault="001B20E4" w:rsidP="005C5E80">
      <w:pPr>
        <w:pStyle w:val="Heading1"/>
        <w:rPr>
          <w:rFonts w:ascii="Aptos" w:hAnsi="Aptos"/>
          <w:sz w:val="28"/>
          <w:szCs w:val="28"/>
        </w:rPr>
      </w:pPr>
    </w:p>
    <w:p w14:paraId="27B34073" w14:textId="77777777" w:rsidR="001B20E4" w:rsidRDefault="001B20E4" w:rsidP="005C5E80">
      <w:pPr>
        <w:pStyle w:val="Heading1"/>
        <w:rPr>
          <w:rFonts w:ascii="Aptos" w:hAnsi="Aptos"/>
          <w:sz w:val="28"/>
          <w:szCs w:val="28"/>
        </w:rPr>
      </w:pPr>
    </w:p>
    <w:p w14:paraId="2E303FF1" w14:textId="77777777" w:rsidR="001B20E4" w:rsidRDefault="001B20E4" w:rsidP="005C5E80">
      <w:pPr>
        <w:pStyle w:val="Heading1"/>
        <w:rPr>
          <w:rFonts w:ascii="Aptos" w:hAnsi="Aptos"/>
          <w:sz w:val="28"/>
          <w:szCs w:val="28"/>
        </w:rPr>
      </w:pPr>
    </w:p>
    <w:p w14:paraId="6DEFF1C6" w14:textId="283DE56B" w:rsidR="005C5E80" w:rsidRDefault="005C5E80" w:rsidP="004B214A">
      <w:pPr>
        <w:pStyle w:val="Heading1"/>
        <w:ind w:left="0"/>
        <w:rPr>
          <w:rFonts w:ascii="Aptos" w:hAnsi="Aptos"/>
          <w:sz w:val="28"/>
          <w:szCs w:val="28"/>
        </w:rPr>
      </w:pPr>
      <w:r w:rsidRPr="005C5E80">
        <w:rPr>
          <w:rFonts w:ascii="Aptos" w:hAnsi="Aptos"/>
          <w:sz w:val="28"/>
          <w:szCs w:val="28"/>
        </w:rPr>
        <w:t xml:space="preserve">5.2.3 – Recommendation 3 </w:t>
      </w:r>
    </w:p>
    <w:p w14:paraId="372B973F" w14:textId="77777777" w:rsidR="004B214A" w:rsidRDefault="004B214A" w:rsidP="004B214A">
      <w:pPr>
        <w:pStyle w:val="Heading1"/>
        <w:ind w:left="0"/>
        <w:rPr>
          <w:rFonts w:ascii="Aptos" w:hAnsi="Aptos"/>
          <w:sz w:val="28"/>
          <w:szCs w:val="28"/>
        </w:rPr>
      </w:pPr>
    </w:p>
    <w:p w14:paraId="69AD2558" w14:textId="6D4DF7E6" w:rsidR="004B214A" w:rsidRPr="004B214A" w:rsidRDefault="004B214A" w:rsidP="004B214A">
      <w:pPr>
        <w:pStyle w:val="Heading1"/>
        <w:spacing w:line="360" w:lineRule="auto"/>
        <w:ind w:left="0"/>
        <w:rPr>
          <w:rFonts w:cs="Arial"/>
          <w:b w:val="0"/>
          <w:bCs/>
          <w:sz w:val="22"/>
          <w:szCs w:val="22"/>
        </w:rPr>
      </w:pPr>
      <w:r w:rsidRPr="004B214A">
        <w:rPr>
          <w:rFonts w:cs="Arial"/>
          <w:b w:val="0"/>
          <w:bCs/>
          <w:sz w:val="22"/>
          <w:szCs w:val="22"/>
        </w:rPr>
        <w:t>Healthcare organisations, professionals, and community services should all acknowledge that digital inclusion is a shared duty. According to the findings, older adults are more likely to use digital health technology when they receive practical help, encouragement, and assurance from people they can trust. Therefore, in order to create coordinated digital support networks for senior citizens, healthcare organisations should expand their collaborations with local government agencies, nonprofits, and community organisations.</w:t>
      </w:r>
      <w:r w:rsidR="00064A08">
        <w:rPr>
          <w:rFonts w:cs="Arial"/>
          <w:b w:val="0"/>
          <w:bCs/>
          <w:sz w:val="22"/>
          <w:szCs w:val="22"/>
        </w:rPr>
        <w:t xml:space="preserve"> </w:t>
      </w:r>
      <w:r w:rsidR="00064A08" w:rsidRPr="00064A08">
        <w:rPr>
          <w:rFonts w:cs="Arial"/>
          <w:b w:val="0"/>
          <w:bCs/>
          <w:sz w:val="22"/>
          <w:szCs w:val="22"/>
        </w:rPr>
        <w:t xml:space="preserve">In order to identify digital exclusion and confidently determine patients' digital support needs during ordinary healthcare encounters, healthcare workers should undergo continuous training. Patients may be sent, where appropriate, to </w:t>
      </w:r>
      <w:r w:rsidR="00064A08" w:rsidRPr="00064A08">
        <w:rPr>
          <w:rFonts w:cs="Arial"/>
          <w:b w:val="0"/>
          <w:bCs/>
          <w:sz w:val="22"/>
          <w:szCs w:val="22"/>
        </w:rPr>
        <w:t>neighbourhood</w:t>
      </w:r>
      <w:r w:rsidR="00064A08" w:rsidRPr="00064A08">
        <w:rPr>
          <w:rFonts w:cs="Arial"/>
          <w:b w:val="0"/>
          <w:bCs/>
          <w:sz w:val="22"/>
          <w:szCs w:val="22"/>
        </w:rPr>
        <w:t>-based digital champions who offer one-on-one assistance or local digital inclusion initiatives. Healthcare practitioners would be able to detect obstacles early and maintain the equity and person-centeredness of digital transformation by integrating digital inclusion into standard clinical practice.</w:t>
      </w:r>
      <w:r w:rsidR="00064A08">
        <w:rPr>
          <w:rFonts w:cs="Arial"/>
          <w:b w:val="0"/>
          <w:bCs/>
          <w:sz w:val="22"/>
          <w:szCs w:val="22"/>
        </w:rPr>
        <w:t xml:space="preserve"> </w:t>
      </w:r>
      <w:r w:rsidR="00064A08" w:rsidRPr="00064A08">
        <w:rPr>
          <w:rFonts w:cs="Arial"/>
          <w:b w:val="0"/>
          <w:bCs/>
          <w:sz w:val="22"/>
          <w:szCs w:val="22"/>
        </w:rPr>
        <w:t>Workforce pressures, conflicting organisational agendas, and regional variations in the community resources available could all hinder the effective implementation of this advice. Furthermore, in order to successfully engage in digital inclusion initiatives, some healthcare personnel would need extra training and protected time. These issues could be resolved by incorporating digital inclusion goals into organisational strategy, providing sustainable funding for community collaborations, and integrating health and social care. Increasing cooperation between community organisations and healthcare providers has the potential to promote patient involvement, lessen inequality, and guarantee that older persons are supported during the ongoing digital transformation of healthcare.</w:t>
      </w:r>
    </w:p>
    <w:p w14:paraId="61CD43C9" w14:textId="77777777" w:rsidR="00211184" w:rsidRDefault="00211184"/>
    <w:p w14:paraId="020B1B1C" w14:textId="77777777" w:rsidR="000400E4" w:rsidRDefault="000400E4"/>
    <w:p w14:paraId="65F969F3" w14:textId="77777777" w:rsidR="000400E4" w:rsidRDefault="000400E4"/>
    <w:p w14:paraId="59D70DFF" w14:textId="77777777" w:rsidR="000400E4" w:rsidRDefault="000400E4"/>
    <w:p w14:paraId="132A973C" w14:textId="77777777" w:rsidR="000400E4" w:rsidRDefault="000400E4"/>
    <w:p w14:paraId="54494726" w14:textId="77777777" w:rsidR="000400E4" w:rsidRDefault="000400E4"/>
    <w:p w14:paraId="722FC155" w14:textId="77777777" w:rsidR="000400E4" w:rsidRDefault="000400E4"/>
    <w:p w14:paraId="2E19E1E0" w14:textId="77777777" w:rsidR="000400E4" w:rsidRDefault="000400E4"/>
    <w:p w14:paraId="0AE97BAA" w14:textId="77777777" w:rsidR="000400E4" w:rsidRDefault="000400E4"/>
    <w:p w14:paraId="5A974663" w14:textId="77777777" w:rsidR="000400E4" w:rsidRDefault="000400E4"/>
    <w:p w14:paraId="3D3F3B28" w14:textId="1662D714" w:rsidR="00211184" w:rsidRPr="00636D9A" w:rsidRDefault="00211184" w:rsidP="00211184">
      <w:pPr>
        <w:pStyle w:val="Heading1"/>
        <w:ind w:left="0"/>
        <w:rPr>
          <w:rFonts w:ascii="Aptos" w:hAnsi="Aptos"/>
        </w:rPr>
      </w:pPr>
      <w:r w:rsidRPr="00636D9A">
        <w:rPr>
          <w:rFonts w:ascii="Aptos" w:hAnsi="Aptos"/>
        </w:rPr>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r w:rsidRPr="00636D9A">
        <w:rPr>
          <w:rFonts w:ascii="Aptos" w:hAnsi="Aptos"/>
        </w:rPr>
        <w:t xml:space="preserve"> </w:t>
      </w:r>
    </w:p>
    <w:p w14:paraId="2EE69DD1" w14:textId="77777777" w:rsidR="00211184" w:rsidRDefault="00211184"/>
    <w:p w14:paraId="020975DD" w14:textId="16A395E8" w:rsidR="00621776" w:rsidRPr="008C38C3" w:rsidRDefault="00621776" w:rsidP="00621776">
      <w:pPr>
        <w:pStyle w:val="Heading1"/>
        <w:ind w:left="0"/>
        <w:rPr>
          <w:rFonts w:ascii="Aptos" w:hAnsi="Aptos"/>
          <w:sz w:val="28"/>
          <w:szCs w:val="28"/>
        </w:rPr>
      </w:pPr>
      <w:r w:rsidRPr="008C38C3">
        <w:rPr>
          <w:rFonts w:ascii="Aptos" w:hAnsi="Aptos"/>
          <w:sz w:val="28"/>
          <w:szCs w:val="28"/>
        </w:rPr>
        <w:t xml:space="preserve">6.1 – References </w:t>
      </w:r>
    </w:p>
    <w:p w14:paraId="65FB90F9" w14:textId="77777777" w:rsidR="00D96D08" w:rsidRDefault="00D96D08" w:rsidP="00C71DBF"/>
    <w:p w14:paraId="2043043E" w14:textId="77777777" w:rsidR="00064A08" w:rsidRDefault="00064A08" w:rsidP="00064A08"/>
    <w:p w14:paraId="46068EFF" w14:textId="77777777" w:rsidR="00064A08" w:rsidRDefault="00064A08" w:rsidP="007D277B">
      <w:pPr>
        <w:ind w:left="360"/>
      </w:pPr>
      <w:r>
        <w:t xml:space="preserve">Age UK (2024) </w:t>
      </w:r>
      <w:r w:rsidRPr="007D277B">
        <w:rPr>
          <w:i/>
          <w:iCs/>
        </w:rPr>
        <w:t>Offline and overlooked: Tackling digital exclusion in later life</w:t>
      </w:r>
      <w:r>
        <w:t>. London: Age UK. Available at: https://www.ageuk.org.uk (Accessed: 14 July 2026).</w:t>
      </w:r>
    </w:p>
    <w:p w14:paraId="04A8A9A0" w14:textId="20887F33" w:rsidR="00064A08" w:rsidRDefault="00064A08" w:rsidP="007D277B">
      <w:pPr>
        <w:ind w:left="360"/>
      </w:pPr>
      <w:r>
        <w:t xml:space="preserve">Ageing Better (2023) </w:t>
      </w:r>
      <w:r w:rsidRPr="00086923">
        <w:rPr>
          <w:i/>
          <w:iCs/>
        </w:rPr>
        <w:t>The Digital Divide and Healthy Ageing. London: Centre for Ageing Better</w:t>
      </w:r>
      <w:r>
        <w:t>.</w:t>
      </w:r>
      <w:r w:rsidR="008C1E61">
        <w:t xml:space="preserve"> Available at: </w:t>
      </w:r>
      <w:r w:rsidR="008C1E61" w:rsidRPr="008C1E61">
        <w:t>https://ageing-better.org.uk/blogs/why-digital-inclusion-matters-now-more-ever</w:t>
      </w:r>
      <w:r w:rsidR="008C1E61">
        <w:t xml:space="preserve"> (Accessed: </w:t>
      </w:r>
      <w:r w:rsidR="00086923">
        <w:t>15 May 2026)</w:t>
      </w:r>
    </w:p>
    <w:p w14:paraId="5580228F" w14:textId="77777777" w:rsidR="00064A08" w:rsidRDefault="00064A08" w:rsidP="007D277B">
      <w:pPr>
        <w:ind w:left="360"/>
      </w:pPr>
      <w:r w:rsidRPr="00307498">
        <w:t xml:space="preserve">Blakeslee, S. (2004) </w:t>
      </w:r>
      <w:r w:rsidRPr="007D277B">
        <w:rPr>
          <w:i/>
          <w:iCs/>
        </w:rPr>
        <w:t>The CRAAP Test. Chico</w:t>
      </w:r>
      <w:r w:rsidRPr="00307498">
        <w:t xml:space="preserve">: California State University, Meriam Library. Available at: https://library.csuchico.edu/sites/default/files/craap-test.pdf (Accessed: </w:t>
      </w:r>
      <w:r>
        <w:t>13</w:t>
      </w:r>
      <w:r w:rsidRPr="00307498">
        <w:t xml:space="preserve"> July 2026).</w:t>
      </w:r>
    </w:p>
    <w:p w14:paraId="2FBAB412" w14:textId="77777777" w:rsidR="00064A08" w:rsidRDefault="00064A08" w:rsidP="007D277B">
      <w:pPr>
        <w:ind w:left="360"/>
      </w:pPr>
      <w:r w:rsidRPr="006044AC">
        <w:t xml:space="preserve">Braun, V. and Clarke, V. (2006) ‘Using thematic analysis in psychology’, </w:t>
      </w:r>
      <w:r w:rsidRPr="007D277B">
        <w:rPr>
          <w:i/>
          <w:iCs/>
        </w:rPr>
        <w:t>Qualitative Research in Psychology</w:t>
      </w:r>
      <w:r w:rsidRPr="006044AC">
        <w:t>, 3(2), pp. 77–101. https://doi.org/10.1191/1478088706qp063oa</w:t>
      </w:r>
    </w:p>
    <w:p w14:paraId="289AF480" w14:textId="77777777" w:rsidR="00064A08" w:rsidRDefault="00064A08" w:rsidP="007D277B">
      <w:pPr>
        <w:ind w:left="360"/>
      </w:pPr>
      <w:r>
        <w:t xml:space="preserve">Care Quality Commission (2023) Single assessment framework. Newcastle upon Tyne: Care Quality Commission. Available at: https://www.cqc.org.uk/assessment/single-assessment-framework (Accessed: </w:t>
      </w:r>
      <w:r>
        <w:t>10</w:t>
      </w:r>
      <w:r>
        <w:t xml:space="preserve"> July 2026).</w:t>
      </w:r>
    </w:p>
    <w:p w14:paraId="5BA2A3CC" w14:textId="77777777" w:rsidR="00064A08" w:rsidRDefault="00064A08" w:rsidP="007D277B">
      <w:pPr>
        <w:ind w:left="360"/>
      </w:pPr>
      <w:r>
        <w:t xml:space="preserve">Care Quality Commission (2024) </w:t>
      </w:r>
      <w:r w:rsidRPr="00086923">
        <w:rPr>
          <w:i/>
          <w:iCs/>
        </w:rPr>
        <w:t>The state of health care and adult social care in England 2023/24</w:t>
      </w:r>
      <w:r>
        <w:t xml:space="preserve">. </w:t>
      </w:r>
      <w:r w:rsidRPr="00086923">
        <w:rPr>
          <w:i/>
          <w:iCs/>
        </w:rPr>
        <w:t>Newcastle upon Tyne: Care Quality Commission</w:t>
      </w:r>
      <w:r>
        <w:t xml:space="preserve">. Available at: https://www.cqc.org.uk/publications/major-report/state-care (Accessed: </w:t>
      </w:r>
      <w:r>
        <w:t>10</w:t>
      </w:r>
      <w:r>
        <w:t xml:space="preserve"> July 2026).</w:t>
      </w:r>
    </w:p>
    <w:p w14:paraId="0972A606" w14:textId="77777777" w:rsidR="00064A08" w:rsidRDefault="00064A08" w:rsidP="007D277B">
      <w:pPr>
        <w:ind w:left="360"/>
      </w:pPr>
      <w:r>
        <w:t xml:space="preserve">Czaja, S.J., Boot, W.R., </w:t>
      </w:r>
      <w:proofErr w:type="spellStart"/>
      <w:r>
        <w:t>Charness</w:t>
      </w:r>
      <w:proofErr w:type="spellEnd"/>
      <w:r>
        <w:t xml:space="preserve">, N. and Rogers, W.A. (2019) Designing for Older Adults: Principles and Creative Human Factors Approaches. 3rd </w:t>
      </w:r>
      <w:proofErr w:type="spellStart"/>
      <w:r>
        <w:t>edn</w:t>
      </w:r>
      <w:proofErr w:type="spellEnd"/>
      <w:r>
        <w:t>. Boca Raton: CRC Press.</w:t>
      </w:r>
    </w:p>
    <w:p w14:paraId="0E57F0A6" w14:textId="77777777" w:rsidR="00064A08" w:rsidRDefault="00064A08" w:rsidP="007D277B">
      <w:pPr>
        <w:ind w:left="360"/>
      </w:pPr>
      <w:r>
        <w:t xml:space="preserve">Davis, F.D. (1989) ‘Perceived usefulness, perceived ease of use, and user acceptance of information technology’, </w:t>
      </w:r>
      <w:r w:rsidRPr="00086923">
        <w:rPr>
          <w:i/>
          <w:iCs/>
        </w:rPr>
        <w:t>MIS Quarterly</w:t>
      </w:r>
      <w:r>
        <w:t>, 13(3), pp. 319–340. https://doi.org/10.2307/249008</w:t>
      </w:r>
    </w:p>
    <w:p w14:paraId="5EB7DA2F" w14:textId="77777777" w:rsidR="00064A08" w:rsidRDefault="00064A08" w:rsidP="007D277B">
      <w:pPr>
        <w:ind w:left="360"/>
      </w:pPr>
      <w:r>
        <w:t xml:space="preserve">De Santis, K.K., Jahnel, T., Sina, E., Wienert, J. and Zeeb, H. (2023) ‘Digital technologies for health promotion and disease prevention in older people: A scoping review’, </w:t>
      </w:r>
      <w:r w:rsidRPr="007D277B">
        <w:rPr>
          <w:i/>
          <w:iCs/>
        </w:rPr>
        <w:t>PLOS Digital Health</w:t>
      </w:r>
      <w:r>
        <w:t>, 2(9), e0000338. https://doi.org/10.1371/journal.pdig.0000338</w:t>
      </w:r>
    </w:p>
    <w:p w14:paraId="4E3A1AA9" w14:textId="77777777" w:rsidR="00064A08" w:rsidRDefault="00064A08" w:rsidP="007D277B">
      <w:pPr>
        <w:ind w:left="360"/>
      </w:pPr>
      <w:r>
        <w:lastRenderedPageBreak/>
        <w:t xml:space="preserve">Department for Science, Innovation and Technology (2024) Digital Inclusion Action Plan: First Steps. London: Department for Science, Innovation and Technology. Available at: https://www.gov.uk/government/publications/digital-inclusion-action-plan-first-steps (Accessed: </w:t>
      </w:r>
      <w:r>
        <w:t>10</w:t>
      </w:r>
      <w:r>
        <w:t xml:space="preserve"> July 2026).</w:t>
      </w:r>
    </w:p>
    <w:p w14:paraId="261D9A37" w14:textId="77777777" w:rsidR="00064A08" w:rsidRDefault="00064A08" w:rsidP="007D277B">
      <w:pPr>
        <w:ind w:left="360"/>
      </w:pPr>
      <w:r>
        <w:t xml:space="preserve">Department of Health and Social Care (2022) A plan for digital health and social care. London: Department of Health and Social Care. Available at: https://www.gov.uk/government/publications/a-plan-for-digital-health-and-social-care (Accessed: </w:t>
      </w:r>
      <w:r>
        <w:t>4</w:t>
      </w:r>
      <w:r>
        <w:t xml:space="preserve"> July 2026).</w:t>
      </w:r>
    </w:p>
    <w:p w14:paraId="58B1FB22" w14:textId="77777777" w:rsidR="00064A08" w:rsidRDefault="00064A08" w:rsidP="007D277B">
      <w:pPr>
        <w:ind w:left="360"/>
      </w:pPr>
      <w:r>
        <w:t xml:space="preserve">Department of Health and Social Care and NHS England (2023) </w:t>
      </w:r>
      <w:r w:rsidRPr="007D277B">
        <w:rPr>
          <w:i/>
          <w:iCs/>
        </w:rPr>
        <w:t>Delivery plan for recovering access to primary care.</w:t>
      </w:r>
      <w:r>
        <w:t xml:space="preserve"> Available at: https://www.gov.uk/government/publications/delivery-plan-for-recovering-access-to-primary-care (Accessed: 21 July 2026).</w:t>
      </w:r>
    </w:p>
    <w:p w14:paraId="3EFC284F" w14:textId="77777777" w:rsidR="00064A08" w:rsidRDefault="00064A08" w:rsidP="007D277B">
      <w:pPr>
        <w:ind w:left="360"/>
      </w:pPr>
      <w:r>
        <w:t>Faculty of Clinical Informatics (2021) Levelling Up: Digital Literacy for the Health and Care Workforce. London: Faculty of Clinical Informatics.</w:t>
      </w:r>
    </w:p>
    <w:p w14:paraId="6AA33A2F" w14:textId="77777777" w:rsidR="00064A08" w:rsidRDefault="00064A08" w:rsidP="007D277B">
      <w:pPr>
        <w:ind w:left="360"/>
      </w:pPr>
      <w:r>
        <w:t xml:space="preserve">Good Things Foundation (2024) </w:t>
      </w:r>
      <w:r w:rsidRPr="007D277B">
        <w:rPr>
          <w:i/>
          <w:iCs/>
        </w:rPr>
        <w:t>Digital Nation UK 2024</w:t>
      </w:r>
      <w:r>
        <w:t>. Sheffield: Good Things Foundation. Available at: https://www.goodthingsfoundation.org (Accessed: 14 July 2026).</w:t>
      </w:r>
    </w:p>
    <w:p w14:paraId="12FC14F6" w14:textId="77777777" w:rsidR="00064A08" w:rsidRDefault="00064A08" w:rsidP="007D277B">
      <w:pPr>
        <w:ind w:left="360"/>
      </w:pPr>
      <w:r w:rsidRPr="00E77788">
        <w:t xml:space="preserve">Gordon, N.P., Hornbrook, M.C. and Gunter, M.J. (2022) ‘Older adults' readiness to engage with digital health technologies: Barriers and facilitators to implementation’, </w:t>
      </w:r>
      <w:r w:rsidRPr="007D277B">
        <w:rPr>
          <w:i/>
          <w:iCs/>
        </w:rPr>
        <w:t>Journal of Medical Internet Research</w:t>
      </w:r>
      <w:r w:rsidRPr="00E77788">
        <w:t xml:space="preserve">, 24, e35774. </w:t>
      </w:r>
      <w:hyperlink r:id="rId10" w:history="1">
        <w:r w:rsidRPr="007D277B">
          <w:rPr>
            <w:rStyle w:val="Hyperlink"/>
            <w:color w:val="auto"/>
            <w:u w:val="none"/>
          </w:rPr>
          <w:t>https://doi.org/10.2196/35774</w:t>
        </w:r>
      </w:hyperlink>
    </w:p>
    <w:p w14:paraId="6BBCECD1" w14:textId="77777777" w:rsidR="00064A08" w:rsidRDefault="00064A08" w:rsidP="007D277B">
      <w:pPr>
        <w:ind w:left="360"/>
      </w:pPr>
      <w:r>
        <w:t xml:space="preserve">Greenhalgh, T., </w:t>
      </w:r>
      <w:proofErr w:type="spellStart"/>
      <w:r>
        <w:t>Wherton</w:t>
      </w:r>
      <w:proofErr w:type="spellEnd"/>
      <w:r>
        <w:t xml:space="preserve">, J., Papoutsi, C., Lynch, J., Hughes, G., A’Court, C., Hinder, S., Fahy, N., Procter, R. and Shaw, S. (2017) ‘Beyond adoption: A new framework for theorising and evaluating non-adoption, abandonment, scale-up, spread and sustainability (NASSS) of health and care technologies’, </w:t>
      </w:r>
      <w:r w:rsidRPr="00086923">
        <w:rPr>
          <w:i/>
          <w:iCs/>
        </w:rPr>
        <w:t>Journal of Medical Internet Research</w:t>
      </w:r>
      <w:r>
        <w:t>, 19(11), e367. https://doi.org/10.2196/jmir.8775</w:t>
      </w:r>
    </w:p>
    <w:p w14:paraId="49D60AC2" w14:textId="77777777" w:rsidR="00064A08" w:rsidRDefault="00064A08" w:rsidP="007D277B">
      <w:pPr>
        <w:ind w:left="360"/>
      </w:pPr>
      <w:r>
        <w:t xml:space="preserve">Greenhalgh, T., </w:t>
      </w:r>
      <w:proofErr w:type="spellStart"/>
      <w:r>
        <w:t>Wherton</w:t>
      </w:r>
      <w:proofErr w:type="spellEnd"/>
      <w:r>
        <w:t>, J., Shaw, S. and Morrison, C. (2020) ‘Video consultations for COVID-19’, BMJ, 368, m998. https://doi.org/10.1136/bmj.m998</w:t>
      </w:r>
    </w:p>
    <w:p w14:paraId="33677FA1" w14:textId="77777777" w:rsidR="00064A08" w:rsidRDefault="00064A08" w:rsidP="007D277B">
      <w:pPr>
        <w:ind w:left="360"/>
      </w:pPr>
      <w:r>
        <w:t xml:space="preserve">Heart, T. and </w:t>
      </w:r>
      <w:proofErr w:type="spellStart"/>
      <w:r>
        <w:t>Kalderon</w:t>
      </w:r>
      <w:proofErr w:type="spellEnd"/>
      <w:r>
        <w:t xml:space="preserve">, E. (2013) ‘Older adults: Are they ready to adopt health-related ICT?’, </w:t>
      </w:r>
      <w:r w:rsidRPr="00086923">
        <w:rPr>
          <w:i/>
          <w:iCs/>
        </w:rPr>
        <w:t>International Journal of Medical Informatics</w:t>
      </w:r>
      <w:r>
        <w:t>, 82(11), e209–e231. https://doi.org/10.1016/j.ijmedinf.2011.03.002</w:t>
      </w:r>
    </w:p>
    <w:p w14:paraId="24982473" w14:textId="77777777" w:rsidR="00064A08" w:rsidRDefault="00064A08" w:rsidP="007D277B">
      <w:pPr>
        <w:ind w:left="360"/>
      </w:pPr>
      <w:r>
        <w:t xml:space="preserve">Helsper, E.J. (2021) </w:t>
      </w:r>
      <w:r w:rsidRPr="00086923">
        <w:rPr>
          <w:i/>
          <w:iCs/>
        </w:rPr>
        <w:t>The Digital Disconnect: The Social Causes and Consequences of Digital Inequalities</w:t>
      </w:r>
      <w:r>
        <w:t>. London: Sage.</w:t>
      </w:r>
    </w:p>
    <w:p w14:paraId="7BBB04E6" w14:textId="77777777" w:rsidR="00064A08" w:rsidRDefault="00064A08" w:rsidP="007D277B">
      <w:pPr>
        <w:ind w:left="360"/>
      </w:pPr>
      <w:r>
        <w:lastRenderedPageBreak/>
        <w:t xml:space="preserve">Hepburn, J., Wale, A., Williams, V. and colleagues (2025) ‘Barriers to and facilitators of digital health technology adoption among older adults with chronic diseases: An updated systematic review’, </w:t>
      </w:r>
      <w:r w:rsidRPr="007D277B">
        <w:rPr>
          <w:i/>
          <w:iCs/>
        </w:rPr>
        <w:t>JMIR Aging</w:t>
      </w:r>
      <w:r>
        <w:t>, 8, e80000. https://doi.org/10.2196/80000</w:t>
      </w:r>
    </w:p>
    <w:p w14:paraId="50B7E370" w14:textId="58A35D03" w:rsidR="00064A08" w:rsidRDefault="00064A08" w:rsidP="007D277B">
      <w:pPr>
        <w:ind w:left="360"/>
      </w:pPr>
      <w:r>
        <w:t xml:space="preserve">International Telecommunication Union (2023) </w:t>
      </w:r>
      <w:r w:rsidRPr="008C1E61">
        <w:rPr>
          <w:i/>
          <w:iCs/>
        </w:rPr>
        <w:t>Facts and Figures 2023</w:t>
      </w:r>
      <w:r>
        <w:t xml:space="preserve">. </w:t>
      </w:r>
      <w:r w:rsidR="008C1E61">
        <w:t xml:space="preserve">Available at: </w:t>
      </w:r>
      <w:r w:rsidR="008C1E61" w:rsidRPr="008C1E61">
        <w:t>https://www.itu.int/itu-d/reports/statistics/wp-content/uploads/sites/5/2023/11/Measuring-digital-development-Facts-and-figures-2023-E.pdf</w:t>
      </w:r>
      <w:r w:rsidR="008C1E61">
        <w:t xml:space="preserve"> (Accessed: 1 July 2026)</w:t>
      </w:r>
    </w:p>
    <w:p w14:paraId="399D3181" w14:textId="77777777" w:rsidR="00064A08" w:rsidRDefault="00064A08" w:rsidP="007D277B">
      <w:pPr>
        <w:ind w:left="360"/>
      </w:pPr>
      <w:r>
        <w:t>Jokisch, M.R., Schmidt, L.I. and Doh, M. (2022) ‘Acceptance of digital health services among older adults: Findings on perceived usefulness, self-efficacy, privacy concerns, ICT knowledge, and support seeking’, Frontiers in Public Health, 10, 1073756. https://doi.org/10.3389/fpubh.2022.1073756</w:t>
      </w:r>
    </w:p>
    <w:p w14:paraId="5E80F854" w14:textId="77777777" w:rsidR="00064A08" w:rsidRDefault="00064A08" w:rsidP="007D277B">
      <w:pPr>
        <w:ind w:left="360"/>
      </w:pPr>
      <w:r>
        <w:t>Kruse, C.S., Karem, P., Shifflett, K., Vegi, L., Ravi, K. and Brooks, M. (2018) ‘Evaluating barriers to adopting telemedicine worldwide: A systematic review’, Journal of Telemedicine and Telecare, 24(1), pp. 4–12. https://doi.org/10.1177/1357633X16674087</w:t>
      </w:r>
    </w:p>
    <w:p w14:paraId="14C39FE3" w14:textId="77777777" w:rsidR="00064A08" w:rsidRDefault="00064A08" w:rsidP="007D277B">
      <w:pPr>
        <w:ind w:left="360"/>
      </w:pPr>
      <w:proofErr w:type="spellStart"/>
      <w:r>
        <w:t>Kunonga</w:t>
      </w:r>
      <w:proofErr w:type="spellEnd"/>
      <w:r>
        <w:t xml:space="preserve">, T.P., Spiers, G.F., Beyer, F.R., et al. (2021) ‘Effects of digital technologies on older people's access to health and social care services: An umbrella review’, </w:t>
      </w:r>
      <w:r w:rsidRPr="007D277B">
        <w:rPr>
          <w:i/>
          <w:iCs/>
        </w:rPr>
        <w:t>Journal of Medical Internet Research</w:t>
      </w:r>
      <w:r>
        <w:t>, 23(11), e25887. https://doi.org/10.2196/25887</w:t>
      </w:r>
    </w:p>
    <w:p w14:paraId="2FD97420" w14:textId="77777777" w:rsidR="00064A08" w:rsidRDefault="00064A08" w:rsidP="007D277B">
      <w:pPr>
        <w:ind w:left="360"/>
      </w:pPr>
      <w:r>
        <w:t>Lloyds Banking Group (2024) Lloyds Consumer Digital Index 2024. London: Lloyds Banking Group. Available</w:t>
      </w:r>
      <w:r>
        <w:t xml:space="preserve"> </w:t>
      </w:r>
      <w:r>
        <w:t xml:space="preserve">at: https://www.lloydsbankinggroup.com/who-we-are/helping-britain-prosper/consumer-digital-index.html (Accessed: </w:t>
      </w:r>
      <w:r>
        <w:t>10</w:t>
      </w:r>
      <w:r>
        <w:t xml:space="preserve"> July 2026).</w:t>
      </w:r>
    </w:p>
    <w:p w14:paraId="4448ACFE" w14:textId="77777777" w:rsidR="00064A08" w:rsidRDefault="00064A08" w:rsidP="007D277B">
      <w:pPr>
        <w:ind w:left="360"/>
      </w:pPr>
      <w:r>
        <w:t xml:space="preserve">Mace, R.A., Mattos, M.K. and </w:t>
      </w:r>
      <w:proofErr w:type="spellStart"/>
      <w:r>
        <w:t>Vranceanu</w:t>
      </w:r>
      <w:proofErr w:type="spellEnd"/>
      <w:r>
        <w:t xml:space="preserve">, A.-M. (2022) ‘Older adults can use technology: Why healthcare professionals must overcome ageism in digital health’, Translational </w:t>
      </w:r>
      <w:proofErr w:type="spellStart"/>
      <w:r>
        <w:t>Behavioral</w:t>
      </w:r>
      <w:proofErr w:type="spellEnd"/>
      <w:r>
        <w:t xml:space="preserve"> Medicine, 12(12), pp. 1102–1105.</w:t>
      </w:r>
      <w:r w:rsidRPr="007E1ED4">
        <w:t xml:space="preserve"> </w:t>
      </w:r>
      <w:hyperlink r:id="rId11" w:history="1">
        <w:r w:rsidRPr="007D277B">
          <w:rPr>
            <w:rStyle w:val="Hyperlink"/>
            <w:color w:val="auto"/>
            <w:u w:val="none"/>
          </w:rPr>
          <w:t>https://doi.org/10.1093/tbm/ibac070</w:t>
        </w:r>
      </w:hyperlink>
    </w:p>
    <w:p w14:paraId="33215D0C" w14:textId="77777777" w:rsidR="00064A08" w:rsidRDefault="00064A08" w:rsidP="007D277B">
      <w:pPr>
        <w:ind w:left="360"/>
      </w:pPr>
      <w:r>
        <w:t>Marston, H.R., Musselwhite, C. and Hadley, R.A. (2020) ‘COVID-19 versus social isolation: The impact technology can have on communities, social connections and citizens’, British Journal of Community Nursing, 25(3), pp. 121–124.</w:t>
      </w:r>
    </w:p>
    <w:p w14:paraId="21FB67DC" w14:textId="77777777" w:rsidR="00064A08" w:rsidRDefault="00064A08" w:rsidP="007D277B">
      <w:pPr>
        <w:ind w:left="360"/>
      </w:pPr>
      <w:r>
        <w:t xml:space="preserve">McCormack, B. and McCance, T. (2017) Person-centred practice in nursing and health care: Theory and practice. 2nd </w:t>
      </w:r>
      <w:proofErr w:type="spellStart"/>
      <w:r>
        <w:t>edn</w:t>
      </w:r>
      <w:proofErr w:type="spellEnd"/>
      <w:r>
        <w:t>. Chichester: Wiley-Blackwell.</w:t>
      </w:r>
    </w:p>
    <w:p w14:paraId="44CC15E0" w14:textId="77777777" w:rsidR="00064A08" w:rsidRDefault="00064A08" w:rsidP="007D277B">
      <w:pPr>
        <w:ind w:left="360"/>
      </w:pPr>
      <w:r>
        <w:t xml:space="preserve">National Institute for Health and Care Excellence (2022) </w:t>
      </w:r>
      <w:r w:rsidRPr="007D277B">
        <w:rPr>
          <w:i/>
          <w:iCs/>
        </w:rPr>
        <w:t>Evidence standards framework for digital health technologies</w:t>
      </w:r>
      <w:r>
        <w:t>. London: NICE. Available at: https://www.nice.org.uk/corporate/ecd7 (Accessed: 21 July 2026).</w:t>
      </w:r>
    </w:p>
    <w:p w14:paraId="646FF9A1" w14:textId="1B14A067" w:rsidR="00064A08" w:rsidRPr="00086923" w:rsidRDefault="00064A08" w:rsidP="007D277B">
      <w:pPr>
        <w:ind w:left="360"/>
      </w:pPr>
      <w:r>
        <w:lastRenderedPageBreak/>
        <w:t xml:space="preserve">National Voices (2023) </w:t>
      </w:r>
      <w:r w:rsidRPr="00086923">
        <w:rPr>
          <w:i/>
          <w:iCs/>
        </w:rPr>
        <w:t>Improving Digital Inclusion for People with Long-Term Conditions. London: National Voices.</w:t>
      </w:r>
      <w:r w:rsidR="00086923">
        <w:rPr>
          <w:i/>
          <w:iCs/>
        </w:rPr>
        <w:t xml:space="preserve"> </w:t>
      </w:r>
      <w:r w:rsidR="00086923">
        <w:t xml:space="preserve">Available at: </w:t>
      </w:r>
      <w:r w:rsidR="00086923" w:rsidRPr="00086923">
        <w:t>https://www.nationalvoices.org.uk/publication/unlocking-digital-front-door-keys-inclusive-healthcare/</w:t>
      </w:r>
      <w:r w:rsidR="00086923">
        <w:t xml:space="preserve"> (Accessed: 26 July 2026)</w:t>
      </w:r>
    </w:p>
    <w:p w14:paraId="36C88BBA" w14:textId="6F826051" w:rsidR="00064A08" w:rsidRDefault="00064A08" w:rsidP="007D277B">
      <w:pPr>
        <w:ind w:left="360"/>
      </w:pPr>
      <w:r>
        <w:t xml:space="preserve">NHS Confederation (2022) </w:t>
      </w:r>
      <w:r w:rsidRPr="00086923">
        <w:rPr>
          <w:i/>
          <w:iCs/>
        </w:rPr>
        <w:t>Digital Inclusion in Health and Care. London: NHS Confederation</w:t>
      </w:r>
      <w:r>
        <w:t>.</w:t>
      </w:r>
      <w:r w:rsidR="00086923">
        <w:t xml:space="preserve"> Available at: </w:t>
      </w:r>
      <w:r w:rsidR="00086923" w:rsidRPr="00086923">
        <w:t>https://thenhsalliance.org/resources/digital-download-digital-inclusion</w:t>
      </w:r>
      <w:r w:rsidR="00086923">
        <w:t xml:space="preserve"> (Accessed: 15 July 2026)</w:t>
      </w:r>
    </w:p>
    <w:p w14:paraId="46A52A2C" w14:textId="77777777" w:rsidR="00064A08" w:rsidRDefault="00064A08" w:rsidP="007D277B">
      <w:pPr>
        <w:ind w:left="360"/>
      </w:pPr>
      <w:r>
        <w:t>NHS Digital (2022) What Good Looks Like Framework. Leeds: NHS Digital.</w:t>
      </w:r>
    </w:p>
    <w:p w14:paraId="494FBE63" w14:textId="77777777" w:rsidR="00064A08" w:rsidRDefault="00064A08" w:rsidP="007D277B">
      <w:pPr>
        <w:ind w:left="360"/>
      </w:pPr>
      <w:r>
        <w:t xml:space="preserve">NHS England (2019) </w:t>
      </w:r>
      <w:r w:rsidRPr="007D277B">
        <w:rPr>
          <w:i/>
          <w:iCs/>
        </w:rPr>
        <w:t>The NHS Long Term Plan</w:t>
      </w:r>
      <w:r>
        <w:t>. Available at: https://www.longtermplan.nhs.uk (Accessed: 14 July 2026).</w:t>
      </w:r>
    </w:p>
    <w:p w14:paraId="1347C518" w14:textId="77777777" w:rsidR="00064A08" w:rsidRDefault="00064A08" w:rsidP="007D277B">
      <w:pPr>
        <w:ind w:left="360"/>
      </w:pPr>
      <w:r>
        <w:t xml:space="preserve">NHS England (2023) </w:t>
      </w:r>
      <w:r w:rsidRPr="008C1E61">
        <w:rPr>
          <w:i/>
          <w:iCs/>
        </w:rPr>
        <w:t>A plan for recovering access to primary care</w:t>
      </w:r>
      <w:r>
        <w:t>. London: NHS England.</w:t>
      </w:r>
    </w:p>
    <w:p w14:paraId="4360D720" w14:textId="2FC5EAC3" w:rsidR="00064A08" w:rsidRDefault="00064A08" w:rsidP="007D277B">
      <w:pPr>
        <w:ind w:left="360"/>
      </w:pPr>
      <w:r>
        <w:t xml:space="preserve">NHS England (2023) </w:t>
      </w:r>
      <w:r w:rsidRPr="008C1E61">
        <w:rPr>
          <w:i/>
          <w:iCs/>
        </w:rPr>
        <w:t>Core20PLUS5 – An approach to reducing healthcare inequalities</w:t>
      </w:r>
      <w:r>
        <w:t>. Available at: https://www.england.nhs.uk/about/equality/equality-hub/core20plus5/</w:t>
      </w:r>
      <w:r w:rsidR="008C1E61">
        <w:t xml:space="preserve"> (Accessed: 2 July 2026)</w:t>
      </w:r>
    </w:p>
    <w:p w14:paraId="7529C34F" w14:textId="77777777" w:rsidR="00064A08" w:rsidRDefault="00064A08" w:rsidP="007D277B">
      <w:pPr>
        <w:ind w:left="360"/>
      </w:pPr>
      <w:r>
        <w:t xml:space="preserve">NHS England (2024) NHS App dashboard. Available at: https://www.england.nhs.uk/long-read/nhs-app-dashboard/ (Accessed: </w:t>
      </w:r>
      <w:r>
        <w:t>4</w:t>
      </w:r>
      <w:r>
        <w:t xml:space="preserve"> July 2026).</w:t>
      </w:r>
    </w:p>
    <w:p w14:paraId="5E36A1FD" w14:textId="4B2FA9DD" w:rsidR="00064A08" w:rsidRDefault="00064A08" w:rsidP="007D277B">
      <w:pPr>
        <w:ind w:left="360"/>
      </w:pPr>
      <w:r>
        <w:t xml:space="preserve">OECD (2023) </w:t>
      </w:r>
      <w:r w:rsidRPr="007D277B">
        <w:rPr>
          <w:i/>
          <w:iCs/>
        </w:rPr>
        <w:t>Health at a Glance 2023: OECD Indicators</w:t>
      </w:r>
      <w:r>
        <w:t>. Paris: OECD Publishing. Available at: https://doi.org/10.1787/7a7afb35-en</w:t>
      </w:r>
      <w:r w:rsidR="00F307FC">
        <w:t xml:space="preserve"> (Accessed: 1 July 2026)</w:t>
      </w:r>
    </w:p>
    <w:p w14:paraId="70F13D26" w14:textId="5568B392" w:rsidR="00064A08" w:rsidRDefault="00064A08" w:rsidP="007D277B">
      <w:pPr>
        <w:ind w:left="360"/>
      </w:pPr>
      <w:r>
        <w:t xml:space="preserve">Ofcom (2024) </w:t>
      </w:r>
      <w:r w:rsidRPr="00086923">
        <w:rPr>
          <w:i/>
          <w:iCs/>
        </w:rPr>
        <w:t>Adults' Media Use and Attitudes Report 2024. London: Ofcom</w:t>
      </w:r>
      <w:r>
        <w:t>.</w:t>
      </w:r>
      <w:r w:rsidR="00086923">
        <w:t xml:space="preserve"> Available at: </w:t>
      </w:r>
      <w:r w:rsidR="00086923" w:rsidRPr="00086923">
        <w:t>https://www.ofcom.org.uk/siteassets/resources/documents/research-and-data/media-literacy-research/adults/adults-media-use-and-attitudes-2024/adults-media-use-and-attitudes-report-2024.pdf?v=321395</w:t>
      </w:r>
      <w:r w:rsidR="00086923">
        <w:t xml:space="preserve"> (Accessed: 10 July 2026)</w:t>
      </w:r>
    </w:p>
    <w:p w14:paraId="71C3DDA0" w14:textId="77777777" w:rsidR="00064A08" w:rsidRDefault="00064A08" w:rsidP="007D277B">
      <w:pPr>
        <w:ind w:left="360"/>
      </w:pPr>
      <w:r>
        <w:t xml:space="preserve">Office for National Statistics (2019) </w:t>
      </w:r>
      <w:r w:rsidRPr="007D277B">
        <w:rPr>
          <w:i/>
          <w:iCs/>
        </w:rPr>
        <w:t>Exploring the UK's digital divide</w:t>
      </w:r>
      <w:r>
        <w:t>. Available at: https://www.ons.gov.uk (Accessed: 14 July 2026).</w:t>
      </w:r>
    </w:p>
    <w:p w14:paraId="021A4907" w14:textId="77777777" w:rsidR="00064A08" w:rsidRDefault="00064A08" w:rsidP="007D277B">
      <w:pPr>
        <w:ind w:left="360"/>
      </w:pPr>
      <w:r>
        <w:t xml:space="preserve">Office for National Statistics (2024) </w:t>
      </w:r>
      <w:r w:rsidRPr="007D277B">
        <w:rPr>
          <w:i/>
          <w:iCs/>
        </w:rPr>
        <w:t>Internet users, UK:</w:t>
      </w:r>
      <w:r>
        <w:t xml:space="preserve"> 2024. Available at: https://www.ons.gov.uk (Accessed: 21 July 2026).</w:t>
      </w:r>
    </w:p>
    <w:p w14:paraId="4570356F" w14:textId="77777777" w:rsidR="00064A08" w:rsidRDefault="00064A08" w:rsidP="007D277B">
      <w:pPr>
        <w:ind w:left="360"/>
      </w:pPr>
      <w:r>
        <w:t xml:space="preserve">Peek, S.T.M., Wouters, E.J.M., van Hoof, J., </w:t>
      </w:r>
      <w:proofErr w:type="spellStart"/>
      <w:r>
        <w:t>Luijkx</w:t>
      </w:r>
      <w:proofErr w:type="spellEnd"/>
      <w:r>
        <w:t xml:space="preserve">, K.G., Boeije, H.R. and </w:t>
      </w:r>
      <w:proofErr w:type="spellStart"/>
      <w:r>
        <w:t>Vrijhoef</w:t>
      </w:r>
      <w:proofErr w:type="spellEnd"/>
      <w:r>
        <w:t>, H.J.M. (2014) ‘Factors influencing acceptance of technology for ageing in place: A systematic review’, International Journal of Medical Informatics, 83(4), pp. 235–248. https://doi.org/10.1016/j.ijmedinf.2014.01.004</w:t>
      </w:r>
    </w:p>
    <w:p w14:paraId="7CBEBD63" w14:textId="77777777" w:rsidR="00064A08" w:rsidRDefault="00064A08" w:rsidP="007D277B">
      <w:pPr>
        <w:ind w:left="360"/>
      </w:pPr>
      <w:r>
        <w:lastRenderedPageBreak/>
        <w:t xml:space="preserve">Schroeder, J., et al. (2023) ‘Digital health technology adoption among older adults: A mapping review’, </w:t>
      </w:r>
      <w:r w:rsidRPr="007D277B">
        <w:rPr>
          <w:i/>
          <w:iCs/>
        </w:rPr>
        <w:t>Frontiers in Digital Health, 5</w:t>
      </w:r>
      <w:r>
        <w:t>, Article 1188568. https://doi.org/10.3389/fdgth.2023.1188568</w:t>
      </w:r>
    </w:p>
    <w:p w14:paraId="3C747C8C" w14:textId="77777777" w:rsidR="00064A08" w:rsidRDefault="00064A08" w:rsidP="007D277B">
      <w:pPr>
        <w:ind w:left="360"/>
      </w:pPr>
      <w:r>
        <w:t>Seifert, A., Cotten, S.R. and Xie, B. (2021) ‘A double burden of exclusion? Digital and social exclusion of older adults in times of COVID-19’, Journals of Gerontology: Series B, 76(3), e99–e103. https://doi.org/10.1093/geronb/gbaa098</w:t>
      </w:r>
    </w:p>
    <w:p w14:paraId="5BDACAD1" w14:textId="77777777" w:rsidR="00064A08" w:rsidRDefault="00064A08" w:rsidP="007D277B">
      <w:pPr>
        <w:ind w:left="360"/>
      </w:pPr>
      <w:r>
        <w:t>United Nations (2021) World Population Ageing 2020 Highlights. New York: United Nations.</w:t>
      </w:r>
    </w:p>
    <w:p w14:paraId="73A3AA76" w14:textId="77777777" w:rsidR="00064A08" w:rsidRDefault="00064A08" w:rsidP="007D277B">
      <w:pPr>
        <w:ind w:left="360"/>
      </w:pPr>
      <w:r>
        <w:t xml:space="preserve">Van Dijk, J.A.G.M. (2005) </w:t>
      </w:r>
      <w:r w:rsidRPr="007D277B">
        <w:rPr>
          <w:i/>
          <w:iCs/>
        </w:rPr>
        <w:t>The Deepening Divide: Inequality in the Information Society</w:t>
      </w:r>
      <w:r>
        <w:t>. Thousand Oaks, CA: Sage Publications.</w:t>
      </w:r>
    </w:p>
    <w:p w14:paraId="68CF5857" w14:textId="77777777" w:rsidR="00064A08" w:rsidRDefault="00064A08" w:rsidP="007D277B">
      <w:pPr>
        <w:ind w:left="360"/>
      </w:pPr>
      <w:r>
        <w:t xml:space="preserve">Venkatesh, V., Morris, M.G., Davis, G.B. and Davis, F.D. (2003) ‘User acceptance of information technology: Toward a unified view’, </w:t>
      </w:r>
      <w:r w:rsidRPr="007D277B">
        <w:rPr>
          <w:i/>
          <w:iCs/>
        </w:rPr>
        <w:t>MIS Quarterly</w:t>
      </w:r>
      <w:r>
        <w:t>, 27(3), pp. 425–478. https://doi.org/10.2307/30036540</w:t>
      </w:r>
    </w:p>
    <w:p w14:paraId="757CFBF6" w14:textId="77777777" w:rsidR="00064A08" w:rsidRDefault="00064A08" w:rsidP="007D277B">
      <w:pPr>
        <w:ind w:left="360"/>
      </w:pPr>
      <w:r>
        <w:t xml:space="preserve">World Health </w:t>
      </w:r>
      <w:r>
        <w:t>Organisation</w:t>
      </w:r>
      <w:r>
        <w:t xml:space="preserve"> (2008) Closing the Gap in a Generation: Health Equity Through Action on the Social Determinants of Health. Final Report of the Commission on Social Determinants of Health. Geneva: World Health Organization. Available at: https://www.who.int/publications/i/item/WHO-IER-CSDH-08.1 (Accessed: </w:t>
      </w:r>
      <w:r>
        <w:t>10</w:t>
      </w:r>
      <w:r>
        <w:t xml:space="preserve"> July 2026).</w:t>
      </w:r>
    </w:p>
    <w:p w14:paraId="56DAFDF5" w14:textId="77777777" w:rsidR="00064A08" w:rsidRDefault="00064A08" w:rsidP="007D277B">
      <w:pPr>
        <w:ind w:left="360"/>
      </w:pPr>
      <w:r>
        <w:t xml:space="preserve">World Health Organisation (2021) </w:t>
      </w:r>
      <w:r w:rsidRPr="007D277B">
        <w:rPr>
          <w:i/>
          <w:iCs/>
        </w:rPr>
        <w:t>Global strategy on digital health 2020–2025</w:t>
      </w:r>
      <w:r>
        <w:t>. Geneva: World Health Organization. Available at: https://www.who.int/publications/i/item/9789240020924 (Accessed: 14 July 2026).</w:t>
      </w:r>
    </w:p>
    <w:p w14:paraId="2A4D87EE" w14:textId="77777777" w:rsidR="00064A08" w:rsidRDefault="00064A08" w:rsidP="007D277B">
      <w:pPr>
        <w:ind w:left="360"/>
      </w:pPr>
      <w:r>
        <w:t xml:space="preserve">World Health Organisation (2024) </w:t>
      </w:r>
      <w:r w:rsidRPr="007D277B">
        <w:rPr>
          <w:i/>
          <w:iCs/>
        </w:rPr>
        <w:t>Ageing</w:t>
      </w:r>
      <w:r>
        <w:t>. Available at: https://www.who.int/news-room/fact-sheets/detail/ageing-and-health (Accessed: 14 July 2026).</w:t>
      </w:r>
    </w:p>
    <w:p w14:paraId="7B648CD3" w14:textId="77777777" w:rsidR="00064A08" w:rsidRDefault="00064A08" w:rsidP="007D277B">
      <w:pPr>
        <w:ind w:left="360"/>
      </w:pPr>
      <w:r w:rsidRPr="00E77788">
        <w:t xml:space="preserve">Xie, B., </w:t>
      </w:r>
      <w:proofErr w:type="spellStart"/>
      <w:r w:rsidRPr="00E77788">
        <w:t>Charness</w:t>
      </w:r>
      <w:proofErr w:type="spellEnd"/>
      <w:r w:rsidRPr="00E77788">
        <w:t xml:space="preserve">, N., Fingerman, K., Kaye, J., Kim, M.T. and Khurshid, A. (2022) ‘When going digital becomes a necessity: Ensuring older adults' needs for digital health technologies are met’, Journal of Aging &amp; Social Policy, 34(3), pp. 393–410. </w:t>
      </w:r>
      <w:hyperlink r:id="rId12" w:history="1">
        <w:r w:rsidRPr="007D277B">
          <w:rPr>
            <w:rStyle w:val="Hyperlink"/>
            <w:color w:val="auto"/>
            <w:u w:val="none"/>
          </w:rPr>
          <w:t>https://doi.org/10.1080/08959420.2022.2035193</w:t>
        </w:r>
      </w:hyperlink>
      <w:r w:rsidRPr="00E77788">
        <w:t xml:space="preserve"> </w:t>
      </w:r>
    </w:p>
    <w:p w14:paraId="674B2D12" w14:textId="77777777" w:rsidR="00E77788" w:rsidRDefault="00E77788" w:rsidP="006044AC"/>
    <w:p w14:paraId="1BF906DD" w14:textId="77777777" w:rsidR="001040A3" w:rsidRDefault="001040A3" w:rsidP="00621776"/>
    <w:p w14:paraId="1335BD17" w14:textId="77777777" w:rsidR="001040A3" w:rsidRDefault="001040A3" w:rsidP="00621776"/>
    <w:p w14:paraId="40ABB430" w14:textId="77777777" w:rsidR="007D277B" w:rsidRDefault="007D277B" w:rsidP="00621776">
      <w:pPr>
        <w:pStyle w:val="Heading1"/>
        <w:ind w:left="0"/>
        <w:rPr>
          <w:rFonts w:ascii="Aptos" w:hAnsi="Aptos"/>
          <w:sz w:val="28"/>
          <w:szCs w:val="28"/>
        </w:rPr>
      </w:pPr>
    </w:p>
    <w:p w14:paraId="3EEFC869" w14:textId="77777777" w:rsidR="007D277B" w:rsidRDefault="007D277B" w:rsidP="00621776">
      <w:pPr>
        <w:pStyle w:val="Heading1"/>
        <w:ind w:left="0"/>
        <w:rPr>
          <w:rFonts w:ascii="Aptos" w:hAnsi="Aptos"/>
          <w:sz w:val="28"/>
          <w:szCs w:val="28"/>
        </w:rPr>
      </w:pPr>
    </w:p>
    <w:p w14:paraId="58DE7DE7" w14:textId="77777777" w:rsidR="007D277B" w:rsidRDefault="007D277B" w:rsidP="00621776">
      <w:pPr>
        <w:pStyle w:val="Heading1"/>
        <w:ind w:left="0"/>
        <w:rPr>
          <w:rFonts w:ascii="Aptos" w:hAnsi="Aptos"/>
          <w:sz w:val="28"/>
          <w:szCs w:val="28"/>
        </w:rPr>
      </w:pPr>
    </w:p>
    <w:p w14:paraId="54CE8FD8" w14:textId="77777777" w:rsidR="007D277B" w:rsidRDefault="007D277B" w:rsidP="00621776">
      <w:pPr>
        <w:pStyle w:val="Heading1"/>
        <w:ind w:left="0"/>
        <w:rPr>
          <w:rFonts w:ascii="Aptos" w:hAnsi="Aptos"/>
          <w:sz w:val="28"/>
          <w:szCs w:val="28"/>
        </w:rPr>
      </w:pPr>
    </w:p>
    <w:p w14:paraId="784C5F38" w14:textId="77777777" w:rsidR="007D277B" w:rsidRDefault="007D277B" w:rsidP="00621776">
      <w:pPr>
        <w:pStyle w:val="Heading1"/>
        <w:ind w:left="0"/>
        <w:rPr>
          <w:rFonts w:ascii="Aptos" w:hAnsi="Aptos"/>
          <w:sz w:val="28"/>
          <w:szCs w:val="28"/>
        </w:rPr>
      </w:pPr>
    </w:p>
    <w:p w14:paraId="571D88EB" w14:textId="77777777" w:rsidR="007D277B" w:rsidRDefault="007D277B" w:rsidP="00621776">
      <w:pPr>
        <w:pStyle w:val="Heading1"/>
        <w:ind w:left="0"/>
        <w:rPr>
          <w:rFonts w:ascii="Aptos" w:hAnsi="Aptos"/>
          <w:sz w:val="28"/>
          <w:szCs w:val="28"/>
        </w:rPr>
      </w:pPr>
    </w:p>
    <w:p w14:paraId="48CB883F" w14:textId="77777777" w:rsidR="007D277B" w:rsidRDefault="007D277B" w:rsidP="00621776">
      <w:pPr>
        <w:pStyle w:val="Heading1"/>
        <w:ind w:left="0"/>
        <w:rPr>
          <w:rFonts w:ascii="Aptos" w:hAnsi="Aptos"/>
          <w:sz w:val="28"/>
          <w:szCs w:val="28"/>
        </w:rPr>
      </w:pPr>
    </w:p>
    <w:p w14:paraId="25F1AA0B" w14:textId="77777777" w:rsidR="007D277B" w:rsidRDefault="007D277B" w:rsidP="00621776">
      <w:pPr>
        <w:pStyle w:val="Heading1"/>
        <w:ind w:left="0"/>
        <w:rPr>
          <w:rFonts w:ascii="Aptos" w:hAnsi="Aptos"/>
          <w:sz w:val="28"/>
          <w:szCs w:val="28"/>
        </w:rPr>
      </w:pPr>
    </w:p>
    <w:p w14:paraId="1FD3B434" w14:textId="77777777" w:rsidR="007D277B" w:rsidRDefault="007D277B" w:rsidP="00621776">
      <w:pPr>
        <w:pStyle w:val="Heading1"/>
        <w:ind w:left="0"/>
        <w:rPr>
          <w:rFonts w:ascii="Aptos" w:hAnsi="Aptos"/>
          <w:sz w:val="28"/>
          <w:szCs w:val="28"/>
        </w:rPr>
      </w:pPr>
    </w:p>
    <w:p w14:paraId="13CCC5C2" w14:textId="77777777" w:rsidR="007D277B" w:rsidRDefault="007D277B" w:rsidP="00621776">
      <w:pPr>
        <w:pStyle w:val="Heading1"/>
        <w:ind w:left="0"/>
        <w:rPr>
          <w:rFonts w:ascii="Aptos" w:hAnsi="Aptos"/>
          <w:sz w:val="28"/>
          <w:szCs w:val="28"/>
        </w:rPr>
      </w:pPr>
    </w:p>
    <w:p w14:paraId="64B9136F" w14:textId="77777777" w:rsidR="007D277B" w:rsidRDefault="007D277B" w:rsidP="00621776">
      <w:pPr>
        <w:pStyle w:val="Heading1"/>
        <w:ind w:left="0"/>
        <w:rPr>
          <w:rFonts w:ascii="Aptos" w:hAnsi="Aptos"/>
          <w:sz w:val="28"/>
          <w:szCs w:val="28"/>
        </w:rPr>
      </w:pPr>
    </w:p>
    <w:p w14:paraId="3EA144BA" w14:textId="77777777" w:rsidR="007D277B" w:rsidRDefault="007D277B" w:rsidP="00621776">
      <w:pPr>
        <w:pStyle w:val="Heading1"/>
        <w:ind w:left="0"/>
        <w:rPr>
          <w:rFonts w:ascii="Aptos" w:hAnsi="Aptos"/>
          <w:sz w:val="28"/>
          <w:szCs w:val="28"/>
        </w:rPr>
      </w:pPr>
    </w:p>
    <w:p w14:paraId="7AEB556D" w14:textId="77777777" w:rsidR="007D277B" w:rsidRDefault="007D277B" w:rsidP="00621776">
      <w:pPr>
        <w:pStyle w:val="Heading1"/>
        <w:ind w:left="0"/>
        <w:rPr>
          <w:rFonts w:ascii="Aptos" w:hAnsi="Aptos"/>
          <w:sz w:val="28"/>
          <w:szCs w:val="28"/>
        </w:rPr>
      </w:pPr>
    </w:p>
    <w:p w14:paraId="7BB2FFBC" w14:textId="77777777" w:rsidR="007D277B" w:rsidRDefault="007D277B" w:rsidP="00621776">
      <w:pPr>
        <w:pStyle w:val="Heading1"/>
        <w:ind w:left="0"/>
        <w:rPr>
          <w:rFonts w:ascii="Aptos" w:hAnsi="Aptos"/>
          <w:sz w:val="28"/>
          <w:szCs w:val="28"/>
        </w:rPr>
      </w:pPr>
    </w:p>
    <w:p w14:paraId="1C72D2F0" w14:textId="77777777" w:rsidR="007D277B" w:rsidRDefault="007D277B" w:rsidP="00621776">
      <w:pPr>
        <w:pStyle w:val="Heading1"/>
        <w:ind w:left="0"/>
        <w:rPr>
          <w:rFonts w:ascii="Aptos" w:hAnsi="Aptos"/>
          <w:sz w:val="28"/>
          <w:szCs w:val="28"/>
        </w:rPr>
      </w:pPr>
    </w:p>
    <w:p w14:paraId="7E6C0D7C" w14:textId="77777777" w:rsidR="007D277B" w:rsidRDefault="007D277B" w:rsidP="00621776">
      <w:pPr>
        <w:pStyle w:val="Heading1"/>
        <w:ind w:left="0"/>
        <w:rPr>
          <w:rFonts w:ascii="Aptos" w:hAnsi="Aptos"/>
          <w:sz w:val="28"/>
          <w:szCs w:val="28"/>
        </w:rPr>
      </w:pPr>
    </w:p>
    <w:p w14:paraId="634A65E8" w14:textId="77777777" w:rsidR="007D277B" w:rsidRDefault="007D277B" w:rsidP="00621776">
      <w:pPr>
        <w:pStyle w:val="Heading1"/>
        <w:ind w:left="0"/>
        <w:rPr>
          <w:rFonts w:ascii="Aptos" w:hAnsi="Aptos"/>
          <w:sz w:val="28"/>
          <w:szCs w:val="28"/>
        </w:rPr>
      </w:pPr>
    </w:p>
    <w:p w14:paraId="4BB1F414" w14:textId="77777777" w:rsidR="007D277B" w:rsidRDefault="007D277B" w:rsidP="00621776">
      <w:pPr>
        <w:pStyle w:val="Heading1"/>
        <w:ind w:left="0"/>
        <w:rPr>
          <w:rFonts w:ascii="Aptos" w:hAnsi="Aptos"/>
          <w:sz w:val="28"/>
          <w:szCs w:val="28"/>
        </w:rPr>
      </w:pPr>
    </w:p>
    <w:p w14:paraId="24F0F17A" w14:textId="77777777" w:rsidR="007D277B" w:rsidRDefault="007D277B" w:rsidP="00621776">
      <w:pPr>
        <w:pStyle w:val="Heading1"/>
        <w:ind w:left="0"/>
        <w:rPr>
          <w:rFonts w:ascii="Aptos" w:hAnsi="Aptos"/>
          <w:sz w:val="28"/>
          <w:szCs w:val="28"/>
        </w:rPr>
      </w:pPr>
    </w:p>
    <w:p w14:paraId="417823E4" w14:textId="77777777" w:rsidR="007D277B" w:rsidRDefault="007D277B" w:rsidP="00621776">
      <w:pPr>
        <w:pStyle w:val="Heading1"/>
        <w:ind w:left="0"/>
        <w:rPr>
          <w:rFonts w:ascii="Aptos" w:hAnsi="Aptos"/>
          <w:sz w:val="28"/>
          <w:szCs w:val="28"/>
        </w:rPr>
      </w:pPr>
    </w:p>
    <w:p w14:paraId="2E7E63F4" w14:textId="77777777" w:rsidR="007D277B" w:rsidRDefault="007D277B" w:rsidP="00621776">
      <w:pPr>
        <w:pStyle w:val="Heading1"/>
        <w:ind w:left="0"/>
        <w:rPr>
          <w:rFonts w:ascii="Aptos" w:hAnsi="Aptos"/>
          <w:sz w:val="28"/>
          <w:szCs w:val="28"/>
        </w:rPr>
      </w:pPr>
    </w:p>
    <w:p w14:paraId="7F525B27" w14:textId="77777777" w:rsidR="007D277B" w:rsidRDefault="007D277B" w:rsidP="00621776">
      <w:pPr>
        <w:pStyle w:val="Heading1"/>
        <w:ind w:left="0"/>
        <w:rPr>
          <w:rFonts w:ascii="Aptos" w:hAnsi="Aptos"/>
          <w:sz w:val="28"/>
          <w:szCs w:val="28"/>
        </w:rPr>
      </w:pPr>
    </w:p>
    <w:p w14:paraId="6D7584F3" w14:textId="157FED98" w:rsidR="00621776" w:rsidRPr="008C38C3" w:rsidRDefault="00621776" w:rsidP="00621776">
      <w:pPr>
        <w:pStyle w:val="Heading1"/>
        <w:ind w:left="0"/>
        <w:rPr>
          <w:rFonts w:ascii="Aptos" w:hAnsi="Aptos"/>
          <w:sz w:val="28"/>
          <w:szCs w:val="28"/>
        </w:rPr>
      </w:pPr>
      <w:r w:rsidRPr="008C38C3">
        <w:rPr>
          <w:rFonts w:ascii="Aptos" w:hAnsi="Aptos"/>
          <w:sz w:val="28"/>
          <w:szCs w:val="28"/>
        </w:rPr>
        <w:t xml:space="preserve">6.2 – Appendices </w:t>
      </w:r>
    </w:p>
    <w:p w14:paraId="78D375C0" w14:textId="77777777" w:rsidR="008C38C3" w:rsidRDefault="008C38C3" w:rsidP="00621776"/>
    <w:p w14:paraId="438D3C08" w14:textId="77777777" w:rsidR="008C38C3" w:rsidRDefault="008C38C3" w:rsidP="00621776"/>
    <w:p w14:paraId="79D2B8CD" w14:textId="77777777" w:rsidR="00064A08" w:rsidRPr="00064A08" w:rsidRDefault="00064A08" w:rsidP="00064A08">
      <w:pPr>
        <w:rPr>
          <w:b/>
          <w:bCs/>
        </w:rPr>
      </w:pPr>
      <w:r w:rsidRPr="00064A08">
        <w:rPr>
          <w:b/>
          <w:bCs/>
        </w:rPr>
        <w:t>Appendix A – Literature Search Strategy</w:t>
      </w:r>
    </w:p>
    <w:p w14:paraId="18FF6044" w14:textId="77777777" w:rsidR="008C38C3" w:rsidRDefault="008C38C3" w:rsidP="00621776"/>
    <w:tbl>
      <w:tblPr>
        <w:tblStyle w:val="TableGrid"/>
        <w:tblW w:w="0" w:type="auto"/>
        <w:tblLook w:val="04A0" w:firstRow="1" w:lastRow="0" w:firstColumn="1" w:lastColumn="0" w:noHBand="0" w:noVBand="1"/>
      </w:tblPr>
      <w:tblGrid>
        <w:gridCol w:w="1502"/>
        <w:gridCol w:w="1502"/>
        <w:gridCol w:w="1503"/>
        <w:gridCol w:w="1503"/>
        <w:gridCol w:w="1503"/>
        <w:gridCol w:w="1503"/>
      </w:tblGrid>
      <w:tr w:rsidR="00064A08" w14:paraId="048EFB81" w14:textId="77777777" w:rsidTr="00064A08">
        <w:tc>
          <w:tcPr>
            <w:tcW w:w="1502" w:type="dxa"/>
          </w:tcPr>
          <w:p w14:paraId="46B0F310" w14:textId="05258974" w:rsidR="00064A08" w:rsidRPr="00064A08" w:rsidRDefault="00064A08" w:rsidP="00621776">
            <w:pPr>
              <w:rPr>
                <w:b/>
                <w:bCs/>
              </w:rPr>
            </w:pPr>
            <w:r w:rsidRPr="00064A08">
              <w:rPr>
                <w:rFonts w:eastAsiaTheme="minorEastAsia"/>
                <w:b/>
                <w:bCs/>
                <w:kern w:val="2"/>
                <w:lang w:eastAsia="zh-CN"/>
                <w14:ligatures w14:val="standardContextual"/>
              </w:rPr>
              <w:t>Database</w:t>
            </w:r>
          </w:p>
        </w:tc>
        <w:tc>
          <w:tcPr>
            <w:tcW w:w="1502" w:type="dxa"/>
          </w:tcPr>
          <w:p w14:paraId="0D698D2D" w14:textId="3E369EE5" w:rsidR="00064A08" w:rsidRPr="00064A08" w:rsidRDefault="00064A08" w:rsidP="00621776">
            <w:pPr>
              <w:rPr>
                <w:b/>
                <w:bCs/>
              </w:rPr>
            </w:pPr>
            <w:r w:rsidRPr="00064A08">
              <w:rPr>
                <w:b/>
                <w:bCs/>
              </w:rPr>
              <w:t>Search Terms</w:t>
            </w:r>
          </w:p>
        </w:tc>
        <w:tc>
          <w:tcPr>
            <w:tcW w:w="1503" w:type="dxa"/>
          </w:tcPr>
          <w:p w14:paraId="2559A8BA" w14:textId="2319B707" w:rsidR="00064A08" w:rsidRPr="00064A08" w:rsidRDefault="00064A08" w:rsidP="00621776">
            <w:pPr>
              <w:rPr>
                <w:b/>
                <w:bCs/>
              </w:rPr>
            </w:pPr>
            <w:r w:rsidRPr="00064A08">
              <w:rPr>
                <w:b/>
                <w:bCs/>
              </w:rPr>
              <w:t>Boolean Operators</w:t>
            </w:r>
          </w:p>
        </w:tc>
        <w:tc>
          <w:tcPr>
            <w:tcW w:w="1503" w:type="dxa"/>
          </w:tcPr>
          <w:p w14:paraId="7BAAB5F1" w14:textId="519B0E17" w:rsidR="00064A08" w:rsidRPr="00064A08" w:rsidRDefault="00064A08" w:rsidP="00621776">
            <w:pPr>
              <w:rPr>
                <w:b/>
                <w:bCs/>
              </w:rPr>
            </w:pPr>
            <w:r w:rsidRPr="00064A08">
              <w:rPr>
                <w:b/>
                <w:bCs/>
              </w:rPr>
              <w:t>Filters Applied</w:t>
            </w:r>
          </w:p>
        </w:tc>
        <w:tc>
          <w:tcPr>
            <w:tcW w:w="1503" w:type="dxa"/>
          </w:tcPr>
          <w:p w14:paraId="5F12DE9A" w14:textId="44ABE46D" w:rsidR="00064A08" w:rsidRPr="00064A08" w:rsidRDefault="00064A08" w:rsidP="00621776">
            <w:pPr>
              <w:rPr>
                <w:b/>
                <w:bCs/>
              </w:rPr>
            </w:pPr>
            <w:r w:rsidRPr="00064A08">
              <w:rPr>
                <w:b/>
                <w:bCs/>
              </w:rPr>
              <w:t>Results Retrieved</w:t>
            </w:r>
          </w:p>
        </w:tc>
        <w:tc>
          <w:tcPr>
            <w:tcW w:w="1503" w:type="dxa"/>
          </w:tcPr>
          <w:p w14:paraId="71F2A41E" w14:textId="44C3829E" w:rsidR="00064A08" w:rsidRPr="00064A08" w:rsidRDefault="00064A08" w:rsidP="00621776">
            <w:pPr>
              <w:rPr>
                <w:b/>
                <w:bCs/>
              </w:rPr>
            </w:pPr>
            <w:r w:rsidRPr="00064A08">
              <w:rPr>
                <w:b/>
                <w:bCs/>
              </w:rPr>
              <w:t>Articles Included</w:t>
            </w:r>
          </w:p>
        </w:tc>
      </w:tr>
      <w:tr w:rsidR="00064A08" w14:paraId="4889AC80" w14:textId="77777777" w:rsidTr="00064A08">
        <w:tc>
          <w:tcPr>
            <w:tcW w:w="1502" w:type="dxa"/>
          </w:tcPr>
          <w:p w14:paraId="7C5326DA" w14:textId="14CD2AE9" w:rsidR="00064A08" w:rsidRDefault="00064A08" w:rsidP="00621776">
            <w:r>
              <w:t>Google Scholar</w:t>
            </w:r>
          </w:p>
        </w:tc>
        <w:tc>
          <w:tcPr>
            <w:tcW w:w="1502" w:type="dxa"/>
          </w:tcPr>
          <w:p w14:paraId="1D0672BB" w14:textId="3D53055E" w:rsidR="00064A08" w:rsidRDefault="00E6221C" w:rsidP="00621776">
            <w:r>
              <w:t>“Older adults” AND “digital health”</w:t>
            </w:r>
          </w:p>
        </w:tc>
        <w:tc>
          <w:tcPr>
            <w:tcW w:w="1503" w:type="dxa"/>
          </w:tcPr>
          <w:p w14:paraId="1B6C3B64" w14:textId="2AC37990" w:rsidR="00064A08" w:rsidRDefault="00E6221C" w:rsidP="00621776">
            <w:r>
              <w:t>AND</w:t>
            </w:r>
          </w:p>
        </w:tc>
        <w:tc>
          <w:tcPr>
            <w:tcW w:w="1503" w:type="dxa"/>
          </w:tcPr>
          <w:p w14:paraId="222F1B6F" w14:textId="17E43DA4" w:rsidR="00064A08" w:rsidRDefault="00E6221C" w:rsidP="00621776">
            <w:r>
              <w:t xml:space="preserve">2020-2025, English language </w:t>
            </w:r>
          </w:p>
        </w:tc>
        <w:tc>
          <w:tcPr>
            <w:tcW w:w="1503" w:type="dxa"/>
          </w:tcPr>
          <w:p w14:paraId="043C3C55" w14:textId="01414124" w:rsidR="00064A08" w:rsidRDefault="00E6221C" w:rsidP="00621776">
            <w:r>
              <w:t>1,250</w:t>
            </w:r>
          </w:p>
        </w:tc>
        <w:tc>
          <w:tcPr>
            <w:tcW w:w="1503" w:type="dxa"/>
          </w:tcPr>
          <w:p w14:paraId="15E3358A" w14:textId="49D3EADE" w:rsidR="00064A08" w:rsidRDefault="00E6221C" w:rsidP="00621776">
            <w:r>
              <w:t>15</w:t>
            </w:r>
          </w:p>
        </w:tc>
      </w:tr>
      <w:tr w:rsidR="00064A08" w14:paraId="447DD20D" w14:textId="77777777" w:rsidTr="00064A08">
        <w:tc>
          <w:tcPr>
            <w:tcW w:w="1502" w:type="dxa"/>
          </w:tcPr>
          <w:p w14:paraId="64AB7B45" w14:textId="3109437B" w:rsidR="00064A08" w:rsidRDefault="00064A08" w:rsidP="00621776">
            <w:r>
              <w:t>PubMed</w:t>
            </w:r>
          </w:p>
        </w:tc>
        <w:tc>
          <w:tcPr>
            <w:tcW w:w="1502" w:type="dxa"/>
          </w:tcPr>
          <w:p w14:paraId="21A4FEEE" w14:textId="1D5B4117" w:rsidR="00064A08" w:rsidRDefault="00E6221C" w:rsidP="00621776">
            <w:r>
              <w:t>“Digital health” AND “older adults” AND UK</w:t>
            </w:r>
          </w:p>
        </w:tc>
        <w:tc>
          <w:tcPr>
            <w:tcW w:w="1503" w:type="dxa"/>
          </w:tcPr>
          <w:p w14:paraId="51D4A369" w14:textId="492ABF6F" w:rsidR="00064A08" w:rsidRDefault="00E6221C" w:rsidP="00621776">
            <w:r>
              <w:t>AND</w:t>
            </w:r>
          </w:p>
        </w:tc>
        <w:tc>
          <w:tcPr>
            <w:tcW w:w="1503" w:type="dxa"/>
          </w:tcPr>
          <w:p w14:paraId="658DE0C3" w14:textId="5FBB10AC" w:rsidR="00064A08" w:rsidRDefault="00E6221C" w:rsidP="00621776">
            <w:r>
              <w:t>Peer-reviewed English, Humans, 2020-2025</w:t>
            </w:r>
          </w:p>
        </w:tc>
        <w:tc>
          <w:tcPr>
            <w:tcW w:w="1503" w:type="dxa"/>
          </w:tcPr>
          <w:p w14:paraId="0EF48F14" w14:textId="350E4884" w:rsidR="00064A08" w:rsidRDefault="00E6221C" w:rsidP="00621776">
            <w:r>
              <w:t>312</w:t>
            </w:r>
          </w:p>
        </w:tc>
        <w:tc>
          <w:tcPr>
            <w:tcW w:w="1503" w:type="dxa"/>
          </w:tcPr>
          <w:p w14:paraId="5721BDDE" w14:textId="362E063E" w:rsidR="00064A08" w:rsidRDefault="00E6221C" w:rsidP="00621776">
            <w:r>
              <w:t>12</w:t>
            </w:r>
          </w:p>
        </w:tc>
      </w:tr>
      <w:tr w:rsidR="00064A08" w14:paraId="673FAC05" w14:textId="77777777" w:rsidTr="00064A08">
        <w:tc>
          <w:tcPr>
            <w:tcW w:w="1502" w:type="dxa"/>
          </w:tcPr>
          <w:p w14:paraId="29F025D9" w14:textId="5DBBD439" w:rsidR="00064A08" w:rsidRDefault="00064A08" w:rsidP="00621776">
            <w:r>
              <w:lastRenderedPageBreak/>
              <w:t>UWTSD Library Search</w:t>
            </w:r>
          </w:p>
        </w:tc>
        <w:tc>
          <w:tcPr>
            <w:tcW w:w="1502" w:type="dxa"/>
          </w:tcPr>
          <w:p w14:paraId="7CE8C999" w14:textId="411ED8B0" w:rsidR="00064A08" w:rsidRDefault="00E6221C" w:rsidP="00621776">
            <w:r>
              <w:t>“Digital inclusion” AND ageing</w:t>
            </w:r>
          </w:p>
        </w:tc>
        <w:tc>
          <w:tcPr>
            <w:tcW w:w="1503" w:type="dxa"/>
          </w:tcPr>
          <w:p w14:paraId="098AF5A3" w14:textId="021C0D20" w:rsidR="00064A08" w:rsidRDefault="00E6221C" w:rsidP="00621776">
            <w:r>
              <w:t>AND</w:t>
            </w:r>
          </w:p>
        </w:tc>
        <w:tc>
          <w:tcPr>
            <w:tcW w:w="1503" w:type="dxa"/>
          </w:tcPr>
          <w:p w14:paraId="32FE15DA" w14:textId="3D5E7788" w:rsidR="00064A08" w:rsidRDefault="00E6221C" w:rsidP="00621776">
            <w:r>
              <w:t>Full text, Peer-reviewed</w:t>
            </w:r>
          </w:p>
        </w:tc>
        <w:tc>
          <w:tcPr>
            <w:tcW w:w="1503" w:type="dxa"/>
          </w:tcPr>
          <w:p w14:paraId="58992968" w14:textId="650500FC" w:rsidR="00064A08" w:rsidRDefault="00E6221C" w:rsidP="00621776">
            <w:r>
              <w:t>147</w:t>
            </w:r>
          </w:p>
        </w:tc>
        <w:tc>
          <w:tcPr>
            <w:tcW w:w="1503" w:type="dxa"/>
          </w:tcPr>
          <w:p w14:paraId="06D65320" w14:textId="0C03BAB0" w:rsidR="00064A08" w:rsidRDefault="00E6221C" w:rsidP="00621776">
            <w:r>
              <w:t>8</w:t>
            </w:r>
          </w:p>
        </w:tc>
      </w:tr>
      <w:tr w:rsidR="00064A08" w14:paraId="57413076" w14:textId="77777777" w:rsidTr="00064A08">
        <w:tc>
          <w:tcPr>
            <w:tcW w:w="1502" w:type="dxa"/>
          </w:tcPr>
          <w:p w14:paraId="10B71AE7" w14:textId="236DE261" w:rsidR="00064A08" w:rsidRDefault="00064A08" w:rsidP="00621776">
            <w:r>
              <w:t>Scopus</w:t>
            </w:r>
          </w:p>
        </w:tc>
        <w:tc>
          <w:tcPr>
            <w:tcW w:w="1502" w:type="dxa"/>
          </w:tcPr>
          <w:p w14:paraId="5B8FD6A6" w14:textId="24F4B2BF" w:rsidR="00064A08" w:rsidRDefault="00E6221C" w:rsidP="00621776">
            <w:r>
              <w:t>“Telehealth” AND elderly AND barriers</w:t>
            </w:r>
          </w:p>
        </w:tc>
        <w:tc>
          <w:tcPr>
            <w:tcW w:w="1503" w:type="dxa"/>
          </w:tcPr>
          <w:p w14:paraId="382A8A21" w14:textId="1F681A0A" w:rsidR="00064A08" w:rsidRDefault="00E6221C" w:rsidP="00621776">
            <w:r>
              <w:t>AND</w:t>
            </w:r>
          </w:p>
        </w:tc>
        <w:tc>
          <w:tcPr>
            <w:tcW w:w="1503" w:type="dxa"/>
          </w:tcPr>
          <w:p w14:paraId="5301D613" w14:textId="5CD9F78B" w:rsidR="00064A08" w:rsidRDefault="00E6221C" w:rsidP="00621776">
            <w:r>
              <w:t>English, Journal Articles</w:t>
            </w:r>
          </w:p>
        </w:tc>
        <w:tc>
          <w:tcPr>
            <w:tcW w:w="1503" w:type="dxa"/>
          </w:tcPr>
          <w:p w14:paraId="087E78B0" w14:textId="47C173BB" w:rsidR="00064A08" w:rsidRDefault="00E6221C" w:rsidP="00621776">
            <w:r>
              <w:t>221</w:t>
            </w:r>
          </w:p>
        </w:tc>
        <w:tc>
          <w:tcPr>
            <w:tcW w:w="1503" w:type="dxa"/>
          </w:tcPr>
          <w:p w14:paraId="76E8ACFC" w14:textId="6381A3A0" w:rsidR="00064A08" w:rsidRDefault="00E6221C" w:rsidP="00621776">
            <w:r>
              <w:t>7</w:t>
            </w:r>
          </w:p>
        </w:tc>
      </w:tr>
      <w:tr w:rsidR="00064A08" w14:paraId="001B9AF1" w14:textId="77777777" w:rsidTr="00064A08">
        <w:tc>
          <w:tcPr>
            <w:tcW w:w="1502" w:type="dxa"/>
          </w:tcPr>
          <w:p w14:paraId="7AED14E0" w14:textId="2A381E3A" w:rsidR="00064A08" w:rsidRDefault="00064A08" w:rsidP="00621776">
            <w:r>
              <w:t>Google Scholar</w:t>
            </w:r>
          </w:p>
        </w:tc>
        <w:tc>
          <w:tcPr>
            <w:tcW w:w="1502" w:type="dxa"/>
          </w:tcPr>
          <w:p w14:paraId="7446D8CC" w14:textId="023BD482" w:rsidR="00064A08" w:rsidRDefault="00E6221C" w:rsidP="00621776">
            <w:r>
              <w:t xml:space="preserve">“NHS App” AND older adults </w:t>
            </w:r>
          </w:p>
        </w:tc>
        <w:tc>
          <w:tcPr>
            <w:tcW w:w="1503" w:type="dxa"/>
          </w:tcPr>
          <w:p w14:paraId="5CF7FB06" w14:textId="3C59F029" w:rsidR="00064A08" w:rsidRDefault="00E6221C" w:rsidP="00621776">
            <w:r>
              <w:t xml:space="preserve">AND </w:t>
            </w:r>
          </w:p>
        </w:tc>
        <w:tc>
          <w:tcPr>
            <w:tcW w:w="1503" w:type="dxa"/>
          </w:tcPr>
          <w:p w14:paraId="30660B31" w14:textId="0E11055E" w:rsidR="00064A08" w:rsidRDefault="00E6221C" w:rsidP="00621776">
            <w:r>
              <w:t>2020-2025</w:t>
            </w:r>
          </w:p>
        </w:tc>
        <w:tc>
          <w:tcPr>
            <w:tcW w:w="1503" w:type="dxa"/>
          </w:tcPr>
          <w:p w14:paraId="55C833DC" w14:textId="62C610EE" w:rsidR="00064A08" w:rsidRDefault="00E6221C" w:rsidP="00621776">
            <w:r>
              <w:t>178</w:t>
            </w:r>
          </w:p>
        </w:tc>
        <w:tc>
          <w:tcPr>
            <w:tcW w:w="1503" w:type="dxa"/>
          </w:tcPr>
          <w:p w14:paraId="7C7A6FB0" w14:textId="63846EF9" w:rsidR="00064A08" w:rsidRDefault="00E6221C" w:rsidP="00621776">
            <w:r>
              <w:t>5</w:t>
            </w:r>
          </w:p>
        </w:tc>
      </w:tr>
      <w:tr w:rsidR="00064A08" w14:paraId="0258540C" w14:textId="77777777" w:rsidTr="00064A08">
        <w:tc>
          <w:tcPr>
            <w:tcW w:w="1502" w:type="dxa"/>
          </w:tcPr>
          <w:p w14:paraId="3E13C786" w14:textId="4CD26813" w:rsidR="00064A08" w:rsidRDefault="00E6221C" w:rsidP="00621776">
            <w:r>
              <w:t>PubMed</w:t>
            </w:r>
          </w:p>
        </w:tc>
        <w:tc>
          <w:tcPr>
            <w:tcW w:w="1502" w:type="dxa"/>
          </w:tcPr>
          <w:p w14:paraId="17DA2D76" w14:textId="1977F765" w:rsidR="00064A08" w:rsidRDefault="00E6221C" w:rsidP="00621776">
            <w:r>
              <w:t>“eHealth literacy” OR “digital literacy” AND older adults</w:t>
            </w:r>
          </w:p>
        </w:tc>
        <w:tc>
          <w:tcPr>
            <w:tcW w:w="1503" w:type="dxa"/>
          </w:tcPr>
          <w:p w14:paraId="280EB833" w14:textId="03CB7E4D" w:rsidR="00064A08" w:rsidRDefault="00E6221C" w:rsidP="00621776">
            <w:r>
              <w:t>OR, AND</w:t>
            </w:r>
          </w:p>
        </w:tc>
        <w:tc>
          <w:tcPr>
            <w:tcW w:w="1503" w:type="dxa"/>
          </w:tcPr>
          <w:p w14:paraId="57BD3612" w14:textId="587DF981" w:rsidR="00064A08" w:rsidRDefault="00E6221C" w:rsidP="00621776">
            <w:r>
              <w:t xml:space="preserve">English, Peer-reviewed </w:t>
            </w:r>
          </w:p>
        </w:tc>
        <w:tc>
          <w:tcPr>
            <w:tcW w:w="1503" w:type="dxa"/>
          </w:tcPr>
          <w:p w14:paraId="10D03D90" w14:textId="301519DD" w:rsidR="00064A08" w:rsidRDefault="00E6221C" w:rsidP="00621776">
            <w:r>
              <w:t>194</w:t>
            </w:r>
          </w:p>
        </w:tc>
        <w:tc>
          <w:tcPr>
            <w:tcW w:w="1503" w:type="dxa"/>
          </w:tcPr>
          <w:p w14:paraId="1FD67BCE" w14:textId="47DF95B5" w:rsidR="00064A08" w:rsidRDefault="00E6221C" w:rsidP="00621776">
            <w:r>
              <w:t>10</w:t>
            </w:r>
          </w:p>
        </w:tc>
      </w:tr>
      <w:tr w:rsidR="00064A08" w14:paraId="7F865E2C" w14:textId="77777777" w:rsidTr="00064A08">
        <w:tc>
          <w:tcPr>
            <w:tcW w:w="1502" w:type="dxa"/>
          </w:tcPr>
          <w:p w14:paraId="119D0B68" w14:textId="6627733F" w:rsidR="00064A08" w:rsidRDefault="00E6221C" w:rsidP="00621776">
            <w:r>
              <w:t>Google Scholar</w:t>
            </w:r>
          </w:p>
        </w:tc>
        <w:tc>
          <w:tcPr>
            <w:tcW w:w="1502" w:type="dxa"/>
          </w:tcPr>
          <w:p w14:paraId="50CB4D5B" w14:textId="6A94625C" w:rsidR="00064A08" w:rsidRDefault="00E6221C" w:rsidP="00621776">
            <w:r>
              <w:t>“Digital exclusion” AND healthcare</w:t>
            </w:r>
          </w:p>
        </w:tc>
        <w:tc>
          <w:tcPr>
            <w:tcW w:w="1503" w:type="dxa"/>
          </w:tcPr>
          <w:p w14:paraId="22636BDC" w14:textId="256F30F9" w:rsidR="00064A08" w:rsidRDefault="00E6221C" w:rsidP="00621776">
            <w:r>
              <w:t xml:space="preserve">AND </w:t>
            </w:r>
          </w:p>
        </w:tc>
        <w:tc>
          <w:tcPr>
            <w:tcW w:w="1503" w:type="dxa"/>
          </w:tcPr>
          <w:p w14:paraId="5B2D9B8E" w14:textId="41BA9088" w:rsidR="00064A08" w:rsidRDefault="00E6221C" w:rsidP="00621776">
            <w:r>
              <w:t>2020-2025</w:t>
            </w:r>
          </w:p>
        </w:tc>
        <w:tc>
          <w:tcPr>
            <w:tcW w:w="1503" w:type="dxa"/>
          </w:tcPr>
          <w:p w14:paraId="7FB57F1B" w14:textId="342A0040" w:rsidR="00064A08" w:rsidRDefault="00E6221C" w:rsidP="00621776">
            <w:r>
              <w:t>435</w:t>
            </w:r>
          </w:p>
        </w:tc>
        <w:tc>
          <w:tcPr>
            <w:tcW w:w="1503" w:type="dxa"/>
          </w:tcPr>
          <w:p w14:paraId="70DA3DEB" w14:textId="4A585AD6" w:rsidR="00064A08" w:rsidRDefault="00E6221C" w:rsidP="00621776">
            <w:r>
              <w:t>9</w:t>
            </w:r>
          </w:p>
        </w:tc>
      </w:tr>
    </w:tbl>
    <w:p w14:paraId="268CFD1F" w14:textId="77777777" w:rsidR="008C38C3" w:rsidRDefault="008C38C3" w:rsidP="00621776"/>
    <w:p w14:paraId="2440A778" w14:textId="77777777" w:rsidR="008C38C3" w:rsidRDefault="008C38C3" w:rsidP="00621776"/>
    <w:p w14:paraId="5122D4D8" w14:textId="77777777" w:rsidR="008C38C3" w:rsidRDefault="008C38C3" w:rsidP="00621776"/>
    <w:p w14:paraId="4944E244" w14:textId="77777777" w:rsidR="008C38C3" w:rsidRDefault="008C38C3" w:rsidP="00621776"/>
    <w:p w14:paraId="5DA0FD87" w14:textId="77777777" w:rsidR="008C38C3" w:rsidRDefault="008C38C3" w:rsidP="00621776"/>
    <w:p w14:paraId="6ED1B63A" w14:textId="77777777" w:rsidR="000264A2" w:rsidRDefault="000264A2" w:rsidP="00621776"/>
    <w:p w14:paraId="01E01220" w14:textId="77777777" w:rsidR="008C38C3" w:rsidRDefault="008C38C3" w:rsidP="00621776"/>
    <w:p w14:paraId="70C7CA0C" w14:textId="77777777" w:rsidR="008C38C3" w:rsidRPr="008C38C3" w:rsidRDefault="008C38C3" w:rsidP="008C38C3"/>
    <w:sectPr w:rsidR="008C38C3"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4060B" w14:textId="77777777" w:rsidR="00F46806" w:rsidRDefault="00F46806" w:rsidP="00211184">
      <w:pPr>
        <w:spacing w:after="0" w:line="240" w:lineRule="auto"/>
      </w:pPr>
      <w:r>
        <w:separator/>
      </w:r>
    </w:p>
  </w:endnote>
  <w:endnote w:type="continuationSeparator" w:id="0">
    <w:p w14:paraId="01C750A6" w14:textId="77777777" w:rsidR="00F46806" w:rsidRDefault="00F46806"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1569000"/>
      <w:docPartObj>
        <w:docPartGallery w:val="Page Numbers (Bottom of Page)"/>
        <w:docPartUnique/>
      </w:docPartObj>
    </w:sdtPr>
    <w:sdtContent>
      <w:p w14:paraId="1A3FE3AF" w14:textId="263526C6" w:rsidR="007D277B" w:rsidRDefault="007D277B">
        <w:pPr>
          <w:pStyle w:val="Footer"/>
        </w:pPr>
        <w:r>
          <w:fldChar w:fldCharType="begin"/>
        </w:r>
        <w:r>
          <w:instrText>PAGE   \* MERGEFORMAT</w:instrText>
        </w:r>
        <w:r>
          <w:fldChar w:fldCharType="separate"/>
        </w:r>
        <w:r>
          <w:t>2</w:t>
        </w:r>
        <w: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EC8AC" w14:textId="77777777" w:rsidR="00F46806" w:rsidRDefault="00F46806" w:rsidP="00211184">
      <w:pPr>
        <w:spacing w:after="0" w:line="240" w:lineRule="auto"/>
      </w:pPr>
      <w:r>
        <w:separator/>
      </w:r>
    </w:p>
  </w:footnote>
  <w:footnote w:type="continuationSeparator" w:id="0">
    <w:p w14:paraId="1E0BD8F2" w14:textId="77777777" w:rsidR="00F46806" w:rsidRDefault="00F46806"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D32C8"/>
    <w:multiLevelType w:val="multilevel"/>
    <w:tmpl w:val="A04E3E0E"/>
    <w:lvl w:ilvl="0">
      <w:start w:val="1"/>
      <w:numFmt w:val="decimal"/>
      <w:lvlText w:val="%1"/>
      <w:lvlJc w:val="left"/>
      <w:pPr>
        <w:ind w:left="360" w:hanging="360"/>
      </w:pPr>
      <w:rPr>
        <w:rFonts w:cs="Arial" w:hint="default"/>
        <w:sz w:val="24"/>
      </w:rPr>
    </w:lvl>
    <w:lvl w:ilvl="1">
      <w:start w:val="3"/>
      <w:numFmt w:val="decimal"/>
      <w:lvlText w:val="%1.%2"/>
      <w:lvlJc w:val="left"/>
      <w:pPr>
        <w:ind w:left="360" w:hanging="360"/>
      </w:pPr>
      <w:rPr>
        <w:rFonts w:cs="Arial" w:hint="default"/>
        <w:sz w:val="24"/>
      </w:rPr>
    </w:lvl>
    <w:lvl w:ilvl="2">
      <w:start w:val="1"/>
      <w:numFmt w:val="decimal"/>
      <w:lvlText w:val="%1.%2.%3"/>
      <w:lvlJc w:val="left"/>
      <w:pPr>
        <w:ind w:left="720" w:hanging="720"/>
      </w:pPr>
      <w:rPr>
        <w:rFonts w:cs="Arial" w:hint="default"/>
        <w:sz w:val="24"/>
      </w:rPr>
    </w:lvl>
    <w:lvl w:ilvl="3">
      <w:start w:val="1"/>
      <w:numFmt w:val="decimal"/>
      <w:lvlText w:val="%1.%2.%3.%4"/>
      <w:lvlJc w:val="left"/>
      <w:pPr>
        <w:ind w:left="720" w:hanging="720"/>
      </w:pPr>
      <w:rPr>
        <w:rFonts w:cs="Arial" w:hint="default"/>
        <w:sz w:val="24"/>
      </w:rPr>
    </w:lvl>
    <w:lvl w:ilvl="4">
      <w:start w:val="1"/>
      <w:numFmt w:val="decimal"/>
      <w:lvlText w:val="%1.%2.%3.%4.%5"/>
      <w:lvlJc w:val="left"/>
      <w:pPr>
        <w:ind w:left="1080" w:hanging="1080"/>
      </w:pPr>
      <w:rPr>
        <w:rFonts w:cs="Arial" w:hint="default"/>
        <w:sz w:val="24"/>
      </w:rPr>
    </w:lvl>
    <w:lvl w:ilvl="5">
      <w:start w:val="1"/>
      <w:numFmt w:val="decimal"/>
      <w:lvlText w:val="%1.%2.%3.%4.%5.%6"/>
      <w:lvlJc w:val="left"/>
      <w:pPr>
        <w:ind w:left="1080" w:hanging="1080"/>
      </w:pPr>
      <w:rPr>
        <w:rFonts w:cs="Arial" w:hint="default"/>
        <w:sz w:val="24"/>
      </w:rPr>
    </w:lvl>
    <w:lvl w:ilvl="6">
      <w:start w:val="1"/>
      <w:numFmt w:val="decimal"/>
      <w:lvlText w:val="%1.%2.%3.%4.%5.%6.%7"/>
      <w:lvlJc w:val="left"/>
      <w:pPr>
        <w:ind w:left="1440" w:hanging="1440"/>
      </w:pPr>
      <w:rPr>
        <w:rFonts w:cs="Arial" w:hint="default"/>
        <w:sz w:val="24"/>
      </w:rPr>
    </w:lvl>
    <w:lvl w:ilvl="7">
      <w:start w:val="1"/>
      <w:numFmt w:val="decimal"/>
      <w:lvlText w:val="%1.%2.%3.%4.%5.%6.%7.%8"/>
      <w:lvlJc w:val="left"/>
      <w:pPr>
        <w:ind w:left="1440" w:hanging="1440"/>
      </w:pPr>
      <w:rPr>
        <w:rFonts w:cs="Arial" w:hint="default"/>
        <w:sz w:val="24"/>
      </w:rPr>
    </w:lvl>
    <w:lvl w:ilvl="8">
      <w:start w:val="1"/>
      <w:numFmt w:val="decimal"/>
      <w:lvlText w:val="%1.%2.%3.%4.%5.%6.%7.%8.%9"/>
      <w:lvlJc w:val="left"/>
      <w:pPr>
        <w:ind w:left="1800" w:hanging="1800"/>
      </w:pPr>
      <w:rPr>
        <w:rFonts w:cs="Arial" w:hint="default"/>
        <w:sz w:val="24"/>
      </w:rPr>
    </w:lvl>
  </w:abstractNum>
  <w:abstractNum w:abstractNumId="1" w15:restartNumberingAfterBreak="0">
    <w:nsid w:val="43085AFD"/>
    <w:multiLevelType w:val="hybridMultilevel"/>
    <w:tmpl w:val="B524A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810784339">
    <w:abstractNumId w:val="2"/>
  </w:num>
  <w:num w:numId="2" w16cid:durableId="18512348">
    <w:abstractNumId w:val="0"/>
  </w:num>
  <w:num w:numId="3" w16cid:durableId="21837122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073C"/>
    <w:rsid w:val="0000616D"/>
    <w:rsid w:val="000264A2"/>
    <w:rsid w:val="0003029F"/>
    <w:rsid w:val="000400E4"/>
    <w:rsid w:val="000402C1"/>
    <w:rsid w:val="000512FC"/>
    <w:rsid w:val="00063B4C"/>
    <w:rsid w:val="00064A08"/>
    <w:rsid w:val="000736BE"/>
    <w:rsid w:val="00074420"/>
    <w:rsid w:val="00076FE5"/>
    <w:rsid w:val="00085BC6"/>
    <w:rsid w:val="00086923"/>
    <w:rsid w:val="00092803"/>
    <w:rsid w:val="00095404"/>
    <w:rsid w:val="000A19A6"/>
    <w:rsid w:val="000A5B16"/>
    <w:rsid w:val="000B24D7"/>
    <w:rsid w:val="000D00C2"/>
    <w:rsid w:val="000D05D8"/>
    <w:rsid w:val="000D0641"/>
    <w:rsid w:val="000D2B00"/>
    <w:rsid w:val="000E4662"/>
    <w:rsid w:val="000F1552"/>
    <w:rsid w:val="001027C3"/>
    <w:rsid w:val="00102DFB"/>
    <w:rsid w:val="001040A3"/>
    <w:rsid w:val="00117750"/>
    <w:rsid w:val="00132767"/>
    <w:rsid w:val="001330B7"/>
    <w:rsid w:val="00141D91"/>
    <w:rsid w:val="001601E6"/>
    <w:rsid w:val="001817D5"/>
    <w:rsid w:val="0018266E"/>
    <w:rsid w:val="00193745"/>
    <w:rsid w:val="001944D5"/>
    <w:rsid w:val="00194F3E"/>
    <w:rsid w:val="001B20E4"/>
    <w:rsid w:val="001B6E47"/>
    <w:rsid w:val="001B786A"/>
    <w:rsid w:val="001C0C96"/>
    <w:rsid w:val="001C3AF6"/>
    <w:rsid w:val="001C50D0"/>
    <w:rsid w:val="001C5D45"/>
    <w:rsid w:val="001D1485"/>
    <w:rsid w:val="001E2020"/>
    <w:rsid w:val="001F19A6"/>
    <w:rsid w:val="0020590F"/>
    <w:rsid w:val="00211184"/>
    <w:rsid w:val="0021364B"/>
    <w:rsid w:val="0025020C"/>
    <w:rsid w:val="00256951"/>
    <w:rsid w:val="0027008C"/>
    <w:rsid w:val="002865F5"/>
    <w:rsid w:val="002868FB"/>
    <w:rsid w:val="00292761"/>
    <w:rsid w:val="00292A36"/>
    <w:rsid w:val="002953DD"/>
    <w:rsid w:val="002A605B"/>
    <w:rsid w:val="002B1801"/>
    <w:rsid w:val="002D5587"/>
    <w:rsid w:val="002D64A3"/>
    <w:rsid w:val="002D6736"/>
    <w:rsid w:val="002F363E"/>
    <w:rsid w:val="002F5E53"/>
    <w:rsid w:val="00306C79"/>
    <w:rsid w:val="00307498"/>
    <w:rsid w:val="00312A5A"/>
    <w:rsid w:val="003135AD"/>
    <w:rsid w:val="00313E29"/>
    <w:rsid w:val="00324FC4"/>
    <w:rsid w:val="00335D69"/>
    <w:rsid w:val="00350162"/>
    <w:rsid w:val="00364754"/>
    <w:rsid w:val="00370F38"/>
    <w:rsid w:val="003831D5"/>
    <w:rsid w:val="00385656"/>
    <w:rsid w:val="003869BC"/>
    <w:rsid w:val="00393F39"/>
    <w:rsid w:val="003A1BDA"/>
    <w:rsid w:val="003A66FD"/>
    <w:rsid w:val="003B1E32"/>
    <w:rsid w:val="003B755A"/>
    <w:rsid w:val="003C3C89"/>
    <w:rsid w:val="003F55DD"/>
    <w:rsid w:val="004048B9"/>
    <w:rsid w:val="00411174"/>
    <w:rsid w:val="0042462D"/>
    <w:rsid w:val="004324A4"/>
    <w:rsid w:val="00474269"/>
    <w:rsid w:val="00477EE5"/>
    <w:rsid w:val="00485696"/>
    <w:rsid w:val="00486126"/>
    <w:rsid w:val="004A1E0D"/>
    <w:rsid w:val="004A77C8"/>
    <w:rsid w:val="004B214A"/>
    <w:rsid w:val="004C58EA"/>
    <w:rsid w:val="004D4021"/>
    <w:rsid w:val="004E5522"/>
    <w:rsid w:val="00501714"/>
    <w:rsid w:val="00506FBE"/>
    <w:rsid w:val="005119DE"/>
    <w:rsid w:val="005124EA"/>
    <w:rsid w:val="00534585"/>
    <w:rsid w:val="005446BF"/>
    <w:rsid w:val="0055147E"/>
    <w:rsid w:val="00551E56"/>
    <w:rsid w:val="00566DA5"/>
    <w:rsid w:val="00577996"/>
    <w:rsid w:val="00584E64"/>
    <w:rsid w:val="00594542"/>
    <w:rsid w:val="00597995"/>
    <w:rsid w:val="005B3EDE"/>
    <w:rsid w:val="005B4C50"/>
    <w:rsid w:val="005B606B"/>
    <w:rsid w:val="005B6E67"/>
    <w:rsid w:val="005C35EF"/>
    <w:rsid w:val="005C5E80"/>
    <w:rsid w:val="005D0B5A"/>
    <w:rsid w:val="005D2D03"/>
    <w:rsid w:val="005D2E4F"/>
    <w:rsid w:val="005D6B5C"/>
    <w:rsid w:val="005D71AB"/>
    <w:rsid w:val="005D7949"/>
    <w:rsid w:val="005D7A1E"/>
    <w:rsid w:val="005E1650"/>
    <w:rsid w:val="005E37DC"/>
    <w:rsid w:val="006044AC"/>
    <w:rsid w:val="00604A87"/>
    <w:rsid w:val="00612C30"/>
    <w:rsid w:val="006154B9"/>
    <w:rsid w:val="00617629"/>
    <w:rsid w:val="00620507"/>
    <w:rsid w:val="00621776"/>
    <w:rsid w:val="00621872"/>
    <w:rsid w:val="00623D21"/>
    <w:rsid w:val="00636D9A"/>
    <w:rsid w:val="0066202C"/>
    <w:rsid w:val="0067263E"/>
    <w:rsid w:val="00683158"/>
    <w:rsid w:val="006A3F0D"/>
    <w:rsid w:val="006A4515"/>
    <w:rsid w:val="006B433A"/>
    <w:rsid w:val="006C78AA"/>
    <w:rsid w:val="006E3C8A"/>
    <w:rsid w:val="006F04D4"/>
    <w:rsid w:val="006F2BF4"/>
    <w:rsid w:val="006F4AB2"/>
    <w:rsid w:val="006F5239"/>
    <w:rsid w:val="006F63FF"/>
    <w:rsid w:val="006F6DC6"/>
    <w:rsid w:val="007063BA"/>
    <w:rsid w:val="00707117"/>
    <w:rsid w:val="00711F82"/>
    <w:rsid w:val="0072403F"/>
    <w:rsid w:val="00726F6E"/>
    <w:rsid w:val="00730C3C"/>
    <w:rsid w:val="0073280B"/>
    <w:rsid w:val="00740FC5"/>
    <w:rsid w:val="00750B5B"/>
    <w:rsid w:val="00762B22"/>
    <w:rsid w:val="0077163A"/>
    <w:rsid w:val="0077408C"/>
    <w:rsid w:val="00780A33"/>
    <w:rsid w:val="00785752"/>
    <w:rsid w:val="00793A41"/>
    <w:rsid w:val="00794826"/>
    <w:rsid w:val="007A59C8"/>
    <w:rsid w:val="007A712E"/>
    <w:rsid w:val="007B47DE"/>
    <w:rsid w:val="007C246B"/>
    <w:rsid w:val="007C54BB"/>
    <w:rsid w:val="007C63C1"/>
    <w:rsid w:val="007C685B"/>
    <w:rsid w:val="007D277B"/>
    <w:rsid w:val="007D572F"/>
    <w:rsid w:val="007D60F7"/>
    <w:rsid w:val="007D61AD"/>
    <w:rsid w:val="007D643D"/>
    <w:rsid w:val="007E1ED4"/>
    <w:rsid w:val="007F3844"/>
    <w:rsid w:val="007F76A1"/>
    <w:rsid w:val="007F7847"/>
    <w:rsid w:val="00804B94"/>
    <w:rsid w:val="00807B11"/>
    <w:rsid w:val="00816030"/>
    <w:rsid w:val="00823090"/>
    <w:rsid w:val="0082760D"/>
    <w:rsid w:val="00845B8E"/>
    <w:rsid w:val="008513B5"/>
    <w:rsid w:val="008528B8"/>
    <w:rsid w:val="00852D2A"/>
    <w:rsid w:val="00853D22"/>
    <w:rsid w:val="008551DA"/>
    <w:rsid w:val="00880B2D"/>
    <w:rsid w:val="00883AB0"/>
    <w:rsid w:val="008930A8"/>
    <w:rsid w:val="008935FE"/>
    <w:rsid w:val="00894108"/>
    <w:rsid w:val="00894B63"/>
    <w:rsid w:val="008A2D03"/>
    <w:rsid w:val="008B1DFA"/>
    <w:rsid w:val="008C1E61"/>
    <w:rsid w:val="008C38C3"/>
    <w:rsid w:val="008C45CB"/>
    <w:rsid w:val="008C663C"/>
    <w:rsid w:val="008D3557"/>
    <w:rsid w:val="008D6F0F"/>
    <w:rsid w:val="008D79A8"/>
    <w:rsid w:val="008E0776"/>
    <w:rsid w:val="008E6A40"/>
    <w:rsid w:val="008E7B2E"/>
    <w:rsid w:val="008F23C7"/>
    <w:rsid w:val="008F6623"/>
    <w:rsid w:val="008F7830"/>
    <w:rsid w:val="00910731"/>
    <w:rsid w:val="0091507F"/>
    <w:rsid w:val="00915B34"/>
    <w:rsid w:val="00916814"/>
    <w:rsid w:val="00917E6F"/>
    <w:rsid w:val="00921C27"/>
    <w:rsid w:val="009405C6"/>
    <w:rsid w:val="009440EA"/>
    <w:rsid w:val="0094608A"/>
    <w:rsid w:val="009659CB"/>
    <w:rsid w:val="00972395"/>
    <w:rsid w:val="00973B85"/>
    <w:rsid w:val="00980A07"/>
    <w:rsid w:val="00981E62"/>
    <w:rsid w:val="00983C48"/>
    <w:rsid w:val="00986361"/>
    <w:rsid w:val="00995444"/>
    <w:rsid w:val="009B1CFF"/>
    <w:rsid w:val="009C40BF"/>
    <w:rsid w:val="009D06C5"/>
    <w:rsid w:val="009D3FBF"/>
    <w:rsid w:val="009D534C"/>
    <w:rsid w:val="009D728C"/>
    <w:rsid w:val="009E5B14"/>
    <w:rsid w:val="009F1CA3"/>
    <w:rsid w:val="00A04221"/>
    <w:rsid w:val="00A07C8B"/>
    <w:rsid w:val="00A20C9D"/>
    <w:rsid w:val="00A21B92"/>
    <w:rsid w:val="00A35C20"/>
    <w:rsid w:val="00A41224"/>
    <w:rsid w:val="00A52A13"/>
    <w:rsid w:val="00A84CD0"/>
    <w:rsid w:val="00A90A7A"/>
    <w:rsid w:val="00AA437C"/>
    <w:rsid w:val="00AA483F"/>
    <w:rsid w:val="00AB78F0"/>
    <w:rsid w:val="00AC05F8"/>
    <w:rsid w:val="00AD352E"/>
    <w:rsid w:val="00AD3555"/>
    <w:rsid w:val="00B01396"/>
    <w:rsid w:val="00B137EA"/>
    <w:rsid w:val="00B2418B"/>
    <w:rsid w:val="00B26973"/>
    <w:rsid w:val="00B575E2"/>
    <w:rsid w:val="00B63CAD"/>
    <w:rsid w:val="00B7073C"/>
    <w:rsid w:val="00B732BB"/>
    <w:rsid w:val="00B803B6"/>
    <w:rsid w:val="00B81F2E"/>
    <w:rsid w:val="00B858A1"/>
    <w:rsid w:val="00B907F1"/>
    <w:rsid w:val="00B97861"/>
    <w:rsid w:val="00BA1B12"/>
    <w:rsid w:val="00BA54F2"/>
    <w:rsid w:val="00BB65AC"/>
    <w:rsid w:val="00BC1351"/>
    <w:rsid w:val="00BC1697"/>
    <w:rsid w:val="00BC369B"/>
    <w:rsid w:val="00BC7239"/>
    <w:rsid w:val="00BD1692"/>
    <w:rsid w:val="00BD2909"/>
    <w:rsid w:val="00BD6BAD"/>
    <w:rsid w:val="00BD74D2"/>
    <w:rsid w:val="00BE0139"/>
    <w:rsid w:val="00BE2A6B"/>
    <w:rsid w:val="00BE7CEC"/>
    <w:rsid w:val="00BF153D"/>
    <w:rsid w:val="00BF70CA"/>
    <w:rsid w:val="00C01872"/>
    <w:rsid w:val="00C142C4"/>
    <w:rsid w:val="00C16392"/>
    <w:rsid w:val="00C16A3D"/>
    <w:rsid w:val="00C17A49"/>
    <w:rsid w:val="00C225F7"/>
    <w:rsid w:val="00C34B34"/>
    <w:rsid w:val="00C50643"/>
    <w:rsid w:val="00C5331A"/>
    <w:rsid w:val="00C65BD5"/>
    <w:rsid w:val="00C71DBF"/>
    <w:rsid w:val="00C77D77"/>
    <w:rsid w:val="00C91479"/>
    <w:rsid w:val="00C92CC6"/>
    <w:rsid w:val="00C94664"/>
    <w:rsid w:val="00C97C67"/>
    <w:rsid w:val="00CA190E"/>
    <w:rsid w:val="00CA6D49"/>
    <w:rsid w:val="00CB3AF6"/>
    <w:rsid w:val="00CB3C13"/>
    <w:rsid w:val="00CB7D16"/>
    <w:rsid w:val="00CB7F35"/>
    <w:rsid w:val="00CE3FD1"/>
    <w:rsid w:val="00CE4BC6"/>
    <w:rsid w:val="00CE53AB"/>
    <w:rsid w:val="00CE620E"/>
    <w:rsid w:val="00CE781B"/>
    <w:rsid w:val="00CF1ED5"/>
    <w:rsid w:val="00CF2D73"/>
    <w:rsid w:val="00CF4DF4"/>
    <w:rsid w:val="00D117EE"/>
    <w:rsid w:val="00D13A82"/>
    <w:rsid w:val="00D13DB7"/>
    <w:rsid w:val="00D21BEC"/>
    <w:rsid w:val="00D30086"/>
    <w:rsid w:val="00D30827"/>
    <w:rsid w:val="00D50441"/>
    <w:rsid w:val="00D859A0"/>
    <w:rsid w:val="00D87702"/>
    <w:rsid w:val="00D900E9"/>
    <w:rsid w:val="00D91A62"/>
    <w:rsid w:val="00D91F43"/>
    <w:rsid w:val="00D96D08"/>
    <w:rsid w:val="00DA30B9"/>
    <w:rsid w:val="00DA70B8"/>
    <w:rsid w:val="00DB3B8F"/>
    <w:rsid w:val="00DB71AC"/>
    <w:rsid w:val="00DC00D1"/>
    <w:rsid w:val="00DD02A4"/>
    <w:rsid w:val="00DD344D"/>
    <w:rsid w:val="00DE13F3"/>
    <w:rsid w:val="00DE1A02"/>
    <w:rsid w:val="00DF069F"/>
    <w:rsid w:val="00E05C6C"/>
    <w:rsid w:val="00E1292F"/>
    <w:rsid w:val="00E157E1"/>
    <w:rsid w:val="00E2182C"/>
    <w:rsid w:val="00E224A8"/>
    <w:rsid w:val="00E25B04"/>
    <w:rsid w:val="00E325CF"/>
    <w:rsid w:val="00E40B0D"/>
    <w:rsid w:val="00E46177"/>
    <w:rsid w:val="00E46658"/>
    <w:rsid w:val="00E6221C"/>
    <w:rsid w:val="00E71420"/>
    <w:rsid w:val="00E77788"/>
    <w:rsid w:val="00E77D7C"/>
    <w:rsid w:val="00E8095F"/>
    <w:rsid w:val="00E84097"/>
    <w:rsid w:val="00E94DA0"/>
    <w:rsid w:val="00EA5CC3"/>
    <w:rsid w:val="00EB3DDA"/>
    <w:rsid w:val="00EC54C7"/>
    <w:rsid w:val="00EF6341"/>
    <w:rsid w:val="00F0560A"/>
    <w:rsid w:val="00F11E7B"/>
    <w:rsid w:val="00F12646"/>
    <w:rsid w:val="00F12892"/>
    <w:rsid w:val="00F13F48"/>
    <w:rsid w:val="00F158D7"/>
    <w:rsid w:val="00F20117"/>
    <w:rsid w:val="00F20EE5"/>
    <w:rsid w:val="00F21B6A"/>
    <w:rsid w:val="00F228C5"/>
    <w:rsid w:val="00F307FC"/>
    <w:rsid w:val="00F420DF"/>
    <w:rsid w:val="00F421C5"/>
    <w:rsid w:val="00F43251"/>
    <w:rsid w:val="00F44833"/>
    <w:rsid w:val="00F456EE"/>
    <w:rsid w:val="00F46806"/>
    <w:rsid w:val="00F544B0"/>
    <w:rsid w:val="00F67C87"/>
    <w:rsid w:val="00F84C23"/>
    <w:rsid w:val="00F900A5"/>
    <w:rsid w:val="00F90141"/>
    <w:rsid w:val="00F94249"/>
    <w:rsid w:val="00FA1AEB"/>
    <w:rsid w:val="00FB106C"/>
    <w:rsid w:val="00FD3130"/>
    <w:rsid w:val="00FD3DE0"/>
    <w:rsid w:val="00FD4447"/>
    <w:rsid w:val="00FD5952"/>
    <w:rsid w:val="00FD7729"/>
    <w:rsid w:val="00FD7C22"/>
    <w:rsid w:val="00FE5C58"/>
    <w:rsid w:val="00FE5DFC"/>
    <w:rsid w:val="00FF43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80/08959420.2022.203519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93/tbm/ibac070" TargetMode="External"/><Relationship Id="rId5" Type="http://schemas.openxmlformats.org/officeDocument/2006/relationships/webSettings" Target="webSettings.xml"/><Relationship Id="rId10" Type="http://schemas.openxmlformats.org/officeDocument/2006/relationships/hyperlink" Target="https://doi.org/10.2196/35774"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4719</TotalTime>
  <Pages>41</Pages>
  <Words>13081</Words>
  <Characters>74566</Characters>
  <Application>Microsoft Office Word</Application>
  <DocSecurity>0</DocSecurity>
  <Lines>621</Lines>
  <Paragraphs>174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Louise K</cp:lastModifiedBy>
  <cp:revision>230</cp:revision>
  <dcterms:created xsi:type="dcterms:W3CDTF">2026-07-14T11:59:00Z</dcterms:created>
  <dcterms:modified xsi:type="dcterms:W3CDTF">2026-07-26T12:03:00Z</dcterms:modified>
</cp:coreProperties>
</file>