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footnotes.xml" ContentType="application/vnd.openxmlformats-officedocument.wordprocessingml.footnot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F66C4B0" wp14:paraId="2BF03DE4" wp14:textId="41755528">
      <w:pPr>
        <w:spacing w:before="0" w:beforeAutospacing="off" w:after="0" w:afterAutospacing="off"/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r w:rsidRPr="1F66C4B0" w:rsidR="715616B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The Journal article I have chosen is </w:t>
      </w:r>
      <w:r w:rsidRPr="1F66C4B0" w:rsidR="28B45A68">
        <w:rPr>
          <w:rFonts w:ascii="Aptos Display" w:hAnsi="Aptos Display" w:eastAsia="Aptos Display" w:cs="Aptos Display" w:asciiTheme="majorAscii" w:hAnsiTheme="majorAscii" w:eastAsiaTheme="majorAscii" w:cstheme="majorAscii"/>
        </w:rPr>
        <w:t>“</w:t>
      </w:r>
      <w:r w:rsidRPr="1F66C4B0" w:rsidR="715616B4">
        <w:rPr>
          <w:rFonts w:ascii="Aptos Display" w:hAnsi="Aptos Display" w:eastAsia="Aptos Display" w:cs="Aptos Display" w:asciiTheme="majorAscii" w:hAnsiTheme="majorAscii" w:eastAsiaTheme="majorAscii" w:cstheme="majorAscii"/>
        </w:rPr>
        <w:t>Repeat missing child reports: prevalence, timing, and risk factors</w:t>
      </w:r>
      <w:r w:rsidRPr="1F66C4B0" w:rsidR="6617B7FA">
        <w:rPr>
          <w:rFonts w:ascii="Aptos Display" w:hAnsi="Aptos Display" w:eastAsia="Aptos Display" w:cs="Aptos Display" w:asciiTheme="majorAscii" w:hAnsiTheme="majorAscii" w:eastAsiaTheme="majorAscii" w:cstheme="majorAscii"/>
        </w:rPr>
        <w:t>”</w:t>
      </w:r>
      <w:r w:rsidRPr="1F66C4B0">
        <w:rPr>
          <w:rStyle w:val="FootnoteReference"/>
          <w:rFonts w:ascii="Aptos Display" w:hAnsi="Aptos Display" w:eastAsia="Aptos Display" w:cs="Aptos Display" w:asciiTheme="majorAscii" w:hAnsiTheme="majorAscii" w:eastAsiaTheme="majorAscii" w:cstheme="majorAscii"/>
        </w:rPr>
        <w:footnoteReference w:id="31467"/>
      </w:r>
      <w:r w:rsidRPr="1F66C4B0" w:rsidR="4A7A9E4E">
        <w:rPr>
          <w:rFonts w:ascii="Aptos Display" w:hAnsi="Aptos Display" w:eastAsia="Aptos Display" w:cs="Aptos Display" w:asciiTheme="majorAscii" w:hAnsiTheme="majorAscii" w:eastAsiaTheme="majorAscii" w:cstheme="majorAscii"/>
        </w:rPr>
        <w:t>I have chosen this article as I have always been fascinated by missing person cases, The how, the w</w:t>
      </w:r>
      <w:r w:rsidRPr="1F66C4B0" w:rsidR="5D3A6FDC">
        <w:rPr>
          <w:rFonts w:ascii="Aptos Display" w:hAnsi="Aptos Display" w:eastAsia="Aptos Display" w:cs="Aptos Display" w:asciiTheme="majorAscii" w:hAnsiTheme="majorAscii" w:eastAsiaTheme="majorAscii" w:cstheme="majorAscii"/>
        </w:rPr>
        <w:t>h</w:t>
      </w:r>
      <w:r w:rsidRPr="1F66C4B0" w:rsidR="4A7A9E4E">
        <w:rPr>
          <w:rFonts w:ascii="Aptos Display" w:hAnsi="Aptos Display" w:eastAsia="Aptos Display" w:cs="Aptos Display" w:asciiTheme="majorAscii" w:hAnsiTheme="majorAscii" w:eastAsiaTheme="majorAscii" w:cstheme="majorAscii"/>
        </w:rPr>
        <w:t>er</w:t>
      </w:r>
      <w:r w:rsidRPr="1F66C4B0" w:rsidR="3BB2ECAE">
        <w:rPr>
          <w:rFonts w:ascii="Aptos Display" w:hAnsi="Aptos Display" w:eastAsia="Aptos Display" w:cs="Aptos Display" w:asciiTheme="majorAscii" w:hAnsiTheme="majorAscii" w:eastAsiaTheme="majorAscii" w:cstheme="majorAscii"/>
        </w:rPr>
        <w:t>e</w:t>
      </w:r>
      <w:r w:rsidRPr="1F66C4B0" w:rsidR="4A7A9E4E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and the why. This a</w:t>
      </w:r>
      <w:r w:rsidRPr="1F66C4B0" w:rsidR="639DE349">
        <w:rPr>
          <w:rFonts w:ascii="Aptos Display" w:hAnsi="Aptos Display" w:eastAsia="Aptos Display" w:cs="Aptos Display" w:asciiTheme="majorAscii" w:hAnsiTheme="majorAscii" w:eastAsiaTheme="majorAscii" w:cstheme="majorAscii"/>
        </w:rPr>
        <w:t>rticle broke down the risk factors</w:t>
      </w:r>
      <w:r w:rsidRPr="1F66C4B0" w:rsidR="61DF1257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, as well as </w:t>
      </w:r>
      <w:r w:rsidRPr="1F66C4B0" w:rsidR="475639C0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explaining why children may repeat behaviours that lead them to venerable situations</w:t>
      </w:r>
      <w:r w:rsidRPr="1F66C4B0" w:rsidR="39AF2498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as well as </w:t>
      </w:r>
      <w:r w:rsidRPr="1F66C4B0" w:rsidR="475639C0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referenc</w:t>
      </w:r>
      <w:r w:rsidRPr="1F66C4B0" w:rsidR="33F026CD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ing</w:t>
      </w:r>
      <w:r w:rsidRPr="1F66C4B0" w:rsidR="475639C0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1F66C4B0" w:rsidR="1652AFE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official government reports within </w:t>
      </w:r>
      <w:r w:rsidRPr="1F66C4B0" w:rsidR="516086C3">
        <w:rPr>
          <w:rFonts w:ascii="Aptos Display" w:hAnsi="Aptos Display" w:eastAsia="Aptos Display" w:cs="Aptos Display" w:asciiTheme="majorAscii" w:hAnsiTheme="majorAscii" w:eastAsiaTheme="majorAscii" w:cstheme="majorAscii"/>
        </w:rPr>
        <w:t>their</w:t>
      </w:r>
      <w:r w:rsidRPr="1F66C4B0" w:rsidR="1652AFE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work.</w:t>
      </w:r>
      <w:r w:rsidRPr="1F66C4B0">
        <w:rPr>
          <w:rStyle w:val="FootnoteReference"/>
          <w:rFonts w:ascii="Aptos Display" w:hAnsi="Aptos Display" w:eastAsia="Aptos Display" w:cs="Aptos Display" w:asciiTheme="majorAscii" w:hAnsiTheme="majorAscii" w:eastAsiaTheme="majorAscii" w:cstheme="majorAscii"/>
        </w:rPr>
        <w:footnoteReference w:id="8681"/>
      </w:r>
      <w:r w:rsidRPr="1F66C4B0" w:rsidR="0F7B9D6C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</w:p>
    <w:p w:rsidR="55B73C1E" w:rsidP="1F66C4B0" w:rsidRDefault="55B73C1E" w14:paraId="7A32C9F1" w14:textId="30DBF088">
      <w:pPr>
        <w:spacing w:before="0" w:beforeAutospacing="off" w:after="0" w:afterAutospacing="off"/>
        <w:rPr>
          <w:rFonts w:ascii="Aptos Display" w:hAnsi="Aptos Display" w:eastAsia="Aptos Display" w:cs="Aptos Display" w:asciiTheme="majorAscii" w:hAnsiTheme="majorAscii" w:eastAsiaTheme="majorAscii" w:cstheme="majorAscii"/>
        </w:rPr>
      </w:pPr>
    </w:p>
    <w:p w:rsidR="15BF84F1" w:rsidP="1F66C4B0" w:rsidRDefault="15BF84F1" w14:paraId="412B983C" w14:textId="6EB19077">
      <w:pPr>
        <w:pStyle w:val="Normal"/>
        <w:spacing w:before="0" w:beforeAutospacing="off" w:after="0" w:afterAutospacing="off"/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r w:rsidRPr="1F66C4B0" w:rsidR="15BF84F1">
        <w:rPr>
          <w:rFonts w:ascii="Aptos Display" w:hAnsi="Aptos Display" w:eastAsia="Aptos Display" w:cs="Aptos Display" w:asciiTheme="majorAscii" w:hAnsiTheme="majorAscii" w:eastAsiaTheme="majorAscii" w:cstheme="majorAscii"/>
        </w:rPr>
        <w:t>The author</w:t>
      </w:r>
      <w:r w:rsidRPr="1F66C4B0" w:rsidR="4885E88D">
        <w:rPr>
          <w:rFonts w:ascii="Aptos Display" w:hAnsi="Aptos Display" w:eastAsia="Aptos Display" w:cs="Aptos Display" w:asciiTheme="majorAscii" w:hAnsiTheme="majorAscii" w:eastAsiaTheme="majorAscii" w:cstheme="majorAscii"/>
        </w:rPr>
        <w:t>s</w:t>
      </w:r>
      <w:r w:rsidRPr="1F66C4B0" w:rsidR="15BF84F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1F66C4B0" w:rsidR="4F58E91D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Zoe </w:t>
      </w:r>
      <w:r w:rsidRPr="1F66C4B0" w:rsidR="4F58E91D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Bezeczky</w:t>
      </w:r>
      <w:r w:rsidRPr="1F66C4B0" w:rsidR="4F58E91D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and David Wilkins that have co-authored this journal article</w:t>
      </w:r>
      <w:r w:rsidRPr="1F66C4B0" w:rsidR="3F4EF646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1F66C4B0" w:rsidR="42108F8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first </w:t>
      </w:r>
      <w:r w:rsidRPr="1F66C4B0" w:rsidR="42108F84">
        <w:rPr>
          <w:rFonts w:ascii="Aptos Display" w:hAnsi="Aptos Display" w:eastAsia="Aptos Display" w:cs="Aptos Display" w:asciiTheme="majorAscii" w:hAnsiTheme="majorAscii" w:eastAsiaTheme="majorAscii" w:cstheme="majorAscii"/>
        </w:rPr>
        <w:t>submitted</w:t>
      </w:r>
      <w:r w:rsidRPr="1F66C4B0" w:rsidR="42108F8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1F66C4B0" w:rsidR="17C17DEE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it </w:t>
      </w:r>
      <w:r w:rsidRPr="1F66C4B0" w:rsidR="42108F8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in </w:t>
      </w:r>
      <w:r w:rsidRPr="1F66C4B0" w:rsidR="6114E98E">
        <w:rPr>
          <w:rFonts w:ascii="Aptos Display" w:hAnsi="Aptos Display" w:eastAsia="Aptos Display" w:cs="Aptos Display" w:asciiTheme="majorAscii" w:hAnsiTheme="majorAscii" w:eastAsiaTheme="majorAscii" w:cstheme="majorAscii"/>
        </w:rPr>
        <w:t>September</w:t>
      </w:r>
      <w:r w:rsidRPr="1F66C4B0" w:rsidR="42108F8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2</w:t>
      </w:r>
      <w:r w:rsidRPr="1F66C4B0" w:rsidR="46785E87">
        <w:rPr>
          <w:rFonts w:ascii="Aptos Display" w:hAnsi="Aptos Display" w:eastAsia="Aptos Display" w:cs="Aptos Display" w:asciiTheme="majorAscii" w:hAnsiTheme="majorAscii" w:eastAsiaTheme="majorAscii" w:cstheme="majorAscii"/>
        </w:rPr>
        <w:t>02</w:t>
      </w:r>
      <w:r w:rsidRPr="1F66C4B0" w:rsidR="42108F84">
        <w:rPr>
          <w:rFonts w:ascii="Aptos Display" w:hAnsi="Aptos Display" w:eastAsia="Aptos Display" w:cs="Aptos Display" w:asciiTheme="majorAscii" w:hAnsiTheme="majorAscii" w:eastAsiaTheme="majorAscii" w:cstheme="majorAscii"/>
        </w:rPr>
        <w:t>1 so</w:t>
      </w:r>
      <w:r w:rsidRPr="1F66C4B0" w:rsidR="42108F8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is a </w:t>
      </w:r>
      <w:r w:rsidRPr="1F66C4B0" w:rsidR="62FCFA2C">
        <w:rPr>
          <w:rFonts w:ascii="Aptos Display" w:hAnsi="Aptos Display" w:eastAsia="Aptos Display" w:cs="Aptos Display" w:asciiTheme="majorAscii" w:hAnsiTheme="majorAscii" w:eastAsiaTheme="majorAscii" w:cstheme="majorAscii"/>
        </w:rPr>
        <w:t>relevantly</w:t>
      </w:r>
      <w:r w:rsidRPr="1F66C4B0" w:rsidR="42108F8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new paper</w:t>
      </w:r>
      <w:r w:rsidRPr="1F66C4B0" w:rsidR="79B865F8">
        <w:rPr>
          <w:rFonts w:ascii="Aptos Display" w:hAnsi="Aptos Display" w:eastAsia="Aptos Display" w:cs="Aptos Display" w:asciiTheme="majorAscii" w:hAnsiTheme="majorAscii" w:eastAsiaTheme="majorAscii" w:cstheme="majorAscii"/>
        </w:rPr>
        <w:t>,</w:t>
      </w:r>
      <w:r w:rsidRPr="1F66C4B0" w:rsidR="42108F8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although some statistics will have changed. </w:t>
      </w:r>
      <w:r w:rsidRPr="1F66C4B0" w:rsidR="47E5929F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It is still </w:t>
      </w:r>
      <w:r w:rsidRPr="1F66C4B0" w:rsidR="00C47C99">
        <w:rPr>
          <w:rFonts w:ascii="Aptos Display" w:hAnsi="Aptos Display" w:eastAsia="Aptos Display" w:cs="Aptos Display" w:asciiTheme="majorAscii" w:hAnsiTheme="majorAscii" w:eastAsiaTheme="majorAscii" w:cstheme="majorAscii"/>
        </w:rPr>
        <w:t>relevant</w:t>
      </w:r>
      <w:r w:rsidRPr="1F66C4B0" w:rsidR="47E5929F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to today's </w:t>
      </w:r>
      <w:r w:rsidRPr="1F66C4B0" w:rsidR="052A614C">
        <w:rPr>
          <w:rFonts w:ascii="Aptos Display" w:hAnsi="Aptos Display" w:eastAsia="Aptos Display" w:cs="Aptos Display" w:asciiTheme="majorAscii" w:hAnsiTheme="majorAscii" w:eastAsiaTheme="majorAscii" w:cstheme="majorAscii"/>
        </w:rPr>
        <w:t>research;</w:t>
      </w:r>
      <w:r w:rsidRPr="1F66C4B0" w:rsidR="47E5929F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the vulnerability of children has not changed drastically in the time that the paper was written.</w:t>
      </w:r>
      <w:r w:rsidRPr="1F66C4B0" w:rsidR="53F50956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The paper itself cites</w:t>
      </w:r>
      <w:r w:rsidRPr="1F66C4B0" w:rsidR="10FD9B0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 paper from 1989 </w:t>
      </w:r>
      <w:r w:rsidRPr="1F66C4B0">
        <w:rPr>
          <w:rStyle w:val="FootnoteReference"/>
          <w:rFonts w:ascii="Aptos Display" w:hAnsi="Aptos Display" w:eastAsia="Aptos Display" w:cs="Aptos Display" w:asciiTheme="majorAscii" w:hAnsiTheme="majorAscii" w:eastAsiaTheme="majorAscii" w:cstheme="majorAscii"/>
        </w:rPr>
        <w:footnoteReference w:id="12027"/>
      </w:r>
      <w:r w:rsidRPr="1F66C4B0" w:rsidR="10FD9B0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as the data collected in this paper is still relevant in part to today's climate amongst missing children. </w:t>
      </w:r>
    </w:p>
    <w:p xmlns:wp14="http://schemas.microsoft.com/office/word/2010/wordml" w:rsidP="1F66C4B0" wp14:paraId="7D2FAB5A" wp14:textId="79534D1A">
      <w:pPr>
        <w:pStyle w:val="Normal"/>
        <w:spacing w:before="240" w:beforeAutospacing="off" w:after="240" w:afterAutospacing="off"/>
        <w:ind w:left="720" w:right="0" w:hanging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1F66C4B0" w:rsidR="58D5AE0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This</w:t>
      </w:r>
      <w:r w:rsidRPr="1F66C4B0" w:rsidR="57C94CA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paper is to highlight and </w:t>
      </w:r>
      <w:r w:rsidRPr="1F66C4B0" w:rsidR="57C94CA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observe</w:t>
      </w:r>
      <w:r w:rsidRPr="1F66C4B0" w:rsidR="57C94CA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the rising figures and </w:t>
      </w:r>
      <w:r w:rsidRPr="1F66C4B0" w:rsidR="4275B37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perspectives</w:t>
      </w:r>
      <w:r w:rsidRPr="1F66C4B0" w:rsidR="57C94CA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of missing and exploited </w:t>
      </w:r>
      <w:r w:rsidRPr="1F66C4B0" w:rsidR="17F6799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children</w:t>
      </w:r>
      <w:r w:rsidRPr="1F66C4B0" w:rsidR="7D4C0DF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  <w:r w:rsidRPr="1F66C4B0" w:rsidR="5ACA315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F66C4B0" w:rsidR="19A8DD6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The data then follows a method collecting data by police forces around </w:t>
      </w:r>
      <w:r w:rsidRPr="1F66C4B0" w:rsidR="3F0A7414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England</w:t>
      </w:r>
      <w:r w:rsidRPr="1F66C4B0" w:rsidR="19A8DD6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and </w:t>
      </w:r>
      <w:r w:rsidRPr="1F66C4B0" w:rsidR="5DD753E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Wales</w:t>
      </w:r>
      <w:r w:rsidRPr="1F66C4B0" w:rsidR="19A8DD6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F66C4B0" w:rsidR="3676144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following a trail of reoccurring missing person data and children that are repeated within the system</w:t>
      </w:r>
      <w:r w:rsidRPr="1F66C4B0" w:rsidR="2DA39C9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,</w:t>
      </w:r>
      <w:r w:rsidRPr="1F66C4B0" w:rsidR="1F38138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F66C4B0" w:rsidR="27B58C34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and if there were concerns</w:t>
      </w:r>
      <w:r w:rsidRPr="1F66C4B0" w:rsidR="1F38138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of abuse in the </w:t>
      </w:r>
      <w:r w:rsidRPr="1F66C4B0" w:rsidR="16AAB75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case, or if the child</w:t>
      </w:r>
      <w:r w:rsidRPr="1F66C4B0" w:rsidR="1F38138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was in care</w:t>
      </w:r>
      <w:r w:rsidRPr="1F66C4B0" w:rsidR="3676144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. This data was collected over 5 years</w:t>
      </w:r>
      <w:r w:rsidRPr="1F66C4B0" w:rsidR="4E16585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</w:p>
    <w:p xmlns:wp14="http://schemas.microsoft.com/office/word/2010/wordml" wp14:paraId="2C078E63" wp14:textId="1C90B03C">
      <w:r w:rsidR="3E6CCA8B">
        <w:rPr/>
        <w:t xml:space="preserve">The sources that this article has </w:t>
      </w:r>
      <w:r w:rsidR="385B9AEF">
        <w:rPr/>
        <w:t>built</w:t>
      </w:r>
      <w:r w:rsidR="3E6CCA8B">
        <w:rPr/>
        <w:t xml:space="preserve"> </w:t>
      </w:r>
      <w:r w:rsidR="7B8997CE">
        <w:rPr/>
        <w:t>its</w:t>
      </w:r>
      <w:r w:rsidR="3E6CCA8B">
        <w:rPr/>
        <w:t xml:space="preserve"> foundation upon are a multitude of analytical data both from </w:t>
      </w:r>
      <w:r w:rsidR="4E66DF4B">
        <w:rPr/>
        <w:t>privacy</w:t>
      </w:r>
      <w:r w:rsidR="3E6CCA8B">
        <w:rPr/>
        <w:t xml:space="preserve"> parties and government </w:t>
      </w:r>
      <w:r w:rsidR="181FFA53">
        <w:rPr/>
        <w:t>sources</w:t>
      </w:r>
      <w:r w:rsidR="3E6CCA8B">
        <w:rPr/>
        <w:t xml:space="preserve"> as well </w:t>
      </w:r>
      <w:r w:rsidR="0A273EFA">
        <w:rPr/>
        <w:t>as papers written for and by social workers</w:t>
      </w:r>
      <w:r w:rsidRPr="1F66C4B0">
        <w:rPr>
          <w:rStyle w:val="FootnoteReference"/>
        </w:rPr>
        <w:footnoteReference w:id="23249"/>
      </w:r>
      <w:r w:rsidR="0A273EFA">
        <w:rPr/>
        <w:t xml:space="preserve"> </w:t>
      </w:r>
      <w:r w:rsidR="6A9E375F">
        <w:rPr/>
        <w:t>and</w:t>
      </w:r>
      <w:r w:rsidR="13CCEEA8">
        <w:rPr/>
        <w:t xml:space="preserve"> </w:t>
      </w:r>
      <w:r w:rsidR="1695C208">
        <w:rPr/>
        <w:t>in turn</w:t>
      </w:r>
      <w:r w:rsidR="13CCEEA8">
        <w:rPr/>
        <w:t xml:space="preserve"> this </w:t>
      </w:r>
      <w:r w:rsidR="551EC385">
        <w:rPr/>
        <w:t>article</w:t>
      </w:r>
      <w:r w:rsidR="13CCEEA8">
        <w:rPr/>
        <w:t xml:space="preserve"> has been cited and used by </w:t>
      </w:r>
      <w:r w:rsidR="7744B475">
        <w:rPr/>
        <w:t xml:space="preserve">academic </w:t>
      </w:r>
      <w:r w:rsidR="4E41208E">
        <w:rPr/>
        <w:t>policing</w:t>
      </w:r>
      <w:r w:rsidR="7744B475">
        <w:rPr/>
        <w:t xml:space="preserve"> papers in the </w:t>
      </w:r>
      <w:r w:rsidR="2AD9321C">
        <w:rPr/>
        <w:t>following</w:t>
      </w:r>
      <w:r w:rsidR="7744B475">
        <w:rPr/>
        <w:t xml:space="preserve"> years. </w:t>
      </w:r>
      <w:r w:rsidR="51EA828A">
        <w:rPr/>
        <w:t xml:space="preserve"> </w:t>
      </w:r>
    </w:p>
    <w:p w:rsidR="181C2BEB" w:rsidRDefault="181C2BEB" w14:paraId="090DE7C4" w14:textId="798D9570">
      <w:r w:rsidR="181C2BEB">
        <w:rPr/>
        <w:t xml:space="preserve">The strengths of this paper can be attributed to </w:t>
      </w:r>
      <w:r w:rsidR="56C35B0F">
        <w:rPr/>
        <w:t>its analytical</w:t>
      </w:r>
      <w:r w:rsidR="181C2BEB">
        <w:rPr/>
        <w:t xml:space="preserve"> sources and data that are present</w:t>
      </w:r>
      <w:r w:rsidR="2029DA28">
        <w:rPr/>
        <w:t>,</w:t>
      </w:r>
      <w:r w:rsidR="181C2BEB">
        <w:rPr/>
        <w:t xml:space="preserve"> as well as its </w:t>
      </w:r>
      <w:r w:rsidR="539FC20E">
        <w:rPr/>
        <w:t>methods and results of the data collected</w:t>
      </w:r>
      <w:r w:rsidR="53907F39">
        <w:rPr/>
        <w:t xml:space="preserve"> over an extended </w:t>
      </w:r>
      <w:r w:rsidR="7EA389CE">
        <w:rPr/>
        <w:t>period</w:t>
      </w:r>
      <w:r w:rsidR="539FC20E">
        <w:rPr/>
        <w:t>.</w:t>
      </w:r>
      <w:r w:rsidR="046CB107">
        <w:rPr/>
        <w:t xml:space="preserve"> The data was </w:t>
      </w:r>
      <w:r w:rsidR="2687AC9F">
        <w:rPr/>
        <w:t>then</w:t>
      </w:r>
      <w:r w:rsidR="046CB107">
        <w:rPr/>
        <w:t xml:space="preserve"> checked over to make sure that no duplication had accidently been inputted into the system to avoid false data.</w:t>
      </w:r>
      <w:r w:rsidR="2847BBA0">
        <w:rPr/>
        <w:t xml:space="preserve"> There </w:t>
      </w:r>
      <w:r w:rsidR="414A6861">
        <w:rPr/>
        <w:t xml:space="preserve">are </w:t>
      </w:r>
      <w:r w:rsidR="2847BBA0">
        <w:rPr/>
        <w:t xml:space="preserve">weaknesses that I have found within this report, </w:t>
      </w:r>
      <w:r w:rsidR="1CBB0A39">
        <w:rPr/>
        <w:t>firstly police</w:t>
      </w:r>
      <w:r w:rsidR="38CB22A1">
        <w:rPr/>
        <w:t xml:space="preserve"> only data leaves room </w:t>
      </w:r>
      <w:r w:rsidR="37A50450">
        <w:rPr/>
        <w:t>for continuity</w:t>
      </w:r>
      <w:r w:rsidR="27CA0A60">
        <w:rPr/>
        <w:t xml:space="preserve"> error</w:t>
      </w:r>
      <w:r w:rsidR="38AF1ADB">
        <w:rPr/>
        <w:t>s</w:t>
      </w:r>
      <w:r w:rsidR="27CA0A60">
        <w:rPr/>
        <w:t>.</w:t>
      </w:r>
      <w:r w:rsidR="58ECBBEB">
        <w:rPr/>
        <w:t xml:space="preserve"> </w:t>
      </w:r>
      <w:r w:rsidR="7D14A665">
        <w:rPr/>
        <w:t>Furthermore, the</w:t>
      </w:r>
      <w:r w:rsidR="58ECBBEB">
        <w:rPr/>
        <w:t xml:space="preserve"> paper lacks an explanation into causation, there are an array of times throughout the article that a piece of data is </w:t>
      </w:r>
      <w:r w:rsidR="58ECBBEB">
        <w:rPr/>
        <w:t>mentioned</w:t>
      </w:r>
      <w:r w:rsidR="58ECBBEB">
        <w:rPr/>
        <w:t xml:space="preserve"> but</w:t>
      </w:r>
      <w:r w:rsidR="58ECBBEB">
        <w:rPr/>
        <w:t xml:space="preserve"> not explained</w:t>
      </w:r>
      <w:r w:rsidR="5A74002A">
        <w:rPr/>
        <w:t>.</w:t>
      </w:r>
    </w:p>
    <w:p w:rsidR="1F66C4B0" w:rsidRDefault="1F66C4B0" w14:paraId="3E75CFCA" w14:textId="352338CE"/>
    <w:p w:rsidR="5A74002A" w:rsidRDefault="5A74002A" w14:paraId="380273F7" w14:textId="287091E8">
      <w:r w:rsidR="5A74002A">
        <w:rPr/>
        <w:t xml:space="preserve">This paper overall alongside other articles is a good piece of </w:t>
      </w:r>
      <w:r w:rsidR="5E73B988">
        <w:rPr/>
        <w:t>evidence</w:t>
      </w:r>
      <w:r w:rsidR="5A74002A">
        <w:rPr/>
        <w:t xml:space="preserve"> into missing children</w:t>
      </w:r>
      <w:r w:rsidR="771428F5">
        <w:rPr/>
        <w:t>,</w:t>
      </w:r>
      <w:r w:rsidR="5A74002A">
        <w:rPr/>
        <w:t xml:space="preserve"> but only when it is read alongside other articles and journals. It can</w:t>
      </w:r>
      <w:r w:rsidR="74F6367B">
        <w:rPr/>
        <w:t xml:space="preserve"> further my research</w:t>
      </w:r>
      <w:r w:rsidR="1765334B">
        <w:rPr/>
        <w:t>,</w:t>
      </w:r>
      <w:r w:rsidR="74F6367B">
        <w:rPr/>
        <w:t xml:space="preserve"> but cannot stand on its own. </w:t>
      </w:r>
    </w:p>
    <w:p w:rsidR="1F66C4B0" w:rsidRDefault="1F66C4B0" w14:paraId="4C3577B2" w14:textId="66A59F77"/>
    <w:p w:rsidR="2DBDC96C" w:rsidP="1F66C4B0" w:rsidRDefault="2DBDC96C" w14:paraId="4F3A10AF" w14:textId="33DC819D">
      <w:pPr>
        <w:shd w:val="clear" w:color="auto" w:fill="FFFFFF" w:themeFill="background1"/>
        <w:spacing w:before="0" w:beforeAutospacing="off" w:after="150" w:afterAutospacing="off"/>
        <w:ind w:left="1440" w:right="1440"/>
        <w:jc w:val="left"/>
      </w:pPr>
      <w:r w:rsidRPr="1F66C4B0" w:rsidR="2DBDC9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Bibliography</w:t>
      </w:r>
    </w:p>
    <w:p w:rsidR="1F66C4B0" w:rsidP="1F66C4B0" w:rsidRDefault="1F66C4B0" w14:paraId="5F6D5EFF" w14:textId="2060E19A">
      <w:pPr>
        <w:shd w:val="clear" w:color="auto" w:fill="FFFFFF" w:themeFill="background1"/>
        <w:spacing w:before="0" w:beforeAutospacing="off" w:after="0" w:afterAutospacing="off"/>
      </w:pPr>
    </w:p>
    <w:p w:rsidR="2DBDC96C" w:rsidP="1F66C4B0" w:rsidRDefault="2DBDC96C" w14:paraId="60328D0B" w14:textId="4BA09936">
      <w:pPr>
        <w:spacing w:before="0" w:beforeAutospacing="off" w:after="240" w:afterAutospacing="off" w:line="360" w:lineRule="auto"/>
        <w:ind w:left="720" w:right="0" w:hanging="720"/>
      </w:pPr>
      <w:r w:rsidRPr="1F66C4B0" w:rsidR="2DBDC9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Bezeczky, Zoe, and David Wilkins, ‘Repeat Missing Child Reports: Prevalence, Timing, and Risk Factors’, </w:t>
      </w:r>
      <w:r w:rsidRPr="1F66C4B0" w:rsidR="2DBDC96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Children and Youth Services Review</w:t>
      </w:r>
      <w:r w:rsidRPr="1F66C4B0" w:rsidR="2DBDC9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136.136 (2022), 106454 &lt;https://doi.org/10.1016/j.childyouth.2022.106454&gt;</w:t>
      </w:r>
    </w:p>
    <w:p w:rsidR="2DBDC96C" w:rsidP="1F66C4B0" w:rsidRDefault="2DBDC96C" w14:paraId="796ECC3E" w14:textId="3B7DD85A">
      <w:pPr>
        <w:spacing w:before="0" w:beforeAutospacing="off" w:after="240" w:afterAutospacing="off" w:line="360" w:lineRule="auto"/>
        <w:ind w:left="720" w:right="0" w:hanging="720"/>
      </w:pPr>
      <w:r w:rsidRPr="1F66C4B0" w:rsidR="2DBDC9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Biehal, N, and J Wade, ‘Going Missing from Residential and Foster Care: Linking Biographies and Contexts’, </w:t>
      </w:r>
      <w:r w:rsidRPr="1F66C4B0" w:rsidR="2DBDC96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British Journal of Social Work</w:t>
      </w:r>
      <w:r w:rsidRPr="1F66C4B0" w:rsidR="2DBDC9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30.2 (2000), 211–25 &lt;https://doi.org/10.1093/bjsw/30.2.211&gt;</w:t>
      </w:r>
    </w:p>
    <w:p w:rsidR="2DBDC96C" w:rsidP="1F66C4B0" w:rsidRDefault="2DBDC96C" w14:paraId="065E8F4F" w14:textId="359A263B">
      <w:pPr>
        <w:spacing w:before="0" w:beforeAutospacing="off" w:after="240" w:afterAutospacing="off" w:line="360" w:lineRule="auto"/>
        <w:ind w:left="720" w:right="0" w:hanging="720"/>
      </w:pPr>
      <w:r w:rsidRPr="1F66C4B0" w:rsidR="2DBDC9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‘Report from the Joint Inquiry into Children Who Go Missing from Care’, </w:t>
      </w:r>
      <w:r w:rsidRPr="1F66C4B0" w:rsidR="2DBDC96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GOV.UK</w:t>
      </w:r>
      <w:r w:rsidRPr="1F66C4B0" w:rsidR="2DBDC9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2012 &lt;https://www.gov.uk/government/publications/report-from-the-joint-inquiry-into-children-who-go-missing-from-care&gt; [accessed 12 January 2026]</w:t>
      </w:r>
    </w:p>
    <w:p w:rsidR="2DBDC96C" w:rsidP="1F66C4B0" w:rsidRDefault="2DBDC96C" w14:paraId="369CCBE3" w14:textId="45C18A79">
      <w:pPr>
        <w:spacing w:before="0" w:beforeAutospacing="off" w:after="240" w:afterAutospacing="off" w:line="360" w:lineRule="auto"/>
        <w:ind w:left="720" w:right="0" w:hanging="720"/>
      </w:pPr>
      <w:r w:rsidRPr="1F66C4B0" w:rsidR="2DBDC9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Windle, Michael, ‘Substance Use and Abuse among Adolescent Runaways: A Four-Year Follow-up Study’, </w:t>
      </w:r>
      <w:r w:rsidRPr="1F66C4B0" w:rsidR="2DBDC96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Youth and Adolescence</w:t>
      </w:r>
      <w:r w:rsidRPr="1F66C4B0" w:rsidR="2DBDC9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18.4 (1988), 331–44 &lt;https://doi.org/10.1007/bf02139253&gt;</w:t>
      </w:r>
    </w:p>
    <w:p w:rsidR="1F66C4B0" w:rsidRDefault="1F66C4B0" w14:paraId="6B71C969" w14:textId="64EC9116"/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fe9b5500c794257"/>
      <w:footerReference w:type="default" r:id="R69ef34c37002497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F66C4B0" w:rsidTr="1F66C4B0" w14:paraId="218D2672">
      <w:trPr>
        <w:trHeight w:val="300"/>
      </w:trPr>
      <w:tc>
        <w:tcPr>
          <w:tcW w:w="3120" w:type="dxa"/>
          <w:tcMar/>
        </w:tcPr>
        <w:p w:rsidR="1F66C4B0" w:rsidP="1F66C4B0" w:rsidRDefault="1F66C4B0" w14:paraId="667E6BA5" w14:textId="29CA1FD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F66C4B0" w:rsidP="1F66C4B0" w:rsidRDefault="1F66C4B0" w14:paraId="42C49028" w14:textId="0848716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F66C4B0" w:rsidP="1F66C4B0" w:rsidRDefault="1F66C4B0" w14:paraId="4208BECA" w14:textId="776F8138">
          <w:pPr>
            <w:pStyle w:val="Header"/>
            <w:bidi w:val="0"/>
            <w:ind w:right="-115"/>
            <w:jc w:val="right"/>
          </w:pPr>
        </w:p>
      </w:tc>
    </w:tr>
  </w:tbl>
  <w:p w:rsidR="1F66C4B0" w:rsidP="1F66C4B0" w:rsidRDefault="1F66C4B0" w14:paraId="3710DBFB" w14:textId="3286D671">
    <w:pPr>
      <w:pStyle w:val="Footer"/>
      <w:bidi w:val="0"/>
    </w:pPr>
  </w:p>
</w:ftr>
</file>

<file path=word/footnotes.xml><?xml version="1.0" encoding="utf-8"?>
<w:footnotes xmlns:w14="http://schemas.microsoft.com/office/word/2010/wordml" xmlns:r="http://schemas.openxmlformats.org/officeDocument/2006/relationships" xmlns:w="http://schemas.openxmlformats.org/wordprocessingml/2006/main">
  <w:footnote w:type="separator" w:id="-1">
    <w:p w:rsidR="55B73C1E" w:rsidRDefault="55B73C1E" w14:paraId="721D5B4C" w14:textId="64331E49">
      <w:pPr>
        <w:spacing w:after="0" w:line="240" w:lineRule="auto"/>
      </w:pPr>
      <w:r>
        <w:separator/>
      </w:r>
    </w:p>
  </w:footnote>
  <w:footnote w:type="continuationSeparator" w:id="0">
    <w:p w:rsidR="55B73C1E" w:rsidRDefault="55B73C1E" w14:paraId="1B994F24" w14:textId="3D504E4B">
      <w:pPr>
        <w:spacing w:after="0" w:line="240" w:lineRule="auto"/>
      </w:pPr>
      <w:r>
        <w:continuationSeparator/>
      </w:r>
    </w:p>
  </w:footnote>
  <w:footnote w:id="31467">
    <w:p w:rsidR="55B73C1E" w:rsidP="55B73C1E" w:rsidRDefault="55B73C1E" w14:paraId="39FDE1C0" w14:textId="2CF8A307">
      <w:pPr>
        <w:pStyle w:val="FootnoteText"/>
        <w:bidi w:val="0"/>
        <w:rPr>
          <w:noProof w:val="0"/>
          <w:lang w:val="en-GB"/>
        </w:rPr>
      </w:pPr>
      <w:r w:rsidRPr="55B73C1E">
        <w:rPr>
          <w:rStyle w:val="FootnoteReference"/>
        </w:rPr>
        <w:footnoteRef/>
      </w:r>
      <w:r w:rsidR="55B73C1E">
        <w:rPr/>
        <w:t xml:space="preserve"> </w:t>
      </w:r>
      <w:r w:rsidRPr="55B73C1E" w:rsidR="55B73C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Zoe Bezeczky and David Wilkins, ‘Repeat Missing Child Reports: Prevalence, Timing, and Risk Factors’, </w:t>
      </w:r>
      <w:r w:rsidRPr="55B73C1E" w:rsidR="55B73C1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Children and Youth Services Review</w:t>
      </w:r>
      <w:r w:rsidRPr="55B73C1E" w:rsidR="55B73C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136.136 (2022), 106454 &lt;</w:t>
      </w:r>
      <w:hyperlink r:id="Rb4c4801c499f4098">
        <w:r w:rsidRPr="55B73C1E" w:rsidR="55B73C1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https://doi.org/10.1016/j.childyouth.2022.106454</w:t>
        </w:r>
      </w:hyperlink>
      <w:r w:rsidRPr="55B73C1E" w:rsidR="55B73C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&gt;.</w:t>
      </w:r>
    </w:p>
  </w:footnote>
  <w:footnote w:id="8681">
    <w:p w:rsidR="55B73C1E" w:rsidP="55B73C1E" w:rsidRDefault="55B73C1E" w14:paraId="49517E10" w14:textId="5F02D9C0">
      <w:pPr>
        <w:pStyle w:val="FootnoteText"/>
        <w:bidi w:val="0"/>
        <w:spacing w:before="0" w:beforeAutospacing="off" w:after="240" w:afterAutospacing="off" w:line="360" w:lineRule="auto"/>
        <w:ind w:left="720" w:right="0" w:hanging="720"/>
        <w:rPr>
          <w:noProof w:val="0"/>
          <w:lang w:val="en-GB"/>
        </w:rPr>
      </w:pPr>
      <w:r w:rsidRPr="55B73C1E">
        <w:rPr>
          <w:rStyle w:val="FootnoteReference"/>
        </w:rPr>
        <w:footnoteRef/>
      </w:r>
      <w:r w:rsidR="55B73C1E">
        <w:rPr/>
        <w:t xml:space="preserve"> </w:t>
      </w:r>
      <w:r w:rsidRPr="55B73C1E" w:rsidR="55B73C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‘Report from the Joint Inquiry into Children Who Go Missing from Care’, </w:t>
      </w:r>
      <w:r w:rsidRPr="55B73C1E" w:rsidR="55B73C1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GOV.UK</w:t>
      </w:r>
      <w:r w:rsidRPr="55B73C1E" w:rsidR="55B73C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2012 &lt;</w:t>
      </w:r>
      <w:hyperlink r:id="Rce49c2a905e24b01">
        <w:r w:rsidRPr="55B73C1E" w:rsidR="55B73C1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https://www.gov.uk/government/publications/report-from-the-joint-inquiry-into-children-who-go-missing-from-care</w:t>
        </w:r>
      </w:hyperlink>
      <w:r w:rsidRPr="55B73C1E" w:rsidR="55B73C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&gt; [accessed 12 January 2026].</w:t>
      </w:r>
    </w:p>
    <w:p w:rsidR="55B73C1E" w:rsidP="55B73C1E" w:rsidRDefault="55B73C1E" w14:paraId="72F208EB" w14:textId="08E64124">
      <w:pPr>
        <w:pStyle w:val="FootnoteText"/>
        <w:bidi w:val="0"/>
      </w:pPr>
    </w:p>
  </w:footnote>
  <w:footnote w:id="23249">
    <w:p w:rsidR="1F66C4B0" w:rsidP="1F66C4B0" w:rsidRDefault="1F66C4B0" w14:paraId="5A54CC98" w14:textId="3416E5EF">
      <w:pPr>
        <w:pStyle w:val="FootnoteText"/>
        <w:bidi w:val="0"/>
        <w:rPr>
          <w:noProof w:val="0"/>
          <w:lang w:val="en-GB"/>
        </w:rPr>
      </w:pPr>
      <w:r w:rsidRPr="1F66C4B0">
        <w:rPr>
          <w:rStyle w:val="FootnoteReference"/>
        </w:rPr>
        <w:footnoteRef/>
      </w:r>
      <w:r w:rsidR="1F66C4B0">
        <w:rPr/>
        <w:t xml:space="preserve"> </w:t>
      </w:r>
      <w:r w:rsidRPr="1F66C4B0" w:rsidR="1F66C4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 Biehal and J Wade, ‘Going Missing from Residential and Foster Care: Linking Biographies and Contexts’, </w:t>
      </w:r>
      <w:r w:rsidRPr="1F66C4B0" w:rsidR="1F66C4B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British Journal of Social Work</w:t>
      </w:r>
      <w:r w:rsidRPr="1F66C4B0" w:rsidR="1F66C4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30.2 (2000), 211–25 &lt;</w:t>
      </w:r>
      <w:hyperlink r:id="Rf755b79bb2be4b4d">
        <w:r w:rsidRPr="1F66C4B0" w:rsidR="1F66C4B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https://doi.org/10.1093/bjsw/30.2.211</w:t>
        </w:r>
      </w:hyperlink>
      <w:r w:rsidRPr="1F66C4B0" w:rsidR="1F66C4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&gt;.</w:t>
      </w:r>
    </w:p>
  </w:footnote>
  <w:footnote w:id="12027">
    <w:p w:rsidR="1F66C4B0" w:rsidP="1F66C4B0" w:rsidRDefault="1F66C4B0" w14:paraId="17BBAEF1" w14:textId="549AC182">
      <w:pPr>
        <w:pStyle w:val="FootnoteText"/>
        <w:bidi w:val="0"/>
        <w:rPr>
          <w:noProof w:val="0"/>
          <w:lang w:val="en-GB"/>
        </w:rPr>
      </w:pPr>
      <w:r w:rsidRPr="1F66C4B0">
        <w:rPr>
          <w:rStyle w:val="FootnoteReference"/>
        </w:rPr>
        <w:footnoteRef/>
      </w:r>
      <w:r w:rsidRPr="1F66C4B0" w:rsidR="1F66C4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Michael Windle, ‘Substance Use and Abuse among Adolescent Runaways: A Four-Year Follow-up Study’, </w:t>
      </w:r>
      <w:r w:rsidRPr="1F66C4B0" w:rsidR="1F66C4B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Youth and Adolescence</w:t>
      </w:r>
      <w:r w:rsidRPr="1F66C4B0" w:rsidR="1F66C4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18.4 (1988), 331–44 &lt;</w:t>
      </w:r>
      <w:hyperlink r:id="Rcca52428f2094ba8">
        <w:r w:rsidRPr="1F66C4B0" w:rsidR="1F66C4B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https://doi.org/10.1007/bf02139253</w:t>
        </w:r>
      </w:hyperlink>
      <w:r w:rsidRPr="1F66C4B0" w:rsidR="1F66C4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&gt;.</w:t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F66C4B0" w:rsidTr="1F66C4B0" w14:paraId="3762AA0F">
      <w:trPr>
        <w:trHeight w:val="300"/>
      </w:trPr>
      <w:tc>
        <w:tcPr>
          <w:tcW w:w="3120" w:type="dxa"/>
          <w:tcMar/>
        </w:tcPr>
        <w:p w:rsidR="1F66C4B0" w:rsidP="1F66C4B0" w:rsidRDefault="1F66C4B0" w14:paraId="489637AD" w14:textId="11D85CD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F66C4B0" w:rsidP="1F66C4B0" w:rsidRDefault="1F66C4B0" w14:paraId="7D8B7A8B" w14:textId="1DBED09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F66C4B0" w:rsidP="1F66C4B0" w:rsidRDefault="1F66C4B0" w14:paraId="6477430C" w14:textId="393E3A45">
          <w:pPr>
            <w:pStyle w:val="Header"/>
            <w:bidi w:val="0"/>
            <w:ind w:right="-115"/>
            <w:jc w:val="right"/>
          </w:pPr>
        </w:p>
      </w:tc>
    </w:tr>
  </w:tbl>
  <w:p w:rsidR="1F66C4B0" w:rsidP="1F66C4B0" w:rsidRDefault="1F66C4B0" w14:paraId="019F33AD" w14:textId="0D932CC5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15690a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1be03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14991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fa8ad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978cc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759c6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ba97b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5b72b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CC0D34"/>
    <w:rsid w:val="00C47C99"/>
    <w:rsid w:val="043D4234"/>
    <w:rsid w:val="04514AD4"/>
    <w:rsid w:val="04639230"/>
    <w:rsid w:val="046CB107"/>
    <w:rsid w:val="04DA79DB"/>
    <w:rsid w:val="052A614C"/>
    <w:rsid w:val="06947BD4"/>
    <w:rsid w:val="06BE8B8A"/>
    <w:rsid w:val="07D1020D"/>
    <w:rsid w:val="07F75352"/>
    <w:rsid w:val="083D267C"/>
    <w:rsid w:val="08EA34C8"/>
    <w:rsid w:val="09FCDEED"/>
    <w:rsid w:val="0A273EFA"/>
    <w:rsid w:val="0C1058E3"/>
    <w:rsid w:val="0C697604"/>
    <w:rsid w:val="0DAAA4B5"/>
    <w:rsid w:val="0E99FB31"/>
    <w:rsid w:val="0F7B9D6C"/>
    <w:rsid w:val="0F8CE49F"/>
    <w:rsid w:val="0FEA38AF"/>
    <w:rsid w:val="10FD9B09"/>
    <w:rsid w:val="1155CA2A"/>
    <w:rsid w:val="12C5BE60"/>
    <w:rsid w:val="13CCEEA8"/>
    <w:rsid w:val="1451E4AB"/>
    <w:rsid w:val="15BF84F1"/>
    <w:rsid w:val="16180093"/>
    <w:rsid w:val="1652AFE9"/>
    <w:rsid w:val="1695C208"/>
    <w:rsid w:val="16AAB751"/>
    <w:rsid w:val="1765334B"/>
    <w:rsid w:val="17C17DEE"/>
    <w:rsid w:val="17F67998"/>
    <w:rsid w:val="181599CB"/>
    <w:rsid w:val="181C2BEB"/>
    <w:rsid w:val="181FFA53"/>
    <w:rsid w:val="186F4C15"/>
    <w:rsid w:val="19A8DD69"/>
    <w:rsid w:val="1C352C78"/>
    <w:rsid w:val="1CB2C724"/>
    <w:rsid w:val="1CBB0A39"/>
    <w:rsid w:val="1F38138B"/>
    <w:rsid w:val="1F66C4B0"/>
    <w:rsid w:val="1FBA2F51"/>
    <w:rsid w:val="2029DA28"/>
    <w:rsid w:val="2223C40F"/>
    <w:rsid w:val="2387A22D"/>
    <w:rsid w:val="2449E846"/>
    <w:rsid w:val="25033162"/>
    <w:rsid w:val="25FFDCCB"/>
    <w:rsid w:val="2687AC9F"/>
    <w:rsid w:val="27666286"/>
    <w:rsid w:val="27B58C34"/>
    <w:rsid w:val="27CA0A60"/>
    <w:rsid w:val="281873DF"/>
    <w:rsid w:val="2847BBA0"/>
    <w:rsid w:val="28B45A68"/>
    <w:rsid w:val="29280C77"/>
    <w:rsid w:val="2A6C927E"/>
    <w:rsid w:val="2AD9321C"/>
    <w:rsid w:val="2C624162"/>
    <w:rsid w:val="2DA39C97"/>
    <w:rsid w:val="2DA608C5"/>
    <w:rsid w:val="2DBDC96C"/>
    <w:rsid w:val="2DC4F86C"/>
    <w:rsid w:val="33F026CD"/>
    <w:rsid w:val="35090BE1"/>
    <w:rsid w:val="356B4EAB"/>
    <w:rsid w:val="362D77EE"/>
    <w:rsid w:val="36583F58"/>
    <w:rsid w:val="36761447"/>
    <w:rsid w:val="3676BC8A"/>
    <w:rsid w:val="36E871B8"/>
    <w:rsid w:val="36FA92AB"/>
    <w:rsid w:val="37A50450"/>
    <w:rsid w:val="385B9AEF"/>
    <w:rsid w:val="38AF1ADB"/>
    <w:rsid w:val="38CB22A1"/>
    <w:rsid w:val="39AF2498"/>
    <w:rsid w:val="3A5D1944"/>
    <w:rsid w:val="3ADAF0E9"/>
    <w:rsid w:val="3BB2ECAE"/>
    <w:rsid w:val="3C784948"/>
    <w:rsid w:val="3C8D83AF"/>
    <w:rsid w:val="3D99BA40"/>
    <w:rsid w:val="3DFEBA5C"/>
    <w:rsid w:val="3E6CCA8B"/>
    <w:rsid w:val="3E9EE23B"/>
    <w:rsid w:val="3F0A7414"/>
    <w:rsid w:val="3F4EF646"/>
    <w:rsid w:val="4012138C"/>
    <w:rsid w:val="414A6861"/>
    <w:rsid w:val="419BC7F0"/>
    <w:rsid w:val="420221BE"/>
    <w:rsid w:val="42108F84"/>
    <w:rsid w:val="4258D715"/>
    <w:rsid w:val="4275B378"/>
    <w:rsid w:val="427FD804"/>
    <w:rsid w:val="42BC30D1"/>
    <w:rsid w:val="42C9E638"/>
    <w:rsid w:val="42E7EB6F"/>
    <w:rsid w:val="43FA4E64"/>
    <w:rsid w:val="4423629C"/>
    <w:rsid w:val="44D8C747"/>
    <w:rsid w:val="459703C4"/>
    <w:rsid w:val="45C7F040"/>
    <w:rsid w:val="45E71855"/>
    <w:rsid w:val="46785E87"/>
    <w:rsid w:val="475639C0"/>
    <w:rsid w:val="47E5929F"/>
    <w:rsid w:val="4817298B"/>
    <w:rsid w:val="4885E88D"/>
    <w:rsid w:val="49422884"/>
    <w:rsid w:val="4A3520BC"/>
    <w:rsid w:val="4A7A9E4E"/>
    <w:rsid w:val="4BD1DDBD"/>
    <w:rsid w:val="4C3BAA50"/>
    <w:rsid w:val="4E0DD97E"/>
    <w:rsid w:val="4E165857"/>
    <w:rsid w:val="4E41208E"/>
    <w:rsid w:val="4E66DF4B"/>
    <w:rsid w:val="4E8C69FE"/>
    <w:rsid w:val="4F58E91D"/>
    <w:rsid w:val="4F82615C"/>
    <w:rsid w:val="51591F61"/>
    <w:rsid w:val="516086C3"/>
    <w:rsid w:val="51EA828A"/>
    <w:rsid w:val="52D0A779"/>
    <w:rsid w:val="53907F39"/>
    <w:rsid w:val="539FC20E"/>
    <w:rsid w:val="53F50956"/>
    <w:rsid w:val="540C0C2F"/>
    <w:rsid w:val="550670B2"/>
    <w:rsid w:val="551EC385"/>
    <w:rsid w:val="55B73C1E"/>
    <w:rsid w:val="55CDD7A2"/>
    <w:rsid w:val="5616DD5D"/>
    <w:rsid w:val="567A57B9"/>
    <w:rsid w:val="56AEC1D7"/>
    <w:rsid w:val="56C35B0F"/>
    <w:rsid w:val="57C94CAC"/>
    <w:rsid w:val="57D890E0"/>
    <w:rsid w:val="5836988A"/>
    <w:rsid w:val="58AA2A2A"/>
    <w:rsid w:val="58CC0D34"/>
    <w:rsid w:val="58D5AE09"/>
    <w:rsid w:val="58ECBBEB"/>
    <w:rsid w:val="59DC3C6B"/>
    <w:rsid w:val="5A74002A"/>
    <w:rsid w:val="5ACA315C"/>
    <w:rsid w:val="5D3A6FDC"/>
    <w:rsid w:val="5DD753E2"/>
    <w:rsid w:val="5E285CA8"/>
    <w:rsid w:val="5E73B988"/>
    <w:rsid w:val="5F44F05B"/>
    <w:rsid w:val="6114E98E"/>
    <w:rsid w:val="61DF1257"/>
    <w:rsid w:val="626BDE16"/>
    <w:rsid w:val="629B3042"/>
    <w:rsid w:val="62FCFA2C"/>
    <w:rsid w:val="6390E114"/>
    <w:rsid w:val="639DE349"/>
    <w:rsid w:val="63EFA14E"/>
    <w:rsid w:val="64B87BC1"/>
    <w:rsid w:val="64C52969"/>
    <w:rsid w:val="653BD1F3"/>
    <w:rsid w:val="6617B7FA"/>
    <w:rsid w:val="6671B651"/>
    <w:rsid w:val="66944F82"/>
    <w:rsid w:val="66C3A664"/>
    <w:rsid w:val="67AF600E"/>
    <w:rsid w:val="68AF735C"/>
    <w:rsid w:val="69087D99"/>
    <w:rsid w:val="69B14D0E"/>
    <w:rsid w:val="6A9E375F"/>
    <w:rsid w:val="6C4518F8"/>
    <w:rsid w:val="6C461685"/>
    <w:rsid w:val="6E2BA238"/>
    <w:rsid w:val="6F4B5934"/>
    <w:rsid w:val="70365BBC"/>
    <w:rsid w:val="703EA4E4"/>
    <w:rsid w:val="70A9A001"/>
    <w:rsid w:val="70C59555"/>
    <w:rsid w:val="713127C2"/>
    <w:rsid w:val="715616B4"/>
    <w:rsid w:val="746751BE"/>
    <w:rsid w:val="74F6367B"/>
    <w:rsid w:val="7541E396"/>
    <w:rsid w:val="771428F5"/>
    <w:rsid w:val="7744B475"/>
    <w:rsid w:val="789913E7"/>
    <w:rsid w:val="79B865F8"/>
    <w:rsid w:val="7B184A88"/>
    <w:rsid w:val="7B8997CE"/>
    <w:rsid w:val="7C52A85F"/>
    <w:rsid w:val="7C82F2B0"/>
    <w:rsid w:val="7C87287F"/>
    <w:rsid w:val="7D14A665"/>
    <w:rsid w:val="7D4C0DFA"/>
    <w:rsid w:val="7D5F1A2C"/>
    <w:rsid w:val="7EA389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B95FED"/>
  <w15:chartTrackingRefBased/>
  <w15:docId w15:val="{4FD7DF84-E85F-4DDA-B4CB-1C125CD53C3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62D77EE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362D77E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62D77E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62D77EE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62D77EE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62D77EE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62D77EE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62D77EE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62D77EE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62D77EE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362D77EE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362D77EE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362D77EE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362D77EE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62D77EE"/>
    <w:pPr>
      <w:spacing/>
      <w:ind w:left="720"/>
      <w:contextualSpacing/>
    </w:pPr>
  </w:style>
  <w:style w:type="paragraph" w:styleId="FootnoteText">
    <w:uiPriority w:val="99"/>
    <w:name w:val="footnote text"/>
    <w:basedOn w:val="Normal"/>
    <w:semiHidden/>
    <w:unhideWhenUsed/>
    <w:rsid w:val="55B73C1E"/>
    <w:rPr>
      <w:sz w:val="20"/>
      <w:szCs w:val="20"/>
    </w:rPr>
    <w:pPr>
      <w:spacing w:after="0" w:line="240" w:lineRule="auto"/>
    </w:pPr>
  </w:style>
  <w:style w:type="character" w:styleId="FootnoteReference">
    <w:uiPriority w:val="99"/>
    <w:name w:val="footnote reference"/>
    <w:basedOn w:val="DefaultParagraphFont"/>
    <w:semiHidden/>
    <w:unhideWhenUsed/>
    <w:rsid w:val="55B73C1E"/>
    <w:rPr>
      <w:vertAlign w:val="superscript"/>
    </w:rPr>
  </w:style>
  <w:style w:type="character" w:styleId="Hyperlink">
    <w:uiPriority w:val="99"/>
    <w:name w:val="Hyperlink"/>
    <w:basedOn w:val="DefaultParagraphFont"/>
    <w:unhideWhenUsed/>
    <w:rsid w:val="55B73C1E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F66C4B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F66C4B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bdaba90e943d433e" /><Relationship Type="http://schemas.openxmlformats.org/officeDocument/2006/relationships/footnotes" Target="footnotes.xml" Id="Rbdcba7dc9d1f47f1" /><Relationship Type="http://schemas.openxmlformats.org/officeDocument/2006/relationships/header" Target="header.xml" Id="Rbfe9b5500c794257" /><Relationship Type="http://schemas.openxmlformats.org/officeDocument/2006/relationships/footer" Target="footer.xml" Id="R69ef34c37002497e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s://doi.org/10.1016/j.childyouth.2022.106454" TargetMode="External" Id="Rb4c4801c499f4098" /><Relationship Type="http://schemas.openxmlformats.org/officeDocument/2006/relationships/hyperlink" Target="https://www.gov.uk/government/publications/report-from-the-joint-inquiry-into-children-who-go-missing-from-care" TargetMode="External" Id="Rce49c2a905e24b01" /><Relationship Type="http://schemas.openxmlformats.org/officeDocument/2006/relationships/hyperlink" Target="https://doi.org/10.1093/bjsw/30.2.211" TargetMode="External" Id="Rf755b79bb2be4b4d" /><Relationship Type="http://schemas.openxmlformats.org/officeDocument/2006/relationships/hyperlink" Target="https://doi.org/10.1007/bf02139253" TargetMode="External" Id="Rcca52428f2094ba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2025-12-08T17:41:37.1525118Z</dcterms:created>
  <dcterms:modified xsi:type="dcterms:W3CDTF">2026-01-18T20:12:06.9314447Z</dcterms:modified>
  <dc:creator>Molly Fletcher-Jones (2520273)</dc:creator>
  <lastModifiedBy>Molly Fletcher-Jones (2520273)</lastModifiedBy>
</coreProperties>
</file>