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90465D" w14:textId="133675E6" w:rsidR="0078566E" w:rsidRDefault="0081681D">
      <w:pPr>
        <w:rPr>
          <w:b/>
          <w:bCs/>
          <w:lang w:val="en-US"/>
        </w:rPr>
      </w:pPr>
      <w:r w:rsidRPr="0081681D">
        <w:rPr>
          <w:b/>
          <w:bCs/>
          <w:lang w:val="en-US"/>
        </w:rPr>
        <w:t>Divisional Structure</w:t>
      </w:r>
    </w:p>
    <w:p w14:paraId="5A07D462" w14:textId="60DB6349" w:rsidR="009171FF" w:rsidRPr="0080428C" w:rsidRDefault="00CA64C6">
      <w:pPr>
        <w:rPr>
          <w:lang w:val="en-US"/>
        </w:rPr>
      </w:pPr>
      <w:r>
        <w:rPr>
          <w:lang w:val="en-US"/>
        </w:rPr>
        <w:t>Here</w:t>
      </w:r>
      <w:r w:rsidR="0080428C">
        <w:rPr>
          <w:lang w:val="en-US"/>
        </w:rPr>
        <w:t xml:space="preserve">, an organisation is split based on location, service or product (Robbins &amp; Judge, 2003). Each division has </w:t>
      </w:r>
      <w:proofErr w:type="spellStart"/>
      <w:r w:rsidR="0080428C">
        <w:rPr>
          <w:lang w:val="en-US"/>
        </w:rPr>
        <w:t>it’s</w:t>
      </w:r>
      <w:proofErr w:type="spellEnd"/>
      <w:r w:rsidR="0080428C">
        <w:rPr>
          <w:lang w:val="en-US"/>
        </w:rPr>
        <w:t xml:space="preserve"> own hierarchy (Islami </w:t>
      </w:r>
      <w:r w:rsidR="0080428C">
        <w:rPr>
          <w:i/>
          <w:iCs/>
          <w:lang w:val="en-US"/>
        </w:rPr>
        <w:t>et al</w:t>
      </w:r>
      <w:r w:rsidR="0080428C">
        <w:rPr>
          <w:lang w:val="en-US"/>
        </w:rPr>
        <w:t>., 2021).</w:t>
      </w:r>
    </w:p>
    <w:p w14:paraId="0D71C1B1" w14:textId="1FF8639D" w:rsidR="0080428C" w:rsidRDefault="0080428C">
      <w:pPr>
        <w:rPr>
          <w:lang w:val="en-US"/>
        </w:rPr>
      </w:pPr>
      <w:r>
        <w:rPr>
          <w:lang w:val="en-US"/>
        </w:rPr>
        <w:t>Divisional structures are praised for the way in which they segment large organisations, making them easier to manage (David &amp; David, 2017). The smaller</w:t>
      </w:r>
      <w:r w:rsidR="00632BE8">
        <w:rPr>
          <w:lang w:val="en-US"/>
        </w:rPr>
        <w:t xml:space="preserve"> te</w:t>
      </w:r>
      <w:r>
        <w:rPr>
          <w:lang w:val="en-US"/>
        </w:rPr>
        <w:t xml:space="preserve">ams also </w:t>
      </w:r>
      <w:r w:rsidR="00F42FF3">
        <w:rPr>
          <w:lang w:val="en-US"/>
        </w:rPr>
        <w:t>allow</w:t>
      </w:r>
      <w:r>
        <w:rPr>
          <w:lang w:val="en-US"/>
        </w:rPr>
        <w:t xml:space="preserve"> individuals </w:t>
      </w:r>
      <w:r w:rsidR="00F42FF3">
        <w:rPr>
          <w:lang w:val="en-US"/>
        </w:rPr>
        <w:t xml:space="preserve">to feel a </w:t>
      </w:r>
      <w:r>
        <w:rPr>
          <w:lang w:val="en-US"/>
        </w:rPr>
        <w:t>sense of ownership over the</w:t>
      </w:r>
      <w:r w:rsidR="00F42FF3">
        <w:rPr>
          <w:lang w:val="en-US"/>
        </w:rPr>
        <w:t>ir division</w:t>
      </w:r>
      <w:r>
        <w:rPr>
          <w:lang w:val="en-US"/>
        </w:rPr>
        <w:t>, giving pride and encouraging better work (Fairfield, 2016).</w:t>
      </w:r>
      <w:r w:rsidR="002F3670">
        <w:rPr>
          <w:lang w:val="en-US"/>
        </w:rPr>
        <w:t xml:space="preserve"> However, </w:t>
      </w:r>
      <w:r w:rsidR="00632BE8">
        <w:rPr>
          <w:lang w:val="en-US"/>
        </w:rPr>
        <w:t xml:space="preserve">this </w:t>
      </w:r>
      <w:r w:rsidR="002F3670">
        <w:rPr>
          <w:lang w:val="en-US"/>
        </w:rPr>
        <w:t>can cause conflict between teams and reduce the sense of belonging to the wider organisation (Williamson, 1975).</w:t>
      </w:r>
    </w:p>
    <w:p w14:paraId="52B2248A" w14:textId="4FF44FED" w:rsidR="002F3670" w:rsidRPr="0080428C" w:rsidRDefault="00632BE8">
      <w:pPr>
        <w:rPr>
          <w:lang w:val="en-US"/>
        </w:rPr>
      </w:pPr>
      <w:r>
        <w:rPr>
          <w:lang w:val="en-US"/>
        </w:rPr>
        <w:t>Working</w:t>
      </w:r>
      <w:r w:rsidR="002F3670">
        <w:rPr>
          <w:lang w:val="en-US"/>
        </w:rPr>
        <w:t xml:space="preserve"> within a divisional structure can also mean that individuals have less opportunities for progression, as there is a clear hierarchy with only few managerial positions to be promoted into (Eriksson &amp; Ortega, 2024).</w:t>
      </w:r>
    </w:p>
    <w:p w14:paraId="7422C5F3" w14:textId="464C48B6" w:rsidR="0081681D" w:rsidRDefault="0081681D">
      <w:pPr>
        <w:rPr>
          <w:b/>
          <w:bCs/>
          <w:lang w:val="en-US"/>
        </w:rPr>
      </w:pPr>
      <w:r w:rsidRPr="0081681D">
        <w:rPr>
          <w:b/>
          <w:bCs/>
          <w:lang w:val="en-US"/>
        </w:rPr>
        <w:t>Matrix Structure</w:t>
      </w:r>
    </w:p>
    <w:p w14:paraId="3691A1D2" w14:textId="39B45676" w:rsidR="002F3670" w:rsidRPr="002F3670" w:rsidRDefault="002F3670">
      <w:r>
        <w:rPr>
          <w:lang w:val="en-US"/>
        </w:rPr>
        <w:t xml:space="preserve">In a matrix structure, employees can report to multiple managers, forming the best teams for particular projects (Burton, Obel &amp; </w:t>
      </w:r>
      <w:r w:rsidRPr="001D6173">
        <w:t>Håkonsson</w:t>
      </w:r>
      <w:r>
        <w:t>, 2015).</w:t>
      </w:r>
      <w:r w:rsidR="007C29F1">
        <w:t xml:space="preserve"> Much of the literature around these structures is dated, as it has been mentioned that there is still limited research around this method </w:t>
      </w:r>
    </w:p>
    <w:p w14:paraId="30B809B2" w14:textId="2C11C78E" w:rsidR="002F3670" w:rsidRDefault="002F3670">
      <w:r>
        <w:rPr>
          <w:lang w:val="en-US"/>
        </w:rPr>
        <w:t xml:space="preserve">These organisations are praised for their emphasis on collaborative work and the way in which employees are encouraged to utilise their skills (Burton, Obel &amp; </w:t>
      </w:r>
      <w:r w:rsidRPr="001D6173">
        <w:t>Håkonsson</w:t>
      </w:r>
      <w:r>
        <w:t>, 2015). It can</w:t>
      </w:r>
      <w:r w:rsidR="000746A1">
        <w:t xml:space="preserve"> </w:t>
      </w:r>
      <w:r>
        <w:t xml:space="preserve">become a barrier in terms of management being required to spend large amounts of time </w:t>
      </w:r>
      <w:r w:rsidR="007C29F1">
        <w:t xml:space="preserve">allocating employees to different projects (Ford &amp; Randolph, 1992; </w:t>
      </w:r>
      <w:r w:rsidR="007C29F1">
        <w:rPr>
          <w:lang w:val="en-US"/>
        </w:rPr>
        <w:t xml:space="preserve">Burton, Obel &amp; </w:t>
      </w:r>
      <w:r w:rsidR="007C29F1" w:rsidRPr="001D6173">
        <w:t>Håkonsson</w:t>
      </w:r>
      <w:r w:rsidR="007C29F1">
        <w:t>, 2015).</w:t>
      </w:r>
    </w:p>
    <w:p w14:paraId="14B84D9E" w14:textId="49F5E5FC" w:rsidR="00AB422F" w:rsidRPr="002F3670" w:rsidRDefault="00AB422F">
      <w:pPr>
        <w:rPr>
          <w:lang w:val="en-US"/>
        </w:rPr>
      </w:pPr>
      <w:r>
        <w:t xml:space="preserve">In contrast to divisional structures, matrix structures also allow for high levels of communication between employees across </w:t>
      </w:r>
      <w:r w:rsidR="00374495">
        <w:t>divisions</w:t>
      </w:r>
      <w:r>
        <w:t xml:space="preserve"> (Egelhoff, Wolf &amp; Adzic, 2013).</w:t>
      </w:r>
      <w:r w:rsidR="00CF1B17">
        <w:t xml:space="preserve"> </w:t>
      </w:r>
    </w:p>
    <w:p w14:paraId="5F34B403" w14:textId="77777777" w:rsidR="006D012D" w:rsidRDefault="006D012D">
      <w:pPr>
        <w:rPr>
          <w:b/>
          <w:bCs/>
          <w:i/>
          <w:iCs/>
          <w:lang w:val="en-US"/>
        </w:rPr>
      </w:pPr>
    </w:p>
    <w:p w14:paraId="5DAC4AF8" w14:textId="77777777" w:rsidR="006D012D" w:rsidRDefault="006D012D">
      <w:pPr>
        <w:rPr>
          <w:b/>
          <w:bCs/>
          <w:i/>
          <w:iCs/>
          <w:lang w:val="en-US"/>
        </w:rPr>
      </w:pPr>
    </w:p>
    <w:p w14:paraId="7F3038D5" w14:textId="03EAB19B" w:rsidR="00900701" w:rsidRDefault="00900701">
      <w:pPr>
        <w:rPr>
          <w:lang w:val="en-US"/>
        </w:rPr>
      </w:pPr>
      <w:r>
        <w:rPr>
          <w:lang w:val="en-US"/>
        </w:rPr>
        <w:t xml:space="preserve">Barod’s aim is to deliver a harm reduction service to individuals impacted by substance use. </w:t>
      </w:r>
      <w:r w:rsidR="000746A1">
        <w:rPr>
          <w:lang w:val="en-US"/>
        </w:rPr>
        <w:t xml:space="preserve">The </w:t>
      </w:r>
      <w:r w:rsidR="00200A12">
        <w:rPr>
          <w:i/>
          <w:iCs/>
          <w:lang w:val="en-US"/>
        </w:rPr>
        <w:t>Building a Better Barod</w:t>
      </w:r>
      <w:r w:rsidR="000746A1">
        <w:rPr>
          <w:lang w:val="en-US"/>
        </w:rPr>
        <w:t xml:space="preserve"> strategy </w:t>
      </w:r>
      <w:r>
        <w:rPr>
          <w:lang w:val="en-US"/>
        </w:rPr>
        <w:t>was implemented in 2021</w:t>
      </w:r>
      <w:r w:rsidR="000746A1">
        <w:rPr>
          <w:lang w:val="en-US"/>
        </w:rPr>
        <w:t xml:space="preserve">, outlining </w:t>
      </w:r>
      <w:r>
        <w:rPr>
          <w:lang w:val="en-US"/>
        </w:rPr>
        <w:t xml:space="preserve">the aims of the upcoming five years (Barod, 2021). </w:t>
      </w:r>
      <w:r w:rsidR="000746A1">
        <w:rPr>
          <w:lang w:val="en-US"/>
        </w:rPr>
        <w:t>Organisational</w:t>
      </w:r>
      <w:r>
        <w:rPr>
          <w:lang w:val="en-US"/>
        </w:rPr>
        <w:t xml:space="preserve"> strategies are key in assessing </w:t>
      </w:r>
      <w:r w:rsidR="000746A1">
        <w:rPr>
          <w:lang w:val="en-US"/>
        </w:rPr>
        <w:t>an organisation’s needs/aims</w:t>
      </w:r>
      <w:r>
        <w:rPr>
          <w:lang w:val="en-US"/>
        </w:rPr>
        <w:t xml:space="preserve">, to map out </w:t>
      </w:r>
      <w:r w:rsidR="000746A1">
        <w:rPr>
          <w:lang w:val="en-US"/>
        </w:rPr>
        <w:t>how to deliver the</w:t>
      </w:r>
      <w:r>
        <w:rPr>
          <w:lang w:val="en-US"/>
        </w:rPr>
        <w:t xml:space="preserve"> best possible service</w:t>
      </w:r>
      <w:r w:rsidR="00FA0CBE">
        <w:rPr>
          <w:lang w:val="en-US"/>
        </w:rPr>
        <w:t xml:space="preserve"> </w:t>
      </w:r>
      <w:r w:rsidR="0015031F">
        <w:rPr>
          <w:lang w:val="en-US"/>
        </w:rPr>
        <w:t>(</w:t>
      </w:r>
      <w:r w:rsidR="00FA0CBE">
        <w:rPr>
          <w:lang w:val="en-US"/>
        </w:rPr>
        <w:t xml:space="preserve">Brooks, 2021; </w:t>
      </w:r>
      <w:r w:rsidR="0015031F">
        <w:rPr>
          <w:lang w:val="en-US"/>
        </w:rPr>
        <w:t>Taylor and Woodhams, 2022).</w:t>
      </w:r>
    </w:p>
    <w:p w14:paraId="0A351EF3" w14:textId="34035713" w:rsidR="00697B9B" w:rsidRDefault="00697B9B">
      <w:pPr>
        <w:rPr>
          <w:b/>
          <w:bCs/>
          <w:lang w:val="en-US"/>
        </w:rPr>
      </w:pPr>
      <w:r w:rsidRPr="0015031F">
        <w:rPr>
          <w:b/>
          <w:bCs/>
          <w:lang w:val="en-US"/>
        </w:rPr>
        <w:t>Analysis</w:t>
      </w:r>
    </w:p>
    <w:p w14:paraId="5ACEDA34" w14:textId="05B1A13F" w:rsidR="00623536" w:rsidRPr="00623536" w:rsidRDefault="008B1403" w:rsidP="00623536">
      <w:pPr>
        <w:rPr>
          <w:lang w:val="en-US"/>
        </w:rPr>
      </w:pPr>
      <w:r>
        <w:rPr>
          <w:lang w:val="en-US"/>
        </w:rPr>
        <w:t>To</w:t>
      </w:r>
      <w:r w:rsidR="00200A12">
        <w:rPr>
          <w:lang w:val="en-US"/>
        </w:rPr>
        <w:t xml:space="preserve"> develop </w:t>
      </w:r>
      <w:r w:rsidR="00200A12">
        <w:rPr>
          <w:i/>
          <w:iCs/>
          <w:lang w:val="en-US"/>
        </w:rPr>
        <w:t>Building a Better Barod</w:t>
      </w:r>
      <w:r w:rsidR="00200A12">
        <w:rPr>
          <w:lang w:val="en-US"/>
        </w:rPr>
        <w:t xml:space="preserve">, the organisation conducted a peer led survey for volunteers and staff. </w:t>
      </w:r>
      <w:r>
        <w:rPr>
          <w:lang w:val="en-US"/>
        </w:rPr>
        <w:t>Listening</w:t>
      </w:r>
      <w:r w:rsidR="00B93534">
        <w:rPr>
          <w:lang w:val="en-US"/>
        </w:rPr>
        <w:t xml:space="preserve"> to the voices of employees </w:t>
      </w:r>
      <w:r w:rsidR="00200A12">
        <w:rPr>
          <w:lang w:val="en-US"/>
        </w:rPr>
        <w:t>when developing a strategy is vital</w:t>
      </w:r>
      <w:r w:rsidR="00B93534">
        <w:rPr>
          <w:lang w:val="en-US"/>
        </w:rPr>
        <w:t xml:space="preserve"> (Barry &amp; Wilkinson, 2022). </w:t>
      </w:r>
      <w:r w:rsidR="00200A12">
        <w:rPr>
          <w:lang w:val="en-US"/>
        </w:rPr>
        <w:t xml:space="preserve">The data was also collected with a particularly focus around the aftermath of Covid-19 and how Barod could develop ‘more flexible, responsive and innovative ways of working’ (Barod, 2021). </w:t>
      </w:r>
      <w:r w:rsidR="00842FA1">
        <w:rPr>
          <w:lang w:val="en-US"/>
        </w:rPr>
        <w:t>The aim was to meet the needs of more individuals impacted by substance use, by finding out what sort of services they would want/be able to engage with most.</w:t>
      </w:r>
    </w:p>
    <w:p w14:paraId="56F3FA58" w14:textId="77777777" w:rsidR="001C6822" w:rsidRDefault="00697B9B" w:rsidP="00900701">
      <w:pPr>
        <w:rPr>
          <w:lang w:val="en-US"/>
        </w:rPr>
      </w:pPr>
      <w:r w:rsidRPr="001C6822">
        <w:rPr>
          <w:b/>
          <w:bCs/>
          <w:lang w:val="en-US"/>
        </w:rPr>
        <w:t>Development</w:t>
      </w:r>
      <w:r w:rsidR="00E724A9">
        <w:rPr>
          <w:lang w:val="en-US"/>
        </w:rPr>
        <w:t xml:space="preserve"> </w:t>
      </w:r>
    </w:p>
    <w:p w14:paraId="3C7461BC" w14:textId="76A0E120" w:rsidR="001C6822" w:rsidRDefault="001C6822" w:rsidP="00900701">
      <w:pPr>
        <w:rPr>
          <w:lang w:val="en-US"/>
        </w:rPr>
      </w:pPr>
      <w:r>
        <w:rPr>
          <w:lang w:val="en-US"/>
        </w:rPr>
        <w:lastRenderedPageBreak/>
        <w:t xml:space="preserve">Barod identified 11 top priorities for the strategy, all of which came with a comprehensive list of actions to be implemented to achieve each priority. </w:t>
      </w:r>
      <w:r w:rsidR="00842FA1">
        <w:rPr>
          <w:lang w:val="en-US"/>
        </w:rPr>
        <w:t xml:space="preserve">The priorities are all </w:t>
      </w:r>
      <w:r w:rsidR="004527CF">
        <w:rPr>
          <w:lang w:val="en-US"/>
        </w:rPr>
        <w:t xml:space="preserve">focused around the overall aim of delivering the best possible service and driving change. </w:t>
      </w:r>
      <w:r>
        <w:rPr>
          <w:lang w:val="en-US"/>
        </w:rPr>
        <w:t>Providing guidance for achieving aims in a strategy is great practice in terms of ensuring stakeholders know what is required and how to measure success (Chartered Management Institute, 2014). However, it could be argued that 11 priorities (each with 3-4 actions) may not be achievable for an organisation to achieve (Chartered Management Institute</w:t>
      </w:r>
      <w:r w:rsidR="008E3121">
        <w:rPr>
          <w:lang w:val="en-US"/>
        </w:rPr>
        <w:t>, 2014</w:t>
      </w:r>
      <w:r>
        <w:rPr>
          <w:lang w:val="en-US"/>
        </w:rPr>
        <w:t>; Taylor and Woodhams, 2022). The strategy was also distributed without an end date, which makes the measurement of the priorities difficult.</w:t>
      </w:r>
    </w:p>
    <w:p w14:paraId="2D41FB1E" w14:textId="450CAC67" w:rsidR="00B93534" w:rsidRPr="001724A6" w:rsidRDefault="001C6822">
      <w:pPr>
        <w:rPr>
          <w:b/>
          <w:bCs/>
          <w:lang w:val="en-US"/>
        </w:rPr>
      </w:pPr>
      <w:r w:rsidRPr="001724A6">
        <w:rPr>
          <w:b/>
          <w:bCs/>
          <w:lang w:val="en-US"/>
        </w:rPr>
        <w:t>Implementation</w:t>
      </w:r>
    </w:p>
    <w:p w14:paraId="3FDE3CD3" w14:textId="49DDFA3E" w:rsidR="001724A6" w:rsidRPr="001724A6" w:rsidRDefault="001724A6">
      <w:pPr>
        <w:rPr>
          <w:lang w:val="en-US"/>
        </w:rPr>
      </w:pPr>
      <w:r w:rsidRPr="001724A6">
        <w:rPr>
          <w:i/>
          <w:iCs/>
          <w:lang w:val="en-US"/>
        </w:rPr>
        <w:t xml:space="preserve">Building a Better Barod </w:t>
      </w:r>
      <w:r w:rsidRPr="001724A6">
        <w:rPr>
          <w:lang w:val="en-US"/>
        </w:rPr>
        <w:t>was implemented through multiple avenues. The strategy itself was shared to staff and on the organisation’s website. In terms of implementing the actions, Barod actioned a combination of methods</w:t>
      </w:r>
      <w:r w:rsidR="00262EC8">
        <w:rPr>
          <w:lang w:val="en-US"/>
        </w:rPr>
        <w:t>, such as:</w:t>
      </w:r>
    </w:p>
    <w:p w14:paraId="49A59508" w14:textId="4D2663AF" w:rsidR="001724A6" w:rsidRPr="00AE3C3F" w:rsidRDefault="001724A6" w:rsidP="00AE3C3F">
      <w:pPr>
        <w:rPr>
          <w:lang w:val="en-US"/>
        </w:rPr>
      </w:pPr>
      <w:r w:rsidRPr="00AE3C3F">
        <w:rPr>
          <w:lang w:val="en-US"/>
        </w:rPr>
        <w:t>Policies</w:t>
      </w:r>
    </w:p>
    <w:p w14:paraId="2B2B7A70" w14:textId="77696F9F" w:rsidR="001724A6" w:rsidRPr="001724A6" w:rsidRDefault="001724A6" w:rsidP="00AE3C3F">
      <w:pPr>
        <w:rPr>
          <w:lang w:val="en-US"/>
        </w:rPr>
      </w:pPr>
      <w:r>
        <w:rPr>
          <w:lang w:val="en-US"/>
        </w:rPr>
        <w:t xml:space="preserve">A new policy, covering agile working, was implemented with careful focus on what had been learned as a result of the pandemic in terms of staff working in a more responsive way to </w:t>
      </w:r>
      <w:r w:rsidR="00262EC8">
        <w:rPr>
          <w:lang w:val="en-US"/>
        </w:rPr>
        <w:t>meet the needs of service users. Updating policy can be a great way to quickly implement strategic plans and to show stakeholders that you have good intention (Taylor &amp; Woodhams, 2022). However, staff were not consulted in the planning of the new policy and it lacked focus on staff wellbeing – which results in employees feeling unappreciated and less invested in the policy (Neill &amp; Bowen, 2021).</w:t>
      </w:r>
      <w:r>
        <w:rPr>
          <w:lang w:val="en-US"/>
        </w:rPr>
        <w:t xml:space="preserve"> </w:t>
      </w:r>
    </w:p>
    <w:p w14:paraId="71964CCC" w14:textId="0486CB0C" w:rsidR="001724A6" w:rsidRPr="00AE3C3F" w:rsidRDefault="001724A6">
      <w:pPr>
        <w:rPr>
          <w:lang w:val="en-US"/>
        </w:rPr>
      </w:pPr>
      <w:r w:rsidRPr="00AE3C3F">
        <w:rPr>
          <w:lang w:val="en-US"/>
        </w:rPr>
        <w:t>Recruitment</w:t>
      </w:r>
    </w:p>
    <w:p w14:paraId="231F7689" w14:textId="6ED4C6E8" w:rsidR="00262EC8" w:rsidRPr="00262EC8" w:rsidRDefault="008E3121">
      <w:pPr>
        <w:rPr>
          <w:lang w:val="en-US"/>
        </w:rPr>
      </w:pPr>
      <w:r>
        <w:t>Barod reviewed their strategic actions and hired new talent to help meet their targets, including a Webchat specialist to assist users preferring online support or unable to visit a Barod base, and a Learning and Development Coordinator to ensure staff received targeted training to deliver services effectively.</w:t>
      </w:r>
      <w:r>
        <w:t xml:space="preserve"> </w:t>
      </w:r>
      <w:r w:rsidR="00262EC8">
        <w:rPr>
          <w:lang w:val="en-US"/>
        </w:rPr>
        <w:t xml:space="preserve">Although there is limited literature regarding recruitment of specialists in the harm reduction field, the importance of hiring people with the correct skills </w:t>
      </w:r>
      <w:r w:rsidR="005D2809">
        <w:rPr>
          <w:lang w:val="en-US"/>
        </w:rPr>
        <w:t xml:space="preserve">and not rushing recruitment has been researched often (Dixon, 2017; </w:t>
      </w:r>
      <w:proofErr w:type="spellStart"/>
      <w:r w:rsidR="005D2809">
        <w:rPr>
          <w:lang w:val="en-US"/>
        </w:rPr>
        <w:t>Gusdorf</w:t>
      </w:r>
      <w:proofErr w:type="spellEnd"/>
      <w:r w:rsidR="005D2809">
        <w:rPr>
          <w:lang w:val="en-US"/>
        </w:rPr>
        <w:t>, 2008).</w:t>
      </w:r>
    </w:p>
    <w:p w14:paraId="5DD57212" w14:textId="77777777" w:rsidR="006D012D" w:rsidRDefault="006D012D">
      <w:pPr>
        <w:rPr>
          <w:b/>
          <w:bCs/>
          <w:i/>
          <w:iCs/>
          <w:lang w:val="en-US"/>
        </w:rPr>
      </w:pPr>
    </w:p>
    <w:p w14:paraId="12ECE380" w14:textId="77777777" w:rsidR="006D012D" w:rsidRDefault="006D012D">
      <w:pPr>
        <w:rPr>
          <w:b/>
          <w:bCs/>
          <w:i/>
          <w:iCs/>
          <w:lang w:val="en-US"/>
        </w:rPr>
      </w:pPr>
    </w:p>
    <w:p w14:paraId="3952F26D" w14:textId="60861552" w:rsidR="0011220D" w:rsidRDefault="0011220D">
      <w:pPr>
        <w:rPr>
          <w:b/>
          <w:bCs/>
          <w:lang w:val="en-US"/>
        </w:rPr>
      </w:pPr>
      <w:r>
        <w:rPr>
          <w:b/>
          <w:bCs/>
          <w:lang w:val="en-US"/>
        </w:rPr>
        <w:t>Interest rates</w:t>
      </w:r>
    </w:p>
    <w:p w14:paraId="704CE9E9" w14:textId="22EC1210" w:rsidR="00DD5777" w:rsidRDefault="00AC5FD5">
      <w:pPr>
        <w:rPr>
          <w:lang w:val="en-US"/>
        </w:rPr>
      </w:pPr>
      <w:r>
        <w:rPr>
          <w:lang w:val="en-US"/>
        </w:rPr>
        <w:t xml:space="preserve">Despite misconception that non-profit organisations are not impacted by fluctuating interest rates, they </w:t>
      </w:r>
      <w:r w:rsidR="00DD5777">
        <w:rPr>
          <w:lang w:val="en-US"/>
        </w:rPr>
        <w:t xml:space="preserve">can have a heavy impact on </w:t>
      </w:r>
      <w:r>
        <w:rPr>
          <w:lang w:val="en-US"/>
        </w:rPr>
        <w:t>charities</w:t>
      </w:r>
      <w:r w:rsidR="00DD5777">
        <w:rPr>
          <w:lang w:val="en-US"/>
        </w:rPr>
        <w:t xml:space="preserve"> </w:t>
      </w:r>
      <w:r>
        <w:rPr>
          <w:lang w:val="en-US"/>
        </w:rPr>
        <w:t>like</w:t>
      </w:r>
      <w:r w:rsidR="00DD5777">
        <w:rPr>
          <w:lang w:val="en-US"/>
        </w:rPr>
        <w:t xml:space="preserve"> Barod</w:t>
      </w:r>
      <w:r>
        <w:rPr>
          <w:lang w:val="en-US"/>
        </w:rPr>
        <w:t xml:space="preserve"> (Clifford, 2017). Charities are reliant on funding, whether this is through private donations or government funding (Green </w:t>
      </w:r>
      <w:r>
        <w:rPr>
          <w:i/>
          <w:iCs/>
          <w:lang w:val="en-US"/>
        </w:rPr>
        <w:t>et al</w:t>
      </w:r>
      <w:r>
        <w:rPr>
          <w:lang w:val="en-US"/>
        </w:rPr>
        <w:t>., 2021). In times of national financial uncertainty which impact interest rates, this funding is unlikely to be increased in line with rates.</w:t>
      </w:r>
    </w:p>
    <w:p w14:paraId="061FAE23" w14:textId="03397115" w:rsidR="00AC5FD5" w:rsidRDefault="00AC5FD5">
      <w:pPr>
        <w:rPr>
          <w:lang w:val="en-US"/>
        </w:rPr>
      </w:pPr>
      <w:r>
        <w:rPr>
          <w:lang w:val="en-US"/>
        </w:rPr>
        <w:t>Interest rates also impact mortgage costs, meaning that Barod will be required to pay larger fees for the buildings that they own and those that they rent. With over 15 bases across Wales, this can hugely impact outgoing expenditure, particularly when the previously mentioned funding isn’t increasing.</w:t>
      </w:r>
    </w:p>
    <w:p w14:paraId="2D6E6EF6" w14:textId="18A30545" w:rsidR="00AA6D89" w:rsidRPr="00AA6D89" w:rsidRDefault="00AA6D89">
      <w:pPr>
        <w:rPr>
          <w:lang w:val="en-US"/>
        </w:rPr>
      </w:pPr>
      <w:r>
        <w:rPr>
          <w:lang w:val="en-US"/>
        </w:rPr>
        <w:lastRenderedPageBreak/>
        <w:t xml:space="preserve">One way which Barod could begin to acknowledge and tackle the impact of interest rates is through exploring the concept of remote working and virtual workplaces where possible. Whilst office bases are required for face to face work with service users, many buildings could be downsized if more staff were to work remotely (Ferreira </w:t>
      </w:r>
      <w:r>
        <w:rPr>
          <w:i/>
          <w:iCs/>
          <w:lang w:val="en-US"/>
        </w:rPr>
        <w:t>et al</w:t>
      </w:r>
      <w:r>
        <w:rPr>
          <w:lang w:val="en-US"/>
        </w:rPr>
        <w:t xml:space="preserve">., 2021). </w:t>
      </w:r>
    </w:p>
    <w:p w14:paraId="1BB0619C" w14:textId="273BE519" w:rsidR="00CD17E2" w:rsidRDefault="0011220D">
      <w:pPr>
        <w:rPr>
          <w:b/>
          <w:bCs/>
          <w:lang w:val="en-US"/>
        </w:rPr>
      </w:pPr>
      <w:r>
        <w:rPr>
          <w:b/>
          <w:bCs/>
          <w:lang w:val="en-US"/>
        </w:rPr>
        <w:t>Inflatio</w:t>
      </w:r>
      <w:r w:rsidR="00CD17E2">
        <w:rPr>
          <w:b/>
          <w:bCs/>
          <w:lang w:val="en-US"/>
        </w:rPr>
        <w:t>n</w:t>
      </w:r>
    </w:p>
    <w:p w14:paraId="2F9B4A8E" w14:textId="7963B897" w:rsidR="00926645" w:rsidRPr="00926645" w:rsidRDefault="00926645" w:rsidP="00910DCA">
      <w:r w:rsidRPr="00926645">
        <w:t>High</w:t>
      </w:r>
      <w:r>
        <w:t xml:space="preserve"> inflation</w:t>
      </w:r>
      <w:r w:rsidR="007D45F0">
        <w:t xml:space="preserve"> impacts organisations like Barod as the costs of essential resources, from Naloxone and dried blood spot testing kits to diversionary activities or refreshments for service users, are all increasing. This means that the organisation isn’t able to deliver the best possible services (Mohan </w:t>
      </w:r>
      <w:r w:rsidR="007D45F0">
        <w:rPr>
          <w:i/>
          <w:iCs/>
        </w:rPr>
        <w:t>et al</w:t>
      </w:r>
      <w:r w:rsidR="007D45F0">
        <w:t>., 2022).</w:t>
      </w:r>
    </w:p>
    <w:p w14:paraId="1A74FBB5" w14:textId="5D613C9F" w:rsidR="00177930" w:rsidRPr="00177930" w:rsidRDefault="00177930">
      <w:pPr>
        <w:rPr>
          <w:lang w:val="en-US"/>
        </w:rPr>
      </w:pPr>
      <w:r>
        <w:rPr>
          <w:lang w:val="en-US"/>
        </w:rPr>
        <w:t>Many charities build reserve funds in order prepare for increasing costs (</w:t>
      </w:r>
      <w:proofErr w:type="spellStart"/>
      <w:r>
        <w:rPr>
          <w:lang w:val="en-US"/>
        </w:rPr>
        <w:t>Chepuri</w:t>
      </w:r>
      <w:proofErr w:type="spellEnd"/>
      <w:r>
        <w:rPr>
          <w:lang w:val="en-US"/>
        </w:rPr>
        <w:t xml:space="preserve"> &amp; </w:t>
      </w:r>
      <w:proofErr w:type="spellStart"/>
      <w:r>
        <w:rPr>
          <w:lang w:val="en-US"/>
        </w:rPr>
        <w:t>Porandla</w:t>
      </w:r>
      <w:proofErr w:type="spellEnd"/>
      <w:r>
        <w:rPr>
          <w:lang w:val="en-US"/>
        </w:rPr>
        <w:t>, 2024). As the current financial climate is uncertain, it’s highly recommended that Barod continue to do this where possible.</w:t>
      </w:r>
    </w:p>
    <w:p w14:paraId="45331330" w14:textId="0673E727" w:rsidR="00CD17E2" w:rsidRDefault="00CD17E2">
      <w:pPr>
        <w:rPr>
          <w:b/>
          <w:bCs/>
          <w:lang w:val="en-US"/>
        </w:rPr>
      </w:pPr>
      <w:r>
        <w:rPr>
          <w:b/>
          <w:bCs/>
          <w:lang w:val="en-US"/>
        </w:rPr>
        <w:t>Covid-19</w:t>
      </w:r>
    </w:p>
    <w:p w14:paraId="06BA2C6B" w14:textId="7E0DA3DB" w:rsidR="007D45F0" w:rsidRPr="00202EE1" w:rsidRDefault="00177930">
      <w:r w:rsidRPr="00177930">
        <w:t xml:space="preserve">Following Covid-19, Barod </w:t>
      </w:r>
      <w:r>
        <w:t>have seen huge change to demands. The lockdown</w:t>
      </w:r>
      <w:r w:rsidR="00374495">
        <w:t xml:space="preserve">s </w:t>
      </w:r>
      <w:r>
        <w:t xml:space="preserve">saw many individuals with addiction and the aftermath saw many seeking help from services (Elliott, 2024). However, this demand </w:t>
      </w:r>
      <w:r w:rsidR="00374495">
        <w:t>gave</w:t>
      </w:r>
      <w:r>
        <w:t xml:space="preserve"> management and staff opportunit</w:t>
      </w:r>
      <w:r w:rsidR="00374495">
        <w:t>ies</w:t>
      </w:r>
      <w:r>
        <w:t xml:space="preserve"> to develop ways to support more </w:t>
      </w:r>
      <w:r w:rsidR="00374495">
        <w:t>individuals</w:t>
      </w:r>
      <w:r>
        <w:t>, through home visits, online meetings and group</w:t>
      </w:r>
      <w:r w:rsidR="00374495">
        <w:t xml:space="preserve">work </w:t>
      </w:r>
      <w:r>
        <w:t>(Green, Tappin &amp; Bentley, 2020).</w:t>
      </w:r>
    </w:p>
    <w:p w14:paraId="676506D2" w14:textId="5B521964" w:rsidR="00FA243A" w:rsidRPr="00FA243A" w:rsidRDefault="00FA243A" w:rsidP="00A37F03">
      <w:pPr>
        <w:rPr>
          <w:lang w:val="en-US"/>
        </w:rPr>
      </w:pPr>
      <w:r>
        <w:rPr>
          <w:lang w:val="en-US"/>
        </w:rPr>
        <w:t>Barod should continue to make changes to services based on lessons from the pandemic. However, wellbeing should also be closely monitored and supported due to the increase in workload and higher expectations from staff to meet demands (Kinman, Teoh &amp; Harriss, 2020).</w:t>
      </w:r>
    </w:p>
    <w:p w14:paraId="5157373D" w14:textId="77777777" w:rsidR="006D012D" w:rsidRDefault="006D012D" w:rsidP="00A37F03">
      <w:pPr>
        <w:rPr>
          <w:b/>
          <w:bCs/>
          <w:i/>
          <w:iCs/>
          <w:lang w:val="en-US"/>
        </w:rPr>
      </w:pPr>
    </w:p>
    <w:p w14:paraId="7E383929" w14:textId="77777777" w:rsidR="006D012D" w:rsidRDefault="006D012D" w:rsidP="00A37F03">
      <w:pPr>
        <w:rPr>
          <w:b/>
          <w:bCs/>
          <w:i/>
          <w:iCs/>
          <w:lang w:val="en-US"/>
        </w:rPr>
      </w:pPr>
    </w:p>
    <w:p w14:paraId="79F12CEB" w14:textId="19EEEE49" w:rsidR="007E5EF6" w:rsidRDefault="00374495" w:rsidP="00A37F03">
      <w:r>
        <w:rPr>
          <w:lang w:val="en-US"/>
        </w:rPr>
        <w:t>AI is a</w:t>
      </w:r>
      <w:r w:rsidR="00A37F03" w:rsidRPr="00FE59B5">
        <w:rPr>
          <w:lang w:val="en-US"/>
        </w:rPr>
        <w:t xml:space="preserve"> concept which has become increasingly popular recently, and is expected to continue to do so (Taylor &amp; Woodhams, 2022). In HR, AI is highly regarded for </w:t>
      </w:r>
      <w:proofErr w:type="spellStart"/>
      <w:r w:rsidR="00A37F03" w:rsidRPr="00FE59B5">
        <w:rPr>
          <w:lang w:val="en-US"/>
        </w:rPr>
        <w:t>it’s</w:t>
      </w:r>
      <w:proofErr w:type="spellEnd"/>
      <w:r w:rsidR="00A37F03" w:rsidRPr="00FE59B5">
        <w:rPr>
          <w:lang w:val="en-US"/>
        </w:rPr>
        <w:t xml:space="preserve"> automation of tasks </w:t>
      </w:r>
      <w:r w:rsidR="00FE59B5">
        <w:rPr>
          <w:lang w:val="en-US"/>
        </w:rPr>
        <w:t xml:space="preserve">throughout the employee lifecycle </w:t>
      </w:r>
      <w:r w:rsidR="00A37F03" w:rsidRPr="00FE59B5">
        <w:rPr>
          <w:lang w:val="en-US"/>
        </w:rPr>
        <w:t>which would usually take up time and resources (</w:t>
      </w:r>
      <w:r w:rsidR="00A37F03" w:rsidRPr="00FE59B5">
        <w:t>Brynjolfsson, Rock &amp; Syverson, 2017).</w:t>
      </w:r>
      <w:r w:rsidR="007E5EF6">
        <w:t xml:space="preserve"> </w:t>
      </w:r>
    </w:p>
    <w:p w14:paraId="0C80658B" w14:textId="007FD624" w:rsidR="00EC1EF4" w:rsidRDefault="00374495" w:rsidP="00EC1EF4">
      <w:r>
        <w:t>However, it’s</w:t>
      </w:r>
      <w:r w:rsidR="00EC1EF4">
        <w:t xml:space="preserve"> important to ensure that AI isn’t depersonalising certain processes. However, some aspects can be utilised to create a good balance between human</w:t>
      </w:r>
      <w:r>
        <w:t>s</w:t>
      </w:r>
      <w:r w:rsidR="00EC1EF4">
        <w:t xml:space="preserve"> and AI. </w:t>
      </w:r>
    </w:p>
    <w:p w14:paraId="3C0E1C94" w14:textId="77777777" w:rsidR="008E3121" w:rsidRPr="008E3121" w:rsidRDefault="008E3121" w:rsidP="008E3121">
      <w:r w:rsidRPr="008E3121">
        <w:t>At Barod, AI is used to screen applications and automatically eliminate candidates who don't match the person specification, a common HR practice (Eversheds Sutherland, 2021). AI could also screen video applications based on pre-set questions and criteria (Wilfred, 2018). However, it is recognised that one of the flaws of AI is it’s disregard of the value of human interaction – an area where machines cannot match people (Zhai, Zhang &amp; Yu, 2024). To address this, Barod combines AI with human communication to ensure candidates still have a personal experience.</w:t>
      </w:r>
    </w:p>
    <w:p w14:paraId="4EAE32FC" w14:textId="46101BA2" w:rsidR="003F1A13" w:rsidRPr="00EC1EF4" w:rsidRDefault="003F1A13" w:rsidP="00A37F03">
      <w:r>
        <w:t xml:space="preserve">AI is also used regularly by Barod’s </w:t>
      </w:r>
      <w:r w:rsidR="00374495">
        <w:t>L</w:t>
      </w:r>
      <w:r>
        <w:t xml:space="preserve">earning and </w:t>
      </w:r>
      <w:r w:rsidR="00374495">
        <w:t>D</w:t>
      </w:r>
      <w:r>
        <w:t xml:space="preserve">evelopment team, where many of the administrative </w:t>
      </w:r>
      <w:r w:rsidR="00374495">
        <w:t xml:space="preserve">training </w:t>
      </w:r>
      <w:r>
        <w:t>tasks</w:t>
      </w:r>
      <w:r w:rsidR="00374495">
        <w:t xml:space="preserve">, such as </w:t>
      </w:r>
      <w:r w:rsidR="0050407A">
        <w:t>monitoring attendance and sending out meeting links,</w:t>
      </w:r>
      <w:r>
        <w:t xml:space="preserve"> ar</w:t>
      </w:r>
      <w:r w:rsidR="00374495">
        <w:t xml:space="preserve">e </w:t>
      </w:r>
      <w:r>
        <w:t xml:space="preserve">automated. Using AI for administrative work </w:t>
      </w:r>
      <w:r w:rsidR="007B07B3">
        <w:t>can be useful for learning and development employees, who are then able to focus more on the key aspects of their roles (Clark, 2020).</w:t>
      </w:r>
      <w:r w:rsidR="00EC1EF4">
        <w:t xml:space="preserve"> </w:t>
      </w:r>
      <w:r w:rsidR="00AD725E">
        <w:t xml:space="preserve">Many medical workplaces have begun to incorporate AI into training and now use AI headsets or </w:t>
      </w:r>
      <w:r w:rsidR="00AD725E">
        <w:lastRenderedPageBreak/>
        <w:t xml:space="preserve">robotics to train staff in realistic scenarios (Doherty </w:t>
      </w:r>
      <w:r w:rsidR="00AD725E">
        <w:rPr>
          <w:i/>
          <w:iCs/>
        </w:rPr>
        <w:t>et al</w:t>
      </w:r>
      <w:r w:rsidR="00AD725E">
        <w:t>., 2024). Barod could use these techniques</w:t>
      </w:r>
      <w:r w:rsidR="00EC1EF4">
        <w:t xml:space="preserve"> to allow staff to develop their confidence in certain parts of the job – such as </w:t>
      </w:r>
      <w:r w:rsidR="0050407A">
        <w:t>blood testing</w:t>
      </w:r>
      <w:r w:rsidR="00EC1EF4">
        <w:t xml:space="preserve"> or administering Naloxone to clients who have overdosed</w:t>
      </w:r>
      <w:r w:rsidR="00AD725E">
        <w:t>.</w:t>
      </w:r>
    </w:p>
    <w:p w14:paraId="2A9893B9" w14:textId="1B1163C5" w:rsidR="0042363F" w:rsidRPr="009B41A1" w:rsidRDefault="009B41A1" w:rsidP="00A37F03">
      <w:r w:rsidRPr="007B07B3">
        <w:t xml:space="preserve">AI is also recognised for </w:t>
      </w:r>
      <w:proofErr w:type="spellStart"/>
      <w:r w:rsidRPr="007B07B3">
        <w:t>it’s</w:t>
      </w:r>
      <w:proofErr w:type="spellEnd"/>
      <w:r w:rsidRPr="007B07B3">
        <w:t xml:space="preserve"> high levels of accuracy, in terms of data collection and the general avoidance of human error (Dineen &amp; Allen, 2013).</w:t>
      </w:r>
      <w:r>
        <w:t xml:space="preserve"> It</w:t>
      </w:r>
      <w:r w:rsidR="007E5EF6">
        <w:t xml:space="preserve"> has many uses and can have a positive impact on workforces and their workloads, especially in times where we are seeing more and more lean HR teams and higher staff to HR representative ratios (Eubanks, 2022).</w:t>
      </w:r>
      <w:r w:rsidR="007B07B3">
        <w:t xml:space="preserve"> Due to the ability of AI, there are many ways in which it can be utilised by Barod, </w:t>
      </w:r>
      <w:r>
        <w:t>including within the organisation’s service delivery. For example, there is some research around the use of AI in delivering high quality harm reduction services, where recommendations include drug identification from monitoring reactions, analysing drug trends and distributing information (Auctor, 2024.)</w:t>
      </w:r>
    </w:p>
    <w:p w14:paraId="6DBF4BC0" w14:textId="77777777" w:rsidR="006D012D" w:rsidRDefault="006D012D">
      <w:pPr>
        <w:rPr>
          <w:b/>
          <w:bCs/>
          <w:i/>
          <w:iCs/>
          <w:lang w:val="en-US"/>
        </w:rPr>
      </w:pPr>
    </w:p>
    <w:p w14:paraId="07E1EE52" w14:textId="77777777" w:rsidR="006D012D" w:rsidRDefault="006D012D">
      <w:pPr>
        <w:rPr>
          <w:b/>
          <w:bCs/>
          <w:i/>
          <w:iCs/>
          <w:lang w:val="en-US"/>
        </w:rPr>
      </w:pPr>
    </w:p>
    <w:p w14:paraId="031A3433" w14:textId="5ECA09AC" w:rsidR="00101FA9" w:rsidRPr="00101FA9" w:rsidRDefault="00101FA9">
      <w:pPr>
        <w:rPr>
          <w:b/>
          <w:bCs/>
          <w:lang w:val="en-US"/>
        </w:rPr>
      </w:pPr>
      <w:r w:rsidRPr="00101FA9">
        <w:rPr>
          <w:b/>
          <w:bCs/>
          <w:lang w:val="en-US"/>
        </w:rPr>
        <w:t>Charles Handy’s model of organisational culture</w:t>
      </w:r>
    </w:p>
    <w:p w14:paraId="33756785" w14:textId="0F9DCC3D" w:rsidR="00662275" w:rsidRDefault="00662275">
      <w:pPr>
        <w:rPr>
          <w:lang w:val="en-US"/>
        </w:rPr>
      </w:pPr>
      <w:r>
        <w:rPr>
          <w:lang w:val="en-US"/>
        </w:rPr>
        <w:t>Handy’s model of organisational culture details four different culture types that are typically seen in organisations: power culture; role culture; task culture; and person culture. Power culture refers to the hierarchal culture where an organisation is led by one superior who all employees report to and follow (Handy, 2020). This culture works well when the leader is knowledgeable and passionate about the organisation’s mission. However, no matter how suitable the leader is for the role, power culture does also require the employees to all accept their position in the hierarchy as ‘followers’ (Hofstede, 1984).</w:t>
      </w:r>
    </w:p>
    <w:p w14:paraId="0039DAF4" w14:textId="6FE2C766" w:rsidR="00662275" w:rsidRDefault="00662275">
      <w:pPr>
        <w:rPr>
          <w:lang w:val="en-US"/>
        </w:rPr>
      </w:pPr>
      <w:r>
        <w:rPr>
          <w:lang w:val="en-US"/>
        </w:rPr>
        <w:t>Task culture, on the other hand, requires less input from management. Manager’s allocate tasks, but it is then the role of the employees to come together in teams to complete the tasks. Everyone is responsible of the overall work of the team</w:t>
      </w:r>
      <w:r w:rsidR="00374495">
        <w:rPr>
          <w:lang w:val="en-US"/>
        </w:rPr>
        <w:t xml:space="preserve"> </w:t>
      </w:r>
      <w:r>
        <w:rPr>
          <w:lang w:val="en-US"/>
        </w:rPr>
        <w:t>and, if one team member wasn’t to contribute, employees may be required to pick up the work of their colleagues. However, when everyone does contribute effectively, task culture has excellent levels of solidarity and morale amongst staff (Schein, 2010)</w:t>
      </w:r>
      <w:r w:rsidR="006D6F3E">
        <w:rPr>
          <w:lang w:val="en-US"/>
        </w:rPr>
        <w:t>.</w:t>
      </w:r>
    </w:p>
    <w:p w14:paraId="656FAB58" w14:textId="489A0853" w:rsidR="006D6F3E" w:rsidRDefault="006D6F3E">
      <w:pPr>
        <w:rPr>
          <w:lang w:val="en-US"/>
        </w:rPr>
      </w:pPr>
      <w:r>
        <w:rPr>
          <w:lang w:val="en-US"/>
        </w:rPr>
        <w:t>Person culture, on the other hand, allows everyone in an organisation to be responsible for their own work. This is seen commonly in workplaces such as GP surgeries – where there is less hierarchy in place and all staff work in a similar job role. However, individuals working in a person culture organisation often have less of a sense of a belonging to their workplace and are more focused on their own career, as there are less opportunities for progression (Handy, 2020).</w:t>
      </w:r>
    </w:p>
    <w:p w14:paraId="343F0E28" w14:textId="6A0880C6" w:rsidR="007E1B9B" w:rsidRPr="00662275" w:rsidRDefault="007E1B9B">
      <w:pPr>
        <w:rPr>
          <w:lang w:val="en-US"/>
        </w:rPr>
      </w:pPr>
      <w:r>
        <w:rPr>
          <w:lang w:val="en-US"/>
        </w:rPr>
        <w:t>Similarly to person culture in the sense of independent work is role culture, where tasks are allocated to staff depending on their skills – allowing individuals to play to their strengths</w:t>
      </w:r>
      <w:r w:rsidR="00E87B13">
        <w:rPr>
          <w:lang w:val="en-US"/>
        </w:rPr>
        <w:t xml:space="preserve"> and ensure that the best people are in the roles. It can be argued that person culture doesn’t allow for individuals to try new things and progress, however there is still hierarchy and career progression (Brenyah &amp; Obuobisa-Darko, 2017).</w:t>
      </w:r>
    </w:p>
    <w:p w14:paraId="6B74EC6A" w14:textId="77777777" w:rsidR="00101FA9" w:rsidRPr="00101FA9" w:rsidRDefault="00101FA9">
      <w:pPr>
        <w:rPr>
          <w:highlight w:val="yellow"/>
          <w:lang w:val="en-US"/>
        </w:rPr>
      </w:pPr>
      <w:r w:rsidRPr="00101FA9">
        <w:rPr>
          <w:b/>
          <w:bCs/>
          <w:lang w:val="en-US"/>
        </w:rPr>
        <w:t>David Rock’s SCARF theory</w:t>
      </w:r>
      <w:r w:rsidRPr="00101FA9">
        <w:rPr>
          <w:highlight w:val="yellow"/>
          <w:lang w:val="en-US"/>
        </w:rPr>
        <w:t xml:space="preserve"> </w:t>
      </w:r>
    </w:p>
    <w:p w14:paraId="158F9076" w14:textId="77777777" w:rsidR="00605261" w:rsidRDefault="007D30CB">
      <w:pPr>
        <w:rPr>
          <w:lang w:val="en-US"/>
        </w:rPr>
      </w:pPr>
      <w:r>
        <w:rPr>
          <w:lang w:val="en-US"/>
        </w:rPr>
        <w:t xml:space="preserve">The SCARF theory highlights </w:t>
      </w:r>
      <w:r w:rsidR="00605261">
        <w:rPr>
          <w:lang w:val="en-US"/>
        </w:rPr>
        <w:t>five</w:t>
      </w:r>
      <w:r>
        <w:rPr>
          <w:lang w:val="en-US"/>
        </w:rPr>
        <w:t xml:space="preserve"> </w:t>
      </w:r>
      <w:r w:rsidR="00605261">
        <w:rPr>
          <w:lang w:val="en-US"/>
        </w:rPr>
        <w:t xml:space="preserve">aspects that can impact an individual behaviour in social situations (Mullins, 2019). </w:t>
      </w:r>
    </w:p>
    <w:p w14:paraId="33CDF917" w14:textId="4A1B54C3" w:rsidR="007D30CB" w:rsidRDefault="00605261">
      <w:pPr>
        <w:rPr>
          <w:lang w:val="en-US"/>
        </w:rPr>
      </w:pPr>
      <w:r>
        <w:rPr>
          <w:lang w:val="en-US"/>
        </w:rPr>
        <w:lastRenderedPageBreak/>
        <w:t>The first is status – individuals may begin to experience feelings of stress or discomfort if they feel that those around them are at a higher status than they are (Rock, 2009). This could be financial status for example, however, status can be boosted in simple ways such as through praise.</w:t>
      </w:r>
    </w:p>
    <w:p w14:paraId="56CDFC91" w14:textId="2358E8BF" w:rsidR="00605261" w:rsidRPr="007D30CB" w:rsidRDefault="00605261">
      <w:pPr>
        <w:rPr>
          <w:lang w:val="en-US"/>
        </w:rPr>
      </w:pPr>
      <w:r>
        <w:rPr>
          <w:lang w:val="en-US"/>
        </w:rPr>
        <w:t>Certainty is the next</w:t>
      </w:r>
      <w:r w:rsidR="00BC3BEC">
        <w:rPr>
          <w:lang w:val="en-US"/>
        </w:rPr>
        <w:t xml:space="preserve"> part of the theory, based around the idea that individuals find comfort in knowing what to expect in a situation. Although uncertainty can provide a good challenge, it can also bring stress (Rock, 2009).</w:t>
      </w:r>
    </w:p>
    <w:p w14:paraId="1830996D" w14:textId="3576486D" w:rsidR="00BC3BEC" w:rsidRDefault="00D16FB7" w:rsidP="003167F4">
      <w:r>
        <w:t>Autonomy is similar to certainty in the sense that it refers to the human need to be in control of what is going on, able to make their own decisions (Rock, 2009). Without this, for example in situations of micromanagement, an individual can be emotionally affected (DeLeon &amp; Tripodi, 2022).</w:t>
      </w:r>
    </w:p>
    <w:p w14:paraId="7CCBA42C" w14:textId="6B46082E" w:rsidR="00D16FB7" w:rsidRDefault="00D16FB7" w:rsidP="003167F4">
      <w:r>
        <w:t>Next in Rock’s (2009) theory is relatedness. This highlights the way that a person feels comfort in knowing the people they are working with, for example in the workplace (Rock, 2009). Feelings of anxiety can occur when new people are expected to work together. However, there are many benefits to teamwork, such as learning new skills and developing confidence (Gratton &amp; Erickson, 2007).</w:t>
      </w:r>
    </w:p>
    <w:p w14:paraId="2BD76226" w14:textId="052D4A1F" w:rsidR="00662275" w:rsidRPr="0028207D" w:rsidRDefault="003167F4">
      <w:r>
        <w:t>F</w:t>
      </w:r>
      <w:r w:rsidR="00D16FB7">
        <w:t>inally in the SCARF theory is f</w:t>
      </w:r>
      <w:r>
        <w:t xml:space="preserve">airness </w:t>
      </w:r>
      <w:r w:rsidR="003977BE">
        <w:t xml:space="preserve">– lack of which can cause tension </w:t>
      </w:r>
      <w:r w:rsidR="0028207D">
        <w:t xml:space="preserve">and clashes </w:t>
      </w:r>
      <w:r w:rsidR="003977BE">
        <w:t>between individuals</w:t>
      </w:r>
      <w:r w:rsidR="0028207D">
        <w:t xml:space="preserve"> </w:t>
      </w:r>
      <w:r w:rsidR="00C97D09">
        <w:t>(Grubb, 2016).</w:t>
      </w:r>
      <w:r w:rsidR="0028207D">
        <w:t xml:space="preserve"> Fairness is relative, so this aspect of the theory can be experienced differently from person to person (Rock, 2009).</w:t>
      </w:r>
    </w:p>
    <w:p w14:paraId="356E84EC" w14:textId="77777777" w:rsidR="006D012D" w:rsidRDefault="006D012D">
      <w:pPr>
        <w:rPr>
          <w:b/>
          <w:bCs/>
          <w:i/>
          <w:iCs/>
          <w:lang w:val="en-US"/>
        </w:rPr>
      </w:pPr>
    </w:p>
    <w:p w14:paraId="2A49EC34" w14:textId="77777777" w:rsidR="006D012D" w:rsidRDefault="006D012D">
      <w:pPr>
        <w:rPr>
          <w:b/>
          <w:bCs/>
          <w:i/>
          <w:iCs/>
          <w:lang w:val="en-US"/>
        </w:rPr>
      </w:pPr>
    </w:p>
    <w:p w14:paraId="55241BBB" w14:textId="6BEE268D" w:rsidR="0028207D" w:rsidRPr="00831553" w:rsidRDefault="0028207D">
      <w:pPr>
        <w:rPr>
          <w:b/>
          <w:bCs/>
          <w:lang w:val="en-US"/>
        </w:rPr>
      </w:pPr>
      <w:r w:rsidRPr="00831553">
        <w:rPr>
          <w:b/>
          <w:bCs/>
          <w:lang w:val="en-US"/>
        </w:rPr>
        <w:t>Selection</w:t>
      </w:r>
    </w:p>
    <w:p w14:paraId="4E9C7458" w14:textId="0B437754" w:rsidR="001971BF" w:rsidRPr="008E3121" w:rsidRDefault="008E3121">
      <w:r w:rsidRPr="008E3121">
        <w:t>Barod recently reviewed their job descriptions to ensure clarity, conciseness, and consistency across the organization</w:t>
      </w:r>
      <w:r>
        <w:t xml:space="preserve"> </w:t>
      </w:r>
      <w:r w:rsidR="00BB183D" w:rsidRPr="00831553">
        <w:rPr>
          <w:lang w:val="en-US"/>
        </w:rPr>
        <w:t>(Leon Rohr, 2016)</w:t>
      </w:r>
      <w:r w:rsidR="004F5828" w:rsidRPr="00831553">
        <w:rPr>
          <w:lang w:val="en-US"/>
        </w:rPr>
        <w:t xml:space="preserve">. </w:t>
      </w:r>
      <w:r w:rsidR="00EE69E7" w:rsidRPr="00831553">
        <w:rPr>
          <w:lang w:val="en-US"/>
        </w:rPr>
        <w:t>The organisation have also reviewed all person specifications and issued guidance to hiring managers, to ensure that essential criteria are absolute deal-breakers for shortlisting</w:t>
      </w:r>
      <w:r w:rsidR="00CF3EFF">
        <w:rPr>
          <w:lang w:val="en-US"/>
        </w:rPr>
        <w:t xml:space="preserve"> (Barod, 2024)</w:t>
      </w:r>
      <w:r w:rsidR="004F5828" w:rsidRPr="00831553">
        <w:rPr>
          <w:lang w:val="en-US"/>
        </w:rPr>
        <w:t xml:space="preserve">. </w:t>
      </w:r>
      <w:r w:rsidR="0028207D" w:rsidRPr="00831553">
        <w:rPr>
          <w:lang w:val="en-US"/>
        </w:rPr>
        <w:t xml:space="preserve">This ensures that the organisation sticks to </w:t>
      </w:r>
      <w:proofErr w:type="spellStart"/>
      <w:r w:rsidR="0028207D" w:rsidRPr="00831553">
        <w:rPr>
          <w:lang w:val="en-US"/>
        </w:rPr>
        <w:t>it’s</w:t>
      </w:r>
      <w:proofErr w:type="spellEnd"/>
      <w:r w:rsidR="0028207D" w:rsidRPr="00831553">
        <w:rPr>
          <w:lang w:val="en-US"/>
        </w:rPr>
        <w:t xml:space="preserve"> values, particular positive attitude and empathy, as they strive to see the best in people.</w:t>
      </w:r>
    </w:p>
    <w:p w14:paraId="4FBB804B" w14:textId="6E708519" w:rsidR="00DC1D39" w:rsidRPr="00831553" w:rsidRDefault="00DC1D39">
      <w:pPr>
        <w:rPr>
          <w:lang w:val="en-US"/>
        </w:rPr>
      </w:pPr>
      <w:r w:rsidRPr="00831553">
        <w:rPr>
          <w:lang w:val="en-US"/>
        </w:rPr>
        <w:t>Representing the organisation’s values from the early stages of recruitment means that Barod are solidifying the importance of their values</w:t>
      </w:r>
      <w:r w:rsidR="00450259" w:rsidRPr="00831553">
        <w:rPr>
          <w:lang w:val="en-US"/>
        </w:rPr>
        <w:t xml:space="preserve"> and attracting best-fit candidates (Richie, Ashworth &amp; </w:t>
      </w:r>
      <w:proofErr w:type="spellStart"/>
      <w:r w:rsidR="00450259" w:rsidRPr="00831553">
        <w:rPr>
          <w:lang w:val="en-US"/>
        </w:rPr>
        <w:t>Bades</w:t>
      </w:r>
      <w:proofErr w:type="spellEnd"/>
      <w:r w:rsidR="00450259" w:rsidRPr="00831553">
        <w:rPr>
          <w:lang w:val="en-US"/>
        </w:rPr>
        <w:t xml:space="preserve">, 2018). </w:t>
      </w:r>
      <w:r w:rsidR="00BB183D" w:rsidRPr="00831553">
        <w:rPr>
          <w:lang w:val="en-US"/>
        </w:rPr>
        <w:t xml:space="preserve">This logic is supported by </w:t>
      </w:r>
      <w:r w:rsidR="005E1E3B" w:rsidRPr="00831553">
        <w:rPr>
          <w:lang w:val="en-US"/>
        </w:rPr>
        <w:t xml:space="preserve">Ma &amp; Allen (1998), who highlight the impact of values represented during recruitment. </w:t>
      </w:r>
      <w:r w:rsidR="00BB183D" w:rsidRPr="00831553">
        <w:rPr>
          <w:lang w:val="en-US"/>
        </w:rPr>
        <w:t>However</w:t>
      </w:r>
      <w:r w:rsidR="00450259" w:rsidRPr="00831553">
        <w:rPr>
          <w:lang w:val="en-US"/>
        </w:rPr>
        <w:t xml:space="preserve">, </w:t>
      </w:r>
      <w:r w:rsidR="00BB183D" w:rsidRPr="00831553">
        <w:rPr>
          <w:lang w:val="en-US"/>
        </w:rPr>
        <w:t xml:space="preserve">Spilsbury </w:t>
      </w:r>
      <w:r w:rsidR="00BB183D" w:rsidRPr="00831553">
        <w:rPr>
          <w:i/>
          <w:iCs/>
          <w:lang w:val="en-US"/>
        </w:rPr>
        <w:t>et al</w:t>
      </w:r>
      <w:r w:rsidR="00BB183D" w:rsidRPr="00831553">
        <w:rPr>
          <w:lang w:val="en-US"/>
        </w:rPr>
        <w:t>. (2022)</w:t>
      </w:r>
      <w:r w:rsidR="00450259" w:rsidRPr="00831553">
        <w:rPr>
          <w:lang w:val="en-US"/>
        </w:rPr>
        <w:t xml:space="preserve"> found that the integration of values into the selection stages does not guarantee new employees who share the values of the organisation</w:t>
      </w:r>
      <w:r w:rsidR="00BB183D" w:rsidRPr="00831553">
        <w:rPr>
          <w:lang w:val="en-US"/>
        </w:rPr>
        <w:t>.</w:t>
      </w:r>
    </w:p>
    <w:p w14:paraId="1071876E" w14:textId="71B83582" w:rsidR="0028207D" w:rsidRPr="00831553" w:rsidRDefault="0028207D">
      <w:pPr>
        <w:rPr>
          <w:b/>
          <w:bCs/>
          <w:lang w:val="en-US"/>
        </w:rPr>
      </w:pPr>
      <w:r w:rsidRPr="00831553">
        <w:rPr>
          <w:lang w:val="en-US"/>
        </w:rPr>
        <w:t xml:space="preserve">Moving onto interview and selection, </w:t>
      </w:r>
      <w:r w:rsidR="00450259" w:rsidRPr="00831553">
        <w:rPr>
          <w:lang w:val="en-US"/>
        </w:rPr>
        <w:t>Barod ensures</w:t>
      </w:r>
      <w:r w:rsidRPr="00831553">
        <w:rPr>
          <w:lang w:val="en-US"/>
        </w:rPr>
        <w:t xml:space="preserve"> candidates feel confident in asking for any adjustments that they may need, plus making some adjustments standard across the organisation if they feel many candidates would benefit.</w:t>
      </w:r>
    </w:p>
    <w:p w14:paraId="21087711" w14:textId="0FBA4AD4" w:rsidR="001A039C" w:rsidRPr="00831553" w:rsidRDefault="005E1E3B">
      <w:pPr>
        <w:rPr>
          <w:lang w:val="en-US"/>
        </w:rPr>
      </w:pPr>
      <w:r w:rsidRPr="00831553">
        <w:rPr>
          <w:lang w:val="en-US"/>
        </w:rPr>
        <w:t xml:space="preserve">Candidate experience is vital, as it contributes to employer brand. In times where there are seemingly more vacancies than candidates, it is vital to promote your organisation as a place that is organised and treats </w:t>
      </w:r>
      <w:proofErr w:type="spellStart"/>
      <w:r w:rsidRPr="00831553">
        <w:rPr>
          <w:lang w:val="en-US"/>
        </w:rPr>
        <w:t>it’s</w:t>
      </w:r>
      <w:proofErr w:type="spellEnd"/>
      <w:r w:rsidRPr="00831553">
        <w:rPr>
          <w:lang w:val="en-US"/>
        </w:rPr>
        <w:t xml:space="preserve"> employees well. If a candidate has a positive experience, for example where they are made to feel as relaxed as possible with techniques such as those implemented by Barod, they are more likely to be confident in beginning their job role and producing best work (Miles &amp; McCamey, 2018).</w:t>
      </w:r>
    </w:p>
    <w:p w14:paraId="69326AE7" w14:textId="490929CB" w:rsidR="005E1E3B" w:rsidRPr="00831553" w:rsidRDefault="00CA64C6">
      <w:pPr>
        <w:rPr>
          <w:lang w:val="en-US"/>
        </w:rPr>
      </w:pPr>
      <w:r>
        <w:rPr>
          <w:lang w:val="en-US"/>
        </w:rPr>
        <w:lastRenderedPageBreak/>
        <w:t>It</w:t>
      </w:r>
      <w:r w:rsidR="00831553" w:rsidRPr="00831553">
        <w:rPr>
          <w:lang w:val="en-US"/>
        </w:rPr>
        <w:t xml:space="preserve"> is equally as important to ensure that interviews are used to model the level of professionalism expected in a workplace. Saenz &amp; Dew (2015) explored the ways in which boundaries can be set with colleagues and this is important to recognise as early as possible. If interviewers are over-friendly, it may result in unclear boundaries on what is expected of a new employee (Saenz &amp; Dew, 2015; Miles &amp; McCamey, 2018).</w:t>
      </w:r>
    </w:p>
    <w:p w14:paraId="4C1D47ED" w14:textId="1B838C27" w:rsidR="001971BF" w:rsidRPr="001971BF" w:rsidRDefault="001971BF">
      <w:pPr>
        <w:rPr>
          <w:b/>
          <w:bCs/>
          <w:lang w:val="en-US"/>
        </w:rPr>
      </w:pPr>
      <w:r>
        <w:rPr>
          <w:b/>
          <w:bCs/>
          <w:lang w:val="en-US"/>
        </w:rPr>
        <w:t xml:space="preserve">People-centric </w:t>
      </w:r>
      <w:r w:rsidR="00CA64C6">
        <w:rPr>
          <w:b/>
          <w:bCs/>
          <w:lang w:val="en-US"/>
        </w:rPr>
        <w:t>c</w:t>
      </w:r>
      <w:r>
        <w:rPr>
          <w:b/>
          <w:bCs/>
          <w:lang w:val="en-US"/>
        </w:rPr>
        <w:t>hange</w:t>
      </w:r>
    </w:p>
    <w:p w14:paraId="05CC01F3" w14:textId="7B954AC5" w:rsidR="00A101EE" w:rsidRPr="001971BF" w:rsidRDefault="00CA64C6">
      <w:pPr>
        <w:rPr>
          <w:lang w:val="en-US"/>
        </w:rPr>
      </w:pPr>
      <w:r>
        <w:rPr>
          <w:lang w:val="en-US"/>
        </w:rPr>
        <w:t>It</w:t>
      </w:r>
      <w:r w:rsidR="001971BF">
        <w:rPr>
          <w:lang w:val="en-US"/>
        </w:rPr>
        <w:t xml:space="preserve"> is those who have experienced processes that should be able to advise best on what is or is not working (Hodges, 2024). </w:t>
      </w:r>
      <w:r w:rsidR="008E3121">
        <w:t>Barod distributes a Welcome Survey to new employees after four weeks to gather feedback on the selection and induction processes. This enables the recruitment coordinator to regularly review and improve these processes for future candidates. It positively impacts culture by demonstrating that new staff’s voices are heard and that actions are taken based on their feedback</w:t>
      </w:r>
      <w:r w:rsidR="008E3121">
        <w:t xml:space="preserve"> </w:t>
      </w:r>
      <w:r w:rsidR="0050703A">
        <w:rPr>
          <w:lang w:val="en-US"/>
        </w:rPr>
        <w:t>(Barry &amp; Wilkinson, 2022).</w:t>
      </w:r>
    </w:p>
    <w:p w14:paraId="5D243928" w14:textId="77777777" w:rsidR="006D012D" w:rsidRDefault="006D012D">
      <w:pPr>
        <w:rPr>
          <w:b/>
          <w:bCs/>
          <w:i/>
          <w:iCs/>
          <w:lang w:val="en-US"/>
        </w:rPr>
      </w:pPr>
    </w:p>
    <w:p w14:paraId="25273490" w14:textId="77777777" w:rsidR="006D012D" w:rsidRDefault="006D012D">
      <w:pPr>
        <w:rPr>
          <w:b/>
          <w:bCs/>
          <w:i/>
          <w:iCs/>
          <w:lang w:val="en-US"/>
        </w:rPr>
      </w:pPr>
    </w:p>
    <w:p w14:paraId="210365BD" w14:textId="51B19829" w:rsidR="000E21B8" w:rsidRDefault="000E21B8">
      <w:pPr>
        <w:rPr>
          <w:b/>
          <w:bCs/>
          <w:lang w:val="en-US"/>
        </w:rPr>
      </w:pPr>
      <w:r>
        <w:rPr>
          <w:b/>
          <w:bCs/>
          <w:lang w:val="en-US"/>
        </w:rPr>
        <w:t>Create</w:t>
      </w:r>
    </w:p>
    <w:p w14:paraId="3653971D" w14:textId="77777777" w:rsidR="002D317B" w:rsidRDefault="00AE4ED6">
      <w:pPr>
        <w:rPr>
          <w:lang w:val="en-US"/>
        </w:rPr>
      </w:pPr>
      <w:r>
        <w:rPr>
          <w:lang w:val="en-US"/>
        </w:rPr>
        <w:t xml:space="preserve">When implementing a change, it’s important to spread the message across all employees and to get as much investment as possible (One, 2008). </w:t>
      </w:r>
    </w:p>
    <w:p w14:paraId="2493EF64" w14:textId="63411B59" w:rsidR="000E21B8" w:rsidRDefault="00AE4ED6">
      <w:pPr>
        <w:rPr>
          <w:lang w:val="en-US"/>
        </w:rPr>
      </w:pPr>
      <w:r>
        <w:rPr>
          <w:lang w:val="en-US"/>
        </w:rPr>
        <w:t xml:space="preserve">The organisation should consult with staff to discuss the importance of </w:t>
      </w:r>
      <w:proofErr w:type="spellStart"/>
      <w:r>
        <w:rPr>
          <w:lang w:val="en-US"/>
        </w:rPr>
        <w:t>on site</w:t>
      </w:r>
      <w:proofErr w:type="spellEnd"/>
      <w:r>
        <w:rPr>
          <w:lang w:val="en-US"/>
        </w:rPr>
        <w:t xml:space="preserve"> days and to gain staff’s perspective on what could be done to ensure these days are as productive as possible. This could include sharing the positive impact face-to-face work has on team productivity and morale, whilst encouraging staff feedback on how this can be planned to ensure that on site days achieve this</w:t>
      </w:r>
      <w:r w:rsidR="002B3FE9">
        <w:rPr>
          <w:lang w:val="en-US"/>
        </w:rPr>
        <w:t xml:space="preserve"> (Appel-Meulenbroek </w:t>
      </w:r>
      <w:r w:rsidR="002B3FE9">
        <w:rPr>
          <w:i/>
          <w:iCs/>
          <w:lang w:val="en-US"/>
        </w:rPr>
        <w:t>et al</w:t>
      </w:r>
      <w:r w:rsidR="002B3FE9">
        <w:rPr>
          <w:lang w:val="en-US"/>
        </w:rPr>
        <w:t>., 2022)</w:t>
      </w:r>
      <w:r>
        <w:rPr>
          <w:lang w:val="en-US"/>
        </w:rPr>
        <w:t>. This could include ensuring colleagues with more tasks together share the same 2 days on site.</w:t>
      </w:r>
    </w:p>
    <w:p w14:paraId="5E69DF89" w14:textId="4B209FA3" w:rsidR="002B3FE9" w:rsidRDefault="00082B6D">
      <w:pPr>
        <w:rPr>
          <w:b/>
          <w:bCs/>
          <w:lang w:val="en-US"/>
        </w:rPr>
      </w:pPr>
      <w:r>
        <w:rPr>
          <w:b/>
          <w:bCs/>
          <w:lang w:val="en-US"/>
        </w:rPr>
        <w:t>Build</w:t>
      </w:r>
    </w:p>
    <w:p w14:paraId="0333C0F3" w14:textId="77777777" w:rsidR="002D317B" w:rsidRDefault="002D317B">
      <w:pPr>
        <w:rPr>
          <w:lang w:val="en-US"/>
        </w:rPr>
      </w:pPr>
      <w:r>
        <w:rPr>
          <w:lang w:val="en-US"/>
        </w:rPr>
        <w:t xml:space="preserve">The first step should lead you seamlessly onto the next - finding a team of leaders who are supportive of the change, ensuring that all areas of the organisation are represented (One, 2008). </w:t>
      </w:r>
    </w:p>
    <w:p w14:paraId="01877DFF" w14:textId="184BC181" w:rsidR="002B3FE9" w:rsidRDefault="002D317B">
      <w:pPr>
        <w:rPr>
          <w:lang w:val="en-US"/>
        </w:rPr>
      </w:pPr>
      <w:r>
        <w:rPr>
          <w:lang w:val="en-US"/>
        </w:rPr>
        <w:t>To do this, the organisation should identify those individuals who</w:t>
      </w:r>
      <w:r w:rsidR="00E55CCB">
        <w:rPr>
          <w:lang w:val="en-US"/>
        </w:rPr>
        <w:t xml:space="preserve"> had been requesting the re-implementation of on-site days. Appel-Meulenbroek </w:t>
      </w:r>
      <w:r w:rsidR="00E55CCB">
        <w:rPr>
          <w:i/>
          <w:iCs/>
          <w:lang w:val="en-US"/>
        </w:rPr>
        <w:t>et al</w:t>
      </w:r>
      <w:r w:rsidR="00E55CCB">
        <w:rPr>
          <w:lang w:val="en-US"/>
        </w:rPr>
        <w:t>. (2022) have found these individuals to more commonly be ‘male, highly educated, full-time workers with a short commute’. However, it’s also important to identify those sitting outside of these characteristics so that the guiding coalition is representative (Hill, Ferris &amp; Martinson, 2003).</w:t>
      </w:r>
    </w:p>
    <w:p w14:paraId="0EF60C3B" w14:textId="26B53B10" w:rsidR="00E55CCB" w:rsidRDefault="00B72D34">
      <w:pPr>
        <w:rPr>
          <w:b/>
          <w:bCs/>
          <w:lang w:val="en-US"/>
        </w:rPr>
      </w:pPr>
      <w:r>
        <w:rPr>
          <w:b/>
          <w:bCs/>
          <w:lang w:val="en-US"/>
        </w:rPr>
        <w:t>Form</w:t>
      </w:r>
    </w:p>
    <w:p w14:paraId="7D8AB47C" w14:textId="019C1C62" w:rsidR="00E55CCB" w:rsidRPr="005E1E3B" w:rsidRDefault="00AB236E">
      <w:r>
        <w:rPr>
          <w:lang w:val="en-US"/>
        </w:rPr>
        <w:t>Kotter than highlights the importance of outlining a clear plan for implementing the change (Pollack &amp; Pollack, 2015).</w:t>
      </w:r>
      <w:r w:rsidR="005E1E3B" w:rsidRPr="005E1E3B">
        <w:t xml:space="preserve"> </w:t>
      </w:r>
    </w:p>
    <w:p w14:paraId="13EABE0E" w14:textId="53C302FE" w:rsidR="00AB236E" w:rsidRDefault="00AB236E">
      <w:pPr>
        <w:rPr>
          <w:lang w:val="en-US"/>
        </w:rPr>
      </w:pPr>
      <w:r>
        <w:rPr>
          <w:lang w:val="en-US"/>
        </w:rPr>
        <w:t>It has been found that some employees could take advantage of hybrid working or interpret the policies to their advantage (Ojala, 2011). It’s vital that the organisation use this step to set out a clear vision for the change to hybrid working, such as a way that employee’s on site days can be monitored to ensure they are complying with the 2 days minimum.</w:t>
      </w:r>
    </w:p>
    <w:p w14:paraId="399E8C92" w14:textId="3758700F" w:rsidR="00AB236E" w:rsidRDefault="00B72D34">
      <w:pPr>
        <w:rPr>
          <w:b/>
          <w:bCs/>
          <w:lang w:val="en-US"/>
        </w:rPr>
      </w:pPr>
      <w:r>
        <w:rPr>
          <w:b/>
          <w:bCs/>
          <w:lang w:val="en-US"/>
        </w:rPr>
        <w:t>Enlist</w:t>
      </w:r>
    </w:p>
    <w:p w14:paraId="195E3317" w14:textId="270F40E8" w:rsidR="00AB236E" w:rsidRDefault="00AB236E">
      <w:pPr>
        <w:rPr>
          <w:lang w:val="en-US"/>
        </w:rPr>
      </w:pPr>
      <w:r>
        <w:rPr>
          <w:lang w:val="en-US"/>
        </w:rPr>
        <w:lastRenderedPageBreak/>
        <w:t>Then, it is vital to ensure that the change is well communicated with staff (One, 2008).</w:t>
      </w:r>
    </w:p>
    <w:p w14:paraId="36FA603E" w14:textId="3BD3954C" w:rsidR="00AB236E" w:rsidRDefault="00AB236E">
      <w:pPr>
        <w:rPr>
          <w:lang w:val="en-US"/>
        </w:rPr>
      </w:pPr>
      <w:r>
        <w:rPr>
          <w:lang w:val="en-US"/>
        </w:rPr>
        <w:t xml:space="preserve">The organisation should </w:t>
      </w:r>
      <w:r w:rsidR="004D59B5">
        <w:rPr>
          <w:lang w:val="en-US"/>
        </w:rPr>
        <w:t xml:space="preserve">have already communicated the change through consultation, however they should now announce the final decision and processes to all staff via the usual method of communication – most likely email. Following this, team leaders and management should be encouraged to solidify this in team meetings (Li </w:t>
      </w:r>
      <w:r w:rsidR="004D59B5">
        <w:rPr>
          <w:i/>
          <w:iCs/>
          <w:lang w:val="en-US"/>
        </w:rPr>
        <w:t>et al</w:t>
      </w:r>
      <w:r w:rsidR="004D59B5">
        <w:rPr>
          <w:lang w:val="en-US"/>
        </w:rPr>
        <w:t>., 2021).</w:t>
      </w:r>
    </w:p>
    <w:p w14:paraId="726CE366" w14:textId="42ACE1A1" w:rsidR="00082B6D" w:rsidRDefault="00B72D34">
      <w:pPr>
        <w:rPr>
          <w:lang w:val="en-US"/>
        </w:rPr>
      </w:pPr>
      <w:r>
        <w:rPr>
          <w:b/>
          <w:bCs/>
          <w:lang w:val="en-US"/>
        </w:rPr>
        <w:t>Enable</w:t>
      </w:r>
    </w:p>
    <w:p w14:paraId="39152EED" w14:textId="36A41430" w:rsidR="00082B6D" w:rsidRDefault="00450BF9">
      <w:pPr>
        <w:rPr>
          <w:lang w:val="en-US"/>
        </w:rPr>
      </w:pPr>
      <w:r>
        <w:rPr>
          <w:lang w:val="en-US"/>
        </w:rPr>
        <w:t xml:space="preserve">When implementing a change, it’s important to preempt and remove potential barriers (One, 2008). </w:t>
      </w:r>
    </w:p>
    <w:p w14:paraId="614B6072" w14:textId="7E354C53" w:rsidR="00450BF9" w:rsidRPr="00877AFF" w:rsidRDefault="00450BF9">
      <w:pPr>
        <w:rPr>
          <w:lang w:val="en-US"/>
        </w:rPr>
      </w:pPr>
      <w:r>
        <w:rPr>
          <w:lang w:val="en-US"/>
        </w:rPr>
        <w:t xml:space="preserve">In the context of hybrid working, the organisation </w:t>
      </w:r>
      <w:r w:rsidR="00A93D30">
        <w:rPr>
          <w:lang w:val="en-US"/>
        </w:rPr>
        <w:t>should ensure that offices are set up to aid collaborative work to utilise the time colleagues spend together (</w:t>
      </w:r>
      <w:proofErr w:type="spellStart"/>
      <w:r w:rsidR="00A93D30">
        <w:rPr>
          <w:lang w:val="en-US"/>
        </w:rPr>
        <w:t>Babapour</w:t>
      </w:r>
      <w:proofErr w:type="spellEnd"/>
      <w:r w:rsidR="00A93D30">
        <w:rPr>
          <w:lang w:val="en-US"/>
        </w:rPr>
        <w:t xml:space="preserve"> </w:t>
      </w:r>
      <w:proofErr w:type="spellStart"/>
      <w:r w:rsidR="00A93D30">
        <w:rPr>
          <w:lang w:val="en-US"/>
        </w:rPr>
        <w:t>Chaf</w:t>
      </w:r>
      <w:proofErr w:type="spellEnd"/>
      <w:r w:rsidR="00A93D30">
        <w:rPr>
          <w:lang w:val="en-US"/>
        </w:rPr>
        <w:t>, Hultberg &amp; Bozic Yams, 2021).</w:t>
      </w:r>
      <w:r w:rsidR="00877AFF">
        <w:rPr>
          <w:lang w:val="en-US"/>
        </w:rPr>
        <w:t xml:space="preserve"> The organisation could also looking into ways to ensure colleagues stay motivated and on-task in the workplace (</w:t>
      </w:r>
      <w:proofErr w:type="spellStart"/>
      <w:r w:rsidR="00877AFF">
        <w:rPr>
          <w:lang w:val="en-US"/>
        </w:rPr>
        <w:t>Kauce</w:t>
      </w:r>
      <w:proofErr w:type="spellEnd"/>
      <w:r w:rsidR="00877AFF">
        <w:rPr>
          <w:lang w:val="en-US"/>
        </w:rPr>
        <w:t xml:space="preserve"> </w:t>
      </w:r>
      <w:r w:rsidR="00877AFF">
        <w:rPr>
          <w:i/>
          <w:iCs/>
          <w:lang w:val="en-US"/>
        </w:rPr>
        <w:t>et al</w:t>
      </w:r>
      <w:r w:rsidR="00877AFF">
        <w:rPr>
          <w:lang w:val="en-US"/>
        </w:rPr>
        <w:t>., 2024).</w:t>
      </w:r>
    </w:p>
    <w:p w14:paraId="498C2AEB" w14:textId="2486F9EC" w:rsidR="00082B6D" w:rsidRDefault="00B72D34">
      <w:pPr>
        <w:rPr>
          <w:b/>
          <w:bCs/>
          <w:lang w:val="en-US"/>
        </w:rPr>
      </w:pPr>
      <w:r>
        <w:rPr>
          <w:b/>
          <w:bCs/>
          <w:lang w:val="en-US"/>
        </w:rPr>
        <w:t>Generate</w:t>
      </w:r>
    </w:p>
    <w:p w14:paraId="2CC0431B" w14:textId="24AAD091" w:rsidR="00C21756" w:rsidRDefault="00C21756">
      <w:pPr>
        <w:rPr>
          <w:lang w:val="en-US"/>
        </w:rPr>
      </w:pPr>
      <w:r>
        <w:rPr>
          <w:lang w:val="en-US"/>
        </w:rPr>
        <w:t>It is vital create short-term targets and celebrate the successes of any organisational change (One, 2008).</w:t>
      </w:r>
    </w:p>
    <w:p w14:paraId="2D10DC3E" w14:textId="08467A0C" w:rsidR="00C21756" w:rsidRPr="00C21756" w:rsidRDefault="00C21756">
      <w:pPr>
        <w:rPr>
          <w:lang w:val="en-US"/>
        </w:rPr>
      </w:pPr>
      <w:r>
        <w:rPr>
          <w:lang w:val="en-US"/>
        </w:rPr>
        <w:t>With hybrid working and re-implementing on-site days, it’s important to ensure that these targets are based on productivity and work quality as opposed to focusing on where an employee is working or how many Teams meetings they attend when working from home (CIPD, 2024).</w:t>
      </w:r>
    </w:p>
    <w:p w14:paraId="391BF493" w14:textId="42303D54" w:rsidR="00B72D34" w:rsidRDefault="00B72D34">
      <w:pPr>
        <w:rPr>
          <w:b/>
          <w:bCs/>
          <w:lang w:val="en-US"/>
        </w:rPr>
      </w:pPr>
      <w:r>
        <w:rPr>
          <w:b/>
          <w:bCs/>
          <w:lang w:val="en-US"/>
        </w:rPr>
        <w:t>Sustain</w:t>
      </w:r>
    </w:p>
    <w:p w14:paraId="73329CAB" w14:textId="0147A8F8" w:rsidR="00C21756" w:rsidRDefault="00EA07CF">
      <w:pPr>
        <w:rPr>
          <w:lang w:val="en-US"/>
        </w:rPr>
      </w:pPr>
      <w:r>
        <w:rPr>
          <w:lang w:val="en-US"/>
        </w:rPr>
        <w:t>Momentum should be kept up after a change has been implemented and those leading the change should continuously review the impact it has had (One, 2008).</w:t>
      </w:r>
    </w:p>
    <w:p w14:paraId="208A440C" w14:textId="59AA92EB" w:rsidR="00EA07CF" w:rsidRPr="00EA07CF" w:rsidRDefault="00EA07CF">
      <w:pPr>
        <w:rPr>
          <w:lang w:val="en-US"/>
        </w:rPr>
      </w:pPr>
      <w:r>
        <w:rPr>
          <w:lang w:val="en-US"/>
        </w:rPr>
        <w:t xml:space="preserve">The organisation should regularly ask for and listen to feedback from employees regarding the new hybrid working policy. Collaborative task completion and group successes should be celebrated specifically to highlight the value of teamwork (Galanti </w:t>
      </w:r>
      <w:r>
        <w:rPr>
          <w:i/>
          <w:iCs/>
          <w:lang w:val="en-US"/>
        </w:rPr>
        <w:t>et al</w:t>
      </w:r>
      <w:r>
        <w:rPr>
          <w:lang w:val="en-US"/>
        </w:rPr>
        <w:t>., 2021).</w:t>
      </w:r>
    </w:p>
    <w:p w14:paraId="530EDC26" w14:textId="011B140D" w:rsidR="00B72D34" w:rsidRDefault="00B72D34">
      <w:pPr>
        <w:rPr>
          <w:b/>
          <w:bCs/>
          <w:lang w:val="en-US"/>
        </w:rPr>
      </w:pPr>
      <w:r>
        <w:rPr>
          <w:b/>
          <w:bCs/>
          <w:lang w:val="en-US"/>
        </w:rPr>
        <w:t>Institute</w:t>
      </w:r>
    </w:p>
    <w:p w14:paraId="4828DB0B" w14:textId="4849C1AD" w:rsidR="0077517C" w:rsidRDefault="0077517C">
      <w:pPr>
        <w:rPr>
          <w:lang w:val="en-US"/>
        </w:rPr>
      </w:pPr>
      <w:r>
        <w:rPr>
          <w:lang w:val="en-US"/>
        </w:rPr>
        <w:t>A change should eventually become a solidified process within an organisation (One, 2008). To do this, it should continuously be reviewed and celebrated.</w:t>
      </w:r>
    </w:p>
    <w:p w14:paraId="7122E4C9" w14:textId="5EF04D47" w:rsidR="0077517C" w:rsidRPr="0077517C" w:rsidRDefault="0077517C">
      <w:pPr>
        <w:rPr>
          <w:lang w:val="en-US"/>
        </w:rPr>
      </w:pPr>
      <w:r>
        <w:rPr>
          <w:lang w:val="en-US"/>
        </w:rPr>
        <w:t>The organisation should continue to value the work staff produce as part of the new model</w:t>
      </w:r>
      <w:r w:rsidR="00D01EF1">
        <w:rPr>
          <w:lang w:val="en-US"/>
        </w:rPr>
        <w:t xml:space="preserve">. </w:t>
      </w:r>
      <w:r w:rsidR="00632BE8">
        <w:rPr>
          <w:lang w:val="en-US"/>
        </w:rPr>
        <w:t>T</w:t>
      </w:r>
      <w:r w:rsidR="00D01EF1">
        <w:rPr>
          <w:lang w:val="en-US"/>
        </w:rPr>
        <w:t>he policy should also be shared and discussed during recruitment, so that all candidates are aware of hybrid working expectations (Mutebi &amp; Hobbs, 2022).</w:t>
      </w:r>
    </w:p>
    <w:p w14:paraId="795153A7" w14:textId="77777777" w:rsidR="006D012D" w:rsidRDefault="006D012D">
      <w:pPr>
        <w:rPr>
          <w:b/>
          <w:bCs/>
          <w:i/>
          <w:iCs/>
          <w:lang w:val="en-US"/>
        </w:rPr>
      </w:pPr>
    </w:p>
    <w:p w14:paraId="51A53C8E" w14:textId="77777777" w:rsidR="006D012D" w:rsidRDefault="006D012D">
      <w:pPr>
        <w:rPr>
          <w:b/>
          <w:bCs/>
          <w:i/>
          <w:iCs/>
          <w:lang w:val="en-US"/>
        </w:rPr>
      </w:pPr>
    </w:p>
    <w:p w14:paraId="1876D898" w14:textId="40031764" w:rsidR="005B127D" w:rsidRPr="00266FBD" w:rsidRDefault="005B127D">
      <w:pPr>
        <w:rPr>
          <w:lang w:val="en-US"/>
        </w:rPr>
      </w:pPr>
      <w:r>
        <w:rPr>
          <w:lang w:val="en-US"/>
        </w:rPr>
        <w:t>Although Kubler Ross’s model was originally describing the stages of someone accepting their own death, it is relevant to organisational change and employee’s experiences of this (</w:t>
      </w:r>
      <w:r w:rsidR="003A1091">
        <w:rPr>
          <w:lang w:val="en-US"/>
        </w:rPr>
        <w:t xml:space="preserve">Castillo, Fernandez &amp; Sallan, 2018; </w:t>
      </w:r>
      <w:r>
        <w:rPr>
          <w:lang w:val="en-US"/>
        </w:rPr>
        <w:t>Kubler-Ross, 1969; Tarnoff, Bostwick &amp; Barnes, 2021).</w:t>
      </w:r>
    </w:p>
    <w:p w14:paraId="5FA08E3A" w14:textId="355011B6" w:rsidR="005B127D" w:rsidRDefault="005B127D">
      <w:pPr>
        <w:rPr>
          <w:b/>
          <w:bCs/>
          <w:lang w:val="en-US"/>
        </w:rPr>
      </w:pPr>
      <w:r>
        <w:rPr>
          <w:b/>
          <w:bCs/>
          <w:lang w:val="en-US"/>
        </w:rPr>
        <w:t>Denial</w:t>
      </w:r>
    </w:p>
    <w:p w14:paraId="24E58013" w14:textId="7726921F" w:rsidR="005B127D" w:rsidRPr="00AB33F1" w:rsidRDefault="005B127D">
      <w:pPr>
        <w:rPr>
          <w:lang w:val="en-US"/>
        </w:rPr>
      </w:pPr>
      <w:r>
        <w:rPr>
          <w:lang w:val="en-US"/>
        </w:rPr>
        <w:lastRenderedPageBreak/>
        <w:t>Kubler-Ross sees denial a positive way in which people may ‘buffer’ shocking news (Kubler-Ross, 1969</w:t>
      </w:r>
      <w:r w:rsidR="003A1091">
        <w:rPr>
          <w:lang w:val="en-US"/>
        </w:rPr>
        <w:t>; Kearney, 2002</w:t>
      </w:r>
      <w:r>
        <w:rPr>
          <w:lang w:val="en-US"/>
        </w:rPr>
        <w:t xml:space="preserve">). </w:t>
      </w:r>
      <w:r w:rsidR="00962E88">
        <w:rPr>
          <w:lang w:val="en-US"/>
        </w:rPr>
        <w:t>Denial is particularly expected with</w:t>
      </w:r>
      <w:r w:rsidR="00AB33F1">
        <w:rPr>
          <w:lang w:val="en-US"/>
        </w:rPr>
        <w:t xml:space="preserve"> long serving members of staff, who worked in a certain way for a long time before </w:t>
      </w:r>
      <w:r w:rsidR="00962E88">
        <w:rPr>
          <w:lang w:val="en-US"/>
        </w:rPr>
        <w:t>a</w:t>
      </w:r>
      <w:r w:rsidR="00AB33F1">
        <w:rPr>
          <w:lang w:val="en-US"/>
        </w:rPr>
        <w:t xml:space="preserve"> change was introduced (Shin </w:t>
      </w:r>
      <w:r w:rsidR="00AB33F1">
        <w:rPr>
          <w:i/>
          <w:iCs/>
          <w:lang w:val="en-US"/>
        </w:rPr>
        <w:t>et al</w:t>
      </w:r>
      <w:r w:rsidR="00AB33F1">
        <w:rPr>
          <w:lang w:val="en-US"/>
        </w:rPr>
        <w:t>., 2015).</w:t>
      </w:r>
    </w:p>
    <w:p w14:paraId="15D198C8" w14:textId="10C8EB17" w:rsidR="005B127D" w:rsidRDefault="00266FBD">
      <w:pPr>
        <w:rPr>
          <w:b/>
          <w:bCs/>
          <w:lang w:val="en-US"/>
        </w:rPr>
      </w:pPr>
      <w:r>
        <w:rPr>
          <w:b/>
          <w:bCs/>
          <w:lang w:val="en-US"/>
        </w:rPr>
        <w:t>Anger</w:t>
      </w:r>
    </w:p>
    <w:p w14:paraId="4D99FCAA" w14:textId="7FD318F5" w:rsidR="005B127D" w:rsidRPr="006D7609" w:rsidRDefault="005B127D">
      <w:pPr>
        <w:rPr>
          <w:lang w:val="en-US"/>
        </w:rPr>
      </w:pPr>
      <w:r>
        <w:rPr>
          <w:lang w:val="en-US"/>
        </w:rPr>
        <w:t>Anger is common during change</w:t>
      </w:r>
      <w:r w:rsidR="003A1091">
        <w:rPr>
          <w:lang w:val="en-US"/>
        </w:rPr>
        <w:t>, as it is often misplacement of an individual’s frustration at the situation – which instead is directed towards those around them (Kubler-Ross, 1969; Kearney, 2002).</w:t>
      </w:r>
      <w:r w:rsidR="006D7609">
        <w:rPr>
          <w:lang w:val="en-US"/>
        </w:rPr>
        <w:t xml:space="preserve"> This can often mean that employees show anger towards those who communicate a change, without considering external factors that are likely to have impacted the decision (Peng </w:t>
      </w:r>
      <w:r w:rsidR="006D7609">
        <w:rPr>
          <w:i/>
          <w:iCs/>
          <w:lang w:val="en-US"/>
        </w:rPr>
        <w:t>et al</w:t>
      </w:r>
      <w:r w:rsidR="006D7609">
        <w:rPr>
          <w:lang w:val="en-US"/>
        </w:rPr>
        <w:t>., 2021). It is important for leaders to share details on why a change is happening.</w:t>
      </w:r>
    </w:p>
    <w:p w14:paraId="2C1B6452" w14:textId="7BCBF0DC" w:rsidR="00266FBD" w:rsidRPr="00962E88" w:rsidRDefault="00266FBD">
      <w:pPr>
        <w:rPr>
          <w:b/>
          <w:bCs/>
          <w:lang w:val="en-US"/>
        </w:rPr>
      </w:pPr>
      <w:r w:rsidRPr="00962E88">
        <w:rPr>
          <w:b/>
          <w:bCs/>
          <w:lang w:val="en-US"/>
        </w:rPr>
        <w:t>Bargaining</w:t>
      </w:r>
    </w:p>
    <w:p w14:paraId="4313C5C8" w14:textId="2F4D1BE6" w:rsidR="00266FBD" w:rsidRPr="00266FBD" w:rsidRDefault="00266FBD">
      <w:pPr>
        <w:rPr>
          <w:lang w:val="en-US"/>
        </w:rPr>
      </w:pPr>
      <w:r w:rsidRPr="00962E88">
        <w:rPr>
          <w:lang w:val="en-US"/>
        </w:rPr>
        <w:t xml:space="preserve">This is where an individual may begin to accept the changes and attempt to ensure things are working in their </w:t>
      </w:r>
      <w:proofErr w:type="spellStart"/>
      <w:r w:rsidRPr="00962E88">
        <w:rPr>
          <w:lang w:val="en-US"/>
        </w:rPr>
        <w:t>favour</w:t>
      </w:r>
      <w:proofErr w:type="spellEnd"/>
      <w:r w:rsidRPr="00962E88">
        <w:rPr>
          <w:lang w:val="en-US"/>
        </w:rPr>
        <w:t xml:space="preserve"> (Castillo, Fernandez &amp; Sallan, 2018).</w:t>
      </w:r>
      <w:r w:rsidR="00962E88" w:rsidRPr="00962E88">
        <w:rPr>
          <w:lang w:val="en-US"/>
        </w:rPr>
        <w:t xml:space="preserve"> With organisational change, employees are likely to be looking for better pay and benefits at this point.</w:t>
      </w:r>
    </w:p>
    <w:p w14:paraId="29432725" w14:textId="33C8073B" w:rsidR="005B127D" w:rsidRDefault="005B127D">
      <w:pPr>
        <w:rPr>
          <w:b/>
          <w:bCs/>
          <w:lang w:val="en-US"/>
        </w:rPr>
      </w:pPr>
      <w:r>
        <w:rPr>
          <w:b/>
          <w:bCs/>
          <w:lang w:val="en-US"/>
        </w:rPr>
        <w:t>Depression</w:t>
      </w:r>
    </w:p>
    <w:p w14:paraId="07F4FCFF" w14:textId="6BA75BA6" w:rsidR="003A1091" w:rsidRPr="003A1091" w:rsidRDefault="003A1091">
      <w:pPr>
        <w:rPr>
          <w:lang w:val="en-US"/>
        </w:rPr>
      </w:pPr>
      <w:r>
        <w:rPr>
          <w:lang w:val="en-US"/>
        </w:rPr>
        <w:t>It is likely that, for those involved in large organisational change, feelings of anger will eventually be replaced by sadness (Kubler-Ross, 1969). Sometimes, this can be ‘talked out’ with colleagues and improved, however when this isn’t possible it would be classed as depression (Kearney, 2002).</w:t>
      </w:r>
      <w:r w:rsidR="00962E88">
        <w:rPr>
          <w:lang w:val="en-US"/>
        </w:rPr>
        <w:t xml:space="preserve"> During times of changes, organisations should be mindful that their wellbeing initiatives are in place and employees know how to seek support.</w:t>
      </w:r>
    </w:p>
    <w:p w14:paraId="3482ECA7" w14:textId="17840F23" w:rsidR="005B127D" w:rsidRDefault="00266FBD">
      <w:pPr>
        <w:rPr>
          <w:b/>
          <w:bCs/>
          <w:lang w:val="en-US"/>
        </w:rPr>
      </w:pPr>
      <w:r>
        <w:rPr>
          <w:b/>
          <w:bCs/>
          <w:lang w:val="en-US"/>
        </w:rPr>
        <w:t>Acceptance</w:t>
      </w:r>
    </w:p>
    <w:p w14:paraId="0A3C6A56" w14:textId="163DBDE4" w:rsidR="00374495" w:rsidRDefault="00374495">
      <w:r>
        <w:t>Finally, the individual may understand the reasoning and benefits of the change or, if they still disagree, choose to accept it (Castillo, Fernandez &amp; Sallan, 2018). In organizations, this is when employees assess the perks of their role and decide if they outweigh concerns about the change, influencing their decision to stay.</w:t>
      </w:r>
    </w:p>
    <w:p w14:paraId="65B8C604" w14:textId="77777777" w:rsidR="006D012D" w:rsidRDefault="006D012D">
      <w:pPr>
        <w:rPr>
          <w:b/>
          <w:bCs/>
          <w:i/>
          <w:iCs/>
          <w:lang w:val="en-US"/>
        </w:rPr>
      </w:pPr>
    </w:p>
    <w:p w14:paraId="71599FE3" w14:textId="77777777" w:rsidR="006D012D" w:rsidRDefault="006D012D">
      <w:pPr>
        <w:rPr>
          <w:b/>
          <w:bCs/>
          <w:i/>
          <w:iCs/>
          <w:lang w:val="en-US"/>
        </w:rPr>
      </w:pPr>
    </w:p>
    <w:p w14:paraId="559470FB" w14:textId="7C916842" w:rsidR="0001269B" w:rsidRDefault="0001269B">
      <w:pPr>
        <w:rPr>
          <w:rFonts w:cs="Arial"/>
          <w:color w:val="202020"/>
          <w:shd w:val="clear" w:color="auto" w:fill="FFFFFF"/>
        </w:rPr>
      </w:pPr>
      <w:r>
        <w:rPr>
          <w:rFonts w:cs="Arial"/>
          <w:color w:val="202020"/>
          <w:shd w:val="clear" w:color="auto" w:fill="FFFFFF"/>
        </w:rPr>
        <w:t>Wellbeing initiatives in the workplace can refer to mindfulness sessions, exercise incentives, clinical supervision or staff surveys (Greg, 2014).</w:t>
      </w:r>
      <w:r w:rsidR="00B709BE">
        <w:rPr>
          <w:rFonts w:cs="Arial"/>
          <w:color w:val="202020"/>
          <w:shd w:val="clear" w:color="auto" w:fill="FFFFFF"/>
        </w:rPr>
        <w:t xml:space="preserve"> </w:t>
      </w:r>
      <w:r w:rsidR="008E3121" w:rsidRPr="008E3121">
        <w:rPr>
          <w:rFonts w:cs="Arial"/>
          <w:color w:val="202020"/>
          <w:shd w:val="clear" w:color="auto" w:fill="FFFFFF"/>
        </w:rPr>
        <w:t>Barod has implemented wellbeing strategies, including a monthly wellbeing hour and private healthcare, based on research showing that time or financially-based incentives are most effective (Cook, 2021).</w:t>
      </w:r>
      <w:r w:rsidR="008E3121">
        <w:rPr>
          <w:rFonts w:cs="Arial"/>
          <w:color w:val="202020"/>
          <w:shd w:val="clear" w:color="auto" w:fill="FFFFFF"/>
        </w:rPr>
        <w:t xml:space="preserve"> </w:t>
      </w:r>
      <w:r w:rsidR="00B709BE">
        <w:rPr>
          <w:rFonts w:cs="Arial"/>
          <w:color w:val="202020"/>
          <w:shd w:val="clear" w:color="auto" w:fill="FFFFFF"/>
        </w:rPr>
        <w:t>Whatever the strategy or tool, the aim should be to protect employees, ensure they are happy in work and</w:t>
      </w:r>
      <w:r w:rsidR="00831553">
        <w:rPr>
          <w:rFonts w:cs="Arial"/>
          <w:color w:val="202020"/>
          <w:shd w:val="clear" w:color="auto" w:fill="FFFFFF"/>
        </w:rPr>
        <w:t xml:space="preserve"> </w:t>
      </w:r>
      <w:r w:rsidR="00B709BE">
        <w:rPr>
          <w:rFonts w:cs="Arial"/>
          <w:color w:val="202020"/>
          <w:shd w:val="clear" w:color="auto" w:fill="FFFFFF"/>
        </w:rPr>
        <w:t xml:space="preserve">motivate best practice (CIPD, 2024). </w:t>
      </w:r>
    </w:p>
    <w:p w14:paraId="23FC02AF" w14:textId="3EDBA15B" w:rsidR="00B709BE" w:rsidRDefault="00B709BE">
      <w:pPr>
        <w:rPr>
          <w:rFonts w:cs="Arial"/>
          <w:color w:val="202020"/>
          <w:shd w:val="clear" w:color="auto" w:fill="FFFFFF"/>
        </w:rPr>
      </w:pPr>
      <w:r>
        <w:rPr>
          <w:rFonts w:cs="Arial"/>
          <w:color w:val="202020"/>
          <w:shd w:val="clear" w:color="auto" w:fill="FFFFFF"/>
        </w:rPr>
        <w:t>Prioritising employees wellbeing is extremely important, as it will inevitably impact the environment of a workplace</w:t>
      </w:r>
      <w:r w:rsidR="00CC0312">
        <w:rPr>
          <w:rFonts w:cs="Arial"/>
          <w:color w:val="202020"/>
          <w:shd w:val="clear" w:color="auto" w:fill="FFFFFF"/>
        </w:rPr>
        <w:t xml:space="preserve"> (Awada &amp; Ismail, 2019; CIPD, 2024). It has been found that the atmosphere of an office space is directly linked to performance (Petchsawang &amp; Duchon, 2009). Therefore, good employee wellbeing is likely to result in good work output.</w:t>
      </w:r>
    </w:p>
    <w:p w14:paraId="6001A147" w14:textId="189042B7" w:rsidR="00CC0312" w:rsidRPr="00CC0312" w:rsidRDefault="00CC0312">
      <w:pPr>
        <w:rPr>
          <w:rFonts w:cs="Arial"/>
          <w:color w:val="202020"/>
          <w:shd w:val="clear" w:color="auto" w:fill="FFFFFF"/>
        </w:rPr>
      </w:pPr>
      <w:r>
        <w:rPr>
          <w:rFonts w:cs="Arial"/>
          <w:color w:val="202020"/>
          <w:shd w:val="clear" w:color="auto" w:fill="FFFFFF"/>
        </w:rPr>
        <w:t xml:space="preserve">Furthermore, teams where wellbeing is considered generally collaborate best, as morale is higher across the board (Bell </w:t>
      </w:r>
      <w:r>
        <w:rPr>
          <w:rFonts w:cs="Arial"/>
          <w:i/>
          <w:iCs/>
          <w:color w:val="202020"/>
          <w:shd w:val="clear" w:color="auto" w:fill="FFFFFF"/>
        </w:rPr>
        <w:t>et al</w:t>
      </w:r>
      <w:r>
        <w:rPr>
          <w:rFonts w:cs="Arial"/>
          <w:color w:val="202020"/>
          <w:shd w:val="clear" w:color="auto" w:fill="FFFFFF"/>
        </w:rPr>
        <w:t>., 2024; CIPD, 2024)</w:t>
      </w:r>
      <w:r w:rsidR="00245C7E">
        <w:rPr>
          <w:rFonts w:cs="Arial"/>
          <w:color w:val="202020"/>
          <w:shd w:val="clear" w:color="auto" w:fill="FFFFFF"/>
        </w:rPr>
        <w:t>.</w:t>
      </w:r>
      <w:r w:rsidR="002664E5">
        <w:rPr>
          <w:rFonts w:cs="Arial"/>
          <w:color w:val="202020"/>
          <w:shd w:val="clear" w:color="auto" w:fill="FFFFFF"/>
        </w:rPr>
        <w:t xml:space="preserve"> However, it is worth considering the risk of distraction within teams if conversation focussed more on irrelevant topics than work (Mark, Iqbal &amp; Czerwinski, 2017). Strong relationships between teams can be highly beneficial and non-related discussions can enhance wellbeing, but balance must be maintained.</w:t>
      </w:r>
    </w:p>
    <w:p w14:paraId="4A272DEE" w14:textId="5786A583" w:rsidR="00C9737A" w:rsidRDefault="002664E5" w:rsidP="00C9737A">
      <w:r w:rsidRPr="00831553">
        <w:lastRenderedPageBreak/>
        <w:t xml:space="preserve">Finally, enhanced employee wellbeing can reduce staff sickness days </w:t>
      </w:r>
      <w:r w:rsidR="00831553">
        <w:t xml:space="preserve">and burnout </w:t>
      </w:r>
      <w:r w:rsidRPr="00831553">
        <w:t>(Hesketh &amp; Cooper, 2023).</w:t>
      </w:r>
      <w:r>
        <w:t xml:space="preserve"> </w:t>
      </w:r>
    </w:p>
    <w:p w14:paraId="7D78D820" w14:textId="60717C2B" w:rsidR="001724A6" w:rsidRDefault="002664E5">
      <w:pPr>
        <w:rPr>
          <w:lang w:val="en-US"/>
        </w:rPr>
      </w:pPr>
      <w:r>
        <w:rPr>
          <w:lang w:val="en-US"/>
        </w:rPr>
        <w:t xml:space="preserve">Clark </w:t>
      </w:r>
      <w:r>
        <w:rPr>
          <w:i/>
          <w:iCs/>
          <w:lang w:val="en-US"/>
        </w:rPr>
        <w:t>et al</w:t>
      </w:r>
      <w:r>
        <w:rPr>
          <w:lang w:val="en-US"/>
        </w:rPr>
        <w:t xml:space="preserve">.’s (2001) study found that those who are not employed, particularly those who have had irregular employment previously, have </w:t>
      </w:r>
      <w:r w:rsidR="00AE099F">
        <w:rPr>
          <w:lang w:val="en-US"/>
        </w:rPr>
        <w:t xml:space="preserve">statistically lower wellbeing. This suggests that those who are employed and produce good work are </w:t>
      </w:r>
      <w:r w:rsidR="00E566C9">
        <w:rPr>
          <w:lang w:val="en-US"/>
        </w:rPr>
        <w:t>likely to have higher wellbeing. This is further supported by Lyubomirsky &amp; Layous (2013)</w:t>
      </w:r>
      <w:r w:rsidR="001724A6">
        <w:rPr>
          <w:lang w:val="en-US"/>
        </w:rPr>
        <w:t xml:space="preserve"> and Cole, Daly &amp; Mak (2009)</w:t>
      </w:r>
      <w:r w:rsidR="00E566C9">
        <w:rPr>
          <w:lang w:val="en-US"/>
        </w:rPr>
        <w:t xml:space="preserve">, who </w:t>
      </w:r>
      <w:r w:rsidR="001724A6">
        <w:rPr>
          <w:lang w:val="en-US"/>
        </w:rPr>
        <w:t>have found that anyone with employment is likely to be ‘healthier and happier’ and those with positive work will have even higher wellbeing.</w:t>
      </w:r>
      <w:r w:rsidR="00831553">
        <w:rPr>
          <w:lang w:val="en-US"/>
        </w:rPr>
        <w:t xml:space="preserve"> </w:t>
      </w:r>
    </w:p>
    <w:p w14:paraId="47326CE1" w14:textId="61E15ECC" w:rsidR="002664E5" w:rsidRDefault="001724A6">
      <w:pPr>
        <w:rPr>
          <w:lang w:val="en-US"/>
        </w:rPr>
      </w:pPr>
      <w:r>
        <w:rPr>
          <w:lang w:val="en-US"/>
        </w:rPr>
        <w:t>However, it must be acknowledged that over-working can have an extremely the opposite impact on individuals if work-life balance aren’t encouraged by employers, particularly since Covid-19 where wellbeing is prioritised more highly than ever (</w:t>
      </w:r>
      <w:proofErr w:type="spellStart"/>
      <w:r>
        <w:rPr>
          <w:lang w:val="en-US"/>
        </w:rPr>
        <w:t>Waworuntu</w:t>
      </w:r>
      <w:proofErr w:type="spellEnd"/>
      <w:r>
        <w:rPr>
          <w:lang w:val="en-US"/>
        </w:rPr>
        <w:t xml:space="preserve">, </w:t>
      </w:r>
      <w:proofErr w:type="spellStart"/>
      <w:r>
        <w:rPr>
          <w:lang w:val="en-US"/>
        </w:rPr>
        <w:t>Kainde</w:t>
      </w:r>
      <w:proofErr w:type="spellEnd"/>
      <w:r>
        <w:rPr>
          <w:lang w:val="en-US"/>
        </w:rPr>
        <w:t xml:space="preserve"> &amp; </w:t>
      </w:r>
      <w:proofErr w:type="spellStart"/>
      <w:r>
        <w:rPr>
          <w:lang w:val="en-US"/>
        </w:rPr>
        <w:t>Mandagi</w:t>
      </w:r>
      <w:proofErr w:type="spellEnd"/>
      <w:r>
        <w:rPr>
          <w:lang w:val="en-US"/>
        </w:rPr>
        <w:t>, 2022).</w:t>
      </w:r>
    </w:p>
    <w:p w14:paraId="4093BCDE" w14:textId="77777777" w:rsidR="006D012D" w:rsidRDefault="006D012D">
      <w:pPr>
        <w:rPr>
          <w:b/>
          <w:bCs/>
          <w:i/>
          <w:iCs/>
          <w:lang w:val="en-US"/>
        </w:rPr>
      </w:pPr>
    </w:p>
    <w:p w14:paraId="5E1923D4" w14:textId="77777777" w:rsidR="006D012D" w:rsidRDefault="006D012D">
      <w:pPr>
        <w:rPr>
          <w:b/>
          <w:bCs/>
          <w:i/>
          <w:iCs/>
          <w:lang w:val="en-US"/>
        </w:rPr>
      </w:pPr>
    </w:p>
    <w:p w14:paraId="2F33FD0E" w14:textId="7EC17101" w:rsidR="007B2B6B" w:rsidRDefault="007B2B6B">
      <w:pPr>
        <w:rPr>
          <w:b/>
          <w:bCs/>
          <w:lang w:val="en-US"/>
        </w:rPr>
      </w:pPr>
      <w:r>
        <w:rPr>
          <w:b/>
          <w:bCs/>
          <w:lang w:val="en-US"/>
        </w:rPr>
        <w:t>Attract</w:t>
      </w:r>
    </w:p>
    <w:p w14:paraId="1EECFD54" w14:textId="703E9F01" w:rsidR="00737409" w:rsidRDefault="00737409">
      <w:r>
        <w:rPr>
          <w:lang w:val="en-US"/>
        </w:rPr>
        <w:t>This is the time when applicant</w:t>
      </w:r>
      <w:r w:rsidR="00374495">
        <w:rPr>
          <w:lang w:val="en-US"/>
        </w:rPr>
        <w:t>s</w:t>
      </w:r>
      <w:r>
        <w:rPr>
          <w:lang w:val="en-US"/>
        </w:rPr>
        <w:t xml:space="preserve"> become</w:t>
      </w:r>
      <w:r w:rsidR="00374495">
        <w:rPr>
          <w:lang w:val="en-US"/>
        </w:rPr>
        <w:t xml:space="preserve"> </w:t>
      </w:r>
      <w:r>
        <w:rPr>
          <w:lang w:val="en-US"/>
        </w:rPr>
        <w:t xml:space="preserve">interested in a company and decide they would like to work for them (Taylor &amp; Woodhams, 2022). </w:t>
      </w:r>
      <w:r w:rsidR="00872309">
        <w:rPr>
          <w:lang w:val="en-US"/>
        </w:rPr>
        <w:t xml:space="preserve">This is often done through employer branding, </w:t>
      </w:r>
      <w:r w:rsidR="00872309" w:rsidRPr="00A84442">
        <w:rPr>
          <w:lang w:val="en-US"/>
        </w:rPr>
        <w:t xml:space="preserve">where a range of techniques are used by organisations to advertise themselves as a great place to work </w:t>
      </w:r>
      <w:r w:rsidR="00872309" w:rsidRPr="00A84442">
        <w:t>(</w:t>
      </w:r>
      <w:proofErr w:type="spellStart"/>
      <w:r w:rsidR="00872309" w:rsidRPr="00A84442">
        <w:t>Backaus</w:t>
      </w:r>
      <w:proofErr w:type="spellEnd"/>
      <w:r w:rsidR="00872309" w:rsidRPr="00A84442">
        <w:t xml:space="preserve"> &amp; Tikoo, 2004). </w:t>
      </w:r>
      <w:proofErr w:type="spellStart"/>
      <w:r w:rsidR="00872309" w:rsidRPr="00A84442">
        <w:t>Sokro’s</w:t>
      </w:r>
      <w:proofErr w:type="spellEnd"/>
      <w:r w:rsidR="00872309" w:rsidRPr="00A84442">
        <w:t xml:space="preserve"> (2012) study found that many organisations are now working to improve their branding, in a time where competition</w:t>
      </w:r>
      <w:r w:rsidR="00872309">
        <w:t xml:space="preserve"> between employers is high.</w:t>
      </w:r>
    </w:p>
    <w:p w14:paraId="6764C17C" w14:textId="4E1A82BD" w:rsidR="007B2B6B" w:rsidRDefault="007B2B6B">
      <w:pPr>
        <w:rPr>
          <w:b/>
          <w:bCs/>
          <w:lang w:val="en-US"/>
        </w:rPr>
      </w:pPr>
      <w:r>
        <w:rPr>
          <w:b/>
          <w:bCs/>
          <w:lang w:val="en-US"/>
        </w:rPr>
        <w:t>Recruit</w:t>
      </w:r>
    </w:p>
    <w:p w14:paraId="208BBD21" w14:textId="150EF6B8" w:rsidR="009F1322" w:rsidRDefault="00872309">
      <w:pPr>
        <w:rPr>
          <w:lang w:val="en-US"/>
        </w:rPr>
      </w:pPr>
      <w:r>
        <w:rPr>
          <w:lang w:val="en-US"/>
        </w:rPr>
        <w:t xml:space="preserve">People practices are heavily involved </w:t>
      </w:r>
      <w:r w:rsidR="008E3121">
        <w:rPr>
          <w:lang w:val="en-US"/>
        </w:rPr>
        <w:t>during recruitment</w:t>
      </w:r>
      <w:r>
        <w:rPr>
          <w:lang w:val="en-US"/>
        </w:rPr>
        <w:t xml:space="preserve">, particularly in terms of workforce planning and ensuring processes are inclusive and fair to candidates (Vikas </w:t>
      </w:r>
      <w:r>
        <w:rPr>
          <w:i/>
          <w:iCs/>
          <w:lang w:val="en-US"/>
        </w:rPr>
        <w:t>et al</w:t>
      </w:r>
      <w:r>
        <w:rPr>
          <w:lang w:val="en-US"/>
        </w:rPr>
        <w:t>., 2024</w:t>
      </w:r>
      <w:r w:rsidR="008E3121">
        <w:rPr>
          <w:lang w:val="en-US"/>
        </w:rPr>
        <w:t xml:space="preserve">; </w:t>
      </w:r>
      <w:r w:rsidR="008E3121">
        <w:rPr>
          <w:lang w:val="en-US"/>
        </w:rPr>
        <w:t>Taylor &amp; Woodhams, 2022</w:t>
      </w:r>
      <w:r>
        <w:rPr>
          <w:lang w:val="en-US"/>
        </w:rPr>
        <w:t>).</w:t>
      </w:r>
      <w:r w:rsidR="009F1322">
        <w:rPr>
          <w:lang w:val="en-US"/>
        </w:rPr>
        <w:t xml:space="preserve"> </w:t>
      </w:r>
    </w:p>
    <w:p w14:paraId="75A67F20" w14:textId="146D1D09" w:rsidR="00872309" w:rsidRPr="00872309" w:rsidRDefault="009F1322">
      <w:pPr>
        <w:rPr>
          <w:lang w:val="en-US"/>
        </w:rPr>
      </w:pPr>
      <w:r>
        <w:rPr>
          <w:lang w:val="en-US"/>
        </w:rPr>
        <w:t xml:space="preserve">It is important for an organisation’s HR team to </w:t>
      </w:r>
      <w:proofErr w:type="spellStart"/>
      <w:r>
        <w:rPr>
          <w:lang w:val="en-US"/>
        </w:rPr>
        <w:t>analyse</w:t>
      </w:r>
      <w:proofErr w:type="spellEnd"/>
      <w:r>
        <w:rPr>
          <w:lang w:val="en-US"/>
        </w:rPr>
        <w:t xml:space="preserve"> whether or not a role is necessary and how it fits into the structure before recruitment is approved (CIPD, 2024). They must also closely monitor job descriptions, advertisements and person specifications to ensure that they are clear and could be used performance management, when a candidate is appointed (CIPD, 2024). The job description should also clearly highlight any information that a candidate may need, from the basis details of the role such as location to the company’s benefits package (CIPD, 2024).</w:t>
      </w:r>
    </w:p>
    <w:p w14:paraId="15DBB91D" w14:textId="1FD038FC" w:rsidR="00A75DC2" w:rsidRDefault="00A75DC2">
      <w:pPr>
        <w:rPr>
          <w:b/>
          <w:bCs/>
          <w:lang w:val="en-US"/>
        </w:rPr>
      </w:pPr>
      <w:r>
        <w:rPr>
          <w:b/>
          <w:bCs/>
          <w:lang w:val="en-US"/>
        </w:rPr>
        <w:t>Selection</w:t>
      </w:r>
    </w:p>
    <w:p w14:paraId="7BDF4635" w14:textId="481760BB" w:rsidR="009F1322" w:rsidRPr="009F1322" w:rsidRDefault="009F1322">
      <w:pPr>
        <w:rPr>
          <w:lang w:val="en-US"/>
        </w:rPr>
      </w:pPr>
      <w:r>
        <w:rPr>
          <w:lang w:val="en-US"/>
        </w:rPr>
        <w:t>It’s important that selection is seen as a two-way system between an employer and candidate, allowing the employer to decide if someone is right for the job and candidates to decide whether they would like to work somewhere (CIPD, 2024; Taylor &amp; Woodhams, 2022). This can be done through application forms and any form of interview, such as face to face, online or with pre-recorded questions.</w:t>
      </w:r>
    </w:p>
    <w:p w14:paraId="76BD0FFD" w14:textId="158FC7C9" w:rsidR="007B2B6B" w:rsidRDefault="007B2B6B">
      <w:pPr>
        <w:rPr>
          <w:b/>
          <w:bCs/>
          <w:lang w:val="en-US"/>
        </w:rPr>
      </w:pPr>
      <w:r>
        <w:rPr>
          <w:b/>
          <w:bCs/>
          <w:lang w:val="en-US"/>
        </w:rPr>
        <w:t>Onboard</w:t>
      </w:r>
    </w:p>
    <w:p w14:paraId="03BFDE7B" w14:textId="1FD365C2" w:rsidR="009F1322" w:rsidRPr="009F1322" w:rsidRDefault="009F1322">
      <w:pPr>
        <w:rPr>
          <w:lang w:val="en-US"/>
        </w:rPr>
      </w:pPr>
      <w:r>
        <w:rPr>
          <w:lang w:val="en-US"/>
        </w:rPr>
        <w:t xml:space="preserve">Onboarding is the time between a new employee starting in role and when they are fully settled and trained to do their job (Taylor &amp; Woodhams, 2022). It is important that employers ensure they are giving enough support during this time, </w:t>
      </w:r>
      <w:proofErr w:type="spellStart"/>
      <w:r>
        <w:rPr>
          <w:lang w:val="en-US"/>
        </w:rPr>
        <w:t>recognising</w:t>
      </w:r>
      <w:proofErr w:type="spellEnd"/>
      <w:r>
        <w:rPr>
          <w:lang w:val="en-US"/>
        </w:rPr>
        <w:t xml:space="preserve"> that starting in a new role can be </w:t>
      </w:r>
      <w:r>
        <w:rPr>
          <w:lang w:val="en-US"/>
        </w:rPr>
        <w:lastRenderedPageBreak/>
        <w:t>daunting and that people will require guidance</w:t>
      </w:r>
      <w:r w:rsidR="007C15A2">
        <w:rPr>
          <w:lang w:val="en-US"/>
        </w:rPr>
        <w:t xml:space="preserve"> (Caldwell &amp; Peters, 2018). The first six months of someone’s employment can often be the time in which they decide to leave if not onboarded effectively, meaning that money can be lost (Taylor &amp; Woodhams, 2022).</w:t>
      </w:r>
    </w:p>
    <w:p w14:paraId="4D226138" w14:textId="71E24104" w:rsidR="007B2B6B" w:rsidRDefault="007B2B6B">
      <w:pPr>
        <w:rPr>
          <w:b/>
          <w:bCs/>
          <w:highlight w:val="yellow"/>
          <w:lang w:val="en-US"/>
        </w:rPr>
      </w:pPr>
      <w:r w:rsidRPr="007855BD">
        <w:rPr>
          <w:b/>
          <w:bCs/>
          <w:lang w:val="en-US"/>
        </w:rPr>
        <w:t>Develop</w:t>
      </w:r>
    </w:p>
    <w:p w14:paraId="0C29A7F6" w14:textId="5B032851" w:rsidR="00C230D7" w:rsidRPr="00C230D7" w:rsidRDefault="00C230D7">
      <w:pPr>
        <w:rPr>
          <w:lang w:val="en-US"/>
        </w:rPr>
      </w:pPr>
      <w:r>
        <w:rPr>
          <w:lang w:val="en-US"/>
        </w:rPr>
        <w:t>This refers to the ongoing training and development opportunities that staff are offered. It is important that human resources are involved in this function, to ensure that opportunities are of high quality and purposeful (Coates, 2012).</w:t>
      </w:r>
      <w:r w:rsidR="007855BD">
        <w:rPr>
          <w:lang w:val="en-US"/>
        </w:rPr>
        <w:t xml:space="preserve"> It is also important that people practice professionals work closely with those planning and delivering training to ensure they are in line with workforce planning, targeting skills gaps (Gibson, 2021).</w:t>
      </w:r>
    </w:p>
    <w:p w14:paraId="79422DA4" w14:textId="77777777" w:rsidR="00737409" w:rsidRDefault="00737409" w:rsidP="00737409">
      <w:pPr>
        <w:rPr>
          <w:b/>
          <w:bCs/>
          <w:lang w:val="en-US"/>
        </w:rPr>
      </w:pPr>
      <w:r>
        <w:rPr>
          <w:b/>
          <w:bCs/>
          <w:lang w:val="en-US"/>
        </w:rPr>
        <w:t>Retain</w:t>
      </w:r>
    </w:p>
    <w:p w14:paraId="745B0D45" w14:textId="77777777" w:rsidR="008E3121" w:rsidRDefault="007C15A2">
      <w:r>
        <w:rPr>
          <w:lang w:val="en-US"/>
        </w:rPr>
        <w:t xml:space="preserve">Once a staff member has been onboarded, it’s important for organisations to continue to work to retain them (Taylor &amp; Woodhams, 2022). For many employees, job satisfaction can begin to decline when they are settled in a new role. </w:t>
      </w:r>
      <w:r w:rsidR="008E3121">
        <w:t>Gallup (2022) found that nearly 85% of employees worldwide are not engaged at work, and this percentage may have increased since the study. Employers should continue to recognize and value their employees, implementing strategies like staff surveys and regular supervisions to address issues early.</w:t>
      </w:r>
    </w:p>
    <w:p w14:paraId="1F2BCEB0" w14:textId="73AAA3CE" w:rsidR="007B2B6B" w:rsidRDefault="007B2B6B">
      <w:pPr>
        <w:rPr>
          <w:b/>
          <w:bCs/>
          <w:lang w:val="en-US"/>
        </w:rPr>
      </w:pPr>
      <w:r>
        <w:rPr>
          <w:b/>
          <w:bCs/>
          <w:lang w:val="en-US"/>
        </w:rPr>
        <w:t>Separate</w:t>
      </w:r>
    </w:p>
    <w:p w14:paraId="733887ED" w14:textId="5E2A1753" w:rsidR="001B54C5" w:rsidRDefault="001B54C5">
      <w:pPr>
        <w:rPr>
          <w:lang w:val="en-US"/>
        </w:rPr>
      </w:pPr>
      <w:r>
        <w:rPr>
          <w:lang w:val="en-US"/>
        </w:rPr>
        <w:t>The role of people practice in employee separation depends on why an employee is leaving, generally one of four reasons: voluntary resignation; retirement; dismissal and redundancy (Taylor &amp; Woodhams, 2022).</w:t>
      </w:r>
    </w:p>
    <w:p w14:paraId="6F46A64E" w14:textId="51CB7933" w:rsidR="00A84442" w:rsidRPr="00AE3C3F" w:rsidRDefault="00A84442" w:rsidP="00AE3C3F">
      <w:pPr>
        <w:rPr>
          <w:lang w:val="en-US"/>
        </w:rPr>
      </w:pPr>
      <w:r w:rsidRPr="00AE3C3F">
        <w:rPr>
          <w:lang w:val="en-US"/>
        </w:rPr>
        <w:t>Voluntary resignation</w:t>
      </w:r>
    </w:p>
    <w:p w14:paraId="3E465C4F" w14:textId="39CFE6D1" w:rsidR="00A84442" w:rsidRDefault="00A84442" w:rsidP="00A84442">
      <w:pPr>
        <w:rPr>
          <w:lang w:val="en-US"/>
        </w:rPr>
      </w:pPr>
      <w:r>
        <w:rPr>
          <w:lang w:val="en-US"/>
        </w:rPr>
        <w:t>HR can investigate reasons why people leave through exit interviews or questionnaires, to implement changes for future employees (Taylor &amp; Woodhams, 2022).</w:t>
      </w:r>
    </w:p>
    <w:p w14:paraId="366B76E5" w14:textId="52C780F1" w:rsidR="00A84442" w:rsidRPr="00AE3C3F" w:rsidRDefault="00A84442">
      <w:pPr>
        <w:rPr>
          <w:lang w:val="en-US"/>
        </w:rPr>
      </w:pPr>
      <w:r w:rsidRPr="00AE3C3F">
        <w:rPr>
          <w:lang w:val="en-US"/>
        </w:rPr>
        <w:t>Retirement</w:t>
      </w:r>
    </w:p>
    <w:p w14:paraId="78B7557E" w14:textId="77A2C2C6" w:rsidR="00A84442" w:rsidRDefault="00A84442" w:rsidP="00A84442">
      <w:pPr>
        <w:rPr>
          <w:lang w:val="en-US"/>
        </w:rPr>
      </w:pPr>
      <w:r>
        <w:rPr>
          <w:lang w:val="en-US"/>
        </w:rPr>
        <w:t xml:space="preserve">HR can offer employees of retirement age alternative options such as less hours, less responsibility or the opportunity to support on a more casual basis on a </w:t>
      </w:r>
      <w:proofErr w:type="spellStart"/>
      <w:r>
        <w:rPr>
          <w:lang w:val="en-US"/>
        </w:rPr>
        <w:t>zero-hour</w:t>
      </w:r>
      <w:proofErr w:type="spellEnd"/>
      <w:r>
        <w:rPr>
          <w:lang w:val="en-US"/>
        </w:rPr>
        <w:t xml:space="preserve"> contract (Taylor &amp; Woodhams, 2022).</w:t>
      </w:r>
    </w:p>
    <w:p w14:paraId="0B64E9F7" w14:textId="6B65A053" w:rsidR="00A84442" w:rsidRPr="00AE3C3F" w:rsidRDefault="00A84442">
      <w:pPr>
        <w:rPr>
          <w:lang w:val="en-US"/>
        </w:rPr>
      </w:pPr>
      <w:r w:rsidRPr="00AE3C3F">
        <w:rPr>
          <w:lang w:val="en-US"/>
        </w:rPr>
        <w:t>Dismissal</w:t>
      </w:r>
    </w:p>
    <w:p w14:paraId="22DFD1F7" w14:textId="130A8A86" w:rsidR="00A84442" w:rsidRDefault="00A84442" w:rsidP="00A84442">
      <w:pPr>
        <w:rPr>
          <w:lang w:val="en-US"/>
        </w:rPr>
      </w:pPr>
      <w:r>
        <w:rPr>
          <w:lang w:val="en-US"/>
        </w:rPr>
        <w:t>HR must ensure that there is a valid reason for dismissal, in line with ACAS Code of Practice. They must also ensure that the correct grievance procedures are followed leading up to dismissal (Taylor &amp; Woodhams, 2022).</w:t>
      </w:r>
    </w:p>
    <w:p w14:paraId="70FA4639" w14:textId="4B6A87ED" w:rsidR="00A84442" w:rsidRPr="00AE3C3F" w:rsidRDefault="00A84442">
      <w:pPr>
        <w:rPr>
          <w:lang w:val="en-US"/>
        </w:rPr>
      </w:pPr>
      <w:r w:rsidRPr="00AE3C3F">
        <w:rPr>
          <w:lang w:val="en-US"/>
        </w:rPr>
        <w:t>Redundancy</w:t>
      </w:r>
    </w:p>
    <w:p w14:paraId="05DF262E" w14:textId="21581FC2" w:rsidR="00A84442" w:rsidRDefault="00A84442">
      <w:pPr>
        <w:rPr>
          <w:lang w:val="en-US"/>
        </w:rPr>
      </w:pPr>
      <w:r>
        <w:rPr>
          <w:lang w:val="en-US"/>
        </w:rPr>
        <w:t xml:space="preserve">Again, HR must ensure that correct redundancy procedures are followed, in line with ACAS Code of Practice. They should also ensure that all alternative options have first been </w:t>
      </w:r>
      <w:proofErr w:type="spellStart"/>
      <w:r>
        <w:rPr>
          <w:lang w:val="en-US"/>
        </w:rPr>
        <w:t>exploed</w:t>
      </w:r>
      <w:proofErr w:type="spellEnd"/>
      <w:r>
        <w:rPr>
          <w:lang w:val="en-US"/>
        </w:rPr>
        <w:t>, such as redeployment and agreed pay cuts (Taylor &amp; Woodhams, 2022).</w:t>
      </w:r>
    </w:p>
    <w:p w14:paraId="2B1F198E" w14:textId="77777777" w:rsidR="006D012D" w:rsidRDefault="006D012D" w:rsidP="000746A1">
      <w:pPr>
        <w:rPr>
          <w:b/>
          <w:bCs/>
          <w:i/>
          <w:iCs/>
          <w:lang w:val="en-US"/>
        </w:rPr>
      </w:pPr>
    </w:p>
    <w:p w14:paraId="7CA263C9" w14:textId="77777777" w:rsidR="006D012D" w:rsidRDefault="006D012D" w:rsidP="000746A1">
      <w:pPr>
        <w:rPr>
          <w:b/>
          <w:bCs/>
          <w:i/>
          <w:iCs/>
          <w:lang w:val="en-US"/>
        </w:rPr>
      </w:pPr>
    </w:p>
    <w:p w14:paraId="69A19C96" w14:textId="632424BD" w:rsidR="000746A1" w:rsidRPr="003E7639" w:rsidRDefault="000746A1" w:rsidP="000746A1">
      <w:pPr>
        <w:rPr>
          <w:b/>
          <w:bCs/>
          <w:lang w:val="en-US"/>
        </w:rPr>
      </w:pPr>
      <w:r w:rsidRPr="003E7639">
        <w:rPr>
          <w:b/>
          <w:bCs/>
          <w:lang w:val="en-US"/>
        </w:rPr>
        <w:t>Vertical Integration</w:t>
      </w:r>
    </w:p>
    <w:p w14:paraId="6926DEB0" w14:textId="7CB55F8D" w:rsidR="001F1606" w:rsidRDefault="001F1606" w:rsidP="000746A1">
      <w:pPr>
        <w:rPr>
          <w:lang w:val="en-US"/>
        </w:rPr>
      </w:pPr>
      <w:r>
        <w:rPr>
          <w:lang w:val="en-US"/>
        </w:rPr>
        <w:lastRenderedPageBreak/>
        <w:t xml:space="preserve">This refers to the way in which a </w:t>
      </w:r>
      <w:r w:rsidR="006A06A4">
        <w:rPr>
          <w:lang w:val="en-US"/>
        </w:rPr>
        <w:t>HR</w:t>
      </w:r>
      <w:r>
        <w:rPr>
          <w:lang w:val="en-US"/>
        </w:rPr>
        <w:t xml:space="preserve"> department’s </w:t>
      </w:r>
      <w:r w:rsidR="006A06A4">
        <w:rPr>
          <w:lang w:val="en-US"/>
        </w:rPr>
        <w:t>main target is to support the organisational strategy (Torrington, 2020). All people practice is planned with the aim of improving the success of the service provided. For example, the HR team are likely to align performance management and KPIs with strategy, creating targets for employees that are directly linked to service success (</w:t>
      </w:r>
      <w:proofErr w:type="spellStart"/>
      <w:r w:rsidR="006A06A4">
        <w:rPr>
          <w:lang w:val="en-US"/>
        </w:rPr>
        <w:t>Holbeche</w:t>
      </w:r>
      <w:proofErr w:type="spellEnd"/>
      <w:r w:rsidR="006A06A4">
        <w:rPr>
          <w:lang w:val="en-US"/>
        </w:rPr>
        <w:t>, 2022). This integration style ensures that people practice teams are working more strategically and ensuring that every decision has a purpose. However, it can take focus away from caring for employees development and wellbeing, which could result in lack of engagement (Mello, 2015).</w:t>
      </w:r>
    </w:p>
    <w:p w14:paraId="72337601" w14:textId="41471183" w:rsidR="0040280D" w:rsidRDefault="000746A1" w:rsidP="000746A1">
      <w:pPr>
        <w:rPr>
          <w:b/>
          <w:bCs/>
          <w:lang w:val="en-US"/>
        </w:rPr>
      </w:pPr>
      <w:r w:rsidRPr="003E7639">
        <w:rPr>
          <w:b/>
          <w:bCs/>
          <w:lang w:val="en-US"/>
        </w:rPr>
        <w:t>Horizontal Integration</w:t>
      </w:r>
    </w:p>
    <w:p w14:paraId="78643730" w14:textId="4E1C42A0" w:rsidR="006A06A4" w:rsidRDefault="006A06A4" w:rsidP="000746A1">
      <w:pPr>
        <w:rPr>
          <w:lang w:val="en-US"/>
        </w:rPr>
      </w:pPr>
      <w:r>
        <w:rPr>
          <w:lang w:val="en-US"/>
        </w:rPr>
        <w:t>This is when people practice is designed with employees’ best interests in mind, where all HR functions are planned around this. Organisations that work in this way usually have values that are followed and, occasionally, plan their work based on a specific goal</w:t>
      </w:r>
      <w:r w:rsidR="00706913">
        <w:rPr>
          <w:lang w:val="en-US"/>
        </w:rPr>
        <w:t xml:space="preserve"> (Torrington, 2020)</w:t>
      </w:r>
      <w:r>
        <w:rPr>
          <w:lang w:val="en-US"/>
        </w:rPr>
        <w:t xml:space="preserve">. For example, </w:t>
      </w:r>
      <w:r w:rsidR="008E3121" w:rsidRPr="008E3121">
        <w:t>Barod is creating an action plan focused on trauma-informed practice, with all departments working toward the same goal. This includes Recruitment ensuring trauma-informed processes and Learning and Development delivering relevant training.</w:t>
      </w:r>
      <w:r w:rsidR="008E3121">
        <w:t xml:space="preserve"> </w:t>
      </w:r>
      <w:r>
        <w:rPr>
          <w:lang w:val="en-US"/>
        </w:rPr>
        <w:t>Although this style values employees, which is likely to result in best work,</w:t>
      </w:r>
      <w:r w:rsidR="00EB72F1">
        <w:rPr>
          <w:lang w:val="en-US"/>
        </w:rPr>
        <w:t xml:space="preserve"> it can cause slower results whilst different professionals communicate</w:t>
      </w:r>
      <w:r w:rsidR="00706913">
        <w:rPr>
          <w:lang w:val="en-US"/>
        </w:rPr>
        <w:t xml:space="preserve"> (</w:t>
      </w:r>
      <w:proofErr w:type="spellStart"/>
      <w:r w:rsidR="00706913">
        <w:rPr>
          <w:lang w:val="en-US"/>
        </w:rPr>
        <w:t>Holbeche</w:t>
      </w:r>
      <w:proofErr w:type="spellEnd"/>
      <w:r w:rsidR="00706913">
        <w:rPr>
          <w:lang w:val="en-US"/>
        </w:rPr>
        <w:t>, 2022)</w:t>
      </w:r>
      <w:r w:rsidR="00EB72F1">
        <w:rPr>
          <w:lang w:val="en-US"/>
        </w:rPr>
        <w:t>.</w:t>
      </w:r>
    </w:p>
    <w:p w14:paraId="7DE483F3" w14:textId="77777777" w:rsidR="006D012D" w:rsidRDefault="006D012D">
      <w:pPr>
        <w:rPr>
          <w:b/>
          <w:bCs/>
          <w:i/>
          <w:iCs/>
          <w:lang w:val="en-US"/>
        </w:rPr>
      </w:pPr>
    </w:p>
    <w:p w14:paraId="18F3FFD5" w14:textId="77777777" w:rsidR="006D012D" w:rsidRDefault="006D012D">
      <w:pPr>
        <w:rPr>
          <w:b/>
          <w:bCs/>
          <w:i/>
          <w:iCs/>
          <w:lang w:val="en-US"/>
        </w:rPr>
      </w:pPr>
    </w:p>
    <w:p w14:paraId="26864EE7" w14:textId="42A6ED8D" w:rsidR="00DC1D39" w:rsidRPr="00DC1D39" w:rsidRDefault="00DC1D39">
      <w:pPr>
        <w:rPr>
          <w:b/>
          <w:bCs/>
          <w:lang w:val="en-US"/>
        </w:rPr>
      </w:pPr>
      <w:r>
        <w:rPr>
          <w:b/>
          <w:bCs/>
          <w:lang w:val="en-US"/>
        </w:rPr>
        <w:t>People-centric approach to change</w:t>
      </w:r>
    </w:p>
    <w:p w14:paraId="4986F84F" w14:textId="77D0D767" w:rsidR="00DC1D39" w:rsidRDefault="00632BE8">
      <w:pPr>
        <w:rPr>
          <w:lang w:val="en-US"/>
        </w:rPr>
      </w:pPr>
      <w:r>
        <w:rPr>
          <w:lang w:val="en-US"/>
        </w:rPr>
        <w:t>As mentioned in AC 2.2, whenever an organisational change is implemented it’s vital to allow contributions from employees. Not only does this result in higher staff buy-in, it also means that decisions are made with more diverse thoughts and ideas in mind (Hodges, 2024; Barry &amp; Wilkinson, 2022).</w:t>
      </w:r>
      <w:r w:rsidR="004D6A66">
        <w:rPr>
          <w:lang w:val="en-US"/>
        </w:rPr>
        <w:t xml:space="preserve"> In support, Gibson’s (2021) study found that acknowledging employees’ voices has a positive impact on their commitment to a role.</w:t>
      </w:r>
    </w:p>
    <w:p w14:paraId="1F332110" w14:textId="340B4F3F" w:rsidR="00632BE8" w:rsidRPr="002F7A82" w:rsidRDefault="002F7A82">
      <w:pPr>
        <w:rPr>
          <w:b/>
          <w:bCs/>
          <w:lang w:val="en-US"/>
        </w:rPr>
      </w:pPr>
      <w:r w:rsidRPr="002F7A82">
        <w:rPr>
          <w:b/>
          <w:bCs/>
          <w:lang w:val="en-US"/>
        </w:rPr>
        <w:t>Direct consultation through informal meetings</w:t>
      </w:r>
    </w:p>
    <w:p w14:paraId="012D65A1" w14:textId="551F8D92" w:rsidR="00393714" w:rsidRDefault="004D6A66">
      <w:pPr>
        <w:rPr>
          <w:lang w:val="en-US"/>
        </w:rPr>
      </w:pPr>
      <w:r>
        <w:rPr>
          <w:lang w:val="en-US"/>
        </w:rPr>
        <w:t>Informal meetings are commonly used for consultation across organisations, due to the way that they allow for encourage transparency between employees and management</w:t>
      </w:r>
      <w:r w:rsidR="006A63FA">
        <w:rPr>
          <w:lang w:val="en-US"/>
        </w:rPr>
        <w:t xml:space="preserve"> (Torrington </w:t>
      </w:r>
      <w:r w:rsidR="006A63FA">
        <w:rPr>
          <w:i/>
          <w:iCs/>
          <w:lang w:val="en-US"/>
        </w:rPr>
        <w:t>et al</w:t>
      </w:r>
      <w:r w:rsidR="006A63FA">
        <w:rPr>
          <w:lang w:val="en-US"/>
        </w:rPr>
        <w:t>., 2020</w:t>
      </w:r>
      <w:r w:rsidR="009A76FE">
        <w:rPr>
          <w:lang w:val="en-US"/>
        </w:rPr>
        <w:t xml:space="preserve">). </w:t>
      </w:r>
      <w:r w:rsidR="00393714">
        <w:rPr>
          <w:lang w:val="en-US"/>
        </w:rPr>
        <w:t>Meetings like these are useful as they can be used to discuss specific events and concerns. They would be a useful tool for discussing the concept of a four-day working week, whilst gauging the opinions and needs of employees.</w:t>
      </w:r>
    </w:p>
    <w:p w14:paraId="571FAD83" w14:textId="35813AAA" w:rsidR="004D6A66" w:rsidRDefault="00393714">
      <w:pPr>
        <w:rPr>
          <w:lang w:val="en-US"/>
        </w:rPr>
      </w:pPr>
      <w:r>
        <w:rPr>
          <w:lang w:val="en-US"/>
        </w:rPr>
        <w:t>However, it is important to ensure that these meetings are a two way process, where employees are given the opportunity to share their thoughts, rather than an opportunity for employees to be informed of changes due to happen (Kim &amp; Hong, 2021).</w:t>
      </w:r>
    </w:p>
    <w:p w14:paraId="4978F64B" w14:textId="14EA8624" w:rsidR="00DC1D39" w:rsidRDefault="002F7A82">
      <w:pPr>
        <w:rPr>
          <w:b/>
          <w:bCs/>
          <w:lang w:val="en-US"/>
        </w:rPr>
      </w:pPr>
      <w:r>
        <w:rPr>
          <w:b/>
          <w:bCs/>
          <w:lang w:val="en-US"/>
        </w:rPr>
        <w:t>Attitude surveys</w:t>
      </w:r>
    </w:p>
    <w:p w14:paraId="0EDF6E34" w14:textId="368702DD" w:rsidR="00393714" w:rsidRDefault="00393714" w:rsidP="00393714">
      <w:pPr>
        <w:rPr>
          <w:lang w:val="en-US"/>
        </w:rPr>
      </w:pPr>
      <w:r>
        <w:rPr>
          <w:lang w:val="en-US"/>
        </w:rPr>
        <w:t>Attitude surveys are an indirect method for obtaining employee opinions, seen by Pate and Beaumont (2010) as one of the leading employee voice methods.</w:t>
      </w:r>
      <w:r>
        <w:rPr>
          <w:lang w:val="en-US"/>
        </w:rPr>
        <w:t xml:space="preserve"> Surveys are extremely useful as they give staff the opportunity to be completely honest, without their opinions behind impacted by that of those around them (Torrington </w:t>
      </w:r>
      <w:r>
        <w:rPr>
          <w:i/>
          <w:iCs/>
          <w:lang w:val="en-US"/>
        </w:rPr>
        <w:t>et al</w:t>
      </w:r>
      <w:r>
        <w:rPr>
          <w:lang w:val="en-US"/>
        </w:rPr>
        <w:t>., 2020). The use of surveys could be useful for obtaining staff opinions of a four-day week as this is a topic where employees are likely to have different opinions to one another, allowing individuals t</w:t>
      </w:r>
      <w:r w:rsidR="000746A1">
        <w:rPr>
          <w:lang w:val="en-US"/>
        </w:rPr>
        <w:t>he space to share their thoughts.</w:t>
      </w:r>
    </w:p>
    <w:p w14:paraId="59639ED2" w14:textId="7485B68B" w:rsidR="000746A1" w:rsidRDefault="000746A1" w:rsidP="00393714">
      <w:pPr>
        <w:rPr>
          <w:lang w:val="en-US"/>
        </w:rPr>
      </w:pPr>
      <w:r>
        <w:rPr>
          <w:lang w:val="en-US"/>
        </w:rPr>
        <w:lastRenderedPageBreak/>
        <w:t>When conducting surveys in an organisation, it is important to ensure that responses are acknowledged, to avoid staff feeling unheard (Wiley, 2012). It’s important for the thoughts shared regarding a four-day week to be incorporated into the final decision, where possible, or otherwise provided feedback on.</w:t>
      </w:r>
    </w:p>
    <w:p w14:paraId="57FA45A2" w14:textId="25B33E37" w:rsidR="00BE464B" w:rsidRDefault="00BE464B">
      <w:pPr>
        <w:rPr>
          <w:lang w:val="en-US"/>
        </w:rPr>
      </w:pPr>
    </w:p>
    <w:p w14:paraId="66BF3190" w14:textId="77777777" w:rsidR="00FC3413" w:rsidRPr="00FC3413" w:rsidRDefault="00CC6049" w:rsidP="00FC3413">
      <w:pPr>
        <w:rPr>
          <w:b/>
          <w:bCs/>
        </w:rPr>
      </w:pPr>
      <w:r>
        <w:rPr>
          <w:lang w:val="en-US"/>
        </w:rPr>
        <w:br w:type="page"/>
      </w:r>
      <w:r w:rsidR="00FC3413" w:rsidRPr="00FC3413">
        <w:rPr>
          <w:b/>
          <w:bCs/>
        </w:rPr>
        <w:lastRenderedPageBreak/>
        <w:t>References</w:t>
      </w:r>
    </w:p>
    <w:p w14:paraId="160FADE7" w14:textId="46C994CF" w:rsidR="00CF3EFF" w:rsidRDefault="00CF3EFF" w:rsidP="00CF3EFF">
      <w:r>
        <w:t>Auctor, A</w:t>
      </w:r>
      <w:r>
        <w:t>. (2024)</w:t>
      </w:r>
      <w:r>
        <w:t>.</w:t>
      </w:r>
      <w:r>
        <w:t xml:space="preserve"> </w:t>
      </w:r>
      <w:r>
        <w:t>How AI Promotes Harm Reduction Awareness and Reduces Substance Use Stigma.</w:t>
      </w:r>
      <w:r>
        <w:t xml:space="preserve"> Available at: </w:t>
      </w:r>
      <w:hyperlink r:id="rId6" w:history="1">
        <w:r w:rsidRPr="00CF3EFF">
          <w:rPr>
            <w:rStyle w:val="Hyperlink"/>
          </w:rPr>
          <w:t>How AI Promotes Harm Reduction Awareness and Reduces Substance Use Stigma - Unite.AI</w:t>
        </w:r>
      </w:hyperlink>
      <w:r>
        <w:t>.</w:t>
      </w:r>
    </w:p>
    <w:p w14:paraId="78499546" w14:textId="77777777" w:rsidR="00FC3413" w:rsidRPr="00FC3413" w:rsidRDefault="00FC3413" w:rsidP="00FC3413">
      <w:r w:rsidRPr="00FC3413">
        <w:t xml:space="preserve">Awada, N. I., &amp; Ismail, F. (2019). Happiness in the workplace. </w:t>
      </w:r>
      <w:r w:rsidRPr="00FC3413">
        <w:rPr>
          <w:i/>
          <w:iCs/>
        </w:rPr>
        <w:t>International Journal of Innovative Technology and Exploring Engineering, 8</w:t>
      </w:r>
      <w:r w:rsidRPr="00FC3413">
        <w:t>(9), pp.1496-1500.</w:t>
      </w:r>
    </w:p>
    <w:p w14:paraId="39F0896E" w14:textId="77777777" w:rsidR="00FC3413" w:rsidRDefault="00FC3413" w:rsidP="00FC3413">
      <w:proofErr w:type="spellStart"/>
      <w:r w:rsidRPr="00FC3413">
        <w:t>Babapour</w:t>
      </w:r>
      <w:proofErr w:type="spellEnd"/>
      <w:r w:rsidRPr="00FC3413">
        <w:t xml:space="preserve"> </w:t>
      </w:r>
      <w:proofErr w:type="spellStart"/>
      <w:r w:rsidRPr="00FC3413">
        <w:t>Chafi</w:t>
      </w:r>
      <w:proofErr w:type="spellEnd"/>
      <w:r w:rsidRPr="00FC3413">
        <w:t xml:space="preserve">, M., Hultberg, A., &amp; Bozic Yams, N. (2021). Post-pandemic office work: Perceived challenges and opportunities for a sustainable work environment. </w:t>
      </w:r>
      <w:r w:rsidRPr="00FC3413">
        <w:rPr>
          <w:i/>
          <w:iCs/>
        </w:rPr>
        <w:t>Sustainability, 14</w:t>
      </w:r>
      <w:r w:rsidRPr="00FC3413">
        <w:t>(1), pp.294.</w:t>
      </w:r>
    </w:p>
    <w:p w14:paraId="2862B622" w14:textId="344094F2" w:rsidR="007855BD" w:rsidRDefault="007855BD" w:rsidP="007855BD">
      <w:r w:rsidRPr="00872309">
        <w:t>Backhaus, K., &amp; Tikoo, S. (2004). Conceptualizing and researching employer branding. </w:t>
      </w:r>
      <w:r w:rsidRPr="00872309">
        <w:rPr>
          <w:i/>
          <w:iCs/>
        </w:rPr>
        <w:t>Career development international</w:t>
      </w:r>
      <w:r w:rsidRPr="00872309">
        <w:t>, </w:t>
      </w:r>
      <w:r w:rsidRPr="00872309">
        <w:rPr>
          <w:i/>
          <w:iCs/>
        </w:rPr>
        <w:t>9</w:t>
      </w:r>
      <w:r w:rsidRPr="00872309">
        <w:t xml:space="preserve">(5), </w:t>
      </w:r>
      <w:r w:rsidR="00FF03B0">
        <w:t>pp.</w:t>
      </w:r>
      <w:r w:rsidRPr="00872309">
        <w:t>501-517.</w:t>
      </w:r>
    </w:p>
    <w:p w14:paraId="5BD5031F" w14:textId="03CD2845" w:rsidR="00FC3413" w:rsidRPr="00FC3413" w:rsidRDefault="00FC3413" w:rsidP="00FC3413">
      <w:r w:rsidRPr="00FC3413">
        <w:t>Barod. (</w:t>
      </w:r>
      <w:r w:rsidR="00CF3EFF">
        <w:t>2024</w:t>
      </w:r>
      <w:r w:rsidRPr="00FC3413">
        <w:t xml:space="preserve">). </w:t>
      </w:r>
      <w:r w:rsidRPr="00CF3EFF">
        <w:t>Recruitment Guidance.</w:t>
      </w:r>
    </w:p>
    <w:p w14:paraId="15E5A504" w14:textId="1B148135" w:rsidR="00FC3413" w:rsidRPr="00FC3413" w:rsidRDefault="00FC3413" w:rsidP="00FC3413">
      <w:r w:rsidRPr="00FC3413">
        <w:t>Barod. (</w:t>
      </w:r>
      <w:r w:rsidR="00CF3EFF">
        <w:t>2021</w:t>
      </w:r>
      <w:r w:rsidRPr="00FC3413">
        <w:t xml:space="preserve">). </w:t>
      </w:r>
      <w:r w:rsidR="00CF3EFF">
        <w:t>Building a Better Barod</w:t>
      </w:r>
      <w:r w:rsidRPr="00CF3EFF">
        <w:t>.</w:t>
      </w:r>
    </w:p>
    <w:p w14:paraId="25F83B62" w14:textId="77777777" w:rsidR="00FC3413" w:rsidRPr="00FC3413" w:rsidRDefault="00FC3413" w:rsidP="00FC3413">
      <w:r w:rsidRPr="00FC3413">
        <w:t xml:space="preserve">Barry, M., &amp; Wilkinson, A. (2022). Employee voice, </w:t>
      </w:r>
      <w:proofErr w:type="spellStart"/>
      <w:r w:rsidRPr="00FC3413">
        <w:t>psychologisation</w:t>
      </w:r>
      <w:proofErr w:type="spellEnd"/>
      <w:r w:rsidRPr="00FC3413">
        <w:t xml:space="preserve">, and human resource management (HRM). </w:t>
      </w:r>
      <w:r w:rsidRPr="00FC3413">
        <w:rPr>
          <w:i/>
          <w:iCs/>
        </w:rPr>
        <w:t>Human Resource Management Journal, 32</w:t>
      </w:r>
      <w:r w:rsidRPr="00FC3413">
        <w:t>(3), pp.631-646.</w:t>
      </w:r>
    </w:p>
    <w:p w14:paraId="3F0AE988" w14:textId="67351CD9" w:rsidR="00FC3413" w:rsidRPr="00FC3413" w:rsidRDefault="00FC3413" w:rsidP="00FC3413">
      <w:r w:rsidRPr="00FC3413">
        <w:t xml:space="preserve">Bell, E., Castillo, G. F., Khalid, M., Rufrano, G., Traylor, A. M., &amp; Salas, E. (2024). Can effective teamwork enhance members' well-being? In </w:t>
      </w:r>
      <w:r w:rsidRPr="00FC3413">
        <w:rPr>
          <w:i/>
          <w:iCs/>
        </w:rPr>
        <w:t>Stress and Well-Being in Teams</w:t>
      </w:r>
      <w:r w:rsidR="00EB5493">
        <w:t xml:space="preserve">, </w:t>
      </w:r>
      <w:r w:rsidRPr="00FC3413">
        <w:t>22, pp.121-144. Emerald Publishing Limited.</w:t>
      </w:r>
    </w:p>
    <w:p w14:paraId="20ADD276" w14:textId="77777777" w:rsidR="00FC3413" w:rsidRPr="00FC3413" w:rsidRDefault="00FC3413" w:rsidP="00FC3413">
      <w:r w:rsidRPr="00FC3413">
        <w:t>Brenyah, R. S., &amp; Obuobisa-Darko, T. (2017). Organisational culture and employee engagement within the Ghanaian public sector.</w:t>
      </w:r>
    </w:p>
    <w:p w14:paraId="476FBA5B" w14:textId="77777777" w:rsidR="00FC3413" w:rsidRPr="00FC3413" w:rsidRDefault="00FC3413" w:rsidP="00FC3413">
      <w:r w:rsidRPr="00FC3413">
        <w:t xml:space="preserve">Brynjolfsson, E., Rock, D., &amp; Syverson, C. (2017). Artificial intelligence and the modern productivity paradox: A clash of expectations and statistics. </w:t>
      </w:r>
      <w:r w:rsidRPr="00FC3413">
        <w:rPr>
          <w:i/>
          <w:iCs/>
        </w:rPr>
        <w:t>National Bureau of Economic Research</w:t>
      </w:r>
      <w:r w:rsidRPr="00FC3413">
        <w:t>.</w:t>
      </w:r>
    </w:p>
    <w:p w14:paraId="244D0575" w14:textId="77777777" w:rsidR="00FC3413" w:rsidRPr="00FC3413" w:rsidRDefault="00FC3413" w:rsidP="00FC3413">
      <w:r w:rsidRPr="00FC3413">
        <w:t xml:space="preserve">Burton, R. M., Obel, B., &amp; Håkonsson, D. D. (2015). How to get the matrix organization to work. </w:t>
      </w:r>
      <w:r w:rsidRPr="00FC3413">
        <w:rPr>
          <w:i/>
          <w:iCs/>
        </w:rPr>
        <w:t>Journal of Organization Design, 4</w:t>
      </w:r>
      <w:r w:rsidRPr="00FC3413">
        <w:t>(3), pp.37-45.</w:t>
      </w:r>
    </w:p>
    <w:p w14:paraId="39D72F86" w14:textId="77777777" w:rsidR="00FC3413" w:rsidRPr="00FC3413" w:rsidRDefault="00FC3413" w:rsidP="00FC3413">
      <w:r w:rsidRPr="00FC3413">
        <w:t xml:space="preserve">Castillo, C., Fernandez, V., &amp; Sallan, J. M. (2018). The six emotional stages of organizational change. </w:t>
      </w:r>
      <w:r w:rsidRPr="00FC3413">
        <w:rPr>
          <w:i/>
          <w:iCs/>
        </w:rPr>
        <w:t>Journal of Organizational Change Management, 31</w:t>
      </w:r>
      <w:r w:rsidRPr="00FC3413">
        <w:t>(3), pp.468-493.</w:t>
      </w:r>
    </w:p>
    <w:p w14:paraId="0F46EF3D" w14:textId="77777777" w:rsidR="00FC3413" w:rsidRPr="00FC3413" w:rsidRDefault="00FC3413" w:rsidP="00FC3413">
      <w:r w:rsidRPr="00FC3413">
        <w:t xml:space="preserve">Chartered Management Institute. (2014). </w:t>
      </w:r>
      <w:r w:rsidRPr="00FC3413">
        <w:rPr>
          <w:i/>
          <w:iCs/>
        </w:rPr>
        <w:t>CHK-258-Developing-Strategy.pdf</w:t>
      </w:r>
      <w:r w:rsidRPr="00FC3413">
        <w:t>.</w:t>
      </w:r>
    </w:p>
    <w:p w14:paraId="60D201FA" w14:textId="77777777" w:rsidR="00FC3413" w:rsidRDefault="00FC3413" w:rsidP="00FC3413">
      <w:proofErr w:type="spellStart"/>
      <w:r w:rsidRPr="00FC3413">
        <w:t>Chepuri</w:t>
      </w:r>
      <w:proofErr w:type="spellEnd"/>
      <w:r w:rsidRPr="00FC3413">
        <w:t xml:space="preserve">, N., &amp; </w:t>
      </w:r>
      <w:proofErr w:type="spellStart"/>
      <w:r w:rsidRPr="00FC3413">
        <w:t>Porandla</w:t>
      </w:r>
      <w:proofErr w:type="spellEnd"/>
      <w:r w:rsidRPr="00FC3413">
        <w:t>, R. (2024). Bridging the gap for Alice: Charitable organizations acting amid rising inflation and further solutions using AI.</w:t>
      </w:r>
    </w:p>
    <w:p w14:paraId="423611E7" w14:textId="3DBE11B0" w:rsidR="00FF03B0" w:rsidRDefault="00FF03B0" w:rsidP="00FC3413">
      <w:r>
        <w:t xml:space="preserve">CIPD. (2022) Hybrid working: Guidance for people professionals. Available at: </w:t>
      </w:r>
      <w:hyperlink r:id="rId7" w:history="1">
        <w:r w:rsidRPr="00FF03B0">
          <w:rPr>
            <w:rStyle w:val="Hyperlink"/>
          </w:rPr>
          <w:t>https://www.cipd.org/uk/knowledge/guides/planning-hybrid-working/</w:t>
        </w:r>
      </w:hyperlink>
      <w:r>
        <w:t>.</w:t>
      </w:r>
    </w:p>
    <w:p w14:paraId="01254702" w14:textId="3435EF51" w:rsidR="00FF03B0" w:rsidRDefault="00FF03B0" w:rsidP="00FC3413">
      <w:r>
        <w:t xml:space="preserve">CIPD. (2024) Recruitment: An introduction. Available at: </w:t>
      </w:r>
      <w:hyperlink r:id="rId8" w:history="1">
        <w:r w:rsidRPr="00FF03B0">
          <w:rPr>
            <w:rStyle w:val="Hyperlink"/>
          </w:rPr>
          <w:t>Recruitment process overview | Factsheets | CIPD</w:t>
        </w:r>
      </w:hyperlink>
      <w:r>
        <w:t>.</w:t>
      </w:r>
    </w:p>
    <w:p w14:paraId="73A2B9B8" w14:textId="77777777" w:rsidR="00FC3413" w:rsidRPr="00FC3413" w:rsidRDefault="00FC3413" w:rsidP="00FC3413">
      <w:r w:rsidRPr="00FC3413">
        <w:t xml:space="preserve">Clark, D. (2020). </w:t>
      </w:r>
      <w:r w:rsidRPr="00FC3413">
        <w:rPr>
          <w:i/>
          <w:iCs/>
        </w:rPr>
        <w:t>Artificial intelligence for learning: How to use AI to support employee development</w:t>
      </w:r>
      <w:r w:rsidRPr="00FC3413">
        <w:t>. Kogan Page Publishers.</w:t>
      </w:r>
    </w:p>
    <w:p w14:paraId="44BBC93F" w14:textId="77777777" w:rsidR="00FC3413" w:rsidRDefault="00FC3413" w:rsidP="00FC3413">
      <w:r w:rsidRPr="00FC3413">
        <w:t xml:space="preserve">Clifford, D. (2017). Charitable organisations, the great recession and the age of austerity: Longitudinal evidence for England and Wales. </w:t>
      </w:r>
      <w:r w:rsidRPr="00FC3413">
        <w:rPr>
          <w:i/>
          <w:iCs/>
        </w:rPr>
        <w:t>Journal of Social Policy, 46</w:t>
      </w:r>
      <w:r w:rsidRPr="00FC3413">
        <w:t>(1), pp.1-30.</w:t>
      </w:r>
    </w:p>
    <w:p w14:paraId="71909A20" w14:textId="2A553138" w:rsidR="007855BD" w:rsidRPr="007855BD" w:rsidRDefault="007855BD" w:rsidP="007855BD">
      <w:r w:rsidRPr="006C68D7">
        <w:lastRenderedPageBreak/>
        <w:t>Coates, C. R. (2012). Managing staff training and development. </w:t>
      </w:r>
      <w:r w:rsidRPr="006C68D7">
        <w:rPr>
          <w:i/>
          <w:iCs/>
        </w:rPr>
        <w:t>The Veterinary Nurse</w:t>
      </w:r>
      <w:r w:rsidRPr="006C68D7">
        <w:t>, </w:t>
      </w:r>
      <w:r w:rsidRPr="006C68D7">
        <w:rPr>
          <w:i/>
          <w:iCs/>
        </w:rPr>
        <w:t>3</w:t>
      </w:r>
      <w:r w:rsidRPr="006C68D7">
        <w:t xml:space="preserve">(4), </w:t>
      </w:r>
      <w:r w:rsidR="00EB5493">
        <w:t>pp.</w:t>
      </w:r>
      <w:r w:rsidRPr="006C68D7">
        <w:t>250-254.</w:t>
      </w:r>
    </w:p>
    <w:p w14:paraId="73244409" w14:textId="77777777" w:rsidR="00FC3413" w:rsidRPr="00FC3413" w:rsidRDefault="00FC3413" w:rsidP="00FC3413">
      <w:r w:rsidRPr="00FC3413">
        <w:t>Cook, R. (2021). An investigation into why wellbeing initiatives have varied in their effectiveness at improving employee wellbeing (Doctoral dissertation, Cardiff University).</w:t>
      </w:r>
    </w:p>
    <w:p w14:paraId="5152F86B" w14:textId="77777777" w:rsidR="00FC3413" w:rsidRPr="00FC3413" w:rsidRDefault="00FC3413" w:rsidP="00FC3413">
      <w:r w:rsidRPr="00FC3413">
        <w:t xml:space="preserve">David, F. R., &amp; David, F. R. (2017). </w:t>
      </w:r>
      <w:r w:rsidRPr="00FC3413">
        <w:rPr>
          <w:i/>
          <w:iCs/>
        </w:rPr>
        <w:t>Strategic Management: A Competitive Approach, Concepts and Cases</w:t>
      </w:r>
      <w:r w:rsidRPr="00FC3413">
        <w:t>. Pearson, USA.</w:t>
      </w:r>
    </w:p>
    <w:p w14:paraId="7710F11E" w14:textId="77777777" w:rsidR="00FC3413" w:rsidRPr="00FC3413" w:rsidRDefault="00FC3413" w:rsidP="00FC3413">
      <w:r w:rsidRPr="00FC3413">
        <w:t xml:space="preserve">DeLeon, J. T., &amp; Tripodi, P. G. (2022). Eliminating micromanagement and embracing mission command. </w:t>
      </w:r>
      <w:r w:rsidRPr="00FC3413">
        <w:rPr>
          <w:i/>
          <w:iCs/>
        </w:rPr>
        <w:t>Military Review, 100</w:t>
      </w:r>
      <w:r w:rsidRPr="00FC3413">
        <w:t>.</w:t>
      </w:r>
    </w:p>
    <w:p w14:paraId="5FFEFA57" w14:textId="630BB6CD" w:rsidR="00FC3413" w:rsidRPr="00FC3413" w:rsidRDefault="00FC3413" w:rsidP="00FC3413">
      <w:r w:rsidRPr="00FC3413">
        <w:t xml:space="preserve">Dineen, B. R., &amp; Allen, D. G. (2013). Internet recruiting 2.0: Shifting paradigms. K. Y. T. Yu &amp; D. M. Cable (Eds.), </w:t>
      </w:r>
      <w:r w:rsidRPr="00FC3413">
        <w:rPr>
          <w:i/>
          <w:iCs/>
        </w:rPr>
        <w:t>The Oxford Handbook of Recruitment</w:t>
      </w:r>
      <w:r w:rsidRPr="00FC3413">
        <w:t xml:space="preserve"> (pp.382–401). Oxford University Publishers.</w:t>
      </w:r>
    </w:p>
    <w:p w14:paraId="53D6D1EB" w14:textId="325F4B4E" w:rsidR="00FC3413" w:rsidRPr="00FC3413" w:rsidRDefault="00FC3413" w:rsidP="00FC3413">
      <w:r w:rsidRPr="00FC3413">
        <w:t xml:space="preserve">Dixon, K. D. (2017). The right fit: Hiring people and finding clients. </w:t>
      </w:r>
      <w:r w:rsidRPr="00FC3413">
        <w:rPr>
          <w:i/>
          <w:iCs/>
        </w:rPr>
        <w:t>The Business of Architecture</w:t>
      </w:r>
      <w:r w:rsidRPr="00FC3413">
        <w:t xml:space="preserve"> (pp.101-106). Routledge.</w:t>
      </w:r>
    </w:p>
    <w:p w14:paraId="733FF6F0" w14:textId="77777777" w:rsidR="00FC3413" w:rsidRPr="00FC3413" w:rsidRDefault="00FC3413" w:rsidP="00FC3413">
      <w:r w:rsidRPr="00FC3413">
        <w:t xml:space="preserve">Doherty, G., McLaughlin, L., Hughes, C., McConnell, J., Bond, R., &amp; McFadden, S. (2024). A scoping review of educational programmes on artificial intelligence (AI) available to medical imaging staff. </w:t>
      </w:r>
      <w:r w:rsidRPr="00FC3413">
        <w:rPr>
          <w:i/>
          <w:iCs/>
        </w:rPr>
        <w:t>Radiography, 30</w:t>
      </w:r>
      <w:r w:rsidRPr="00FC3413">
        <w:t>(2), pp.474-482.</w:t>
      </w:r>
    </w:p>
    <w:p w14:paraId="77F15BD5" w14:textId="77777777" w:rsidR="00FC3413" w:rsidRPr="00FC3413" w:rsidRDefault="00FC3413" w:rsidP="00FC3413">
      <w:r w:rsidRPr="00FC3413">
        <w:t xml:space="preserve">Egelhoff, W. G., Wolf, J., &amp; Adzic, M. (2013). Designing matrix structures to fit MNC strategy. </w:t>
      </w:r>
      <w:r w:rsidRPr="00FC3413">
        <w:rPr>
          <w:i/>
          <w:iCs/>
        </w:rPr>
        <w:t>Global Strategy Journal, 3</w:t>
      </w:r>
      <w:r w:rsidRPr="00FC3413">
        <w:t>(3), pp.205-226.</w:t>
      </w:r>
    </w:p>
    <w:p w14:paraId="015CE3F5" w14:textId="77777777" w:rsidR="00FC3413" w:rsidRPr="00FC3413" w:rsidRDefault="00FC3413" w:rsidP="00FC3413">
      <w:r w:rsidRPr="00FC3413">
        <w:t xml:space="preserve">Elliott, S. (2024). </w:t>
      </w:r>
      <w:r w:rsidRPr="00FC3413">
        <w:rPr>
          <w:i/>
          <w:iCs/>
        </w:rPr>
        <w:t xml:space="preserve">The Road Ahead 2024: </w:t>
      </w:r>
      <w:r w:rsidRPr="00EB5493">
        <w:t>Opportunities and challenges for the voluntary sector.</w:t>
      </w:r>
      <w:r w:rsidRPr="00FC3413">
        <w:t xml:space="preserve"> NCVO.</w:t>
      </w:r>
    </w:p>
    <w:p w14:paraId="63A1DEEE" w14:textId="142AB5BE" w:rsidR="00FC3413" w:rsidRPr="00FC3413" w:rsidRDefault="00FC3413" w:rsidP="00FC3413">
      <w:r w:rsidRPr="00FC3413">
        <w:t xml:space="preserve">Eriksson, T., &amp; Ortega, J. (2024). Organizational structure and high-performance work practices. </w:t>
      </w:r>
      <w:r w:rsidRPr="00FC3413">
        <w:rPr>
          <w:i/>
          <w:iCs/>
        </w:rPr>
        <w:t>Industrial and Corporate Change</w:t>
      </w:r>
      <w:r w:rsidRPr="00FC3413">
        <w:t xml:space="preserve">. </w:t>
      </w:r>
    </w:p>
    <w:p w14:paraId="53F241C1" w14:textId="77777777" w:rsidR="00FC3413" w:rsidRPr="00FC3413" w:rsidRDefault="00FC3413" w:rsidP="00FC3413">
      <w:r w:rsidRPr="00FC3413">
        <w:t xml:space="preserve">Eubanks, B. (2022). </w:t>
      </w:r>
      <w:r w:rsidRPr="00EB5493">
        <w:t xml:space="preserve">Artificial Intelligence for HR: Use AI to support and develop a successful workforce. </w:t>
      </w:r>
      <w:r w:rsidRPr="00FC3413">
        <w:t>Kogan Page Publishers.</w:t>
      </w:r>
    </w:p>
    <w:p w14:paraId="0FD160A2" w14:textId="77777777" w:rsidR="00FC3413" w:rsidRPr="00FC3413" w:rsidRDefault="00FC3413" w:rsidP="00FC3413">
      <w:r w:rsidRPr="00FC3413">
        <w:t>Eversheds Sutherland. (2021</w:t>
      </w:r>
      <w:r w:rsidRPr="00EB5493">
        <w:t>). An Opportunity to Refocus – Evolution of Work.</w:t>
      </w:r>
      <w:r w:rsidRPr="00FC3413">
        <w:t xml:space="preserve"> Eversheds Sutherland.</w:t>
      </w:r>
    </w:p>
    <w:p w14:paraId="6E74E052" w14:textId="458B0028" w:rsidR="00FC3413" w:rsidRPr="00FC3413" w:rsidRDefault="00FC3413" w:rsidP="00FC3413">
      <w:r w:rsidRPr="00FC3413">
        <w:t xml:space="preserve">Fairfield, K. D. (2016). Understanding functional and divisional organizational structure: A classroom exercise. </w:t>
      </w:r>
      <w:r w:rsidRPr="00FC3413">
        <w:rPr>
          <w:i/>
          <w:iCs/>
        </w:rPr>
        <w:t>Management Teaching Review, 1</w:t>
      </w:r>
      <w:r w:rsidRPr="00FC3413">
        <w:t xml:space="preserve">(4), pp.242-251. </w:t>
      </w:r>
    </w:p>
    <w:p w14:paraId="14CE8FD8" w14:textId="77777777" w:rsidR="00FC3413" w:rsidRPr="00FC3413" w:rsidRDefault="00FC3413" w:rsidP="00FC3413">
      <w:r w:rsidRPr="00FC3413">
        <w:t xml:space="preserve">Ferreira, R., Pereira, R., Bianchi, I. S., &amp; da Silva, M. M. (2021). Decision factors for remote work adoption: Advantages, disadvantages, driving forces, and challenges. </w:t>
      </w:r>
      <w:r w:rsidRPr="00FC3413">
        <w:rPr>
          <w:i/>
          <w:iCs/>
        </w:rPr>
        <w:t>Journal of Open Innovation: Technology, Market, and Complexity, 7</w:t>
      </w:r>
      <w:r w:rsidRPr="00FC3413">
        <w:t>(1), pp.70.</w:t>
      </w:r>
    </w:p>
    <w:p w14:paraId="5371143B" w14:textId="77777777" w:rsidR="00FC3413" w:rsidRPr="00FC3413" w:rsidRDefault="00FC3413" w:rsidP="00FC3413">
      <w:r w:rsidRPr="00FC3413">
        <w:t xml:space="preserve">Ford, R. C., &amp; Randolph, W. A. (1992). Cross-functional structures: A review and integration of matrix organization and project management. </w:t>
      </w:r>
      <w:r w:rsidRPr="00FC3413">
        <w:rPr>
          <w:i/>
          <w:iCs/>
        </w:rPr>
        <w:t>Journal of Management, 18</w:t>
      </w:r>
      <w:r w:rsidRPr="00FC3413">
        <w:t>(2), pp.267-294.</w:t>
      </w:r>
    </w:p>
    <w:p w14:paraId="3421EF34" w14:textId="77777777" w:rsidR="00FC3413" w:rsidRDefault="00FC3413" w:rsidP="00FC3413">
      <w:r w:rsidRPr="00FC3413">
        <w:t xml:space="preserve">Galanti, T., Guidetti, G., Mazzei, E., </w:t>
      </w:r>
      <w:proofErr w:type="spellStart"/>
      <w:r w:rsidRPr="00FC3413">
        <w:t>Zappalà</w:t>
      </w:r>
      <w:proofErr w:type="spellEnd"/>
      <w:r w:rsidRPr="00FC3413">
        <w:t xml:space="preserve">, S., &amp; Toscano, F. (2021). Work from home during the COVID-19 outbreak: The impact on employees’ remote work productivity, engagement, and stress. </w:t>
      </w:r>
      <w:r w:rsidRPr="00FC3413">
        <w:rPr>
          <w:i/>
          <w:iCs/>
        </w:rPr>
        <w:t>Journal of Occupational and Environmental Medicine, 63</w:t>
      </w:r>
      <w:r w:rsidRPr="00FC3413">
        <w:t>(7), pp.e426-e432.</w:t>
      </w:r>
    </w:p>
    <w:p w14:paraId="7EA329D2" w14:textId="548854A6" w:rsidR="007855BD" w:rsidRDefault="007855BD" w:rsidP="00FC3413">
      <w:pPr>
        <w:rPr>
          <w:rFonts w:eastAsia="Times New Roman" w:cs="Times New Roman"/>
          <w:kern w:val="0"/>
          <w:lang w:eastAsia="en-GB"/>
          <w14:ligatures w14:val="none"/>
        </w:rPr>
      </w:pPr>
      <w:r w:rsidRPr="007855BD">
        <w:rPr>
          <w:rFonts w:eastAsia="Times New Roman" w:cs="Times New Roman"/>
          <w:kern w:val="0"/>
          <w:lang w:eastAsia="en-GB"/>
          <w14:ligatures w14:val="none"/>
        </w:rPr>
        <w:t>Gibson, A. (2021). </w:t>
      </w:r>
      <w:r w:rsidRPr="00EB5493">
        <w:rPr>
          <w:rFonts w:eastAsia="Times New Roman" w:cs="Times New Roman"/>
          <w:kern w:val="0"/>
          <w:lang w:eastAsia="en-GB"/>
          <w14:ligatures w14:val="none"/>
        </w:rPr>
        <w:t>Agile workforce planning</w:t>
      </w:r>
      <w:r w:rsidRPr="00EB5493">
        <w:rPr>
          <w:rFonts w:ascii="Arial" w:eastAsia="Times New Roman" w:hAnsi="Arial" w:cs="Arial"/>
          <w:kern w:val="0"/>
          <w:lang w:eastAsia="en-GB"/>
          <w14:ligatures w14:val="none"/>
        </w:rPr>
        <w:t> </w:t>
      </w:r>
      <w:r w:rsidRPr="00EB5493">
        <w:rPr>
          <w:rFonts w:eastAsia="Times New Roman" w:cs="Times New Roman"/>
          <w:kern w:val="0"/>
          <w:lang w:eastAsia="en-GB"/>
          <w14:ligatures w14:val="none"/>
        </w:rPr>
        <w:t>: how to align people with organizational strategy for improved performance. Kogan P</w:t>
      </w:r>
      <w:r w:rsidRPr="007855BD">
        <w:rPr>
          <w:rFonts w:eastAsia="Times New Roman" w:cs="Times New Roman"/>
          <w:kern w:val="0"/>
          <w:lang w:eastAsia="en-GB"/>
          <w14:ligatures w14:val="none"/>
        </w:rPr>
        <w:t>age</w:t>
      </w:r>
    </w:p>
    <w:p w14:paraId="0D865AB3" w14:textId="77777777" w:rsidR="009A76FE" w:rsidRPr="007855BD" w:rsidRDefault="009A76FE" w:rsidP="00FC3413"/>
    <w:p w14:paraId="14E27A94" w14:textId="77777777" w:rsidR="00FC3413" w:rsidRPr="00FC3413" w:rsidRDefault="00FC3413" w:rsidP="00FC3413">
      <w:r w:rsidRPr="00FC3413">
        <w:lastRenderedPageBreak/>
        <w:t xml:space="preserve">Gratton, L., &amp; Erickson, T. J. (2007). Eight ways to build collaborative teams. </w:t>
      </w:r>
      <w:r w:rsidRPr="00FC3413">
        <w:rPr>
          <w:i/>
          <w:iCs/>
        </w:rPr>
        <w:t>Harvard Business Review, 85</w:t>
      </w:r>
      <w:r w:rsidRPr="00FC3413">
        <w:t>(11), pp.100.</w:t>
      </w:r>
    </w:p>
    <w:p w14:paraId="4F854DB1" w14:textId="77777777" w:rsidR="00FC3413" w:rsidRPr="00FC3413" w:rsidRDefault="00FC3413" w:rsidP="00FC3413">
      <w:r w:rsidRPr="00FC3413">
        <w:t xml:space="preserve">Green, E., Ritchie, F., Bradley, P., &amp; Parry, G. (2021). Financial resilience, income dependence, and organisational survival in UK charities. </w:t>
      </w:r>
      <w:proofErr w:type="spellStart"/>
      <w:r w:rsidRPr="00FC3413">
        <w:rPr>
          <w:i/>
          <w:iCs/>
        </w:rPr>
        <w:t>Voluntas</w:t>
      </w:r>
      <w:proofErr w:type="spellEnd"/>
      <w:r w:rsidRPr="00FC3413">
        <w:rPr>
          <w:i/>
          <w:iCs/>
        </w:rPr>
        <w:t>: International Journal of Voluntary and Nonprofit Organizations</w:t>
      </w:r>
      <w:r w:rsidRPr="00FC3413">
        <w:t>, pp.1-17.</w:t>
      </w:r>
    </w:p>
    <w:p w14:paraId="4802558B" w14:textId="77777777" w:rsidR="00FC3413" w:rsidRPr="00FC3413" w:rsidRDefault="00FC3413" w:rsidP="00FC3413">
      <w:proofErr w:type="spellStart"/>
      <w:r w:rsidRPr="00FC3413">
        <w:t>Gusdorf</w:t>
      </w:r>
      <w:proofErr w:type="spellEnd"/>
      <w:r w:rsidRPr="00FC3413">
        <w:t xml:space="preserve">, M. L. (2008). Recruitment and selection: Hiring the right person. </w:t>
      </w:r>
      <w:r w:rsidRPr="00FC3413">
        <w:rPr>
          <w:i/>
          <w:iCs/>
        </w:rPr>
        <w:t>Society for Human Resource Management</w:t>
      </w:r>
      <w:r w:rsidRPr="00FC3413">
        <w:t>, pp.1-14.</w:t>
      </w:r>
    </w:p>
    <w:p w14:paraId="1C9891F6" w14:textId="77777777" w:rsidR="00FC3413" w:rsidRPr="00FC3413" w:rsidRDefault="00FC3413" w:rsidP="00FC3413">
      <w:r w:rsidRPr="00FC3413">
        <w:t xml:space="preserve">Handy, C. B. (2020). </w:t>
      </w:r>
      <w:r w:rsidRPr="00EB5493">
        <w:t>Gods of Management: The Four Cultures of Leadership.</w:t>
      </w:r>
      <w:r w:rsidRPr="00FC3413">
        <w:t xml:space="preserve"> Profile Books.</w:t>
      </w:r>
    </w:p>
    <w:p w14:paraId="3D819B85" w14:textId="77777777" w:rsidR="00EB5493" w:rsidRPr="00FC3413" w:rsidRDefault="00EB5493" w:rsidP="00EB5493">
      <w:r>
        <w:t xml:space="preserve">Harter, J. (2022). U.S. Employee Engagement Drops for First Year in a Decade. Available at: </w:t>
      </w:r>
      <w:hyperlink r:id="rId9" w:history="1">
        <w:r w:rsidRPr="00EB5493">
          <w:rPr>
            <w:rStyle w:val="Hyperlink"/>
          </w:rPr>
          <w:t>U.S. Employee Engagement Drops for First Year in a Decade</w:t>
        </w:r>
      </w:hyperlink>
      <w:r>
        <w:t>.</w:t>
      </w:r>
    </w:p>
    <w:p w14:paraId="24244364" w14:textId="77777777" w:rsidR="00FC3413" w:rsidRPr="00FC3413" w:rsidRDefault="00FC3413" w:rsidP="00FC3413">
      <w:r w:rsidRPr="00FC3413">
        <w:t xml:space="preserve">Hesketh, I., &amp; Cooper, C. (2023). </w:t>
      </w:r>
      <w:r w:rsidRPr="00EB5493">
        <w:t>Wellbeing at work: How to design, implement and evaluate an effective strategy. Kogan</w:t>
      </w:r>
      <w:r w:rsidRPr="00FC3413">
        <w:t xml:space="preserve"> Page Publishers.</w:t>
      </w:r>
    </w:p>
    <w:p w14:paraId="1E3A0F93" w14:textId="77777777" w:rsidR="00FC3413" w:rsidRPr="00FC3413" w:rsidRDefault="00FC3413" w:rsidP="00FC3413">
      <w:r w:rsidRPr="00FC3413">
        <w:t xml:space="preserve">Hill, E. J., Ferris, M., &amp; Martinson, V. (2003). Does it matter where you work? A comparison of how three work venues influence aspects of work and personal/family life. </w:t>
      </w:r>
      <w:r w:rsidRPr="00FC3413">
        <w:rPr>
          <w:i/>
          <w:iCs/>
        </w:rPr>
        <w:t xml:space="preserve">Journal of Vocational </w:t>
      </w:r>
      <w:proofErr w:type="spellStart"/>
      <w:r w:rsidRPr="00FC3413">
        <w:rPr>
          <w:i/>
          <w:iCs/>
        </w:rPr>
        <w:t>Behavior</w:t>
      </w:r>
      <w:proofErr w:type="spellEnd"/>
      <w:r w:rsidRPr="00FC3413">
        <w:rPr>
          <w:i/>
          <w:iCs/>
        </w:rPr>
        <w:t>, 63</w:t>
      </w:r>
      <w:r w:rsidRPr="00FC3413">
        <w:t>(2), pp.220-241.</w:t>
      </w:r>
    </w:p>
    <w:p w14:paraId="34742F61" w14:textId="77777777" w:rsidR="00FC3413" w:rsidRPr="00FC3413" w:rsidRDefault="00FC3413" w:rsidP="00FC3413">
      <w:r w:rsidRPr="00FC3413">
        <w:t xml:space="preserve">Hodges, J. (2024). </w:t>
      </w:r>
      <w:r w:rsidRPr="00EB5493">
        <w:t>People-Centric Organizational Change: Engaging Employees with Business Transformation. Kog</w:t>
      </w:r>
      <w:r w:rsidRPr="00FC3413">
        <w:t>an Page Publishers.</w:t>
      </w:r>
    </w:p>
    <w:p w14:paraId="684A5FD2" w14:textId="77777777" w:rsidR="00FC3413" w:rsidRPr="00EB5493" w:rsidRDefault="00FC3413" w:rsidP="00FC3413">
      <w:r w:rsidRPr="00EB5493">
        <w:t>Hofstede, G. (1984). Culture's Consequences: International Differences in Work-Related Values (Vol. 5). Sage.</w:t>
      </w:r>
    </w:p>
    <w:p w14:paraId="5C88DF07" w14:textId="159118D4" w:rsidR="00706913" w:rsidRPr="00EB5493" w:rsidRDefault="00706913" w:rsidP="00FC3413">
      <w:proofErr w:type="spellStart"/>
      <w:r w:rsidRPr="00EB5493">
        <w:t>Holbeche</w:t>
      </w:r>
      <w:proofErr w:type="spellEnd"/>
      <w:r w:rsidRPr="00EB5493">
        <w:t>, L. (2022). Aligning human resources and business strategy. Routledge.</w:t>
      </w:r>
    </w:p>
    <w:p w14:paraId="084AF55A" w14:textId="77777777" w:rsidR="00FC3413" w:rsidRPr="00FC3413" w:rsidRDefault="00FC3413" w:rsidP="00FC3413">
      <w:r w:rsidRPr="00FC3413">
        <w:t xml:space="preserve">Islami, E., Sejdiu, L., Hajdini, A., &amp; Imeri, V. (2021). The role of departmentalization, divisional structure, and strategic business units (SBUs) in enterprises in Kosovo. </w:t>
      </w:r>
      <w:proofErr w:type="spellStart"/>
      <w:r w:rsidRPr="00FC3413">
        <w:rPr>
          <w:i/>
          <w:iCs/>
        </w:rPr>
        <w:t>Calitatea</w:t>
      </w:r>
      <w:proofErr w:type="spellEnd"/>
      <w:r w:rsidRPr="00FC3413">
        <w:rPr>
          <w:i/>
          <w:iCs/>
        </w:rPr>
        <w:t>, 22</w:t>
      </w:r>
      <w:r w:rsidRPr="00FC3413">
        <w:t>(183), pp.18-22.</w:t>
      </w:r>
    </w:p>
    <w:p w14:paraId="3EB32D0D" w14:textId="77777777" w:rsidR="00FC3413" w:rsidRPr="00FC3413" w:rsidRDefault="00FC3413" w:rsidP="00FC3413">
      <w:proofErr w:type="spellStart"/>
      <w:r w:rsidRPr="00FC3413">
        <w:t>Kauce</w:t>
      </w:r>
      <w:proofErr w:type="spellEnd"/>
      <w:r w:rsidRPr="00FC3413">
        <w:t xml:space="preserve">, R., </w:t>
      </w:r>
      <w:proofErr w:type="spellStart"/>
      <w:r w:rsidRPr="00FC3413">
        <w:t>Kiseļova</w:t>
      </w:r>
      <w:proofErr w:type="spellEnd"/>
      <w:r w:rsidRPr="00FC3413">
        <w:t xml:space="preserve">, V. D., </w:t>
      </w:r>
      <w:proofErr w:type="spellStart"/>
      <w:r w:rsidRPr="00FC3413">
        <w:t>Jaudzeme</w:t>
      </w:r>
      <w:proofErr w:type="spellEnd"/>
      <w:r w:rsidRPr="00FC3413">
        <w:t xml:space="preserve">, M., </w:t>
      </w:r>
      <w:proofErr w:type="spellStart"/>
      <w:r w:rsidRPr="00FC3413">
        <w:t>Hvostovoja</w:t>
      </w:r>
      <w:proofErr w:type="spellEnd"/>
      <w:r w:rsidRPr="00FC3413">
        <w:t xml:space="preserve">, A., &amp; </w:t>
      </w:r>
      <w:proofErr w:type="spellStart"/>
      <w:r w:rsidRPr="00FC3413">
        <w:t>Reste</w:t>
      </w:r>
      <w:proofErr w:type="spellEnd"/>
      <w:r w:rsidRPr="00FC3413">
        <w:t xml:space="preserve">, J. (2024, March). Reducing sedentary behaviour in office workers–motivational factors and barriers. In </w:t>
      </w:r>
      <w:r w:rsidRPr="00FC3413">
        <w:rPr>
          <w:i/>
          <w:iCs/>
        </w:rPr>
        <w:t>SHS Web of Conferences</w:t>
      </w:r>
      <w:r w:rsidRPr="00FC3413">
        <w:t>. EDP Sciences.</w:t>
      </w:r>
    </w:p>
    <w:p w14:paraId="7AD41DC4" w14:textId="77777777" w:rsidR="00FC3413" w:rsidRDefault="00FC3413" w:rsidP="00FC3413">
      <w:r w:rsidRPr="00FC3413">
        <w:t>Kearney, K. S. (2002). A study of the emotional effects on employees who remain through organizational change: A view through Kubler-Ross (1969) in an educational institution (Doctoral dissertation, Oklahoma State University).</w:t>
      </w:r>
    </w:p>
    <w:p w14:paraId="02C00800" w14:textId="4A5EFDB1" w:rsidR="00393714" w:rsidRPr="00FC3413" w:rsidRDefault="00393714" w:rsidP="00FC3413">
      <w:r w:rsidRPr="00393714">
        <w:t>K</w:t>
      </w:r>
      <w:r>
        <w:t>im</w:t>
      </w:r>
      <w:r w:rsidRPr="00393714">
        <w:t xml:space="preserve">, S. G., &amp; </w:t>
      </w:r>
      <w:r>
        <w:t>Hong</w:t>
      </w:r>
      <w:r w:rsidRPr="00393714">
        <w:t>, S. H. (2021). The impact of organizational management factors on direct employee consultation in distribution channels. </w:t>
      </w:r>
      <w:r w:rsidRPr="00393714">
        <w:rPr>
          <w:i/>
          <w:iCs/>
        </w:rPr>
        <w:t>Journal of Distribution Science</w:t>
      </w:r>
      <w:r w:rsidRPr="00393714">
        <w:t>, </w:t>
      </w:r>
      <w:r w:rsidRPr="00393714">
        <w:rPr>
          <w:i/>
          <w:iCs/>
        </w:rPr>
        <w:t>19</w:t>
      </w:r>
      <w:r w:rsidRPr="00393714">
        <w:t xml:space="preserve">(6), </w:t>
      </w:r>
      <w:r w:rsidR="00EB5493">
        <w:t>pp.</w:t>
      </w:r>
      <w:r w:rsidRPr="00393714">
        <w:t>21-28.</w:t>
      </w:r>
    </w:p>
    <w:p w14:paraId="3686E46F" w14:textId="77777777" w:rsidR="00FC3413" w:rsidRPr="00FC3413" w:rsidRDefault="00FC3413" w:rsidP="00FC3413">
      <w:r w:rsidRPr="00FC3413">
        <w:t xml:space="preserve">Kinman, G., Teoh, K., &amp; Harriss, A. (2020). Supporting the well-being of healthcare workers during and after COVID-19. </w:t>
      </w:r>
      <w:r w:rsidRPr="00FC3413">
        <w:rPr>
          <w:i/>
          <w:iCs/>
        </w:rPr>
        <w:t>Occupational Medicine, 70</w:t>
      </w:r>
      <w:r w:rsidRPr="00FC3413">
        <w:t>(5), pp.294-296.</w:t>
      </w:r>
    </w:p>
    <w:p w14:paraId="6FF65674" w14:textId="77777777" w:rsidR="00FC3413" w:rsidRPr="00FC3413" w:rsidRDefault="00FC3413" w:rsidP="00FC3413">
      <w:r w:rsidRPr="00FC3413">
        <w:t xml:space="preserve">Kübler-Ross, E. (1969). </w:t>
      </w:r>
      <w:r w:rsidRPr="00FC3413">
        <w:rPr>
          <w:i/>
          <w:iCs/>
        </w:rPr>
        <w:t>On Death and Dying</w:t>
      </w:r>
      <w:r w:rsidRPr="00FC3413">
        <w:t>. Macmillan.</w:t>
      </w:r>
    </w:p>
    <w:p w14:paraId="585FA211" w14:textId="77777777" w:rsidR="00FC3413" w:rsidRPr="00FC3413" w:rsidRDefault="00FC3413" w:rsidP="00FC3413">
      <w:r w:rsidRPr="00FC3413">
        <w:t xml:space="preserve">Leon Rohr, S. (2016). Harnessing the power of the job description. </w:t>
      </w:r>
      <w:r w:rsidRPr="00FC3413">
        <w:rPr>
          <w:i/>
          <w:iCs/>
        </w:rPr>
        <w:t>Human Resource Management International Digest, 24</w:t>
      </w:r>
      <w:r w:rsidRPr="00FC3413">
        <w:t>(6), pp.8-11.</w:t>
      </w:r>
    </w:p>
    <w:p w14:paraId="67D93ED0" w14:textId="77777777" w:rsidR="00FC3413" w:rsidRPr="00FC3413" w:rsidRDefault="00FC3413" w:rsidP="00FC3413">
      <w:r w:rsidRPr="00FC3413">
        <w:lastRenderedPageBreak/>
        <w:t xml:space="preserve">Li, J. Y., Sun, R., Tao, W., &amp; Lee, Y. (2021). Employee coping with organizational change in the face of a pandemic: The role of transparent internal communication. </w:t>
      </w:r>
      <w:r w:rsidRPr="00FC3413">
        <w:rPr>
          <w:i/>
          <w:iCs/>
        </w:rPr>
        <w:t>Public Relations Review, 47</w:t>
      </w:r>
      <w:r w:rsidRPr="00FC3413">
        <w:t>(1), pp.101984.</w:t>
      </w:r>
    </w:p>
    <w:p w14:paraId="144BAD32" w14:textId="77777777" w:rsidR="00FC3413" w:rsidRPr="00FC3413" w:rsidRDefault="00FC3413" w:rsidP="00FC3413">
      <w:r w:rsidRPr="00FC3413">
        <w:t xml:space="preserve">Ma, R., &amp; Allen, D. G. (2009). Recruiting across cultures: A value-based approach to recruitment. </w:t>
      </w:r>
      <w:r w:rsidRPr="00FC3413">
        <w:rPr>
          <w:i/>
          <w:iCs/>
        </w:rPr>
        <w:t>Human Resource Management Review, 19</w:t>
      </w:r>
      <w:r w:rsidRPr="00FC3413">
        <w:t>(4), pp.334-346.</w:t>
      </w:r>
    </w:p>
    <w:p w14:paraId="0492CF9C" w14:textId="30945712" w:rsidR="00FC3413" w:rsidRPr="00FC3413" w:rsidRDefault="00FC3413" w:rsidP="00FC3413">
      <w:r w:rsidRPr="00FC3413">
        <w:t xml:space="preserve">Mark, G., Iqbal, S., &amp; Czerwinski, M. (2017, September). How blocking distractions affects workplace focus and productivity. In </w:t>
      </w:r>
      <w:r w:rsidRPr="00FC3413">
        <w:rPr>
          <w:i/>
          <w:iCs/>
        </w:rPr>
        <w:t>Proceedings of the 2017 ACM International Joint Conference on Pervasive and Ubiquitous Computing and Proceedings of the 2017 ACM International Symposium on Wearable Computers</w:t>
      </w:r>
      <w:r w:rsidR="00FF03B0">
        <w:t xml:space="preserve">, </w:t>
      </w:r>
      <w:r w:rsidRPr="00FC3413">
        <w:t>pp.928-934.</w:t>
      </w:r>
    </w:p>
    <w:p w14:paraId="0F335670" w14:textId="56BBAFD3" w:rsidR="00FC3413" w:rsidRDefault="00FC3413" w:rsidP="00FC3413">
      <w:r w:rsidRPr="00FC3413">
        <w:t xml:space="preserve">McCartney, C. (2023). Selection methods. Available at: </w:t>
      </w:r>
      <w:hyperlink r:id="rId10" w:tgtFrame="_new" w:history="1">
        <w:r w:rsidRPr="00FC3413">
          <w:rPr>
            <w:rStyle w:val="Hyperlink"/>
          </w:rPr>
          <w:t>https://www.cipd.org/uk/knowledge/factsheets/selection-factsheet/</w:t>
        </w:r>
      </w:hyperlink>
      <w:r w:rsidR="00FF03B0">
        <w:t>.</w:t>
      </w:r>
    </w:p>
    <w:p w14:paraId="015083E6" w14:textId="77777777" w:rsidR="00706913" w:rsidRDefault="00706913" w:rsidP="00706913">
      <w:r w:rsidRPr="001F1606">
        <w:t>Mello, J. A. (2015). </w:t>
      </w:r>
      <w:r w:rsidRPr="001F1606">
        <w:rPr>
          <w:i/>
          <w:iCs/>
        </w:rPr>
        <w:t>Strategic human resource management</w:t>
      </w:r>
      <w:r w:rsidRPr="001F1606">
        <w:t>. Cengage Learning.</w:t>
      </w:r>
    </w:p>
    <w:p w14:paraId="3F87B418" w14:textId="77777777" w:rsidR="00FC3413" w:rsidRPr="00FC3413" w:rsidRDefault="00FC3413" w:rsidP="00FC3413">
      <w:r w:rsidRPr="00FC3413">
        <w:t xml:space="preserve">Mohan, J., </w:t>
      </w:r>
      <w:proofErr w:type="spellStart"/>
      <w:r w:rsidRPr="00FC3413">
        <w:t>Abnett</w:t>
      </w:r>
      <w:proofErr w:type="spellEnd"/>
      <w:r w:rsidRPr="00FC3413">
        <w:t>, H., Bowles, J., Clifford, D., Duggan, A., McDonnell, D., &amp; Rutherford, A. (2022). Financial vulnerability in UK charities under Covid-19: An overview.</w:t>
      </w:r>
    </w:p>
    <w:p w14:paraId="5414D967" w14:textId="77777777" w:rsidR="00FC3413" w:rsidRPr="00FC3413" w:rsidRDefault="00FC3413" w:rsidP="00FC3413">
      <w:r w:rsidRPr="00FC3413">
        <w:t xml:space="preserve">Miles, S. J., &amp; McCamey, R. (2018). The candidate experience: Is it damaging your employer brand? </w:t>
      </w:r>
      <w:r w:rsidRPr="00FC3413">
        <w:rPr>
          <w:i/>
          <w:iCs/>
        </w:rPr>
        <w:t>Business Horizons, 61</w:t>
      </w:r>
      <w:r w:rsidRPr="00FC3413">
        <w:t>(5), pp.755-764.</w:t>
      </w:r>
    </w:p>
    <w:p w14:paraId="3EE538B5" w14:textId="77777777" w:rsidR="00FC3413" w:rsidRPr="00FC3413" w:rsidRDefault="00FC3413" w:rsidP="00FC3413">
      <w:r w:rsidRPr="00FC3413">
        <w:t>Mutebi, N., &amp; Hobbs, A. (2022). The impact of remote and hybrid working on workers and organisations. UK Parliament: London, UK.</w:t>
      </w:r>
    </w:p>
    <w:p w14:paraId="7ABD4DFE" w14:textId="77777777" w:rsidR="00FC3413" w:rsidRPr="00FC3413" w:rsidRDefault="00FC3413" w:rsidP="00FC3413">
      <w:r w:rsidRPr="00FC3413">
        <w:t xml:space="preserve">Neill, M. S., &amp; Bowen, S. A. (2021). Ethical listening to employees during a pandemic: New approaches, barriers and lessons. </w:t>
      </w:r>
      <w:r w:rsidRPr="00FC3413">
        <w:rPr>
          <w:i/>
          <w:iCs/>
        </w:rPr>
        <w:t>Journal of Communication Management, 25</w:t>
      </w:r>
      <w:r w:rsidRPr="00FC3413">
        <w:t>(3), pp.276-297.</w:t>
      </w:r>
    </w:p>
    <w:p w14:paraId="4B660C19" w14:textId="77777777" w:rsidR="00FC3413" w:rsidRPr="00FC3413" w:rsidRDefault="00FC3413" w:rsidP="00FC3413">
      <w:r w:rsidRPr="00FC3413">
        <w:t xml:space="preserve">Ojala, S. (2011). Supplemental work at home among Finnish wage earners: Involuntary overtime or taking the advantage of flexibility? </w:t>
      </w:r>
      <w:r w:rsidRPr="00FC3413">
        <w:rPr>
          <w:i/>
          <w:iCs/>
        </w:rPr>
        <w:t>Nordic Journal of Working Life Studies, 1</w:t>
      </w:r>
      <w:r w:rsidRPr="00FC3413">
        <w:t>(2), pp.77-97.</w:t>
      </w:r>
    </w:p>
    <w:p w14:paraId="24EAFA9E" w14:textId="77777777" w:rsidR="00FC3413" w:rsidRPr="00FC3413" w:rsidRDefault="00FC3413" w:rsidP="00FC3413">
      <w:r w:rsidRPr="00FC3413">
        <w:t>One, S. (2008). Kotter's 8-Step Change Model. Implementing change powerfully and successfully.</w:t>
      </w:r>
    </w:p>
    <w:p w14:paraId="659D4993" w14:textId="77777777" w:rsidR="00FC3413" w:rsidRPr="00FC3413" w:rsidRDefault="00FC3413" w:rsidP="00FC3413">
      <w:r w:rsidRPr="00FC3413">
        <w:t xml:space="preserve">Peng, J., Li, M., Wang, Z., &amp; Lin, Y. (2021). Transformational leadership and employees’ reactions to organizational change: Evidence from a meta-analysis. </w:t>
      </w:r>
      <w:r w:rsidRPr="00FC3413">
        <w:rPr>
          <w:i/>
          <w:iCs/>
        </w:rPr>
        <w:t xml:space="preserve">The Journal of Applied </w:t>
      </w:r>
      <w:proofErr w:type="spellStart"/>
      <w:r w:rsidRPr="00FC3413">
        <w:rPr>
          <w:i/>
          <w:iCs/>
        </w:rPr>
        <w:t>Behavioral</w:t>
      </w:r>
      <w:proofErr w:type="spellEnd"/>
      <w:r w:rsidRPr="00FC3413">
        <w:rPr>
          <w:i/>
          <w:iCs/>
        </w:rPr>
        <w:t xml:space="preserve"> Science, 57</w:t>
      </w:r>
      <w:r w:rsidRPr="00FC3413">
        <w:t>(3), pp.369-397.</w:t>
      </w:r>
    </w:p>
    <w:p w14:paraId="5E1C85DC" w14:textId="77777777" w:rsidR="00FC3413" w:rsidRPr="00FC3413" w:rsidRDefault="00FC3413" w:rsidP="00FC3413">
      <w:r w:rsidRPr="00FC3413">
        <w:t xml:space="preserve">Pollack, J., &amp; Pollack, R. (2015). Using Kotter’s eight stage process to manage an organisational change program: Presentation and practice. </w:t>
      </w:r>
      <w:r w:rsidRPr="00FC3413">
        <w:rPr>
          <w:i/>
          <w:iCs/>
        </w:rPr>
        <w:t>Systemic Practice and Action Research, 28</w:t>
      </w:r>
      <w:r w:rsidRPr="00FC3413">
        <w:t>, pp.51-66.</w:t>
      </w:r>
    </w:p>
    <w:p w14:paraId="074833A0" w14:textId="77777777" w:rsidR="00FC3413" w:rsidRPr="00FC3413" w:rsidRDefault="00FC3413" w:rsidP="00FC3413">
      <w:r w:rsidRPr="00FC3413">
        <w:t xml:space="preserve">Ritchie, G., Ashworth, L., &amp; </w:t>
      </w:r>
      <w:proofErr w:type="spellStart"/>
      <w:r w:rsidRPr="00FC3413">
        <w:t>Bades</w:t>
      </w:r>
      <w:proofErr w:type="spellEnd"/>
      <w:r w:rsidRPr="00FC3413">
        <w:t xml:space="preserve">, A. (2018). Recruiting the next generation: Applying a values-based approach to recruitment. </w:t>
      </w:r>
      <w:r w:rsidRPr="00FC3413">
        <w:rPr>
          <w:i/>
          <w:iCs/>
        </w:rPr>
        <w:t>British Journal of Community Nursing, 23</w:t>
      </w:r>
      <w:r w:rsidRPr="00FC3413">
        <w:t>(5), pp.232-237.</w:t>
      </w:r>
    </w:p>
    <w:p w14:paraId="77F12769" w14:textId="77777777" w:rsidR="00FC3413" w:rsidRPr="00FC3413" w:rsidRDefault="00FC3413" w:rsidP="00FC3413">
      <w:r w:rsidRPr="00FC3413">
        <w:t xml:space="preserve">Robbins, S. P., &amp; Judge, T. A. (2003). </w:t>
      </w:r>
      <w:r w:rsidRPr="00FC3413">
        <w:rPr>
          <w:i/>
          <w:iCs/>
        </w:rPr>
        <w:t>Organizational Behaviour</w:t>
      </w:r>
      <w:r w:rsidRPr="00FC3413">
        <w:t>. Pearson Education Inc.</w:t>
      </w:r>
    </w:p>
    <w:p w14:paraId="7981E060" w14:textId="77777777" w:rsidR="00FC3413" w:rsidRDefault="00FC3413" w:rsidP="00FC3413">
      <w:r w:rsidRPr="00FC3413">
        <w:t xml:space="preserve">Rock, D. (2009). Managing with the brain in mind. </w:t>
      </w:r>
      <w:proofErr w:type="spellStart"/>
      <w:r w:rsidRPr="00FC3413">
        <w:rPr>
          <w:i/>
          <w:iCs/>
        </w:rPr>
        <w:t>Strategy+Business</w:t>
      </w:r>
      <w:proofErr w:type="spellEnd"/>
      <w:r w:rsidRPr="00FC3413">
        <w:t>.</w:t>
      </w:r>
    </w:p>
    <w:p w14:paraId="6D782EBC" w14:textId="77777777" w:rsidR="00FC3413" w:rsidRPr="00FC3413" w:rsidRDefault="00FC3413" w:rsidP="00FC3413">
      <w:r w:rsidRPr="00FC3413">
        <w:t xml:space="preserve">Schein, E. H. (2010). </w:t>
      </w:r>
      <w:r w:rsidRPr="00FC3413">
        <w:rPr>
          <w:i/>
          <w:iCs/>
        </w:rPr>
        <w:t>Organizational Culture and Leadership</w:t>
      </w:r>
      <w:r w:rsidRPr="00FC3413">
        <w:t xml:space="preserve"> (Vol. 2). John Wiley &amp; Sons.</w:t>
      </w:r>
    </w:p>
    <w:p w14:paraId="36A5D922" w14:textId="77777777" w:rsidR="00FC3413" w:rsidRDefault="00FC3413" w:rsidP="00FC3413">
      <w:r w:rsidRPr="00FC3413">
        <w:t xml:space="preserve">Shin, J., Seo, M. G., Shapiro, D. L., &amp; Taylor, M. S. (2015). Maintaining employees’ commitment to organizational change: The role of leaders’ informational justice and transformational leadership. </w:t>
      </w:r>
      <w:r w:rsidRPr="00FC3413">
        <w:rPr>
          <w:i/>
          <w:iCs/>
        </w:rPr>
        <w:t xml:space="preserve">The Journal of Applied </w:t>
      </w:r>
      <w:proofErr w:type="spellStart"/>
      <w:r w:rsidRPr="00FC3413">
        <w:rPr>
          <w:i/>
          <w:iCs/>
        </w:rPr>
        <w:t>Behavioral</w:t>
      </w:r>
      <w:proofErr w:type="spellEnd"/>
      <w:r w:rsidRPr="00FC3413">
        <w:rPr>
          <w:i/>
          <w:iCs/>
        </w:rPr>
        <w:t xml:space="preserve"> Science, 51</w:t>
      </w:r>
      <w:r w:rsidRPr="00FC3413">
        <w:t>(4), pp.501-528.</w:t>
      </w:r>
    </w:p>
    <w:p w14:paraId="32EE06D5" w14:textId="77777777" w:rsidR="007855BD" w:rsidRDefault="007855BD" w:rsidP="007855BD">
      <w:proofErr w:type="spellStart"/>
      <w:r w:rsidRPr="00872309">
        <w:lastRenderedPageBreak/>
        <w:t>Sokro</w:t>
      </w:r>
      <w:proofErr w:type="spellEnd"/>
      <w:r w:rsidRPr="00872309">
        <w:t>, E. (2012). Impact of employer branding on employee attraction and retention.</w:t>
      </w:r>
    </w:p>
    <w:p w14:paraId="1387CA7E" w14:textId="548F05A0" w:rsidR="00FC3413" w:rsidRPr="00FC3413" w:rsidRDefault="00FC3413" w:rsidP="00FC3413">
      <w:r w:rsidRPr="00EB5493">
        <w:t xml:space="preserve">Spilsbury, K., Thompson, C., Bloor, K., Dale, V., Devi, R., Jackson, C., </w:t>
      </w:r>
      <w:r w:rsidR="00EB5493" w:rsidRPr="00EB5493">
        <w:t xml:space="preserve">McCaughan, D., Simpson, A. </w:t>
      </w:r>
      <w:r w:rsidRPr="00EB5493">
        <w:t>&amp; Mannion, R. (2022). Values-based recruitment: What works, for whom, why, and in what circumstances?</w:t>
      </w:r>
    </w:p>
    <w:p w14:paraId="5B6FEEC8" w14:textId="77777777" w:rsidR="00FC3413" w:rsidRPr="00FC3413" w:rsidRDefault="00FC3413" w:rsidP="00FC3413">
      <w:r w:rsidRPr="00FC3413">
        <w:t xml:space="preserve">Tarnoff, K. A., Bostwick, E. D., &amp; Barnes, K. J. (2021). Assessment resistance: Using Kubler-Ross to understand and respond. </w:t>
      </w:r>
      <w:r w:rsidRPr="00FC3413">
        <w:rPr>
          <w:i/>
          <w:iCs/>
        </w:rPr>
        <w:t>Organization Management Journal, 18</w:t>
      </w:r>
      <w:r w:rsidRPr="00FC3413">
        <w:t>(5), pp.176-186.</w:t>
      </w:r>
    </w:p>
    <w:p w14:paraId="70285288" w14:textId="77777777" w:rsidR="00FC3413" w:rsidRDefault="00FC3413" w:rsidP="00FC3413">
      <w:r w:rsidRPr="00FC3413">
        <w:t xml:space="preserve">Taylor, S., &amp; Woodhams, C. (Eds.). (2022). </w:t>
      </w:r>
      <w:r w:rsidRPr="00FC3413">
        <w:rPr>
          <w:i/>
          <w:iCs/>
        </w:rPr>
        <w:t>Studying Human Resource Management: A Guide to the Study, Context and Practice of HR</w:t>
      </w:r>
      <w:r w:rsidRPr="00FC3413">
        <w:t xml:space="preserve"> (Third edition). </w:t>
      </w:r>
      <w:proofErr w:type="spellStart"/>
      <w:r w:rsidRPr="00FC3413">
        <w:t>KoganPage</w:t>
      </w:r>
      <w:proofErr w:type="spellEnd"/>
      <w:r w:rsidRPr="00FC3413">
        <w:t>.</w:t>
      </w:r>
    </w:p>
    <w:p w14:paraId="4239F056" w14:textId="32C19A24" w:rsidR="00393714" w:rsidRDefault="00393714" w:rsidP="00FC3413">
      <w:r w:rsidRPr="00393714">
        <w:t>Torrington, D., Hall, L., Atkinson, C., &amp; Taylor, S. (2020). </w:t>
      </w:r>
      <w:r w:rsidRPr="00393714">
        <w:rPr>
          <w:i/>
          <w:iCs/>
        </w:rPr>
        <w:t>Human resource management</w:t>
      </w:r>
      <w:r w:rsidRPr="00393714">
        <w:t> (11th edition.). Pearson Education Limited.</w:t>
      </w:r>
    </w:p>
    <w:p w14:paraId="383DB630" w14:textId="77777777" w:rsidR="007855BD" w:rsidRDefault="007855BD" w:rsidP="007855BD">
      <w:r w:rsidRPr="00872309">
        <w:t xml:space="preserve">Vikas, S., Mathur, A., </w:t>
      </w:r>
      <w:proofErr w:type="spellStart"/>
      <w:r w:rsidRPr="00872309">
        <w:t>Adavi</w:t>
      </w:r>
      <w:proofErr w:type="spellEnd"/>
      <w:r w:rsidRPr="00872309">
        <w:t xml:space="preserve">, S., Shaik, J. M. P., &amp; </w:t>
      </w:r>
      <w:proofErr w:type="spellStart"/>
      <w:r w:rsidRPr="00872309">
        <w:t>Seshachalam</w:t>
      </w:r>
      <w:proofErr w:type="spellEnd"/>
      <w:r w:rsidRPr="00872309">
        <w:t>, A. (2024). Recruitment and the Role of Hr in Talent Acquisition: Optimal Methods for Hiring Top Talent. </w:t>
      </w:r>
      <w:r w:rsidRPr="00872309">
        <w:rPr>
          <w:i/>
          <w:iCs/>
        </w:rPr>
        <w:t>Journal of Informatics Education and Research</w:t>
      </w:r>
      <w:r w:rsidRPr="00872309">
        <w:t>, </w:t>
      </w:r>
      <w:r w:rsidRPr="00872309">
        <w:rPr>
          <w:i/>
          <w:iCs/>
        </w:rPr>
        <w:t>4</w:t>
      </w:r>
      <w:r w:rsidRPr="00872309">
        <w:t>(1).</w:t>
      </w:r>
    </w:p>
    <w:p w14:paraId="55F3307A" w14:textId="77777777" w:rsidR="00FC3413" w:rsidRPr="00FC3413" w:rsidRDefault="00FC3413" w:rsidP="00FC3413">
      <w:proofErr w:type="spellStart"/>
      <w:r w:rsidRPr="00FC3413">
        <w:t>Waworuntu</w:t>
      </w:r>
      <w:proofErr w:type="spellEnd"/>
      <w:r w:rsidRPr="00FC3413">
        <w:t xml:space="preserve">, E. C., </w:t>
      </w:r>
      <w:proofErr w:type="spellStart"/>
      <w:r w:rsidRPr="00FC3413">
        <w:t>Kainde</w:t>
      </w:r>
      <w:proofErr w:type="spellEnd"/>
      <w:r w:rsidRPr="00FC3413">
        <w:t xml:space="preserve">, S. J., &amp; </w:t>
      </w:r>
      <w:proofErr w:type="spellStart"/>
      <w:r w:rsidRPr="00FC3413">
        <w:t>Mandagi</w:t>
      </w:r>
      <w:proofErr w:type="spellEnd"/>
      <w:r w:rsidRPr="00FC3413">
        <w:t xml:space="preserve">, D. W. (2022). Work-life balance, job satisfaction, and performance among millennial and Gen Z employees: A systematic review. </w:t>
      </w:r>
      <w:r w:rsidRPr="00FC3413">
        <w:rPr>
          <w:i/>
          <w:iCs/>
        </w:rPr>
        <w:t>Society, 10</w:t>
      </w:r>
      <w:r w:rsidRPr="00FC3413">
        <w:t>(2), pp.384-398.</w:t>
      </w:r>
    </w:p>
    <w:p w14:paraId="6D97A8EF" w14:textId="77777777" w:rsidR="00FC3413" w:rsidRPr="00FC3413" w:rsidRDefault="00FC3413" w:rsidP="00FC3413">
      <w:r w:rsidRPr="00FC3413">
        <w:t xml:space="preserve">Wilfred, D. (2018). AI in recruitment. </w:t>
      </w:r>
      <w:r w:rsidRPr="00FC3413">
        <w:rPr>
          <w:i/>
          <w:iCs/>
        </w:rPr>
        <w:t>NHRD Network Journal, 11</w:t>
      </w:r>
      <w:r w:rsidRPr="00FC3413">
        <w:t>(2), pp.15-18.</w:t>
      </w:r>
    </w:p>
    <w:p w14:paraId="6E38D940" w14:textId="77777777" w:rsidR="00FC3413" w:rsidRPr="00FC3413" w:rsidRDefault="00FC3413" w:rsidP="00FC3413">
      <w:r w:rsidRPr="00FC3413">
        <w:t xml:space="preserve">Williamson, O. W. (1975). </w:t>
      </w:r>
      <w:r w:rsidRPr="00602410">
        <w:t>Markets and Hierarchies: Analysis and Antitrust Implications. New</w:t>
      </w:r>
      <w:r w:rsidRPr="00FC3413">
        <w:t xml:space="preserve"> York: Free Press.</w:t>
      </w:r>
    </w:p>
    <w:p w14:paraId="15F352FB" w14:textId="77777777" w:rsidR="00FC3413" w:rsidRPr="00FC3413" w:rsidRDefault="00FC3413" w:rsidP="00FC3413">
      <w:r w:rsidRPr="00FC3413">
        <w:t xml:space="preserve">Zhai, Y., Zhang, L., &amp; Yu, M. (2024). AI in human resource management: Literature review and research implications. </w:t>
      </w:r>
      <w:r w:rsidRPr="00FC3413">
        <w:rPr>
          <w:i/>
          <w:iCs/>
        </w:rPr>
        <w:t>Journal of the Knowledge Economy</w:t>
      </w:r>
      <w:r w:rsidRPr="00FC3413">
        <w:t xml:space="preserve">. </w:t>
      </w:r>
      <w:hyperlink r:id="rId11" w:tgtFrame="_new" w:history="1">
        <w:r w:rsidRPr="00FC3413">
          <w:rPr>
            <w:rStyle w:val="Hyperlink"/>
          </w:rPr>
          <w:t>https://doi.org/10.1007/s13132-023-01631-z</w:t>
        </w:r>
      </w:hyperlink>
    </w:p>
    <w:p w14:paraId="757FA704" w14:textId="364025C4" w:rsidR="00CC6049" w:rsidRPr="00CC6049" w:rsidRDefault="00CC6049" w:rsidP="00FC3413">
      <w:pPr>
        <w:rPr>
          <w:lang w:val="en-US"/>
        </w:rPr>
      </w:pPr>
    </w:p>
    <w:sectPr w:rsidR="00CC6049" w:rsidRPr="00CC60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524C"/>
    <w:multiLevelType w:val="multilevel"/>
    <w:tmpl w:val="C4E62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D4C5D"/>
    <w:multiLevelType w:val="hybridMultilevel"/>
    <w:tmpl w:val="AF86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179F6"/>
    <w:multiLevelType w:val="multilevel"/>
    <w:tmpl w:val="42BC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74408B"/>
    <w:multiLevelType w:val="multilevel"/>
    <w:tmpl w:val="9178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572D09"/>
    <w:multiLevelType w:val="hybridMultilevel"/>
    <w:tmpl w:val="E8603B4C"/>
    <w:lvl w:ilvl="0" w:tplc="4648BAAE">
      <w:start w:val="1"/>
      <w:numFmt w:val="bullet"/>
      <w:lvlText w:val="•"/>
      <w:lvlJc w:val="left"/>
      <w:pPr>
        <w:tabs>
          <w:tab w:val="num" w:pos="720"/>
        </w:tabs>
        <w:ind w:left="720" w:hanging="360"/>
      </w:pPr>
      <w:rPr>
        <w:rFonts w:ascii="Arial" w:hAnsi="Arial" w:hint="default"/>
      </w:rPr>
    </w:lvl>
    <w:lvl w:ilvl="1" w:tplc="1A92B95C" w:tentative="1">
      <w:start w:val="1"/>
      <w:numFmt w:val="bullet"/>
      <w:lvlText w:val="•"/>
      <w:lvlJc w:val="left"/>
      <w:pPr>
        <w:tabs>
          <w:tab w:val="num" w:pos="1440"/>
        </w:tabs>
        <w:ind w:left="1440" w:hanging="360"/>
      </w:pPr>
      <w:rPr>
        <w:rFonts w:ascii="Arial" w:hAnsi="Arial" w:hint="default"/>
      </w:rPr>
    </w:lvl>
    <w:lvl w:ilvl="2" w:tplc="9F760708" w:tentative="1">
      <w:start w:val="1"/>
      <w:numFmt w:val="bullet"/>
      <w:lvlText w:val="•"/>
      <w:lvlJc w:val="left"/>
      <w:pPr>
        <w:tabs>
          <w:tab w:val="num" w:pos="2160"/>
        </w:tabs>
        <w:ind w:left="2160" w:hanging="360"/>
      </w:pPr>
      <w:rPr>
        <w:rFonts w:ascii="Arial" w:hAnsi="Arial" w:hint="default"/>
      </w:rPr>
    </w:lvl>
    <w:lvl w:ilvl="3" w:tplc="F7E0E194" w:tentative="1">
      <w:start w:val="1"/>
      <w:numFmt w:val="bullet"/>
      <w:lvlText w:val="•"/>
      <w:lvlJc w:val="left"/>
      <w:pPr>
        <w:tabs>
          <w:tab w:val="num" w:pos="2880"/>
        </w:tabs>
        <w:ind w:left="2880" w:hanging="360"/>
      </w:pPr>
      <w:rPr>
        <w:rFonts w:ascii="Arial" w:hAnsi="Arial" w:hint="default"/>
      </w:rPr>
    </w:lvl>
    <w:lvl w:ilvl="4" w:tplc="AF3AD9A2" w:tentative="1">
      <w:start w:val="1"/>
      <w:numFmt w:val="bullet"/>
      <w:lvlText w:val="•"/>
      <w:lvlJc w:val="left"/>
      <w:pPr>
        <w:tabs>
          <w:tab w:val="num" w:pos="3600"/>
        </w:tabs>
        <w:ind w:left="3600" w:hanging="360"/>
      </w:pPr>
      <w:rPr>
        <w:rFonts w:ascii="Arial" w:hAnsi="Arial" w:hint="default"/>
      </w:rPr>
    </w:lvl>
    <w:lvl w:ilvl="5" w:tplc="95625FA0" w:tentative="1">
      <w:start w:val="1"/>
      <w:numFmt w:val="bullet"/>
      <w:lvlText w:val="•"/>
      <w:lvlJc w:val="left"/>
      <w:pPr>
        <w:tabs>
          <w:tab w:val="num" w:pos="4320"/>
        </w:tabs>
        <w:ind w:left="4320" w:hanging="360"/>
      </w:pPr>
      <w:rPr>
        <w:rFonts w:ascii="Arial" w:hAnsi="Arial" w:hint="default"/>
      </w:rPr>
    </w:lvl>
    <w:lvl w:ilvl="6" w:tplc="0D2CC548" w:tentative="1">
      <w:start w:val="1"/>
      <w:numFmt w:val="bullet"/>
      <w:lvlText w:val="•"/>
      <w:lvlJc w:val="left"/>
      <w:pPr>
        <w:tabs>
          <w:tab w:val="num" w:pos="5040"/>
        </w:tabs>
        <w:ind w:left="5040" w:hanging="360"/>
      </w:pPr>
      <w:rPr>
        <w:rFonts w:ascii="Arial" w:hAnsi="Arial" w:hint="default"/>
      </w:rPr>
    </w:lvl>
    <w:lvl w:ilvl="7" w:tplc="DA7C7558" w:tentative="1">
      <w:start w:val="1"/>
      <w:numFmt w:val="bullet"/>
      <w:lvlText w:val="•"/>
      <w:lvlJc w:val="left"/>
      <w:pPr>
        <w:tabs>
          <w:tab w:val="num" w:pos="5760"/>
        </w:tabs>
        <w:ind w:left="5760" w:hanging="360"/>
      </w:pPr>
      <w:rPr>
        <w:rFonts w:ascii="Arial" w:hAnsi="Arial" w:hint="default"/>
      </w:rPr>
    </w:lvl>
    <w:lvl w:ilvl="8" w:tplc="3614F1E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E43D97"/>
    <w:multiLevelType w:val="hybridMultilevel"/>
    <w:tmpl w:val="2E921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D87AC1"/>
    <w:multiLevelType w:val="multilevel"/>
    <w:tmpl w:val="464E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AA7D63"/>
    <w:multiLevelType w:val="hybridMultilevel"/>
    <w:tmpl w:val="2AA442F8"/>
    <w:lvl w:ilvl="0" w:tplc="850A2F68">
      <w:start w:val="1"/>
      <w:numFmt w:val="bullet"/>
      <w:lvlText w:val="•"/>
      <w:lvlJc w:val="left"/>
      <w:pPr>
        <w:tabs>
          <w:tab w:val="num" w:pos="720"/>
        </w:tabs>
        <w:ind w:left="720" w:hanging="360"/>
      </w:pPr>
      <w:rPr>
        <w:rFonts w:ascii="Arial" w:hAnsi="Arial" w:hint="default"/>
      </w:rPr>
    </w:lvl>
    <w:lvl w:ilvl="1" w:tplc="15B4EB2E" w:tentative="1">
      <w:start w:val="1"/>
      <w:numFmt w:val="bullet"/>
      <w:lvlText w:val="•"/>
      <w:lvlJc w:val="left"/>
      <w:pPr>
        <w:tabs>
          <w:tab w:val="num" w:pos="1440"/>
        </w:tabs>
        <w:ind w:left="1440" w:hanging="360"/>
      </w:pPr>
      <w:rPr>
        <w:rFonts w:ascii="Arial" w:hAnsi="Arial" w:hint="default"/>
      </w:rPr>
    </w:lvl>
    <w:lvl w:ilvl="2" w:tplc="06124CEE" w:tentative="1">
      <w:start w:val="1"/>
      <w:numFmt w:val="bullet"/>
      <w:lvlText w:val="•"/>
      <w:lvlJc w:val="left"/>
      <w:pPr>
        <w:tabs>
          <w:tab w:val="num" w:pos="2160"/>
        </w:tabs>
        <w:ind w:left="2160" w:hanging="360"/>
      </w:pPr>
      <w:rPr>
        <w:rFonts w:ascii="Arial" w:hAnsi="Arial" w:hint="default"/>
      </w:rPr>
    </w:lvl>
    <w:lvl w:ilvl="3" w:tplc="A0D2100A" w:tentative="1">
      <w:start w:val="1"/>
      <w:numFmt w:val="bullet"/>
      <w:lvlText w:val="•"/>
      <w:lvlJc w:val="left"/>
      <w:pPr>
        <w:tabs>
          <w:tab w:val="num" w:pos="2880"/>
        </w:tabs>
        <w:ind w:left="2880" w:hanging="360"/>
      </w:pPr>
      <w:rPr>
        <w:rFonts w:ascii="Arial" w:hAnsi="Arial" w:hint="default"/>
      </w:rPr>
    </w:lvl>
    <w:lvl w:ilvl="4" w:tplc="AC98F224" w:tentative="1">
      <w:start w:val="1"/>
      <w:numFmt w:val="bullet"/>
      <w:lvlText w:val="•"/>
      <w:lvlJc w:val="left"/>
      <w:pPr>
        <w:tabs>
          <w:tab w:val="num" w:pos="3600"/>
        </w:tabs>
        <w:ind w:left="3600" w:hanging="360"/>
      </w:pPr>
      <w:rPr>
        <w:rFonts w:ascii="Arial" w:hAnsi="Arial" w:hint="default"/>
      </w:rPr>
    </w:lvl>
    <w:lvl w:ilvl="5" w:tplc="E87678AC" w:tentative="1">
      <w:start w:val="1"/>
      <w:numFmt w:val="bullet"/>
      <w:lvlText w:val="•"/>
      <w:lvlJc w:val="left"/>
      <w:pPr>
        <w:tabs>
          <w:tab w:val="num" w:pos="4320"/>
        </w:tabs>
        <w:ind w:left="4320" w:hanging="360"/>
      </w:pPr>
      <w:rPr>
        <w:rFonts w:ascii="Arial" w:hAnsi="Arial" w:hint="default"/>
      </w:rPr>
    </w:lvl>
    <w:lvl w:ilvl="6" w:tplc="F1888E30" w:tentative="1">
      <w:start w:val="1"/>
      <w:numFmt w:val="bullet"/>
      <w:lvlText w:val="•"/>
      <w:lvlJc w:val="left"/>
      <w:pPr>
        <w:tabs>
          <w:tab w:val="num" w:pos="5040"/>
        </w:tabs>
        <w:ind w:left="5040" w:hanging="360"/>
      </w:pPr>
      <w:rPr>
        <w:rFonts w:ascii="Arial" w:hAnsi="Arial" w:hint="default"/>
      </w:rPr>
    </w:lvl>
    <w:lvl w:ilvl="7" w:tplc="62BE7CB8" w:tentative="1">
      <w:start w:val="1"/>
      <w:numFmt w:val="bullet"/>
      <w:lvlText w:val="•"/>
      <w:lvlJc w:val="left"/>
      <w:pPr>
        <w:tabs>
          <w:tab w:val="num" w:pos="5760"/>
        </w:tabs>
        <w:ind w:left="5760" w:hanging="360"/>
      </w:pPr>
      <w:rPr>
        <w:rFonts w:ascii="Arial" w:hAnsi="Arial" w:hint="default"/>
      </w:rPr>
    </w:lvl>
    <w:lvl w:ilvl="8" w:tplc="1AAC7D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D851D24"/>
    <w:multiLevelType w:val="hybridMultilevel"/>
    <w:tmpl w:val="35543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844149">
    <w:abstractNumId w:val="9"/>
  </w:num>
  <w:num w:numId="2" w16cid:durableId="302807282">
    <w:abstractNumId w:val="6"/>
  </w:num>
  <w:num w:numId="3" w16cid:durableId="1182739812">
    <w:abstractNumId w:val="1"/>
  </w:num>
  <w:num w:numId="4" w16cid:durableId="128712851">
    <w:abstractNumId w:val="5"/>
  </w:num>
  <w:num w:numId="5" w16cid:durableId="1016539722">
    <w:abstractNumId w:val="7"/>
  </w:num>
  <w:num w:numId="6" w16cid:durableId="757141608">
    <w:abstractNumId w:val="8"/>
  </w:num>
  <w:num w:numId="7" w16cid:durableId="515538142">
    <w:abstractNumId w:val="4"/>
  </w:num>
  <w:num w:numId="8" w16cid:durableId="897396867">
    <w:abstractNumId w:val="0"/>
  </w:num>
  <w:num w:numId="9" w16cid:durableId="1776053021">
    <w:abstractNumId w:val="3"/>
  </w:num>
  <w:num w:numId="10" w16cid:durableId="1536427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049"/>
    <w:rsid w:val="0001269B"/>
    <w:rsid w:val="00057F1A"/>
    <w:rsid w:val="000746A1"/>
    <w:rsid w:val="00082B6D"/>
    <w:rsid w:val="000E21B8"/>
    <w:rsid w:val="00101FA9"/>
    <w:rsid w:val="00107310"/>
    <w:rsid w:val="0011220D"/>
    <w:rsid w:val="0015031F"/>
    <w:rsid w:val="001724A6"/>
    <w:rsid w:val="00177930"/>
    <w:rsid w:val="00177A39"/>
    <w:rsid w:val="00187EA7"/>
    <w:rsid w:val="00195BEA"/>
    <w:rsid w:val="001971BF"/>
    <w:rsid w:val="001A039C"/>
    <w:rsid w:val="001A17DE"/>
    <w:rsid w:val="001B54C5"/>
    <w:rsid w:val="001C6822"/>
    <w:rsid w:val="001D6173"/>
    <w:rsid w:val="001F1606"/>
    <w:rsid w:val="00200A12"/>
    <w:rsid w:val="00202EE1"/>
    <w:rsid w:val="00244D24"/>
    <w:rsid w:val="00245C7E"/>
    <w:rsid w:val="00262EC8"/>
    <w:rsid w:val="002664E5"/>
    <w:rsid w:val="00266FBD"/>
    <w:rsid w:val="0028207D"/>
    <w:rsid w:val="002B3FE9"/>
    <w:rsid w:val="002D317B"/>
    <w:rsid w:val="002E0C7A"/>
    <w:rsid w:val="002E32C2"/>
    <w:rsid w:val="002F3670"/>
    <w:rsid w:val="002F7A82"/>
    <w:rsid w:val="00302C05"/>
    <w:rsid w:val="003167F4"/>
    <w:rsid w:val="00373C13"/>
    <w:rsid w:val="00374495"/>
    <w:rsid w:val="00393714"/>
    <w:rsid w:val="003977BE"/>
    <w:rsid w:val="003A1091"/>
    <w:rsid w:val="003E7639"/>
    <w:rsid w:val="003F1A13"/>
    <w:rsid w:val="0040280D"/>
    <w:rsid w:val="0042363F"/>
    <w:rsid w:val="00447154"/>
    <w:rsid w:val="00450259"/>
    <w:rsid w:val="00450BF9"/>
    <w:rsid w:val="004527CF"/>
    <w:rsid w:val="00487D9F"/>
    <w:rsid w:val="004D59B5"/>
    <w:rsid w:val="004D6A66"/>
    <w:rsid w:val="004F57C1"/>
    <w:rsid w:val="004F5828"/>
    <w:rsid w:val="00500B64"/>
    <w:rsid w:val="0050407A"/>
    <w:rsid w:val="005055F9"/>
    <w:rsid w:val="0050703A"/>
    <w:rsid w:val="00584322"/>
    <w:rsid w:val="005924D7"/>
    <w:rsid w:val="005B127D"/>
    <w:rsid w:val="005D2809"/>
    <w:rsid w:val="005E1E3B"/>
    <w:rsid w:val="00602410"/>
    <w:rsid w:val="00605261"/>
    <w:rsid w:val="00623536"/>
    <w:rsid w:val="00632BE8"/>
    <w:rsid w:val="00662275"/>
    <w:rsid w:val="00697B9B"/>
    <w:rsid w:val="006A06A4"/>
    <w:rsid w:val="006A4714"/>
    <w:rsid w:val="006A63FA"/>
    <w:rsid w:val="006C68D7"/>
    <w:rsid w:val="006D012D"/>
    <w:rsid w:val="006D6F3E"/>
    <w:rsid w:val="006D7609"/>
    <w:rsid w:val="00706913"/>
    <w:rsid w:val="00737409"/>
    <w:rsid w:val="007638F1"/>
    <w:rsid w:val="0077517C"/>
    <w:rsid w:val="007855BD"/>
    <w:rsid w:val="0078566E"/>
    <w:rsid w:val="007A0408"/>
    <w:rsid w:val="007B07B3"/>
    <w:rsid w:val="007B2B6B"/>
    <w:rsid w:val="007C0AC3"/>
    <w:rsid w:val="007C15A2"/>
    <w:rsid w:val="007C29F1"/>
    <w:rsid w:val="007D30CB"/>
    <w:rsid w:val="007D45F0"/>
    <w:rsid w:val="007E1B9B"/>
    <w:rsid w:val="007E5EF6"/>
    <w:rsid w:val="007F55FF"/>
    <w:rsid w:val="0080428C"/>
    <w:rsid w:val="0081681D"/>
    <w:rsid w:val="0082192A"/>
    <w:rsid w:val="00831553"/>
    <w:rsid w:val="00842FA1"/>
    <w:rsid w:val="008544C6"/>
    <w:rsid w:val="00872309"/>
    <w:rsid w:val="00877AFF"/>
    <w:rsid w:val="008B1403"/>
    <w:rsid w:val="008E3121"/>
    <w:rsid w:val="008F0E6D"/>
    <w:rsid w:val="008F65B4"/>
    <w:rsid w:val="00900701"/>
    <w:rsid w:val="00910DCA"/>
    <w:rsid w:val="009171FF"/>
    <w:rsid w:val="00926645"/>
    <w:rsid w:val="00950227"/>
    <w:rsid w:val="00962E88"/>
    <w:rsid w:val="00974656"/>
    <w:rsid w:val="00975DDA"/>
    <w:rsid w:val="00997C85"/>
    <w:rsid w:val="009A76FE"/>
    <w:rsid w:val="009B41A1"/>
    <w:rsid w:val="009F1322"/>
    <w:rsid w:val="00A03A81"/>
    <w:rsid w:val="00A101EE"/>
    <w:rsid w:val="00A37F03"/>
    <w:rsid w:val="00A65D17"/>
    <w:rsid w:val="00A7178B"/>
    <w:rsid w:val="00A75DC2"/>
    <w:rsid w:val="00A80C21"/>
    <w:rsid w:val="00A84442"/>
    <w:rsid w:val="00A93D30"/>
    <w:rsid w:val="00AA6D89"/>
    <w:rsid w:val="00AB236E"/>
    <w:rsid w:val="00AB33F1"/>
    <w:rsid w:val="00AB422F"/>
    <w:rsid w:val="00AC5634"/>
    <w:rsid w:val="00AC5FD5"/>
    <w:rsid w:val="00AC65AD"/>
    <w:rsid w:val="00AD725E"/>
    <w:rsid w:val="00AE099F"/>
    <w:rsid w:val="00AE3C3F"/>
    <w:rsid w:val="00AE4ED6"/>
    <w:rsid w:val="00B709BE"/>
    <w:rsid w:val="00B72D34"/>
    <w:rsid w:val="00B80AE5"/>
    <w:rsid w:val="00B93534"/>
    <w:rsid w:val="00BB183D"/>
    <w:rsid w:val="00BC3BEC"/>
    <w:rsid w:val="00BE1D5B"/>
    <w:rsid w:val="00BE464B"/>
    <w:rsid w:val="00BE5D7E"/>
    <w:rsid w:val="00C21756"/>
    <w:rsid w:val="00C230D7"/>
    <w:rsid w:val="00C43D10"/>
    <w:rsid w:val="00C63098"/>
    <w:rsid w:val="00C77755"/>
    <w:rsid w:val="00C8677D"/>
    <w:rsid w:val="00C9737A"/>
    <w:rsid w:val="00C97D09"/>
    <w:rsid w:val="00CA64C6"/>
    <w:rsid w:val="00CC02A2"/>
    <w:rsid w:val="00CC0312"/>
    <w:rsid w:val="00CC6049"/>
    <w:rsid w:val="00CD17E2"/>
    <w:rsid w:val="00CE1036"/>
    <w:rsid w:val="00CE4250"/>
    <w:rsid w:val="00CF1B17"/>
    <w:rsid w:val="00CF3EFF"/>
    <w:rsid w:val="00D01EF1"/>
    <w:rsid w:val="00D05F02"/>
    <w:rsid w:val="00D0683A"/>
    <w:rsid w:val="00D16FB7"/>
    <w:rsid w:val="00D3759D"/>
    <w:rsid w:val="00DA2242"/>
    <w:rsid w:val="00DC1D39"/>
    <w:rsid w:val="00DD5777"/>
    <w:rsid w:val="00DF6819"/>
    <w:rsid w:val="00E01290"/>
    <w:rsid w:val="00E0661B"/>
    <w:rsid w:val="00E55CCB"/>
    <w:rsid w:val="00E566C9"/>
    <w:rsid w:val="00E724A9"/>
    <w:rsid w:val="00E87B13"/>
    <w:rsid w:val="00EA07CF"/>
    <w:rsid w:val="00EB5493"/>
    <w:rsid w:val="00EB6DDD"/>
    <w:rsid w:val="00EB72F1"/>
    <w:rsid w:val="00EC1EF4"/>
    <w:rsid w:val="00ED01C4"/>
    <w:rsid w:val="00ED2F30"/>
    <w:rsid w:val="00EE69E7"/>
    <w:rsid w:val="00F42FF3"/>
    <w:rsid w:val="00FA0CBE"/>
    <w:rsid w:val="00FA243A"/>
    <w:rsid w:val="00FC3413"/>
    <w:rsid w:val="00FE59B5"/>
    <w:rsid w:val="00FF03B0"/>
    <w:rsid w:val="00FF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785A7"/>
  <w15:chartTrackingRefBased/>
  <w15:docId w15:val="{03D8E62F-B964-4685-89B4-2EFB35F8E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0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60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60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60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60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60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0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0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0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0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60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60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60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60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6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049"/>
    <w:rPr>
      <w:rFonts w:eastAsiaTheme="majorEastAsia" w:cstheme="majorBidi"/>
      <w:color w:val="272727" w:themeColor="text1" w:themeTint="D8"/>
    </w:rPr>
  </w:style>
  <w:style w:type="paragraph" w:styleId="Title">
    <w:name w:val="Title"/>
    <w:basedOn w:val="Normal"/>
    <w:next w:val="Normal"/>
    <w:link w:val="TitleChar"/>
    <w:uiPriority w:val="10"/>
    <w:qFormat/>
    <w:rsid w:val="00CC60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0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049"/>
    <w:pPr>
      <w:spacing w:before="160"/>
      <w:jc w:val="center"/>
    </w:pPr>
    <w:rPr>
      <w:i/>
      <w:iCs/>
      <w:color w:val="404040" w:themeColor="text1" w:themeTint="BF"/>
    </w:rPr>
  </w:style>
  <w:style w:type="character" w:customStyle="1" w:styleId="QuoteChar">
    <w:name w:val="Quote Char"/>
    <w:basedOn w:val="DefaultParagraphFont"/>
    <w:link w:val="Quote"/>
    <w:uiPriority w:val="29"/>
    <w:rsid w:val="00CC6049"/>
    <w:rPr>
      <w:i/>
      <w:iCs/>
      <w:color w:val="404040" w:themeColor="text1" w:themeTint="BF"/>
    </w:rPr>
  </w:style>
  <w:style w:type="paragraph" w:styleId="ListParagraph">
    <w:name w:val="List Paragraph"/>
    <w:basedOn w:val="Normal"/>
    <w:uiPriority w:val="34"/>
    <w:qFormat/>
    <w:rsid w:val="00CC6049"/>
    <w:pPr>
      <w:ind w:left="720"/>
      <w:contextualSpacing/>
    </w:pPr>
  </w:style>
  <w:style w:type="character" w:styleId="IntenseEmphasis">
    <w:name w:val="Intense Emphasis"/>
    <w:basedOn w:val="DefaultParagraphFont"/>
    <w:uiPriority w:val="21"/>
    <w:qFormat/>
    <w:rsid w:val="00CC6049"/>
    <w:rPr>
      <w:i/>
      <w:iCs/>
      <w:color w:val="0F4761" w:themeColor="accent1" w:themeShade="BF"/>
    </w:rPr>
  </w:style>
  <w:style w:type="paragraph" w:styleId="IntenseQuote">
    <w:name w:val="Intense Quote"/>
    <w:basedOn w:val="Normal"/>
    <w:next w:val="Normal"/>
    <w:link w:val="IntenseQuoteChar"/>
    <w:uiPriority w:val="30"/>
    <w:qFormat/>
    <w:rsid w:val="00CC60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6049"/>
    <w:rPr>
      <w:i/>
      <w:iCs/>
      <w:color w:val="0F4761" w:themeColor="accent1" w:themeShade="BF"/>
    </w:rPr>
  </w:style>
  <w:style w:type="character" w:styleId="IntenseReference">
    <w:name w:val="Intense Reference"/>
    <w:basedOn w:val="DefaultParagraphFont"/>
    <w:uiPriority w:val="32"/>
    <w:qFormat/>
    <w:rsid w:val="00CC6049"/>
    <w:rPr>
      <w:b/>
      <w:bCs/>
      <w:smallCaps/>
      <w:color w:val="0F4761" w:themeColor="accent1" w:themeShade="BF"/>
      <w:spacing w:val="5"/>
    </w:rPr>
  </w:style>
  <w:style w:type="character" w:styleId="Hyperlink">
    <w:name w:val="Hyperlink"/>
    <w:basedOn w:val="DefaultParagraphFont"/>
    <w:uiPriority w:val="99"/>
    <w:unhideWhenUsed/>
    <w:rsid w:val="00584322"/>
    <w:rPr>
      <w:color w:val="467886" w:themeColor="hyperlink"/>
      <w:u w:val="single"/>
    </w:rPr>
  </w:style>
  <w:style w:type="character" w:styleId="UnresolvedMention">
    <w:name w:val="Unresolved Mention"/>
    <w:basedOn w:val="DefaultParagraphFont"/>
    <w:uiPriority w:val="99"/>
    <w:semiHidden/>
    <w:unhideWhenUsed/>
    <w:rsid w:val="00584322"/>
    <w:rPr>
      <w:color w:val="605E5C"/>
      <w:shd w:val="clear" w:color="auto" w:fill="E1DFDD"/>
    </w:rPr>
  </w:style>
  <w:style w:type="table" w:styleId="TableGrid">
    <w:name w:val="Table Grid"/>
    <w:basedOn w:val="TableNormal"/>
    <w:uiPriority w:val="39"/>
    <w:rsid w:val="00697B9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2192A"/>
    <w:rPr>
      <w:color w:val="96607D" w:themeColor="followedHyperlink"/>
      <w:u w:val="single"/>
    </w:rPr>
  </w:style>
  <w:style w:type="paragraph" w:styleId="NormalWeb">
    <w:name w:val="Normal (Web)"/>
    <w:basedOn w:val="Normal"/>
    <w:uiPriority w:val="99"/>
    <w:semiHidden/>
    <w:unhideWhenUsed/>
    <w:rsid w:val="00FC3413"/>
    <w:rPr>
      <w:rFonts w:ascii="Times New Roman" w:hAnsi="Times New Roman" w:cs="Times New Roman"/>
      <w:sz w:val="24"/>
      <w:szCs w:val="24"/>
    </w:rPr>
  </w:style>
  <w:style w:type="paragraph" w:customStyle="1" w:styleId="Listparag">
    <w:name w:val="List parag"/>
    <w:basedOn w:val="ListParagraph"/>
    <w:link w:val="ListparagChar"/>
    <w:qFormat/>
    <w:rsid w:val="00974656"/>
    <w:pPr>
      <w:numPr>
        <w:numId w:val="10"/>
      </w:numPr>
      <w:spacing w:after="120" w:line="264" w:lineRule="auto"/>
      <w:contextualSpacing w:val="0"/>
    </w:pPr>
    <w:rPr>
      <w:rFonts w:ascii="Arial" w:eastAsia="Times New Roman" w:hAnsi="Arial" w:cs="Arial"/>
      <w:kern w:val="0"/>
      <w:szCs w:val="24"/>
      <w:lang w:eastAsia="en-GB"/>
      <w14:ligatures w14:val="none"/>
    </w:rPr>
  </w:style>
  <w:style w:type="character" w:customStyle="1" w:styleId="ListparagChar">
    <w:name w:val="List parag Char"/>
    <w:basedOn w:val="DefaultParagraphFont"/>
    <w:link w:val="Listparag"/>
    <w:rsid w:val="00974656"/>
    <w:rPr>
      <w:rFonts w:ascii="Arial" w:eastAsia="Times New Roman" w:hAnsi="Arial" w:cs="Arial"/>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38000">
      <w:bodyDiv w:val="1"/>
      <w:marLeft w:val="0"/>
      <w:marRight w:val="0"/>
      <w:marTop w:val="0"/>
      <w:marBottom w:val="0"/>
      <w:divBdr>
        <w:top w:val="none" w:sz="0" w:space="0" w:color="auto"/>
        <w:left w:val="none" w:sz="0" w:space="0" w:color="auto"/>
        <w:bottom w:val="none" w:sz="0" w:space="0" w:color="auto"/>
        <w:right w:val="none" w:sz="0" w:space="0" w:color="auto"/>
      </w:divBdr>
      <w:divsChild>
        <w:div w:id="902176753">
          <w:marLeft w:val="360"/>
          <w:marRight w:val="0"/>
          <w:marTop w:val="200"/>
          <w:marBottom w:val="0"/>
          <w:divBdr>
            <w:top w:val="none" w:sz="0" w:space="0" w:color="auto"/>
            <w:left w:val="none" w:sz="0" w:space="0" w:color="auto"/>
            <w:bottom w:val="none" w:sz="0" w:space="0" w:color="auto"/>
            <w:right w:val="none" w:sz="0" w:space="0" w:color="auto"/>
          </w:divBdr>
        </w:div>
      </w:divsChild>
    </w:div>
    <w:div w:id="161431485">
      <w:bodyDiv w:val="1"/>
      <w:marLeft w:val="0"/>
      <w:marRight w:val="0"/>
      <w:marTop w:val="0"/>
      <w:marBottom w:val="0"/>
      <w:divBdr>
        <w:top w:val="none" w:sz="0" w:space="0" w:color="auto"/>
        <w:left w:val="none" w:sz="0" w:space="0" w:color="auto"/>
        <w:bottom w:val="none" w:sz="0" w:space="0" w:color="auto"/>
        <w:right w:val="none" w:sz="0" w:space="0" w:color="auto"/>
      </w:divBdr>
      <w:divsChild>
        <w:div w:id="569195277">
          <w:marLeft w:val="0"/>
          <w:marRight w:val="0"/>
          <w:marTop w:val="0"/>
          <w:marBottom w:val="0"/>
          <w:divBdr>
            <w:top w:val="none" w:sz="0" w:space="0" w:color="auto"/>
            <w:left w:val="none" w:sz="0" w:space="0" w:color="auto"/>
            <w:bottom w:val="none" w:sz="0" w:space="0" w:color="auto"/>
            <w:right w:val="none" w:sz="0" w:space="0" w:color="auto"/>
          </w:divBdr>
          <w:divsChild>
            <w:div w:id="1806118329">
              <w:marLeft w:val="0"/>
              <w:marRight w:val="0"/>
              <w:marTop w:val="0"/>
              <w:marBottom w:val="0"/>
              <w:divBdr>
                <w:top w:val="none" w:sz="0" w:space="0" w:color="auto"/>
                <w:left w:val="none" w:sz="0" w:space="0" w:color="auto"/>
                <w:bottom w:val="none" w:sz="0" w:space="0" w:color="auto"/>
                <w:right w:val="none" w:sz="0" w:space="0" w:color="auto"/>
              </w:divBdr>
              <w:divsChild>
                <w:div w:id="660734815">
                  <w:marLeft w:val="480"/>
                  <w:marRight w:val="0"/>
                  <w:marTop w:val="0"/>
                  <w:marBottom w:val="0"/>
                  <w:divBdr>
                    <w:top w:val="none" w:sz="0" w:space="0" w:color="auto"/>
                    <w:left w:val="none" w:sz="0" w:space="0" w:color="auto"/>
                    <w:bottom w:val="none" w:sz="0" w:space="0" w:color="auto"/>
                    <w:right w:val="none" w:sz="0" w:space="0" w:color="auto"/>
                  </w:divBdr>
                  <w:divsChild>
                    <w:div w:id="186902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85815">
      <w:bodyDiv w:val="1"/>
      <w:marLeft w:val="0"/>
      <w:marRight w:val="0"/>
      <w:marTop w:val="0"/>
      <w:marBottom w:val="0"/>
      <w:divBdr>
        <w:top w:val="none" w:sz="0" w:space="0" w:color="auto"/>
        <w:left w:val="none" w:sz="0" w:space="0" w:color="auto"/>
        <w:bottom w:val="none" w:sz="0" w:space="0" w:color="auto"/>
        <w:right w:val="none" w:sz="0" w:space="0" w:color="auto"/>
      </w:divBdr>
      <w:divsChild>
        <w:div w:id="177355600">
          <w:marLeft w:val="0"/>
          <w:marRight w:val="0"/>
          <w:marTop w:val="0"/>
          <w:marBottom w:val="0"/>
          <w:divBdr>
            <w:top w:val="none" w:sz="0" w:space="0" w:color="auto"/>
            <w:left w:val="none" w:sz="0" w:space="0" w:color="auto"/>
            <w:bottom w:val="none" w:sz="0" w:space="0" w:color="auto"/>
            <w:right w:val="none" w:sz="0" w:space="0" w:color="auto"/>
          </w:divBdr>
          <w:divsChild>
            <w:div w:id="751778056">
              <w:marLeft w:val="0"/>
              <w:marRight w:val="0"/>
              <w:marTop w:val="0"/>
              <w:marBottom w:val="0"/>
              <w:divBdr>
                <w:top w:val="none" w:sz="0" w:space="0" w:color="auto"/>
                <w:left w:val="none" w:sz="0" w:space="0" w:color="auto"/>
                <w:bottom w:val="none" w:sz="0" w:space="0" w:color="auto"/>
                <w:right w:val="none" w:sz="0" w:space="0" w:color="auto"/>
              </w:divBdr>
              <w:divsChild>
                <w:div w:id="145513760">
                  <w:marLeft w:val="480"/>
                  <w:marRight w:val="0"/>
                  <w:marTop w:val="0"/>
                  <w:marBottom w:val="0"/>
                  <w:divBdr>
                    <w:top w:val="none" w:sz="0" w:space="0" w:color="auto"/>
                    <w:left w:val="none" w:sz="0" w:space="0" w:color="auto"/>
                    <w:bottom w:val="none" w:sz="0" w:space="0" w:color="auto"/>
                    <w:right w:val="none" w:sz="0" w:space="0" w:color="auto"/>
                  </w:divBdr>
                  <w:divsChild>
                    <w:div w:id="12250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67321">
      <w:bodyDiv w:val="1"/>
      <w:marLeft w:val="0"/>
      <w:marRight w:val="0"/>
      <w:marTop w:val="0"/>
      <w:marBottom w:val="0"/>
      <w:divBdr>
        <w:top w:val="none" w:sz="0" w:space="0" w:color="auto"/>
        <w:left w:val="none" w:sz="0" w:space="0" w:color="auto"/>
        <w:bottom w:val="none" w:sz="0" w:space="0" w:color="auto"/>
        <w:right w:val="none" w:sz="0" w:space="0" w:color="auto"/>
      </w:divBdr>
    </w:div>
    <w:div w:id="193154001">
      <w:bodyDiv w:val="1"/>
      <w:marLeft w:val="0"/>
      <w:marRight w:val="0"/>
      <w:marTop w:val="0"/>
      <w:marBottom w:val="0"/>
      <w:divBdr>
        <w:top w:val="none" w:sz="0" w:space="0" w:color="auto"/>
        <w:left w:val="none" w:sz="0" w:space="0" w:color="auto"/>
        <w:bottom w:val="none" w:sz="0" w:space="0" w:color="auto"/>
        <w:right w:val="none" w:sz="0" w:space="0" w:color="auto"/>
      </w:divBdr>
      <w:divsChild>
        <w:div w:id="1534422844">
          <w:marLeft w:val="0"/>
          <w:marRight w:val="0"/>
          <w:marTop w:val="0"/>
          <w:marBottom w:val="240"/>
          <w:divBdr>
            <w:top w:val="none" w:sz="0" w:space="0" w:color="auto"/>
            <w:left w:val="none" w:sz="0" w:space="0" w:color="auto"/>
            <w:bottom w:val="none" w:sz="0" w:space="0" w:color="auto"/>
            <w:right w:val="none" w:sz="0" w:space="0" w:color="auto"/>
          </w:divBdr>
        </w:div>
        <w:div w:id="2088841406">
          <w:marLeft w:val="0"/>
          <w:marRight w:val="0"/>
          <w:marTop w:val="0"/>
          <w:marBottom w:val="240"/>
          <w:divBdr>
            <w:top w:val="none" w:sz="0" w:space="0" w:color="auto"/>
            <w:left w:val="none" w:sz="0" w:space="0" w:color="auto"/>
            <w:bottom w:val="none" w:sz="0" w:space="0" w:color="auto"/>
            <w:right w:val="none" w:sz="0" w:space="0" w:color="auto"/>
          </w:divBdr>
        </w:div>
        <w:div w:id="2114353184">
          <w:marLeft w:val="0"/>
          <w:marRight w:val="0"/>
          <w:marTop w:val="0"/>
          <w:marBottom w:val="240"/>
          <w:divBdr>
            <w:top w:val="none" w:sz="0" w:space="0" w:color="auto"/>
            <w:left w:val="none" w:sz="0" w:space="0" w:color="auto"/>
            <w:bottom w:val="none" w:sz="0" w:space="0" w:color="auto"/>
            <w:right w:val="none" w:sz="0" w:space="0" w:color="auto"/>
          </w:divBdr>
        </w:div>
        <w:div w:id="125632629">
          <w:marLeft w:val="0"/>
          <w:marRight w:val="0"/>
          <w:marTop w:val="0"/>
          <w:marBottom w:val="240"/>
          <w:divBdr>
            <w:top w:val="none" w:sz="0" w:space="0" w:color="auto"/>
            <w:left w:val="none" w:sz="0" w:space="0" w:color="auto"/>
            <w:bottom w:val="none" w:sz="0" w:space="0" w:color="auto"/>
            <w:right w:val="none" w:sz="0" w:space="0" w:color="auto"/>
          </w:divBdr>
        </w:div>
      </w:divsChild>
    </w:div>
    <w:div w:id="204217624">
      <w:bodyDiv w:val="1"/>
      <w:marLeft w:val="0"/>
      <w:marRight w:val="0"/>
      <w:marTop w:val="0"/>
      <w:marBottom w:val="0"/>
      <w:divBdr>
        <w:top w:val="none" w:sz="0" w:space="0" w:color="auto"/>
        <w:left w:val="none" w:sz="0" w:space="0" w:color="auto"/>
        <w:bottom w:val="none" w:sz="0" w:space="0" w:color="auto"/>
        <w:right w:val="none" w:sz="0" w:space="0" w:color="auto"/>
      </w:divBdr>
      <w:divsChild>
        <w:div w:id="653608421">
          <w:marLeft w:val="0"/>
          <w:marRight w:val="0"/>
          <w:marTop w:val="0"/>
          <w:marBottom w:val="0"/>
          <w:divBdr>
            <w:top w:val="none" w:sz="0" w:space="0" w:color="auto"/>
            <w:left w:val="none" w:sz="0" w:space="0" w:color="auto"/>
            <w:bottom w:val="none" w:sz="0" w:space="0" w:color="auto"/>
            <w:right w:val="none" w:sz="0" w:space="0" w:color="auto"/>
          </w:divBdr>
        </w:div>
      </w:divsChild>
    </w:div>
    <w:div w:id="280959091">
      <w:bodyDiv w:val="1"/>
      <w:marLeft w:val="0"/>
      <w:marRight w:val="0"/>
      <w:marTop w:val="0"/>
      <w:marBottom w:val="0"/>
      <w:divBdr>
        <w:top w:val="none" w:sz="0" w:space="0" w:color="auto"/>
        <w:left w:val="none" w:sz="0" w:space="0" w:color="auto"/>
        <w:bottom w:val="none" w:sz="0" w:space="0" w:color="auto"/>
        <w:right w:val="none" w:sz="0" w:space="0" w:color="auto"/>
      </w:divBdr>
    </w:div>
    <w:div w:id="351106142">
      <w:bodyDiv w:val="1"/>
      <w:marLeft w:val="0"/>
      <w:marRight w:val="0"/>
      <w:marTop w:val="0"/>
      <w:marBottom w:val="0"/>
      <w:divBdr>
        <w:top w:val="none" w:sz="0" w:space="0" w:color="auto"/>
        <w:left w:val="none" w:sz="0" w:space="0" w:color="auto"/>
        <w:bottom w:val="none" w:sz="0" w:space="0" w:color="auto"/>
        <w:right w:val="none" w:sz="0" w:space="0" w:color="auto"/>
      </w:divBdr>
    </w:div>
    <w:div w:id="391394801">
      <w:bodyDiv w:val="1"/>
      <w:marLeft w:val="0"/>
      <w:marRight w:val="0"/>
      <w:marTop w:val="0"/>
      <w:marBottom w:val="0"/>
      <w:divBdr>
        <w:top w:val="none" w:sz="0" w:space="0" w:color="auto"/>
        <w:left w:val="none" w:sz="0" w:space="0" w:color="auto"/>
        <w:bottom w:val="none" w:sz="0" w:space="0" w:color="auto"/>
        <w:right w:val="none" w:sz="0" w:space="0" w:color="auto"/>
      </w:divBdr>
      <w:divsChild>
        <w:div w:id="242036253">
          <w:marLeft w:val="360"/>
          <w:marRight w:val="0"/>
          <w:marTop w:val="200"/>
          <w:marBottom w:val="0"/>
          <w:divBdr>
            <w:top w:val="none" w:sz="0" w:space="0" w:color="auto"/>
            <w:left w:val="none" w:sz="0" w:space="0" w:color="auto"/>
            <w:bottom w:val="none" w:sz="0" w:space="0" w:color="auto"/>
            <w:right w:val="none" w:sz="0" w:space="0" w:color="auto"/>
          </w:divBdr>
        </w:div>
      </w:divsChild>
    </w:div>
    <w:div w:id="532885690">
      <w:bodyDiv w:val="1"/>
      <w:marLeft w:val="0"/>
      <w:marRight w:val="0"/>
      <w:marTop w:val="0"/>
      <w:marBottom w:val="0"/>
      <w:divBdr>
        <w:top w:val="none" w:sz="0" w:space="0" w:color="auto"/>
        <w:left w:val="none" w:sz="0" w:space="0" w:color="auto"/>
        <w:bottom w:val="none" w:sz="0" w:space="0" w:color="auto"/>
        <w:right w:val="none" w:sz="0" w:space="0" w:color="auto"/>
      </w:divBdr>
      <w:divsChild>
        <w:div w:id="274752036">
          <w:marLeft w:val="0"/>
          <w:marRight w:val="0"/>
          <w:marTop w:val="0"/>
          <w:marBottom w:val="0"/>
          <w:divBdr>
            <w:top w:val="none" w:sz="0" w:space="0" w:color="auto"/>
            <w:left w:val="none" w:sz="0" w:space="0" w:color="auto"/>
            <w:bottom w:val="none" w:sz="0" w:space="0" w:color="auto"/>
            <w:right w:val="none" w:sz="0" w:space="0" w:color="auto"/>
          </w:divBdr>
          <w:divsChild>
            <w:div w:id="53451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47554">
      <w:bodyDiv w:val="1"/>
      <w:marLeft w:val="0"/>
      <w:marRight w:val="0"/>
      <w:marTop w:val="0"/>
      <w:marBottom w:val="0"/>
      <w:divBdr>
        <w:top w:val="none" w:sz="0" w:space="0" w:color="auto"/>
        <w:left w:val="none" w:sz="0" w:space="0" w:color="auto"/>
        <w:bottom w:val="none" w:sz="0" w:space="0" w:color="auto"/>
        <w:right w:val="none" w:sz="0" w:space="0" w:color="auto"/>
      </w:divBdr>
    </w:div>
    <w:div w:id="628629637">
      <w:bodyDiv w:val="1"/>
      <w:marLeft w:val="0"/>
      <w:marRight w:val="0"/>
      <w:marTop w:val="0"/>
      <w:marBottom w:val="0"/>
      <w:divBdr>
        <w:top w:val="none" w:sz="0" w:space="0" w:color="auto"/>
        <w:left w:val="none" w:sz="0" w:space="0" w:color="auto"/>
        <w:bottom w:val="none" w:sz="0" w:space="0" w:color="auto"/>
        <w:right w:val="none" w:sz="0" w:space="0" w:color="auto"/>
      </w:divBdr>
      <w:divsChild>
        <w:div w:id="1850874432">
          <w:marLeft w:val="0"/>
          <w:marRight w:val="0"/>
          <w:marTop w:val="0"/>
          <w:marBottom w:val="0"/>
          <w:divBdr>
            <w:top w:val="none" w:sz="0" w:space="0" w:color="auto"/>
            <w:left w:val="none" w:sz="0" w:space="0" w:color="auto"/>
            <w:bottom w:val="none" w:sz="0" w:space="0" w:color="auto"/>
            <w:right w:val="none" w:sz="0" w:space="0" w:color="auto"/>
          </w:divBdr>
          <w:divsChild>
            <w:div w:id="1802961126">
              <w:marLeft w:val="0"/>
              <w:marRight w:val="0"/>
              <w:marTop w:val="0"/>
              <w:marBottom w:val="0"/>
              <w:divBdr>
                <w:top w:val="none" w:sz="0" w:space="0" w:color="auto"/>
                <w:left w:val="none" w:sz="0" w:space="0" w:color="auto"/>
                <w:bottom w:val="none" w:sz="0" w:space="0" w:color="auto"/>
                <w:right w:val="none" w:sz="0" w:space="0" w:color="auto"/>
              </w:divBdr>
              <w:divsChild>
                <w:div w:id="979849157">
                  <w:marLeft w:val="0"/>
                  <w:marRight w:val="0"/>
                  <w:marTop w:val="0"/>
                  <w:marBottom w:val="0"/>
                  <w:divBdr>
                    <w:top w:val="none" w:sz="0" w:space="0" w:color="auto"/>
                    <w:left w:val="none" w:sz="0" w:space="0" w:color="auto"/>
                    <w:bottom w:val="none" w:sz="0" w:space="0" w:color="auto"/>
                    <w:right w:val="none" w:sz="0" w:space="0" w:color="auto"/>
                  </w:divBdr>
                  <w:divsChild>
                    <w:div w:id="1601789773">
                      <w:marLeft w:val="0"/>
                      <w:marRight w:val="0"/>
                      <w:marTop w:val="0"/>
                      <w:marBottom w:val="0"/>
                      <w:divBdr>
                        <w:top w:val="none" w:sz="0" w:space="0" w:color="auto"/>
                        <w:left w:val="none" w:sz="0" w:space="0" w:color="auto"/>
                        <w:bottom w:val="none" w:sz="0" w:space="0" w:color="auto"/>
                        <w:right w:val="none" w:sz="0" w:space="0" w:color="auto"/>
                      </w:divBdr>
                      <w:divsChild>
                        <w:div w:id="710615942">
                          <w:marLeft w:val="0"/>
                          <w:marRight w:val="0"/>
                          <w:marTop w:val="0"/>
                          <w:marBottom w:val="0"/>
                          <w:divBdr>
                            <w:top w:val="none" w:sz="0" w:space="0" w:color="auto"/>
                            <w:left w:val="none" w:sz="0" w:space="0" w:color="auto"/>
                            <w:bottom w:val="none" w:sz="0" w:space="0" w:color="auto"/>
                            <w:right w:val="none" w:sz="0" w:space="0" w:color="auto"/>
                          </w:divBdr>
                          <w:divsChild>
                            <w:div w:id="148003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621318">
      <w:bodyDiv w:val="1"/>
      <w:marLeft w:val="0"/>
      <w:marRight w:val="0"/>
      <w:marTop w:val="0"/>
      <w:marBottom w:val="0"/>
      <w:divBdr>
        <w:top w:val="none" w:sz="0" w:space="0" w:color="auto"/>
        <w:left w:val="none" w:sz="0" w:space="0" w:color="auto"/>
        <w:bottom w:val="none" w:sz="0" w:space="0" w:color="auto"/>
        <w:right w:val="none" w:sz="0" w:space="0" w:color="auto"/>
      </w:divBdr>
      <w:divsChild>
        <w:div w:id="1550069914">
          <w:marLeft w:val="0"/>
          <w:marRight w:val="0"/>
          <w:marTop w:val="0"/>
          <w:marBottom w:val="0"/>
          <w:divBdr>
            <w:top w:val="none" w:sz="0" w:space="0" w:color="auto"/>
            <w:left w:val="none" w:sz="0" w:space="0" w:color="auto"/>
            <w:bottom w:val="none" w:sz="0" w:space="0" w:color="auto"/>
            <w:right w:val="none" w:sz="0" w:space="0" w:color="auto"/>
          </w:divBdr>
          <w:divsChild>
            <w:div w:id="199421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626705">
      <w:bodyDiv w:val="1"/>
      <w:marLeft w:val="0"/>
      <w:marRight w:val="0"/>
      <w:marTop w:val="0"/>
      <w:marBottom w:val="0"/>
      <w:divBdr>
        <w:top w:val="none" w:sz="0" w:space="0" w:color="auto"/>
        <w:left w:val="none" w:sz="0" w:space="0" w:color="auto"/>
        <w:bottom w:val="none" w:sz="0" w:space="0" w:color="auto"/>
        <w:right w:val="none" w:sz="0" w:space="0" w:color="auto"/>
      </w:divBdr>
      <w:divsChild>
        <w:div w:id="1328244804">
          <w:marLeft w:val="0"/>
          <w:marRight w:val="0"/>
          <w:marTop w:val="0"/>
          <w:marBottom w:val="0"/>
          <w:divBdr>
            <w:top w:val="none" w:sz="0" w:space="0" w:color="auto"/>
            <w:left w:val="none" w:sz="0" w:space="0" w:color="auto"/>
            <w:bottom w:val="none" w:sz="0" w:space="0" w:color="auto"/>
            <w:right w:val="none" w:sz="0" w:space="0" w:color="auto"/>
          </w:divBdr>
          <w:divsChild>
            <w:div w:id="522791444">
              <w:marLeft w:val="0"/>
              <w:marRight w:val="0"/>
              <w:marTop w:val="0"/>
              <w:marBottom w:val="0"/>
              <w:divBdr>
                <w:top w:val="none" w:sz="0" w:space="0" w:color="auto"/>
                <w:left w:val="none" w:sz="0" w:space="0" w:color="auto"/>
                <w:bottom w:val="none" w:sz="0" w:space="0" w:color="auto"/>
                <w:right w:val="none" w:sz="0" w:space="0" w:color="auto"/>
              </w:divBdr>
              <w:divsChild>
                <w:div w:id="161555776">
                  <w:marLeft w:val="480"/>
                  <w:marRight w:val="0"/>
                  <w:marTop w:val="0"/>
                  <w:marBottom w:val="0"/>
                  <w:divBdr>
                    <w:top w:val="none" w:sz="0" w:space="0" w:color="auto"/>
                    <w:left w:val="none" w:sz="0" w:space="0" w:color="auto"/>
                    <w:bottom w:val="none" w:sz="0" w:space="0" w:color="auto"/>
                    <w:right w:val="none" w:sz="0" w:space="0" w:color="auto"/>
                  </w:divBdr>
                  <w:divsChild>
                    <w:div w:id="94931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246116">
      <w:bodyDiv w:val="1"/>
      <w:marLeft w:val="0"/>
      <w:marRight w:val="0"/>
      <w:marTop w:val="0"/>
      <w:marBottom w:val="0"/>
      <w:divBdr>
        <w:top w:val="none" w:sz="0" w:space="0" w:color="auto"/>
        <w:left w:val="none" w:sz="0" w:space="0" w:color="auto"/>
        <w:bottom w:val="none" w:sz="0" w:space="0" w:color="auto"/>
        <w:right w:val="none" w:sz="0" w:space="0" w:color="auto"/>
      </w:divBdr>
    </w:div>
    <w:div w:id="841508089">
      <w:bodyDiv w:val="1"/>
      <w:marLeft w:val="0"/>
      <w:marRight w:val="0"/>
      <w:marTop w:val="0"/>
      <w:marBottom w:val="0"/>
      <w:divBdr>
        <w:top w:val="none" w:sz="0" w:space="0" w:color="auto"/>
        <w:left w:val="none" w:sz="0" w:space="0" w:color="auto"/>
        <w:bottom w:val="none" w:sz="0" w:space="0" w:color="auto"/>
        <w:right w:val="none" w:sz="0" w:space="0" w:color="auto"/>
      </w:divBdr>
    </w:div>
    <w:div w:id="854078035">
      <w:bodyDiv w:val="1"/>
      <w:marLeft w:val="0"/>
      <w:marRight w:val="0"/>
      <w:marTop w:val="0"/>
      <w:marBottom w:val="0"/>
      <w:divBdr>
        <w:top w:val="none" w:sz="0" w:space="0" w:color="auto"/>
        <w:left w:val="none" w:sz="0" w:space="0" w:color="auto"/>
        <w:bottom w:val="none" w:sz="0" w:space="0" w:color="auto"/>
        <w:right w:val="none" w:sz="0" w:space="0" w:color="auto"/>
      </w:divBdr>
      <w:divsChild>
        <w:div w:id="1242830133">
          <w:marLeft w:val="0"/>
          <w:marRight w:val="0"/>
          <w:marTop w:val="0"/>
          <w:marBottom w:val="0"/>
          <w:divBdr>
            <w:top w:val="none" w:sz="0" w:space="0" w:color="auto"/>
            <w:left w:val="none" w:sz="0" w:space="0" w:color="auto"/>
            <w:bottom w:val="none" w:sz="0" w:space="0" w:color="auto"/>
            <w:right w:val="none" w:sz="0" w:space="0" w:color="auto"/>
          </w:divBdr>
          <w:divsChild>
            <w:div w:id="552546636">
              <w:marLeft w:val="0"/>
              <w:marRight w:val="0"/>
              <w:marTop w:val="0"/>
              <w:marBottom w:val="0"/>
              <w:divBdr>
                <w:top w:val="none" w:sz="0" w:space="0" w:color="auto"/>
                <w:left w:val="none" w:sz="0" w:space="0" w:color="auto"/>
                <w:bottom w:val="none" w:sz="0" w:space="0" w:color="auto"/>
                <w:right w:val="none" w:sz="0" w:space="0" w:color="auto"/>
              </w:divBdr>
              <w:divsChild>
                <w:div w:id="690841791">
                  <w:marLeft w:val="0"/>
                  <w:marRight w:val="0"/>
                  <w:marTop w:val="0"/>
                  <w:marBottom w:val="0"/>
                  <w:divBdr>
                    <w:top w:val="none" w:sz="0" w:space="0" w:color="auto"/>
                    <w:left w:val="none" w:sz="0" w:space="0" w:color="auto"/>
                    <w:bottom w:val="none" w:sz="0" w:space="0" w:color="auto"/>
                    <w:right w:val="none" w:sz="0" w:space="0" w:color="auto"/>
                  </w:divBdr>
                  <w:divsChild>
                    <w:div w:id="844782993">
                      <w:marLeft w:val="0"/>
                      <w:marRight w:val="0"/>
                      <w:marTop w:val="0"/>
                      <w:marBottom w:val="0"/>
                      <w:divBdr>
                        <w:top w:val="none" w:sz="0" w:space="0" w:color="auto"/>
                        <w:left w:val="none" w:sz="0" w:space="0" w:color="auto"/>
                        <w:bottom w:val="none" w:sz="0" w:space="0" w:color="auto"/>
                        <w:right w:val="none" w:sz="0" w:space="0" w:color="auto"/>
                      </w:divBdr>
                      <w:divsChild>
                        <w:div w:id="1218321388">
                          <w:marLeft w:val="0"/>
                          <w:marRight w:val="0"/>
                          <w:marTop w:val="0"/>
                          <w:marBottom w:val="0"/>
                          <w:divBdr>
                            <w:top w:val="none" w:sz="0" w:space="0" w:color="auto"/>
                            <w:left w:val="none" w:sz="0" w:space="0" w:color="auto"/>
                            <w:bottom w:val="none" w:sz="0" w:space="0" w:color="auto"/>
                            <w:right w:val="none" w:sz="0" w:space="0" w:color="auto"/>
                          </w:divBdr>
                          <w:divsChild>
                            <w:div w:id="20244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178874">
      <w:bodyDiv w:val="1"/>
      <w:marLeft w:val="0"/>
      <w:marRight w:val="0"/>
      <w:marTop w:val="0"/>
      <w:marBottom w:val="0"/>
      <w:divBdr>
        <w:top w:val="none" w:sz="0" w:space="0" w:color="auto"/>
        <w:left w:val="none" w:sz="0" w:space="0" w:color="auto"/>
        <w:bottom w:val="none" w:sz="0" w:space="0" w:color="auto"/>
        <w:right w:val="none" w:sz="0" w:space="0" w:color="auto"/>
      </w:divBdr>
    </w:div>
    <w:div w:id="895241551">
      <w:bodyDiv w:val="1"/>
      <w:marLeft w:val="0"/>
      <w:marRight w:val="0"/>
      <w:marTop w:val="0"/>
      <w:marBottom w:val="0"/>
      <w:divBdr>
        <w:top w:val="none" w:sz="0" w:space="0" w:color="auto"/>
        <w:left w:val="none" w:sz="0" w:space="0" w:color="auto"/>
        <w:bottom w:val="none" w:sz="0" w:space="0" w:color="auto"/>
        <w:right w:val="none" w:sz="0" w:space="0" w:color="auto"/>
      </w:divBdr>
      <w:divsChild>
        <w:div w:id="1804736908">
          <w:marLeft w:val="0"/>
          <w:marRight w:val="0"/>
          <w:marTop w:val="0"/>
          <w:marBottom w:val="0"/>
          <w:divBdr>
            <w:top w:val="none" w:sz="0" w:space="0" w:color="auto"/>
            <w:left w:val="none" w:sz="0" w:space="0" w:color="auto"/>
            <w:bottom w:val="none" w:sz="0" w:space="0" w:color="auto"/>
            <w:right w:val="none" w:sz="0" w:space="0" w:color="auto"/>
          </w:divBdr>
        </w:div>
      </w:divsChild>
    </w:div>
    <w:div w:id="904805081">
      <w:bodyDiv w:val="1"/>
      <w:marLeft w:val="0"/>
      <w:marRight w:val="0"/>
      <w:marTop w:val="0"/>
      <w:marBottom w:val="0"/>
      <w:divBdr>
        <w:top w:val="none" w:sz="0" w:space="0" w:color="auto"/>
        <w:left w:val="none" w:sz="0" w:space="0" w:color="auto"/>
        <w:bottom w:val="none" w:sz="0" w:space="0" w:color="auto"/>
        <w:right w:val="none" w:sz="0" w:space="0" w:color="auto"/>
      </w:divBdr>
    </w:div>
    <w:div w:id="962078756">
      <w:bodyDiv w:val="1"/>
      <w:marLeft w:val="0"/>
      <w:marRight w:val="0"/>
      <w:marTop w:val="0"/>
      <w:marBottom w:val="0"/>
      <w:divBdr>
        <w:top w:val="none" w:sz="0" w:space="0" w:color="auto"/>
        <w:left w:val="none" w:sz="0" w:space="0" w:color="auto"/>
        <w:bottom w:val="none" w:sz="0" w:space="0" w:color="auto"/>
        <w:right w:val="none" w:sz="0" w:space="0" w:color="auto"/>
      </w:divBdr>
      <w:divsChild>
        <w:div w:id="35470228">
          <w:marLeft w:val="0"/>
          <w:marRight w:val="0"/>
          <w:marTop w:val="0"/>
          <w:marBottom w:val="0"/>
          <w:divBdr>
            <w:top w:val="none" w:sz="0" w:space="0" w:color="auto"/>
            <w:left w:val="none" w:sz="0" w:space="0" w:color="auto"/>
            <w:bottom w:val="none" w:sz="0" w:space="0" w:color="auto"/>
            <w:right w:val="none" w:sz="0" w:space="0" w:color="auto"/>
          </w:divBdr>
        </w:div>
      </w:divsChild>
    </w:div>
    <w:div w:id="998463769">
      <w:bodyDiv w:val="1"/>
      <w:marLeft w:val="0"/>
      <w:marRight w:val="0"/>
      <w:marTop w:val="0"/>
      <w:marBottom w:val="0"/>
      <w:divBdr>
        <w:top w:val="none" w:sz="0" w:space="0" w:color="auto"/>
        <w:left w:val="none" w:sz="0" w:space="0" w:color="auto"/>
        <w:bottom w:val="none" w:sz="0" w:space="0" w:color="auto"/>
        <w:right w:val="none" w:sz="0" w:space="0" w:color="auto"/>
      </w:divBdr>
      <w:divsChild>
        <w:div w:id="1909606528">
          <w:marLeft w:val="0"/>
          <w:marRight w:val="0"/>
          <w:marTop w:val="0"/>
          <w:marBottom w:val="0"/>
          <w:divBdr>
            <w:top w:val="none" w:sz="0" w:space="0" w:color="auto"/>
            <w:left w:val="none" w:sz="0" w:space="0" w:color="auto"/>
            <w:bottom w:val="none" w:sz="0" w:space="0" w:color="auto"/>
            <w:right w:val="none" w:sz="0" w:space="0" w:color="auto"/>
          </w:divBdr>
        </w:div>
      </w:divsChild>
    </w:div>
    <w:div w:id="1261836085">
      <w:bodyDiv w:val="1"/>
      <w:marLeft w:val="0"/>
      <w:marRight w:val="0"/>
      <w:marTop w:val="0"/>
      <w:marBottom w:val="0"/>
      <w:divBdr>
        <w:top w:val="none" w:sz="0" w:space="0" w:color="auto"/>
        <w:left w:val="none" w:sz="0" w:space="0" w:color="auto"/>
        <w:bottom w:val="none" w:sz="0" w:space="0" w:color="auto"/>
        <w:right w:val="none" w:sz="0" w:space="0" w:color="auto"/>
      </w:divBdr>
    </w:div>
    <w:div w:id="1319771958">
      <w:bodyDiv w:val="1"/>
      <w:marLeft w:val="0"/>
      <w:marRight w:val="0"/>
      <w:marTop w:val="0"/>
      <w:marBottom w:val="0"/>
      <w:divBdr>
        <w:top w:val="none" w:sz="0" w:space="0" w:color="auto"/>
        <w:left w:val="none" w:sz="0" w:space="0" w:color="auto"/>
        <w:bottom w:val="none" w:sz="0" w:space="0" w:color="auto"/>
        <w:right w:val="none" w:sz="0" w:space="0" w:color="auto"/>
      </w:divBdr>
      <w:divsChild>
        <w:div w:id="979729719">
          <w:marLeft w:val="0"/>
          <w:marRight w:val="0"/>
          <w:marTop w:val="0"/>
          <w:marBottom w:val="0"/>
          <w:divBdr>
            <w:top w:val="none" w:sz="0" w:space="0" w:color="auto"/>
            <w:left w:val="none" w:sz="0" w:space="0" w:color="auto"/>
            <w:bottom w:val="none" w:sz="0" w:space="0" w:color="auto"/>
            <w:right w:val="none" w:sz="0" w:space="0" w:color="auto"/>
          </w:divBdr>
        </w:div>
      </w:divsChild>
    </w:div>
    <w:div w:id="1471901002">
      <w:bodyDiv w:val="1"/>
      <w:marLeft w:val="0"/>
      <w:marRight w:val="0"/>
      <w:marTop w:val="0"/>
      <w:marBottom w:val="0"/>
      <w:divBdr>
        <w:top w:val="none" w:sz="0" w:space="0" w:color="auto"/>
        <w:left w:val="none" w:sz="0" w:space="0" w:color="auto"/>
        <w:bottom w:val="none" w:sz="0" w:space="0" w:color="auto"/>
        <w:right w:val="none" w:sz="0" w:space="0" w:color="auto"/>
      </w:divBdr>
    </w:div>
    <w:div w:id="1634407736">
      <w:bodyDiv w:val="1"/>
      <w:marLeft w:val="0"/>
      <w:marRight w:val="0"/>
      <w:marTop w:val="0"/>
      <w:marBottom w:val="0"/>
      <w:divBdr>
        <w:top w:val="none" w:sz="0" w:space="0" w:color="auto"/>
        <w:left w:val="none" w:sz="0" w:space="0" w:color="auto"/>
        <w:bottom w:val="none" w:sz="0" w:space="0" w:color="auto"/>
        <w:right w:val="none" w:sz="0" w:space="0" w:color="auto"/>
      </w:divBdr>
      <w:divsChild>
        <w:div w:id="469055123">
          <w:marLeft w:val="0"/>
          <w:marRight w:val="0"/>
          <w:marTop w:val="0"/>
          <w:marBottom w:val="0"/>
          <w:divBdr>
            <w:top w:val="none" w:sz="0" w:space="0" w:color="auto"/>
            <w:left w:val="none" w:sz="0" w:space="0" w:color="auto"/>
            <w:bottom w:val="none" w:sz="0" w:space="0" w:color="auto"/>
            <w:right w:val="none" w:sz="0" w:space="0" w:color="auto"/>
          </w:divBdr>
        </w:div>
      </w:divsChild>
    </w:div>
    <w:div w:id="1699427755">
      <w:bodyDiv w:val="1"/>
      <w:marLeft w:val="0"/>
      <w:marRight w:val="0"/>
      <w:marTop w:val="0"/>
      <w:marBottom w:val="0"/>
      <w:divBdr>
        <w:top w:val="none" w:sz="0" w:space="0" w:color="auto"/>
        <w:left w:val="none" w:sz="0" w:space="0" w:color="auto"/>
        <w:bottom w:val="none" w:sz="0" w:space="0" w:color="auto"/>
        <w:right w:val="none" w:sz="0" w:space="0" w:color="auto"/>
      </w:divBdr>
    </w:div>
    <w:div w:id="1741516976">
      <w:bodyDiv w:val="1"/>
      <w:marLeft w:val="0"/>
      <w:marRight w:val="0"/>
      <w:marTop w:val="0"/>
      <w:marBottom w:val="0"/>
      <w:divBdr>
        <w:top w:val="none" w:sz="0" w:space="0" w:color="auto"/>
        <w:left w:val="none" w:sz="0" w:space="0" w:color="auto"/>
        <w:bottom w:val="none" w:sz="0" w:space="0" w:color="auto"/>
        <w:right w:val="none" w:sz="0" w:space="0" w:color="auto"/>
      </w:divBdr>
    </w:div>
    <w:div w:id="1884555414">
      <w:bodyDiv w:val="1"/>
      <w:marLeft w:val="0"/>
      <w:marRight w:val="0"/>
      <w:marTop w:val="0"/>
      <w:marBottom w:val="0"/>
      <w:divBdr>
        <w:top w:val="none" w:sz="0" w:space="0" w:color="auto"/>
        <w:left w:val="none" w:sz="0" w:space="0" w:color="auto"/>
        <w:bottom w:val="none" w:sz="0" w:space="0" w:color="auto"/>
        <w:right w:val="none" w:sz="0" w:space="0" w:color="auto"/>
      </w:divBdr>
    </w:div>
    <w:div w:id="1903591088">
      <w:bodyDiv w:val="1"/>
      <w:marLeft w:val="0"/>
      <w:marRight w:val="0"/>
      <w:marTop w:val="0"/>
      <w:marBottom w:val="0"/>
      <w:divBdr>
        <w:top w:val="none" w:sz="0" w:space="0" w:color="auto"/>
        <w:left w:val="none" w:sz="0" w:space="0" w:color="auto"/>
        <w:bottom w:val="none" w:sz="0" w:space="0" w:color="auto"/>
        <w:right w:val="none" w:sz="0" w:space="0" w:color="auto"/>
      </w:divBdr>
    </w:div>
    <w:div w:id="2037657217">
      <w:bodyDiv w:val="1"/>
      <w:marLeft w:val="0"/>
      <w:marRight w:val="0"/>
      <w:marTop w:val="0"/>
      <w:marBottom w:val="0"/>
      <w:divBdr>
        <w:top w:val="none" w:sz="0" w:space="0" w:color="auto"/>
        <w:left w:val="none" w:sz="0" w:space="0" w:color="auto"/>
        <w:bottom w:val="none" w:sz="0" w:space="0" w:color="auto"/>
        <w:right w:val="none" w:sz="0" w:space="0" w:color="auto"/>
      </w:divBdr>
      <w:divsChild>
        <w:div w:id="1551530902">
          <w:marLeft w:val="0"/>
          <w:marRight w:val="0"/>
          <w:marTop w:val="0"/>
          <w:marBottom w:val="240"/>
          <w:divBdr>
            <w:top w:val="none" w:sz="0" w:space="0" w:color="auto"/>
            <w:left w:val="none" w:sz="0" w:space="0" w:color="auto"/>
            <w:bottom w:val="none" w:sz="0" w:space="0" w:color="auto"/>
            <w:right w:val="none" w:sz="0" w:space="0" w:color="auto"/>
          </w:divBdr>
        </w:div>
        <w:div w:id="1285038869">
          <w:marLeft w:val="0"/>
          <w:marRight w:val="0"/>
          <w:marTop w:val="0"/>
          <w:marBottom w:val="240"/>
          <w:divBdr>
            <w:top w:val="none" w:sz="0" w:space="0" w:color="auto"/>
            <w:left w:val="none" w:sz="0" w:space="0" w:color="auto"/>
            <w:bottom w:val="none" w:sz="0" w:space="0" w:color="auto"/>
            <w:right w:val="none" w:sz="0" w:space="0" w:color="auto"/>
          </w:divBdr>
        </w:div>
        <w:div w:id="1721635801">
          <w:marLeft w:val="0"/>
          <w:marRight w:val="0"/>
          <w:marTop w:val="0"/>
          <w:marBottom w:val="240"/>
          <w:divBdr>
            <w:top w:val="none" w:sz="0" w:space="0" w:color="auto"/>
            <w:left w:val="none" w:sz="0" w:space="0" w:color="auto"/>
            <w:bottom w:val="none" w:sz="0" w:space="0" w:color="auto"/>
            <w:right w:val="none" w:sz="0" w:space="0" w:color="auto"/>
          </w:divBdr>
        </w:div>
        <w:div w:id="2020278709">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recruitment-factshee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ipd.org/uk/knowledge/guides/planning-hybrid-working/"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unite.ai/how-ai-promotes-harm-reduction-awareness-and-reduces-substance-use-stigma/" TargetMode="External"/><Relationship Id="rId11" Type="http://schemas.openxmlformats.org/officeDocument/2006/relationships/hyperlink" Target="https://doi.org/10.1007/s13132-023-01631-z" TargetMode="External"/><Relationship Id="rId5" Type="http://schemas.openxmlformats.org/officeDocument/2006/relationships/webSettings" Target="webSettings.xml"/><Relationship Id="rId10" Type="http://schemas.openxmlformats.org/officeDocument/2006/relationships/hyperlink" Target="https://www.cipd.org/uk/knowledge/factsheets/selection-factsheet/" TargetMode="External"/><Relationship Id="rId4" Type="http://schemas.openxmlformats.org/officeDocument/2006/relationships/settings" Target="settings.xml"/><Relationship Id="rId9" Type="http://schemas.openxmlformats.org/officeDocument/2006/relationships/hyperlink" Target="https://www.gallup.com/workplace/388481/employee-engagement-drops-first-year-decad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DB431-450A-4B8A-9F3B-399308066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6664</Words>
  <Characters>37989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Gardner</dc:creator>
  <cp:keywords/>
  <dc:description/>
  <cp:lastModifiedBy>Chloe Gardner</cp:lastModifiedBy>
  <cp:revision>65</cp:revision>
  <dcterms:created xsi:type="dcterms:W3CDTF">2024-08-06T10:58:00Z</dcterms:created>
  <dcterms:modified xsi:type="dcterms:W3CDTF">2024-11-21T14:06:00Z</dcterms:modified>
</cp:coreProperties>
</file>