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rsidP="006D7C43">
      <w:pPr>
        <w:pStyle w:val="normal0"/>
        <w:spacing w:line="360" w:lineRule="auto"/>
        <w:jc w:val="center"/>
        <w:rPr>
          <w:rFonts w:ascii="Times New Roman" w:eastAsia="Times New Roman" w:hAnsi="Times New Roman" w:cs="Times New Roman"/>
          <w:b/>
          <w:sz w:val="32"/>
          <w:szCs w:val="32"/>
          <w:lang w:val="en-GB"/>
        </w:rPr>
      </w:pPr>
      <w:r w:rsidRPr="00962A24">
        <w:rPr>
          <w:rFonts w:ascii="Times New Roman" w:eastAsia="Times New Roman" w:hAnsi="Times New Roman" w:cs="Times New Roman"/>
          <w:b/>
          <w:sz w:val="32"/>
          <w:szCs w:val="32"/>
          <w:lang w:val="en-GB"/>
        </w:rPr>
        <w:t>FINANCIAL STATEMENTS AND THEIR NEEDS</w:t>
      </w: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sdt>
      <w:sdtPr>
        <w:rPr>
          <w:rFonts w:ascii="Arial" w:eastAsia="Arial" w:hAnsi="Arial" w:cs="Arial"/>
          <w:b w:val="0"/>
          <w:bCs w:val="0"/>
          <w:color w:val="auto"/>
          <w:sz w:val="22"/>
          <w:szCs w:val="22"/>
          <w:lang w:val="en-GB"/>
        </w:rPr>
        <w:id w:val="38823860"/>
        <w:docPartObj>
          <w:docPartGallery w:val="Table of Contents"/>
          <w:docPartUnique/>
        </w:docPartObj>
      </w:sdtPr>
      <w:sdtContent>
        <w:p w:rsidR="00316F48" w:rsidRPr="00962A24" w:rsidRDefault="00316F48" w:rsidP="00316F48">
          <w:pPr>
            <w:pStyle w:val="TOCHeading"/>
            <w:spacing w:line="360" w:lineRule="auto"/>
            <w:jc w:val="center"/>
            <w:rPr>
              <w:rFonts w:ascii="Times New Roman" w:hAnsi="Times New Roman" w:cs="Times New Roman"/>
              <w:color w:val="auto"/>
              <w:sz w:val="24"/>
              <w:szCs w:val="24"/>
              <w:lang w:val="en-GB"/>
            </w:rPr>
          </w:pPr>
          <w:r w:rsidRPr="00962A24">
            <w:rPr>
              <w:rFonts w:ascii="Times New Roman" w:hAnsi="Times New Roman" w:cs="Times New Roman"/>
              <w:color w:val="auto"/>
              <w:sz w:val="24"/>
              <w:szCs w:val="24"/>
              <w:lang w:val="en-GB"/>
            </w:rPr>
            <w:t>Table of Contents</w:t>
          </w:r>
        </w:p>
        <w:p w:rsidR="00923E90" w:rsidRPr="00962A24" w:rsidRDefault="00CD463A">
          <w:pPr>
            <w:pStyle w:val="TOC1"/>
            <w:tabs>
              <w:tab w:val="right" w:leader="dot" w:pos="9019"/>
            </w:tabs>
            <w:rPr>
              <w:rFonts w:ascii="Times New Roman" w:eastAsiaTheme="minorEastAsia" w:hAnsi="Times New Roman" w:cs="Times New Roman"/>
            </w:rPr>
          </w:pPr>
          <w:r w:rsidRPr="00962A24">
            <w:rPr>
              <w:rFonts w:ascii="Times New Roman" w:hAnsi="Times New Roman" w:cs="Times New Roman"/>
              <w:sz w:val="24"/>
              <w:szCs w:val="24"/>
            </w:rPr>
            <w:fldChar w:fldCharType="begin"/>
          </w:r>
          <w:r w:rsidR="00316F48" w:rsidRPr="00962A24">
            <w:rPr>
              <w:rFonts w:ascii="Times New Roman" w:hAnsi="Times New Roman" w:cs="Times New Roman"/>
              <w:sz w:val="24"/>
              <w:szCs w:val="24"/>
            </w:rPr>
            <w:instrText xml:space="preserve"> TOC \o "1-3" \h \z \u </w:instrText>
          </w:r>
          <w:r w:rsidRPr="00962A24">
            <w:rPr>
              <w:rFonts w:ascii="Times New Roman" w:hAnsi="Times New Roman" w:cs="Times New Roman"/>
              <w:sz w:val="24"/>
              <w:szCs w:val="24"/>
            </w:rPr>
            <w:fldChar w:fldCharType="separate"/>
          </w:r>
          <w:hyperlink w:anchor="_Toc77613246" w:history="1">
            <w:r w:rsidR="00923E90" w:rsidRPr="00962A24">
              <w:rPr>
                <w:rStyle w:val="Hyperlink"/>
                <w:rFonts w:ascii="Times New Roman" w:hAnsi="Times New Roman" w:cs="Times New Roman"/>
                <w:color w:val="auto"/>
              </w:rPr>
              <w:t>Question 1.</w:t>
            </w:r>
            <w:r w:rsidR="00923E90" w:rsidRPr="00962A24">
              <w:rPr>
                <w:rFonts w:ascii="Times New Roman" w:hAnsi="Times New Roman" w:cs="Times New Roman"/>
                <w:webHidden/>
              </w:rPr>
              <w:tab/>
            </w:r>
            <w:r w:rsidRPr="00962A24">
              <w:rPr>
                <w:rFonts w:ascii="Times New Roman" w:hAnsi="Times New Roman" w:cs="Times New Roman"/>
                <w:webHidden/>
              </w:rPr>
              <w:fldChar w:fldCharType="begin"/>
            </w:r>
            <w:r w:rsidR="00923E90" w:rsidRPr="00962A24">
              <w:rPr>
                <w:rFonts w:ascii="Times New Roman" w:hAnsi="Times New Roman" w:cs="Times New Roman"/>
                <w:webHidden/>
              </w:rPr>
              <w:instrText xml:space="preserve"> PAGEREF _Toc77613246 \h </w:instrText>
            </w:r>
            <w:r w:rsidRPr="00962A24">
              <w:rPr>
                <w:rFonts w:ascii="Times New Roman" w:hAnsi="Times New Roman" w:cs="Times New Roman"/>
                <w:webHidden/>
              </w:rPr>
            </w:r>
            <w:r w:rsidRPr="00962A24">
              <w:rPr>
                <w:rFonts w:ascii="Times New Roman" w:hAnsi="Times New Roman" w:cs="Times New Roman"/>
                <w:webHidden/>
              </w:rPr>
              <w:fldChar w:fldCharType="separate"/>
            </w:r>
            <w:r w:rsidR="00923E90" w:rsidRPr="00962A24">
              <w:rPr>
                <w:rFonts w:ascii="Times New Roman" w:hAnsi="Times New Roman" w:cs="Times New Roman"/>
                <w:webHidden/>
              </w:rPr>
              <w:t>3</w:t>
            </w:r>
            <w:r w:rsidRPr="00962A24">
              <w:rPr>
                <w:rFonts w:ascii="Times New Roman" w:hAnsi="Times New Roman" w:cs="Times New Roman"/>
                <w:webHidden/>
              </w:rPr>
              <w:fldChar w:fldCharType="end"/>
            </w:r>
          </w:hyperlink>
        </w:p>
        <w:p w:rsidR="00923E90" w:rsidRPr="00962A24" w:rsidRDefault="00CD463A">
          <w:pPr>
            <w:pStyle w:val="TOC1"/>
            <w:tabs>
              <w:tab w:val="right" w:leader="dot" w:pos="9019"/>
            </w:tabs>
            <w:rPr>
              <w:rFonts w:ascii="Times New Roman" w:eastAsiaTheme="minorEastAsia" w:hAnsi="Times New Roman" w:cs="Times New Roman"/>
            </w:rPr>
          </w:pPr>
          <w:hyperlink w:anchor="_Toc77613247" w:history="1">
            <w:r w:rsidR="00923E90" w:rsidRPr="00962A24">
              <w:rPr>
                <w:rStyle w:val="Hyperlink"/>
                <w:rFonts w:ascii="Times New Roman" w:hAnsi="Times New Roman" w:cs="Times New Roman"/>
                <w:color w:val="auto"/>
              </w:rPr>
              <w:t>Question 2.</w:t>
            </w:r>
            <w:r w:rsidR="00923E90" w:rsidRPr="00962A24">
              <w:rPr>
                <w:rFonts w:ascii="Times New Roman" w:hAnsi="Times New Roman" w:cs="Times New Roman"/>
                <w:webHidden/>
              </w:rPr>
              <w:tab/>
            </w:r>
            <w:r w:rsidRPr="00962A24">
              <w:rPr>
                <w:rFonts w:ascii="Times New Roman" w:hAnsi="Times New Roman" w:cs="Times New Roman"/>
                <w:webHidden/>
              </w:rPr>
              <w:fldChar w:fldCharType="begin"/>
            </w:r>
            <w:r w:rsidR="00923E90" w:rsidRPr="00962A24">
              <w:rPr>
                <w:rFonts w:ascii="Times New Roman" w:hAnsi="Times New Roman" w:cs="Times New Roman"/>
                <w:webHidden/>
              </w:rPr>
              <w:instrText xml:space="preserve"> PAGEREF _Toc77613247 \h </w:instrText>
            </w:r>
            <w:r w:rsidRPr="00962A24">
              <w:rPr>
                <w:rFonts w:ascii="Times New Roman" w:hAnsi="Times New Roman" w:cs="Times New Roman"/>
                <w:webHidden/>
              </w:rPr>
            </w:r>
            <w:r w:rsidRPr="00962A24">
              <w:rPr>
                <w:rFonts w:ascii="Times New Roman" w:hAnsi="Times New Roman" w:cs="Times New Roman"/>
                <w:webHidden/>
              </w:rPr>
              <w:fldChar w:fldCharType="separate"/>
            </w:r>
            <w:r w:rsidR="00923E90" w:rsidRPr="00962A24">
              <w:rPr>
                <w:rFonts w:ascii="Times New Roman" w:hAnsi="Times New Roman" w:cs="Times New Roman"/>
                <w:webHidden/>
              </w:rPr>
              <w:t>5</w:t>
            </w:r>
            <w:r w:rsidRPr="00962A24">
              <w:rPr>
                <w:rFonts w:ascii="Times New Roman" w:hAnsi="Times New Roman" w:cs="Times New Roman"/>
                <w:webHidden/>
              </w:rPr>
              <w:fldChar w:fldCharType="end"/>
            </w:r>
          </w:hyperlink>
        </w:p>
        <w:p w:rsidR="00923E90" w:rsidRPr="00962A24" w:rsidRDefault="00CD463A">
          <w:pPr>
            <w:pStyle w:val="TOC1"/>
            <w:tabs>
              <w:tab w:val="right" w:leader="dot" w:pos="9019"/>
            </w:tabs>
            <w:rPr>
              <w:rFonts w:ascii="Times New Roman" w:eastAsiaTheme="minorEastAsia" w:hAnsi="Times New Roman" w:cs="Times New Roman"/>
            </w:rPr>
          </w:pPr>
          <w:hyperlink w:anchor="_Toc77613248" w:history="1">
            <w:r w:rsidR="00923E90" w:rsidRPr="00962A24">
              <w:rPr>
                <w:rStyle w:val="Hyperlink"/>
                <w:rFonts w:ascii="Times New Roman" w:hAnsi="Times New Roman" w:cs="Times New Roman"/>
                <w:color w:val="auto"/>
              </w:rPr>
              <w:t>Reference List</w:t>
            </w:r>
            <w:r w:rsidR="00923E90" w:rsidRPr="00962A24">
              <w:rPr>
                <w:rFonts w:ascii="Times New Roman" w:hAnsi="Times New Roman" w:cs="Times New Roman"/>
                <w:webHidden/>
              </w:rPr>
              <w:tab/>
            </w:r>
            <w:r w:rsidRPr="00962A24">
              <w:rPr>
                <w:rFonts w:ascii="Times New Roman" w:hAnsi="Times New Roman" w:cs="Times New Roman"/>
                <w:webHidden/>
              </w:rPr>
              <w:fldChar w:fldCharType="begin"/>
            </w:r>
            <w:r w:rsidR="00923E90" w:rsidRPr="00962A24">
              <w:rPr>
                <w:rFonts w:ascii="Times New Roman" w:hAnsi="Times New Roman" w:cs="Times New Roman"/>
                <w:webHidden/>
              </w:rPr>
              <w:instrText xml:space="preserve"> PAGEREF _Toc77613248 \h </w:instrText>
            </w:r>
            <w:r w:rsidRPr="00962A24">
              <w:rPr>
                <w:rFonts w:ascii="Times New Roman" w:hAnsi="Times New Roman" w:cs="Times New Roman"/>
                <w:webHidden/>
              </w:rPr>
            </w:r>
            <w:r w:rsidRPr="00962A24">
              <w:rPr>
                <w:rFonts w:ascii="Times New Roman" w:hAnsi="Times New Roman" w:cs="Times New Roman"/>
                <w:webHidden/>
              </w:rPr>
              <w:fldChar w:fldCharType="separate"/>
            </w:r>
            <w:r w:rsidR="00923E90" w:rsidRPr="00962A24">
              <w:rPr>
                <w:rFonts w:ascii="Times New Roman" w:hAnsi="Times New Roman" w:cs="Times New Roman"/>
                <w:webHidden/>
              </w:rPr>
              <w:t>13</w:t>
            </w:r>
            <w:r w:rsidRPr="00962A24">
              <w:rPr>
                <w:rFonts w:ascii="Times New Roman" w:hAnsi="Times New Roman" w:cs="Times New Roman"/>
                <w:webHidden/>
              </w:rPr>
              <w:fldChar w:fldCharType="end"/>
            </w:r>
          </w:hyperlink>
        </w:p>
        <w:p w:rsidR="00316F48" w:rsidRPr="00962A24" w:rsidRDefault="00CD463A" w:rsidP="00316F48">
          <w:pPr>
            <w:spacing w:line="360" w:lineRule="auto"/>
            <w:jc w:val="both"/>
          </w:pPr>
          <w:r w:rsidRPr="00962A24">
            <w:rPr>
              <w:rFonts w:ascii="Times New Roman" w:hAnsi="Times New Roman" w:cs="Times New Roman"/>
              <w:sz w:val="24"/>
              <w:szCs w:val="24"/>
            </w:rPr>
            <w:fldChar w:fldCharType="end"/>
          </w:r>
        </w:p>
      </w:sdtContent>
    </w:sdt>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6D7C43" w:rsidRPr="00962A24" w:rsidRDefault="006D7C43">
      <w:pPr>
        <w:pStyle w:val="normal0"/>
        <w:spacing w:line="360" w:lineRule="auto"/>
        <w:jc w:val="both"/>
        <w:rPr>
          <w:rFonts w:ascii="Times New Roman" w:eastAsia="Times New Roman" w:hAnsi="Times New Roman" w:cs="Times New Roman"/>
          <w:b/>
          <w:sz w:val="24"/>
          <w:szCs w:val="24"/>
          <w:lang w:val="en-GB"/>
        </w:rPr>
      </w:pPr>
    </w:p>
    <w:p w:rsidR="0047564B" w:rsidRPr="00962A24" w:rsidRDefault="00B82031" w:rsidP="00316F48">
      <w:pPr>
        <w:pStyle w:val="Heading1"/>
        <w:rPr>
          <w:sz w:val="24"/>
          <w:szCs w:val="24"/>
          <w:lang w:val="en-GB"/>
        </w:rPr>
      </w:pPr>
      <w:bookmarkStart w:id="0" w:name="_Toc77613246"/>
      <w:r w:rsidRPr="00962A24">
        <w:rPr>
          <w:lang w:val="en-GB"/>
        </w:rPr>
        <w:lastRenderedPageBreak/>
        <w:t>Question 1</w:t>
      </w:r>
      <w:bookmarkEnd w:id="0"/>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a</w:t>
      </w:r>
      <w:r w:rsidRPr="00962A24">
        <w:rPr>
          <w:rFonts w:ascii="Times New Roman" w:eastAsia="Times New Roman" w:hAnsi="Times New Roman" w:cs="Times New Roman"/>
          <w:sz w:val="24"/>
          <w:szCs w:val="24"/>
          <w:lang w:val="en-GB"/>
        </w:rPr>
        <w:t xml:space="preserve">. </w:t>
      </w:r>
    </w:p>
    <w:p w:rsidR="0047564B" w:rsidRPr="00962A24" w:rsidRDefault="00B82031">
      <w:pPr>
        <w:pStyle w:val="normal0"/>
        <w:spacing w:line="36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Statement of P/L of Kedison PLC</w:t>
      </w:r>
    </w:p>
    <w:p w:rsidR="0047564B" w:rsidRPr="00962A24" w:rsidRDefault="00B82031">
      <w:pPr>
        <w:pStyle w:val="normal0"/>
        <w:spacing w:line="36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for the year ended 31</w:t>
      </w:r>
      <w:r w:rsidR="00F009FD" w:rsidRPr="00962A24">
        <w:rPr>
          <w:rFonts w:ascii="Times New Roman" w:eastAsia="Times New Roman" w:hAnsi="Times New Roman" w:cs="Times New Roman"/>
          <w:b/>
          <w:sz w:val="24"/>
          <w:szCs w:val="24"/>
          <w:vertAlign w:val="superscript"/>
          <w:lang w:val="en-GB"/>
        </w:rPr>
        <w:t>st</w:t>
      </w:r>
      <w:r w:rsidR="00F009FD" w:rsidRPr="00962A24">
        <w:rPr>
          <w:rFonts w:ascii="Times New Roman" w:eastAsia="Times New Roman" w:hAnsi="Times New Roman" w:cs="Times New Roman"/>
          <w:b/>
          <w:sz w:val="24"/>
          <w:szCs w:val="24"/>
          <w:lang w:val="en-GB"/>
        </w:rPr>
        <w:t xml:space="preserve"> </w:t>
      </w:r>
      <w:r w:rsidRPr="00962A24">
        <w:rPr>
          <w:rFonts w:ascii="Times New Roman" w:eastAsia="Times New Roman" w:hAnsi="Times New Roman" w:cs="Times New Roman"/>
          <w:b/>
          <w:sz w:val="24"/>
          <w:szCs w:val="24"/>
          <w:lang w:val="en-GB"/>
        </w:rPr>
        <w:t xml:space="preserve"> Dec 2020</w:t>
      </w:r>
      <w:r w:rsidRPr="00962A24">
        <w:rPr>
          <w:rFonts w:ascii="Times New Roman" w:eastAsia="Times New Roman" w:hAnsi="Times New Roman" w:cs="Times New Roman"/>
          <w:sz w:val="24"/>
          <w:szCs w:val="24"/>
          <w:lang w:val="en-GB"/>
        </w:rPr>
        <w:t xml:space="preserve"> </w:t>
      </w:r>
    </w:p>
    <w:tbl>
      <w:tblPr>
        <w:tblStyle w:val="a"/>
        <w:tblW w:w="87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6870"/>
        <w:gridCol w:w="1890"/>
      </w:tblGrid>
      <w:tr w:rsidR="00A33464" w:rsidRPr="00962A24" w:rsidTr="00314070">
        <w:trPr>
          <w:tblHeader/>
          <w:jc w:val="center"/>
        </w:trPr>
        <w:tc>
          <w:tcPr>
            <w:tcW w:w="687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Particulars</w:t>
            </w:r>
          </w:p>
        </w:tc>
        <w:tc>
          <w:tcPr>
            <w:tcW w:w="18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 xml:space="preserve">Amount </w:t>
            </w:r>
          </w:p>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w:t>
            </w:r>
            <w:r w:rsidR="00314070" w:rsidRPr="00962A24">
              <w:rPr>
                <w:rFonts w:ascii="Times New Roman" w:eastAsia="Times New Roman" w:hAnsi="Times New Roman" w:cs="Times New Roman"/>
                <w:b/>
                <w:sz w:val="24"/>
                <w:szCs w:val="24"/>
                <w:lang w:val="en-GB"/>
              </w:rPr>
              <w:t>£</w:t>
            </w:r>
            <w:r w:rsidRPr="00962A24">
              <w:rPr>
                <w:rFonts w:ascii="Times New Roman" w:eastAsia="Times New Roman" w:hAnsi="Times New Roman" w:cs="Times New Roman"/>
                <w:b/>
                <w:sz w:val="24"/>
                <w:szCs w:val="24"/>
                <w:lang w:val="en-GB"/>
              </w:rPr>
              <w:t>)</w:t>
            </w:r>
          </w:p>
        </w:tc>
      </w:tr>
      <w:tr w:rsidR="00A33464" w:rsidRPr="00962A24" w:rsidTr="00314070">
        <w:trPr>
          <w:tblHeader/>
          <w:jc w:val="center"/>
        </w:trPr>
        <w:tc>
          <w:tcPr>
            <w:tcW w:w="6870" w:type="dxa"/>
            <w:shd w:val="clear" w:color="auto" w:fill="auto"/>
            <w:tcMar>
              <w:top w:w="100" w:type="dxa"/>
              <w:left w:w="100" w:type="dxa"/>
              <w:bottom w:w="100" w:type="dxa"/>
              <w:right w:w="100" w:type="dxa"/>
            </w:tcMar>
          </w:tcPr>
          <w:p w:rsidR="0047564B" w:rsidRPr="00962A24" w:rsidRDefault="00B82031">
            <w:pPr>
              <w:pStyle w:val="normal0"/>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Revenue from Operations [WN - 1] [826650 + 980]</w:t>
            </w:r>
          </w:p>
        </w:tc>
        <w:tc>
          <w:tcPr>
            <w:tcW w:w="18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827630</w:t>
            </w:r>
          </w:p>
        </w:tc>
      </w:tr>
      <w:tr w:rsidR="00A33464" w:rsidRPr="00962A24" w:rsidTr="00314070">
        <w:trPr>
          <w:tblHeader/>
          <w:jc w:val="center"/>
        </w:trPr>
        <w:tc>
          <w:tcPr>
            <w:tcW w:w="687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b/>
                <w:sz w:val="24"/>
                <w:szCs w:val="24"/>
                <w:lang w:val="en-GB"/>
              </w:rPr>
              <w:t>TOTAL</w:t>
            </w:r>
          </w:p>
        </w:tc>
        <w:tc>
          <w:tcPr>
            <w:tcW w:w="18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827630</w:t>
            </w:r>
          </w:p>
        </w:tc>
      </w:tr>
      <w:tr w:rsidR="00A33464" w:rsidRPr="00962A24" w:rsidTr="00314070">
        <w:trPr>
          <w:tblHeader/>
          <w:jc w:val="center"/>
        </w:trPr>
        <w:tc>
          <w:tcPr>
            <w:tcW w:w="6870" w:type="dxa"/>
            <w:shd w:val="clear" w:color="auto" w:fill="auto"/>
            <w:tcMar>
              <w:top w:w="100" w:type="dxa"/>
              <w:left w:w="100" w:type="dxa"/>
              <w:bottom w:w="100" w:type="dxa"/>
              <w:right w:w="100" w:type="dxa"/>
            </w:tcMar>
          </w:tcPr>
          <w:p w:rsidR="0047564B" w:rsidRPr="00962A24" w:rsidRDefault="00B82031">
            <w:pPr>
              <w:pStyle w:val="normal0"/>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Expenses:</w:t>
            </w:r>
          </w:p>
        </w:tc>
        <w:tc>
          <w:tcPr>
            <w:tcW w:w="1890" w:type="dxa"/>
            <w:shd w:val="clear" w:color="auto" w:fill="auto"/>
            <w:tcMar>
              <w:top w:w="100" w:type="dxa"/>
              <w:left w:w="100" w:type="dxa"/>
              <w:bottom w:w="100" w:type="dxa"/>
              <w:right w:w="100" w:type="dxa"/>
            </w:tcMar>
          </w:tcPr>
          <w:p w:rsidR="0047564B" w:rsidRPr="00962A24" w:rsidRDefault="0047564B">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r>
      <w:tr w:rsidR="00A33464" w:rsidRPr="00962A24" w:rsidTr="00314070">
        <w:trPr>
          <w:tblHeader/>
          <w:jc w:val="center"/>
        </w:trPr>
        <w:tc>
          <w:tcPr>
            <w:tcW w:w="687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Cost of Sales [WN - 1] [578650 + 686]</w:t>
            </w:r>
          </w:p>
        </w:tc>
        <w:tc>
          <w:tcPr>
            <w:tcW w:w="18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579336</w:t>
            </w:r>
          </w:p>
        </w:tc>
      </w:tr>
      <w:tr w:rsidR="00A33464" w:rsidRPr="00962A24" w:rsidTr="00314070">
        <w:trPr>
          <w:tblHeader/>
          <w:jc w:val="center"/>
        </w:trPr>
        <w:tc>
          <w:tcPr>
            <w:tcW w:w="687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Finance Cost</w:t>
            </w:r>
          </w:p>
        </w:tc>
        <w:tc>
          <w:tcPr>
            <w:tcW w:w="18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2000</w:t>
            </w:r>
          </w:p>
        </w:tc>
      </w:tr>
      <w:tr w:rsidR="00A33464" w:rsidRPr="00962A24" w:rsidTr="00314070">
        <w:trPr>
          <w:tblHeader/>
          <w:jc w:val="center"/>
        </w:trPr>
        <w:tc>
          <w:tcPr>
            <w:tcW w:w="687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Operating Expenses [WN - 2]</w:t>
            </w:r>
          </w:p>
        </w:tc>
        <w:tc>
          <w:tcPr>
            <w:tcW w:w="18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66000</w:t>
            </w:r>
          </w:p>
        </w:tc>
      </w:tr>
      <w:tr w:rsidR="00A33464" w:rsidRPr="00962A24" w:rsidTr="00314070">
        <w:trPr>
          <w:tblHeader/>
          <w:jc w:val="center"/>
        </w:trPr>
        <w:tc>
          <w:tcPr>
            <w:tcW w:w="687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TOTAL</w:t>
            </w:r>
          </w:p>
        </w:tc>
        <w:tc>
          <w:tcPr>
            <w:tcW w:w="18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647336</w:t>
            </w:r>
          </w:p>
        </w:tc>
      </w:tr>
      <w:tr w:rsidR="00A33464" w:rsidRPr="00962A24" w:rsidTr="00314070">
        <w:trPr>
          <w:tblHeader/>
          <w:jc w:val="center"/>
        </w:trPr>
        <w:tc>
          <w:tcPr>
            <w:tcW w:w="6870" w:type="dxa"/>
            <w:shd w:val="clear" w:color="auto" w:fill="auto"/>
            <w:tcMar>
              <w:top w:w="100" w:type="dxa"/>
              <w:left w:w="100" w:type="dxa"/>
              <w:bottom w:w="100" w:type="dxa"/>
              <w:right w:w="100" w:type="dxa"/>
            </w:tcMar>
          </w:tcPr>
          <w:p w:rsidR="0047564B" w:rsidRPr="00962A24" w:rsidRDefault="00B82031">
            <w:pPr>
              <w:pStyle w:val="normal0"/>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Profit before Tax [A - B]</w:t>
            </w:r>
          </w:p>
        </w:tc>
        <w:tc>
          <w:tcPr>
            <w:tcW w:w="18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180294</w:t>
            </w:r>
          </w:p>
        </w:tc>
      </w:tr>
      <w:tr w:rsidR="00A33464" w:rsidRPr="00962A24" w:rsidTr="00314070">
        <w:trPr>
          <w:tblHeader/>
          <w:jc w:val="center"/>
        </w:trPr>
        <w:tc>
          <w:tcPr>
            <w:tcW w:w="6870" w:type="dxa"/>
            <w:shd w:val="clear" w:color="auto" w:fill="auto"/>
            <w:tcMar>
              <w:top w:w="100" w:type="dxa"/>
              <w:left w:w="100" w:type="dxa"/>
              <w:bottom w:w="100" w:type="dxa"/>
              <w:right w:w="100" w:type="dxa"/>
            </w:tcMar>
          </w:tcPr>
          <w:p w:rsidR="0047564B" w:rsidRPr="00962A24" w:rsidRDefault="00B82031">
            <w:pPr>
              <w:pStyle w:val="normal0"/>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Taxes</w:t>
            </w:r>
          </w:p>
        </w:tc>
        <w:tc>
          <w:tcPr>
            <w:tcW w:w="18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68000</w:t>
            </w:r>
          </w:p>
        </w:tc>
      </w:tr>
      <w:tr w:rsidR="00A33464" w:rsidRPr="00962A24" w:rsidTr="00314070">
        <w:trPr>
          <w:tblHeader/>
          <w:jc w:val="center"/>
        </w:trPr>
        <w:tc>
          <w:tcPr>
            <w:tcW w:w="6870" w:type="dxa"/>
            <w:shd w:val="clear" w:color="auto" w:fill="auto"/>
            <w:tcMar>
              <w:top w:w="100" w:type="dxa"/>
              <w:left w:w="100" w:type="dxa"/>
              <w:bottom w:w="100" w:type="dxa"/>
              <w:right w:w="100" w:type="dxa"/>
            </w:tcMar>
          </w:tcPr>
          <w:p w:rsidR="0047564B" w:rsidRPr="00962A24" w:rsidRDefault="00B82031">
            <w:pPr>
              <w:pStyle w:val="normal0"/>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Profit after Taxes [C - D]</w:t>
            </w:r>
          </w:p>
        </w:tc>
        <w:tc>
          <w:tcPr>
            <w:tcW w:w="18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112294</w:t>
            </w:r>
          </w:p>
        </w:tc>
      </w:tr>
      <w:tr w:rsidR="00A33464" w:rsidRPr="00962A24" w:rsidTr="00314070">
        <w:trPr>
          <w:tblHeader/>
          <w:jc w:val="center"/>
        </w:trPr>
        <w:tc>
          <w:tcPr>
            <w:tcW w:w="687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Less:</w:t>
            </w:r>
          </w:p>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Preference Dividend (30000)</w:t>
            </w:r>
          </w:p>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Ordinary Dividend    (20000)</w:t>
            </w:r>
          </w:p>
        </w:tc>
        <w:tc>
          <w:tcPr>
            <w:tcW w:w="18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50000</w:t>
            </w:r>
          </w:p>
        </w:tc>
      </w:tr>
      <w:tr w:rsidR="00A33464" w:rsidRPr="00962A24" w:rsidTr="00314070">
        <w:trPr>
          <w:tblHeader/>
          <w:jc w:val="center"/>
        </w:trPr>
        <w:tc>
          <w:tcPr>
            <w:tcW w:w="687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Profit taken to Reserves</w:t>
            </w:r>
          </w:p>
        </w:tc>
        <w:tc>
          <w:tcPr>
            <w:tcW w:w="18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62294</w:t>
            </w:r>
          </w:p>
        </w:tc>
      </w:tr>
    </w:tbl>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F009FD" w:rsidRPr="00962A24" w:rsidRDefault="00F009FD">
      <w:pPr>
        <w:pStyle w:val="normal0"/>
        <w:spacing w:line="360" w:lineRule="auto"/>
        <w:jc w:val="center"/>
        <w:rPr>
          <w:rFonts w:ascii="Times New Roman" w:eastAsia="Times New Roman" w:hAnsi="Times New Roman" w:cs="Times New Roman"/>
          <w:b/>
          <w:sz w:val="24"/>
          <w:szCs w:val="24"/>
          <w:lang w:val="en-GB"/>
        </w:rPr>
      </w:pPr>
    </w:p>
    <w:p w:rsidR="00F009FD" w:rsidRPr="00962A24" w:rsidRDefault="00F009FD">
      <w:pPr>
        <w:pStyle w:val="normal0"/>
        <w:spacing w:line="360" w:lineRule="auto"/>
        <w:jc w:val="center"/>
        <w:rPr>
          <w:rFonts w:ascii="Times New Roman" w:eastAsia="Times New Roman" w:hAnsi="Times New Roman" w:cs="Times New Roman"/>
          <w:b/>
          <w:sz w:val="24"/>
          <w:szCs w:val="24"/>
          <w:lang w:val="en-GB"/>
        </w:rPr>
      </w:pPr>
    </w:p>
    <w:p w:rsidR="00F009FD" w:rsidRPr="00962A24" w:rsidRDefault="00F009FD">
      <w:pPr>
        <w:pStyle w:val="normal0"/>
        <w:spacing w:line="360" w:lineRule="auto"/>
        <w:jc w:val="center"/>
        <w:rPr>
          <w:rFonts w:ascii="Times New Roman" w:eastAsia="Times New Roman" w:hAnsi="Times New Roman" w:cs="Times New Roman"/>
          <w:b/>
          <w:sz w:val="24"/>
          <w:szCs w:val="24"/>
          <w:lang w:val="en-GB"/>
        </w:rPr>
      </w:pPr>
    </w:p>
    <w:p w:rsidR="00F009FD" w:rsidRPr="00962A24" w:rsidRDefault="00F009FD">
      <w:pPr>
        <w:pStyle w:val="normal0"/>
        <w:spacing w:line="360" w:lineRule="auto"/>
        <w:jc w:val="center"/>
        <w:rPr>
          <w:rFonts w:ascii="Times New Roman" w:eastAsia="Times New Roman" w:hAnsi="Times New Roman" w:cs="Times New Roman"/>
          <w:b/>
          <w:sz w:val="24"/>
          <w:szCs w:val="24"/>
          <w:lang w:val="en-GB"/>
        </w:rPr>
      </w:pPr>
    </w:p>
    <w:p w:rsidR="0047564B" w:rsidRPr="00962A24" w:rsidRDefault="00B82031">
      <w:pPr>
        <w:pStyle w:val="normal0"/>
        <w:spacing w:line="36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Statement of financial position of Kedison PLC</w:t>
      </w:r>
    </w:p>
    <w:p w:rsidR="0047564B" w:rsidRPr="00962A24" w:rsidRDefault="00B82031">
      <w:pPr>
        <w:pStyle w:val="normal0"/>
        <w:spacing w:line="36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as at 31</w:t>
      </w:r>
      <w:r w:rsidR="00F009FD" w:rsidRPr="00962A24">
        <w:rPr>
          <w:rFonts w:ascii="Times New Roman" w:eastAsia="Times New Roman" w:hAnsi="Times New Roman" w:cs="Times New Roman"/>
          <w:b/>
          <w:sz w:val="24"/>
          <w:szCs w:val="24"/>
          <w:vertAlign w:val="superscript"/>
          <w:lang w:val="en-GB"/>
        </w:rPr>
        <w:t>st</w:t>
      </w:r>
      <w:r w:rsidR="00F009FD" w:rsidRPr="00962A24">
        <w:rPr>
          <w:rFonts w:ascii="Times New Roman" w:eastAsia="Times New Roman" w:hAnsi="Times New Roman" w:cs="Times New Roman"/>
          <w:b/>
          <w:sz w:val="24"/>
          <w:szCs w:val="24"/>
          <w:lang w:val="en-GB"/>
        </w:rPr>
        <w:t xml:space="preserve"> </w:t>
      </w:r>
      <w:r w:rsidRPr="00962A24">
        <w:rPr>
          <w:rFonts w:ascii="Times New Roman" w:eastAsia="Times New Roman" w:hAnsi="Times New Roman" w:cs="Times New Roman"/>
          <w:b/>
          <w:sz w:val="24"/>
          <w:szCs w:val="24"/>
          <w:lang w:val="en-GB"/>
        </w:rPr>
        <w:t xml:space="preserve"> Dec, 2020</w:t>
      </w:r>
    </w:p>
    <w:tbl>
      <w:tblPr>
        <w:tblStyle w:val="a0"/>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6915"/>
        <w:gridCol w:w="2085"/>
      </w:tblGrid>
      <w:tr w:rsidR="00A33464" w:rsidRPr="00962A24" w:rsidTr="00314070">
        <w:trPr>
          <w:tblHeader/>
          <w:jc w:val="center"/>
        </w:trPr>
        <w:tc>
          <w:tcPr>
            <w:tcW w:w="69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Particulars</w:t>
            </w:r>
          </w:p>
        </w:tc>
        <w:tc>
          <w:tcPr>
            <w:tcW w:w="208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Amount</w:t>
            </w:r>
          </w:p>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w:t>
            </w:r>
            <w:r w:rsidR="00314070" w:rsidRPr="00962A24">
              <w:rPr>
                <w:rFonts w:ascii="Times New Roman" w:eastAsia="Times New Roman" w:hAnsi="Times New Roman" w:cs="Times New Roman"/>
                <w:b/>
                <w:sz w:val="24"/>
                <w:szCs w:val="24"/>
                <w:lang w:val="en-GB"/>
              </w:rPr>
              <w:t>£</w:t>
            </w:r>
            <w:r w:rsidRPr="00962A24">
              <w:rPr>
                <w:rFonts w:ascii="Times New Roman" w:eastAsia="Times New Roman" w:hAnsi="Times New Roman" w:cs="Times New Roman"/>
                <w:b/>
                <w:sz w:val="24"/>
                <w:szCs w:val="24"/>
                <w:lang w:val="en-GB"/>
              </w:rPr>
              <w:t>)</w:t>
            </w:r>
          </w:p>
        </w:tc>
      </w:tr>
      <w:tr w:rsidR="00A33464" w:rsidRPr="00962A24" w:rsidTr="00314070">
        <w:trPr>
          <w:tblHeader/>
          <w:jc w:val="center"/>
        </w:trPr>
        <w:tc>
          <w:tcPr>
            <w:tcW w:w="69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ASSETS</w:t>
            </w:r>
          </w:p>
        </w:tc>
        <w:tc>
          <w:tcPr>
            <w:tcW w:w="2085" w:type="dxa"/>
            <w:shd w:val="clear" w:color="auto" w:fill="auto"/>
            <w:tcMar>
              <w:top w:w="100" w:type="dxa"/>
              <w:left w:w="100" w:type="dxa"/>
              <w:bottom w:w="100" w:type="dxa"/>
              <w:right w:w="100" w:type="dxa"/>
            </w:tcMar>
          </w:tcPr>
          <w:p w:rsidR="0047564B" w:rsidRPr="00962A24" w:rsidRDefault="0047564B">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r>
      <w:tr w:rsidR="00A33464" w:rsidRPr="00962A24" w:rsidTr="00314070">
        <w:trPr>
          <w:tblHeader/>
          <w:jc w:val="center"/>
        </w:trPr>
        <w:tc>
          <w:tcPr>
            <w:tcW w:w="69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lastRenderedPageBreak/>
              <w:t>Non-Current Assets</w:t>
            </w:r>
            <w:r w:rsidRPr="00962A24">
              <w:rPr>
                <w:rFonts w:ascii="Times New Roman" w:eastAsia="Times New Roman" w:hAnsi="Times New Roman" w:cs="Times New Roman"/>
                <w:sz w:val="24"/>
                <w:szCs w:val="24"/>
                <w:lang w:val="en-GB"/>
              </w:rPr>
              <w:t>:</w:t>
            </w:r>
          </w:p>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Plant &amp; Equipment</w:t>
            </w:r>
          </w:p>
        </w:tc>
        <w:tc>
          <w:tcPr>
            <w:tcW w:w="208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632730</w:t>
            </w:r>
          </w:p>
        </w:tc>
      </w:tr>
      <w:tr w:rsidR="00A33464" w:rsidRPr="00962A24" w:rsidTr="00314070">
        <w:trPr>
          <w:tblHeader/>
          <w:jc w:val="center"/>
        </w:trPr>
        <w:tc>
          <w:tcPr>
            <w:tcW w:w="69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Current  Assets</w:t>
            </w:r>
            <w:r w:rsidRPr="00962A24">
              <w:rPr>
                <w:rFonts w:ascii="Times New Roman" w:eastAsia="Times New Roman" w:hAnsi="Times New Roman" w:cs="Times New Roman"/>
                <w:sz w:val="24"/>
                <w:szCs w:val="24"/>
                <w:lang w:val="en-GB"/>
              </w:rPr>
              <w:t>:</w:t>
            </w:r>
          </w:p>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Debtors [170125 + 980]                                                             171105</w:t>
            </w:r>
          </w:p>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Inventory [330600 - 686]                                                           329914</w:t>
            </w:r>
          </w:p>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Cash &amp; Bank                                                                               12900</w:t>
            </w:r>
          </w:p>
        </w:tc>
        <w:tc>
          <w:tcPr>
            <w:tcW w:w="208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513919</w:t>
            </w:r>
          </w:p>
        </w:tc>
      </w:tr>
      <w:tr w:rsidR="00A33464" w:rsidRPr="00962A24" w:rsidTr="00314070">
        <w:trPr>
          <w:tblHeader/>
          <w:jc w:val="center"/>
        </w:trPr>
        <w:tc>
          <w:tcPr>
            <w:tcW w:w="69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TOTAL</w:t>
            </w:r>
          </w:p>
        </w:tc>
        <w:tc>
          <w:tcPr>
            <w:tcW w:w="208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1146649</w:t>
            </w:r>
          </w:p>
        </w:tc>
      </w:tr>
      <w:tr w:rsidR="00A33464" w:rsidRPr="00962A24" w:rsidTr="00314070">
        <w:trPr>
          <w:tblHeader/>
          <w:jc w:val="center"/>
        </w:trPr>
        <w:tc>
          <w:tcPr>
            <w:tcW w:w="69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EQUITY &amp; LIABILITIES</w:t>
            </w:r>
          </w:p>
        </w:tc>
        <w:tc>
          <w:tcPr>
            <w:tcW w:w="2085" w:type="dxa"/>
            <w:shd w:val="clear" w:color="auto" w:fill="auto"/>
            <w:tcMar>
              <w:top w:w="100" w:type="dxa"/>
              <w:left w:w="100" w:type="dxa"/>
              <w:bottom w:w="100" w:type="dxa"/>
              <w:right w:w="100" w:type="dxa"/>
            </w:tcMar>
          </w:tcPr>
          <w:p w:rsidR="0047564B" w:rsidRPr="00962A24" w:rsidRDefault="0047564B">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r>
      <w:tr w:rsidR="00A33464" w:rsidRPr="00962A24" w:rsidTr="00314070">
        <w:trPr>
          <w:tblHeader/>
          <w:jc w:val="center"/>
        </w:trPr>
        <w:tc>
          <w:tcPr>
            <w:tcW w:w="69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Equity</w:t>
            </w:r>
            <w:r w:rsidRPr="00962A24">
              <w:rPr>
                <w:rFonts w:ascii="Times New Roman" w:eastAsia="Times New Roman" w:hAnsi="Times New Roman" w:cs="Times New Roman"/>
                <w:sz w:val="24"/>
                <w:szCs w:val="24"/>
                <w:lang w:val="en-GB"/>
              </w:rPr>
              <w:t>:</w:t>
            </w:r>
          </w:p>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1 pound ordinary shares                                                           310000</w:t>
            </w:r>
          </w:p>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10% 1 pound Preference shares                                               300000</w:t>
            </w:r>
          </w:p>
        </w:tc>
        <w:tc>
          <w:tcPr>
            <w:tcW w:w="208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610000</w:t>
            </w:r>
          </w:p>
        </w:tc>
      </w:tr>
      <w:tr w:rsidR="00A33464" w:rsidRPr="00962A24" w:rsidTr="00314070">
        <w:trPr>
          <w:tblHeader/>
          <w:jc w:val="center"/>
        </w:trPr>
        <w:tc>
          <w:tcPr>
            <w:tcW w:w="69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Reserves &amp; Surplus [132000 + 62294]</w:t>
            </w:r>
          </w:p>
        </w:tc>
        <w:tc>
          <w:tcPr>
            <w:tcW w:w="208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194294</w:t>
            </w:r>
          </w:p>
        </w:tc>
      </w:tr>
      <w:tr w:rsidR="00A33464" w:rsidRPr="00962A24" w:rsidTr="00314070">
        <w:trPr>
          <w:tblHeader/>
          <w:jc w:val="center"/>
        </w:trPr>
        <w:tc>
          <w:tcPr>
            <w:tcW w:w="69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Liabilities</w:t>
            </w:r>
            <w:r w:rsidRPr="00962A24">
              <w:rPr>
                <w:rFonts w:ascii="Times New Roman" w:eastAsia="Times New Roman" w:hAnsi="Times New Roman" w:cs="Times New Roman"/>
                <w:sz w:val="24"/>
                <w:szCs w:val="24"/>
                <w:lang w:val="en-GB"/>
              </w:rPr>
              <w:t>:</w:t>
            </w:r>
          </w:p>
        </w:tc>
        <w:tc>
          <w:tcPr>
            <w:tcW w:w="2085" w:type="dxa"/>
            <w:shd w:val="clear" w:color="auto" w:fill="auto"/>
            <w:tcMar>
              <w:top w:w="100" w:type="dxa"/>
              <w:left w:w="100" w:type="dxa"/>
              <w:bottom w:w="100" w:type="dxa"/>
              <w:right w:w="100" w:type="dxa"/>
            </w:tcMar>
          </w:tcPr>
          <w:p w:rsidR="0047564B" w:rsidRPr="00962A24" w:rsidRDefault="0047564B">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r>
      <w:tr w:rsidR="00A33464" w:rsidRPr="00962A24" w:rsidTr="00314070">
        <w:trPr>
          <w:tblHeader/>
          <w:jc w:val="center"/>
        </w:trPr>
        <w:tc>
          <w:tcPr>
            <w:tcW w:w="69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Non-Current Liabilities</w:t>
            </w:r>
            <w:r w:rsidRPr="00962A24">
              <w:rPr>
                <w:rFonts w:ascii="Times New Roman" w:eastAsia="Times New Roman" w:hAnsi="Times New Roman" w:cs="Times New Roman"/>
                <w:sz w:val="24"/>
                <w:szCs w:val="24"/>
                <w:lang w:val="en-GB"/>
              </w:rPr>
              <w:t>:</w:t>
            </w:r>
          </w:p>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Borrowings</w:t>
            </w:r>
          </w:p>
        </w:tc>
        <w:tc>
          <w:tcPr>
            <w:tcW w:w="208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100000</w:t>
            </w:r>
          </w:p>
        </w:tc>
      </w:tr>
      <w:tr w:rsidR="00A33464" w:rsidRPr="00962A24" w:rsidTr="00314070">
        <w:trPr>
          <w:tblHeader/>
          <w:jc w:val="center"/>
        </w:trPr>
        <w:tc>
          <w:tcPr>
            <w:tcW w:w="69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Current Liabilities</w:t>
            </w:r>
            <w:r w:rsidRPr="00962A24">
              <w:rPr>
                <w:rFonts w:ascii="Times New Roman" w:eastAsia="Times New Roman" w:hAnsi="Times New Roman" w:cs="Times New Roman"/>
                <w:sz w:val="24"/>
                <w:szCs w:val="24"/>
                <w:lang w:val="en-GB"/>
              </w:rPr>
              <w:t>:</w:t>
            </w:r>
          </w:p>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Trade Creditors                                                                          171355</w:t>
            </w:r>
          </w:p>
          <w:p w:rsidR="0047564B" w:rsidRPr="00962A24" w:rsidRDefault="00B82031">
            <w:pPr>
              <w:pStyle w:val="normal0"/>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Other Current Liabilities [68000 + 3000]                                   71000</w:t>
            </w:r>
          </w:p>
        </w:tc>
        <w:tc>
          <w:tcPr>
            <w:tcW w:w="208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242355</w:t>
            </w:r>
          </w:p>
        </w:tc>
      </w:tr>
      <w:tr w:rsidR="00A33464" w:rsidRPr="00962A24" w:rsidTr="00314070">
        <w:trPr>
          <w:tblHeader/>
          <w:jc w:val="center"/>
        </w:trPr>
        <w:tc>
          <w:tcPr>
            <w:tcW w:w="69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TOTAL</w:t>
            </w:r>
          </w:p>
        </w:tc>
        <w:tc>
          <w:tcPr>
            <w:tcW w:w="208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1146649</w:t>
            </w:r>
          </w:p>
        </w:tc>
      </w:tr>
    </w:tbl>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Working Notes</w:t>
      </w:r>
      <w:r w:rsidRPr="00962A24">
        <w:rPr>
          <w:rFonts w:ascii="Times New Roman" w:eastAsia="Times New Roman" w:hAnsi="Times New Roman" w:cs="Times New Roman"/>
          <w:sz w:val="24"/>
          <w:szCs w:val="24"/>
          <w:lang w:val="en-GB"/>
        </w:rPr>
        <w:t>:</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1</w:t>
      </w:r>
      <w:r w:rsidRPr="00962A24">
        <w:rPr>
          <w:rFonts w:ascii="Times New Roman" w:eastAsia="Times New Roman" w:hAnsi="Times New Roman" w:cs="Times New Roman"/>
          <w:sz w:val="24"/>
          <w:szCs w:val="24"/>
          <w:lang w:val="en-GB"/>
        </w:rPr>
        <w:t>. G.P Margin on Sales: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u w:val="single"/>
          <w:lang w:val="en-GB"/>
        </w:rPr>
        <w:t>[826650 - 578650]</w:t>
      </w:r>
      <w:r w:rsidR="00314070" w:rsidRPr="00962A24">
        <w:rPr>
          <w:rFonts w:ascii="Times New Roman" w:eastAsia="Times New Roman" w:hAnsi="Times New Roman" w:cs="Times New Roman"/>
          <w:sz w:val="24"/>
          <w:szCs w:val="24"/>
          <w:lang w:val="en-GB"/>
        </w:rPr>
        <w:t xml:space="preserve">       = </w:t>
      </w:r>
      <w:r w:rsidRPr="00962A24">
        <w:rPr>
          <w:rFonts w:ascii="Times New Roman" w:eastAsia="Times New Roman" w:hAnsi="Times New Roman" w:cs="Times New Roman"/>
          <w:sz w:val="24"/>
          <w:szCs w:val="24"/>
          <w:lang w:val="en-GB"/>
        </w:rPr>
        <w:t>30%</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826650</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Cost of Sales for 980 (980 x 70%) = 686</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2</w:t>
      </w:r>
      <w:r w:rsidRPr="00962A24">
        <w:rPr>
          <w:rFonts w:ascii="Times New Roman" w:eastAsia="Times New Roman" w:hAnsi="Times New Roman" w:cs="Times New Roman"/>
          <w:sz w:val="24"/>
          <w:szCs w:val="24"/>
          <w:lang w:val="en-GB"/>
        </w:rPr>
        <w:t>. Operating Expenses: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Admin expenses                    30000</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Director Remuneration           5000</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Distribution Costs                 28000</w:t>
      </w:r>
    </w:p>
    <w:p w:rsidR="0047564B" w:rsidRPr="00962A24" w:rsidRDefault="00B82031">
      <w:pPr>
        <w:pStyle w:val="normal0"/>
        <w:spacing w:line="360" w:lineRule="auto"/>
        <w:jc w:val="both"/>
        <w:rPr>
          <w:rFonts w:ascii="Times New Roman" w:eastAsia="Times New Roman" w:hAnsi="Times New Roman" w:cs="Times New Roman"/>
          <w:sz w:val="24"/>
          <w:szCs w:val="24"/>
          <w:u w:val="single"/>
          <w:lang w:val="en-GB"/>
        </w:rPr>
      </w:pPr>
      <w:r w:rsidRPr="00962A24">
        <w:rPr>
          <w:rFonts w:ascii="Times New Roman" w:eastAsia="Times New Roman" w:hAnsi="Times New Roman" w:cs="Times New Roman"/>
          <w:sz w:val="24"/>
          <w:szCs w:val="24"/>
          <w:lang w:val="en-GB"/>
        </w:rPr>
        <w:t xml:space="preserve">Sales Commission                 </w:t>
      </w:r>
      <w:r w:rsidRPr="00962A24">
        <w:rPr>
          <w:rFonts w:ascii="Times New Roman" w:eastAsia="Times New Roman" w:hAnsi="Times New Roman" w:cs="Times New Roman"/>
          <w:sz w:val="24"/>
          <w:szCs w:val="24"/>
          <w:u w:val="single"/>
          <w:lang w:val="en-GB"/>
        </w:rPr>
        <w:t xml:space="preserve"> 3000</w:t>
      </w:r>
    </w:p>
    <w:p w:rsidR="0047564B" w:rsidRPr="00962A24" w:rsidRDefault="00B82031">
      <w:pPr>
        <w:pStyle w:val="normal0"/>
        <w:spacing w:line="360" w:lineRule="auto"/>
        <w:jc w:val="both"/>
        <w:rPr>
          <w:rFonts w:ascii="Times New Roman" w:eastAsia="Times New Roman" w:hAnsi="Times New Roman" w:cs="Times New Roman"/>
          <w:sz w:val="24"/>
          <w:szCs w:val="24"/>
          <w:u w:val="single"/>
          <w:lang w:val="en-GB"/>
        </w:rPr>
      </w:pPr>
      <w:r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sz w:val="24"/>
          <w:szCs w:val="24"/>
          <w:u w:val="single"/>
          <w:lang w:val="en-GB"/>
        </w:rPr>
        <w:t>66000</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b</w:t>
      </w:r>
      <w:r w:rsidRPr="00962A24">
        <w:rPr>
          <w:rFonts w:ascii="Times New Roman" w:eastAsia="Times New Roman" w:hAnsi="Times New Roman" w:cs="Times New Roman"/>
          <w:sz w:val="24"/>
          <w:szCs w:val="24"/>
          <w:lang w:val="en-GB"/>
        </w:rPr>
        <w:t xml:space="preserve">. The accounting guideline of double-entry is the fundamental motivation behind why a balance sheet balances. All exchanges are recorded in something like two unique accounts in this accounting framework, which additionally fills in as a check to guarantee that the </w:t>
      </w:r>
      <w:r w:rsidRPr="00962A24">
        <w:rPr>
          <w:rFonts w:ascii="Times New Roman" w:eastAsia="Times New Roman" w:hAnsi="Times New Roman" w:cs="Times New Roman"/>
          <w:sz w:val="24"/>
          <w:szCs w:val="24"/>
          <w:lang w:val="en-GB"/>
        </w:rPr>
        <w:lastRenderedPageBreak/>
        <w:t>sections are consistent</w:t>
      </w:r>
      <w:r w:rsidR="00763850" w:rsidRPr="00962A24">
        <w:rPr>
          <w:rFonts w:ascii="Times New Roman" w:eastAsia="Times New Roman" w:hAnsi="Times New Roman" w:cs="Times New Roman"/>
          <w:sz w:val="24"/>
          <w:szCs w:val="24"/>
          <w:lang w:val="en-GB"/>
        </w:rPr>
        <w:t xml:space="preserve"> (Felber </w:t>
      </w:r>
      <w:r w:rsidR="00763850" w:rsidRPr="00962A24">
        <w:rPr>
          <w:rFonts w:ascii="Times New Roman" w:eastAsia="Times New Roman" w:hAnsi="Times New Roman" w:cs="Times New Roman"/>
          <w:i/>
          <w:sz w:val="24"/>
          <w:szCs w:val="24"/>
          <w:lang w:val="en-GB"/>
        </w:rPr>
        <w:t>et al</w:t>
      </w:r>
      <w:r w:rsidR="00763850" w:rsidRPr="00962A24">
        <w:rPr>
          <w:rFonts w:ascii="Times New Roman" w:eastAsia="Times New Roman" w:hAnsi="Times New Roman" w:cs="Times New Roman"/>
          <w:sz w:val="24"/>
          <w:szCs w:val="24"/>
          <w:lang w:val="en-GB"/>
        </w:rPr>
        <w:t>. 2019)</w:t>
      </w:r>
      <w:r w:rsidRPr="00962A24">
        <w:rPr>
          <w:rFonts w:ascii="Times New Roman" w:eastAsia="Times New Roman" w:hAnsi="Times New Roman" w:cs="Times New Roman"/>
          <w:sz w:val="24"/>
          <w:szCs w:val="24"/>
          <w:lang w:val="en-GB"/>
        </w:rPr>
        <w:t>. There should always be a match between what an enterprise owns and what it to outsiders.</w:t>
      </w:r>
    </w:p>
    <w:p w:rsidR="0047564B" w:rsidRPr="00962A24" w:rsidRDefault="00D141E6">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Since it gives a depiction of resources and liabilities — thus complete resources — at a solitary point on schedule (rather than other monetary synopses, for instance, benefit and misfortune reports, which give information about the business as time goes on)</w:t>
      </w:r>
      <w:r w:rsidR="00B82031" w:rsidRPr="00962A24">
        <w:rPr>
          <w:rFonts w:ascii="Times New Roman" w:eastAsia="Times New Roman" w:hAnsi="Times New Roman" w:cs="Times New Roman"/>
          <w:sz w:val="24"/>
          <w:szCs w:val="24"/>
          <w:lang w:val="en-GB"/>
        </w:rPr>
        <w:t>, a balance sheet is otherwise called a 'statement of financial position.'</w:t>
      </w:r>
    </w:p>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rsidP="00316F48">
      <w:pPr>
        <w:pStyle w:val="Heading1"/>
        <w:rPr>
          <w:lang w:val="en-GB"/>
        </w:rPr>
      </w:pPr>
      <w:bookmarkStart w:id="1" w:name="_Toc77613247"/>
      <w:r w:rsidRPr="00962A24">
        <w:rPr>
          <w:lang w:val="en-GB"/>
        </w:rPr>
        <w:t>Question 2.</w:t>
      </w:r>
      <w:bookmarkEnd w:id="1"/>
    </w:p>
    <w:p w:rsidR="0047564B" w:rsidRPr="00962A24" w:rsidRDefault="00B82031">
      <w:pPr>
        <w:pStyle w:val="normal0"/>
        <w:spacing w:line="36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Computation of Ratios of Choco Plc</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i</w:t>
      </w:r>
      <w:r w:rsidRPr="00962A24">
        <w:rPr>
          <w:rFonts w:ascii="Times New Roman" w:eastAsia="Times New Roman" w:hAnsi="Times New Roman" w:cs="Times New Roman"/>
          <w:sz w:val="24"/>
          <w:szCs w:val="24"/>
          <w:lang w:val="en-GB"/>
        </w:rPr>
        <w:t>.</w:t>
      </w:r>
    </w:p>
    <w:tbl>
      <w:tblPr>
        <w:tblStyle w:val="a1"/>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810"/>
        <w:gridCol w:w="2625"/>
        <w:gridCol w:w="2580"/>
      </w:tblGrid>
      <w:tr w:rsidR="00A33464" w:rsidRPr="00962A24">
        <w:trPr>
          <w:tblHeader/>
        </w:trPr>
        <w:tc>
          <w:tcPr>
            <w:tcW w:w="381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Particulars</w:t>
            </w:r>
          </w:p>
        </w:tc>
        <w:tc>
          <w:tcPr>
            <w:tcW w:w="262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2020</w:t>
            </w:r>
          </w:p>
        </w:tc>
        <w:tc>
          <w:tcPr>
            <w:tcW w:w="258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2019</w:t>
            </w:r>
          </w:p>
        </w:tc>
      </w:tr>
      <w:tr w:rsidR="00A33464" w:rsidRPr="00962A24">
        <w:trPr>
          <w:tblHeader/>
        </w:trPr>
        <w:tc>
          <w:tcPr>
            <w:tcW w:w="381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ROCE </w:t>
            </w:r>
          </w:p>
        </w:tc>
        <w:tc>
          <w:tcPr>
            <w:tcW w:w="262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11.70934256 %</w:t>
            </w:r>
          </w:p>
        </w:tc>
        <w:tc>
          <w:tcPr>
            <w:tcW w:w="258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10.2258202 %</w:t>
            </w:r>
          </w:p>
        </w:tc>
      </w:tr>
    </w:tbl>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ROCE = (PBIT / Capital Employed)</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PBIT = Profit/(loss) before taxation + Interest Payable</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For 2020      = </w:t>
      </w:r>
      <w:r w:rsidR="00314070"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sz w:val="24"/>
          <w:szCs w:val="24"/>
          <w:lang w:val="en-GB"/>
        </w:rPr>
        <w:t>(620 + 220)</w:t>
      </w:r>
      <w:r w:rsidR="00314070" w:rsidRPr="00962A24">
        <w:rPr>
          <w:rFonts w:ascii="Times New Roman" w:eastAsia="Times New Roman" w:hAnsi="Times New Roman" w:cs="Times New Roman"/>
          <w:sz w:val="24"/>
          <w:szCs w:val="24"/>
          <w:lang w:val="en-GB"/>
        </w:rPr>
        <w:t xml:space="preserve"> 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846</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For 2019      = </w:t>
      </w:r>
      <w:r w:rsidR="00314070"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sz w:val="24"/>
          <w:szCs w:val="24"/>
          <w:lang w:val="en-GB"/>
        </w:rPr>
        <w:t>(539 + 181)</w:t>
      </w:r>
      <w:r w:rsidR="00314070" w:rsidRPr="00962A24">
        <w:rPr>
          <w:rFonts w:ascii="Times New Roman" w:eastAsia="Times New Roman" w:hAnsi="Times New Roman" w:cs="Times New Roman"/>
          <w:sz w:val="24"/>
          <w:szCs w:val="24"/>
          <w:lang w:val="en-GB"/>
        </w:rPr>
        <w:t xml:space="preserve"> 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720</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Capital Employed = (T.A - C.L)</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For 2020                = </w:t>
      </w:r>
      <w:r w:rsidR="00314070"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sz w:val="24"/>
          <w:szCs w:val="24"/>
          <w:lang w:val="en-GB"/>
        </w:rPr>
        <w:t>(9736 - 2511)</w:t>
      </w:r>
      <w:r w:rsidR="00314070" w:rsidRPr="00962A24">
        <w:rPr>
          <w:rFonts w:ascii="Times New Roman" w:eastAsia="Times New Roman" w:hAnsi="Times New Roman" w:cs="Times New Roman"/>
          <w:sz w:val="24"/>
          <w:szCs w:val="24"/>
          <w:lang w:val="en-GB"/>
        </w:rPr>
        <w:t xml:space="preserve"> 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7225</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For 2019               = </w:t>
      </w:r>
      <w:r w:rsidR="00314070"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sz w:val="24"/>
          <w:szCs w:val="24"/>
          <w:lang w:val="en-GB"/>
        </w:rPr>
        <w:t>(10087 - 3046)</w:t>
      </w:r>
      <w:r w:rsidR="00314070" w:rsidRPr="00962A24">
        <w:rPr>
          <w:rFonts w:ascii="Times New Roman" w:eastAsia="Times New Roman" w:hAnsi="Times New Roman" w:cs="Times New Roman"/>
          <w:sz w:val="24"/>
          <w:szCs w:val="24"/>
          <w:lang w:val="en-GB"/>
        </w:rPr>
        <w:t xml:space="preserve"> 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7041</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ROCE (for 2020) = </w:t>
      </w:r>
      <w:r w:rsidR="00E52829" w:rsidRPr="00962A24">
        <w:rPr>
          <w:rFonts w:ascii="Times New Roman" w:eastAsia="Times New Roman" w:hAnsi="Times New Roman" w:cs="Times New Roman"/>
          <w:sz w:val="24"/>
          <w:szCs w:val="24"/>
          <w:lang w:val="en-GB"/>
        </w:rPr>
        <w:t>(846/7225)</w:t>
      </w:r>
      <w:r w:rsidRPr="00962A24">
        <w:rPr>
          <w:rFonts w:ascii="Times New Roman" w:eastAsia="Times New Roman" w:hAnsi="Times New Roman" w:cs="Times New Roman"/>
          <w:sz w:val="24"/>
          <w:szCs w:val="24"/>
          <w:lang w:val="en-GB"/>
        </w:rPr>
        <w:t xml:space="preserve"> </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0.1170934256</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11.70934256 %</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ROCE (for 2019) </w:t>
      </w:r>
      <w:r w:rsidR="00E52829" w:rsidRPr="00962A24">
        <w:rPr>
          <w:rFonts w:ascii="Times New Roman" w:eastAsia="Times New Roman" w:hAnsi="Times New Roman" w:cs="Times New Roman"/>
          <w:sz w:val="24"/>
          <w:szCs w:val="24"/>
          <w:lang w:val="en-GB"/>
        </w:rPr>
        <w:t>= (720/7041)</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0.102258202</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10.2258202 %</w:t>
      </w:r>
    </w:p>
    <w:p w:rsidR="00F009FD" w:rsidRPr="00962A24" w:rsidRDefault="00F009FD">
      <w:pPr>
        <w:pStyle w:val="normal0"/>
        <w:spacing w:line="360" w:lineRule="auto"/>
        <w:jc w:val="both"/>
        <w:rPr>
          <w:rFonts w:ascii="Times New Roman" w:eastAsia="Times New Roman" w:hAnsi="Times New Roman" w:cs="Times New Roman"/>
          <w:b/>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ii</w:t>
      </w:r>
      <w:r w:rsidRPr="00962A24">
        <w:rPr>
          <w:rFonts w:ascii="Times New Roman" w:eastAsia="Times New Roman" w:hAnsi="Times New Roman" w:cs="Times New Roman"/>
          <w:sz w:val="24"/>
          <w:szCs w:val="24"/>
          <w:lang w:val="en-GB"/>
        </w:rPr>
        <w:t xml:space="preserve">. </w:t>
      </w:r>
    </w:p>
    <w:tbl>
      <w:tblPr>
        <w:tblStyle w:val="a2"/>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825"/>
        <w:gridCol w:w="2730"/>
        <w:gridCol w:w="2460"/>
      </w:tblGrid>
      <w:tr w:rsidR="00A33464" w:rsidRPr="00962A24">
        <w:trPr>
          <w:tblHeader/>
        </w:trPr>
        <w:tc>
          <w:tcPr>
            <w:tcW w:w="382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lastRenderedPageBreak/>
              <w:t>Particulars</w:t>
            </w:r>
          </w:p>
        </w:tc>
        <w:tc>
          <w:tcPr>
            <w:tcW w:w="273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2020</w:t>
            </w:r>
          </w:p>
        </w:tc>
        <w:tc>
          <w:tcPr>
            <w:tcW w:w="246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2019</w:t>
            </w:r>
          </w:p>
        </w:tc>
      </w:tr>
      <w:tr w:rsidR="00A33464" w:rsidRPr="00962A24">
        <w:trPr>
          <w:tblHeader/>
        </w:trPr>
        <w:tc>
          <w:tcPr>
            <w:tcW w:w="382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ROE</w:t>
            </w:r>
          </w:p>
        </w:tc>
        <w:tc>
          <w:tcPr>
            <w:tcW w:w="273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13.95725389 %</w:t>
            </w:r>
          </w:p>
        </w:tc>
        <w:tc>
          <w:tcPr>
            <w:tcW w:w="246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12.56868132 %</w:t>
            </w:r>
          </w:p>
        </w:tc>
      </w:tr>
    </w:tbl>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ROE = (Net Income/</w:t>
      </w:r>
      <w:r w:rsidR="00F009FD" w:rsidRPr="00962A24">
        <w:rPr>
          <w:rFonts w:ascii="Times New Roman" w:eastAsia="Times New Roman" w:hAnsi="Times New Roman" w:cs="Times New Roman"/>
          <w:sz w:val="24"/>
          <w:szCs w:val="24"/>
          <w:lang w:val="en-GB"/>
        </w:rPr>
        <w:t>Shareholders’</w:t>
      </w:r>
      <w:r w:rsidRPr="00962A24">
        <w:rPr>
          <w:rFonts w:ascii="Times New Roman" w:eastAsia="Times New Roman" w:hAnsi="Times New Roman" w:cs="Times New Roman"/>
          <w:sz w:val="24"/>
          <w:szCs w:val="24"/>
          <w:lang w:val="en-GB"/>
        </w:rPr>
        <w:t xml:space="preserve"> Equity)</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N.I (for 2020)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431</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N.I (for 2019)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366</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Shareholder’s Equity = (T.A - T.L)</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For 2020 = </w:t>
      </w:r>
      <w:r w:rsidR="00314070"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sz w:val="24"/>
          <w:szCs w:val="24"/>
          <w:lang w:val="en-GB"/>
        </w:rPr>
        <w:t>(9736 - 6648)</w:t>
      </w:r>
      <w:r w:rsidR="00314070" w:rsidRPr="00962A24">
        <w:rPr>
          <w:rFonts w:ascii="Times New Roman" w:eastAsia="Times New Roman" w:hAnsi="Times New Roman" w:cs="Times New Roman"/>
          <w:sz w:val="24"/>
          <w:szCs w:val="24"/>
          <w:lang w:val="en-GB"/>
        </w:rPr>
        <w:t xml:space="preserve"> 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3088</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For 2019 = </w:t>
      </w:r>
      <w:r w:rsidR="00314070"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sz w:val="24"/>
          <w:szCs w:val="24"/>
          <w:lang w:val="en-GB"/>
        </w:rPr>
        <w:t>(10087 - 7175)</w:t>
      </w:r>
      <w:r w:rsidR="00314070" w:rsidRPr="00962A24">
        <w:rPr>
          <w:rFonts w:ascii="Times New Roman" w:eastAsia="Times New Roman" w:hAnsi="Times New Roman" w:cs="Times New Roman"/>
          <w:sz w:val="24"/>
          <w:szCs w:val="24"/>
          <w:lang w:val="en-GB"/>
        </w:rPr>
        <w:t xml:space="preserve"> 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2912</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ROE (for 2020) = (431/3088)</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0.1395725389</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13.95725389 %</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ROE (for 2019) = (366/2912)</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0.1256868132</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12.56868132 % </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iii</w:t>
      </w:r>
      <w:r w:rsidRPr="00962A24">
        <w:rPr>
          <w:rFonts w:ascii="Times New Roman" w:eastAsia="Times New Roman" w:hAnsi="Times New Roman" w:cs="Times New Roman"/>
          <w:sz w:val="24"/>
          <w:szCs w:val="24"/>
          <w:lang w:val="en-GB"/>
        </w:rPr>
        <w:t xml:space="preserve">. </w:t>
      </w:r>
    </w:p>
    <w:tbl>
      <w:tblPr>
        <w:tblStyle w:val="a3"/>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80"/>
        <w:gridCol w:w="2730"/>
        <w:gridCol w:w="2505"/>
      </w:tblGrid>
      <w:tr w:rsidR="00A33464" w:rsidRPr="00962A24">
        <w:trPr>
          <w:tblHeader/>
        </w:trPr>
        <w:tc>
          <w:tcPr>
            <w:tcW w:w="378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Particulars</w:t>
            </w:r>
          </w:p>
        </w:tc>
        <w:tc>
          <w:tcPr>
            <w:tcW w:w="273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2020</w:t>
            </w:r>
          </w:p>
        </w:tc>
        <w:tc>
          <w:tcPr>
            <w:tcW w:w="250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2019</w:t>
            </w:r>
          </w:p>
        </w:tc>
      </w:tr>
      <w:tr w:rsidR="00A33464" w:rsidRPr="00962A24">
        <w:trPr>
          <w:tblHeader/>
        </w:trPr>
        <w:tc>
          <w:tcPr>
            <w:tcW w:w="378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Earnings Per Share</w:t>
            </w:r>
          </w:p>
        </w:tc>
        <w:tc>
          <w:tcPr>
            <w:tcW w:w="273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0.7183</w:t>
            </w:r>
          </w:p>
        </w:tc>
        <w:tc>
          <w:tcPr>
            <w:tcW w:w="250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0.61</w:t>
            </w:r>
          </w:p>
        </w:tc>
      </w:tr>
    </w:tbl>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EPS = (Earnings available to equity shareholders/No. of shares outstanding)</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Profit (for 2020) = </w:t>
      </w:r>
      <w:r w:rsidR="00314070" w:rsidRPr="00962A24">
        <w:rPr>
          <w:rFonts w:ascii="Times New Roman" w:eastAsia="Times New Roman" w:hAnsi="Times New Roman" w:cs="Times New Roman"/>
          <w:sz w:val="24"/>
          <w:szCs w:val="24"/>
          <w:lang w:val="en-GB"/>
        </w:rPr>
        <w:t>£431m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Profit (for 2019)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366</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No. of shares outstanding = (300/0.50)</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600</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EPS (for 2020) = (431/600)</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0.7183 per share</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EPS (for 2019) = (366/600)</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0.61 per share</w:t>
      </w:r>
    </w:p>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iv</w:t>
      </w:r>
      <w:r w:rsidRPr="00962A24">
        <w:rPr>
          <w:rFonts w:ascii="Times New Roman" w:eastAsia="Times New Roman" w:hAnsi="Times New Roman" w:cs="Times New Roman"/>
          <w:sz w:val="24"/>
          <w:szCs w:val="24"/>
          <w:lang w:val="en-GB"/>
        </w:rPr>
        <w:t xml:space="preserve">. </w:t>
      </w:r>
    </w:p>
    <w:tbl>
      <w:tblPr>
        <w:tblStyle w:val="a4"/>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855"/>
        <w:gridCol w:w="2625"/>
        <w:gridCol w:w="2535"/>
      </w:tblGrid>
      <w:tr w:rsidR="00A33464" w:rsidRPr="00962A24">
        <w:trPr>
          <w:tblHeader/>
        </w:trPr>
        <w:tc>
          <w:tcPr>
            <w:tcW w:w="385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lastRenderedPageBreak/>
              <w:t>Particulars</w:t>
            </w:r>
          </w:p>
        </w:tc>
        <w:tc>
          <w:tcPr>
            <w:tcW w:w="262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2020</w:t>
            </w:r>
          </w:p>
        </w:tc>
        <w:tc>
          <w:tcPr>
            <w:tcW w:w="253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2019</w:t>
            </w:r>
          </w:p>
        </w:tc>
      </w:tr>
      <w:tr w:rsidR="00A33464" w:rsidRPr="00962A24">
        <w:trPr>
          <w:tblHeader/>
        </w:trPr>
        <w:tc>
          <w:tcPr>
            <w:tcW w:w="385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Net Profit Margin</w:t>
            </w:r>
          </w:p>
        </w:tc>
        <w:tc>
          <w:tcPr>
            <w:tcW w:w="262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12.5556545 %</w:t>
            </w:r>
          </w:p>
        </w:tc>
        <w:tc>
          <w:tcPr>
            <w:tcW w:w="253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11.17838845 %</w:t>
            </w:r>
          </w:p>
        </w:tc>
      </w:tr>
    </w:tbl>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Net Profit Margin = (PBIT/Revenue)</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PBIT (for 2020)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846</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PBIT (for 2019)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720</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Revenue (for 2020)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6738</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Revenue (for 2019)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6441</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Net Profit Margin (for 2020) = (846/6738)</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0.125556545</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12.5556545 %</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Net Profit Margin (for 2019) = (720/6441)</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0.1117838845</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11.17838845 %</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v</w:t>
      </w:r>
      <w:r w:rsidRPr="00962A24">
        <w:rPr>
          <w:rFonts w:ascii="Times New Roman" w:eastAsia="Times New Roman" w:hAnsi="Times New Roman" w:cs="Times New Roman"/>
          <w:sz w:val="24"/>
          <w:szCs w:val="24"/>
          <w:lang w:val="en-GB"/>
        </w:rPr>
        <w:t xml:space="preserve">. </w:t>
      </w:r>
    </w:p>
    <w:tbl>
      <w:tblPr>
        <w:tblStyle w:val="a5"/>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825"/>
        <w:gridCol w:w="2715"/>
        <w:gridCol w:w="2475"/>
      </w:tblGrid>
      <w:tr w:rsidR="00A33464" w:rsidRPr="00962A24">
        <w:trPr>
          <w:tblHeader/>
        </w:trPr>
        <w:tc>
          <w:tcPr>
            <w:tcW w:w="382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Particulars</w:t>
            </w:r>
          </w:p>
        </w:tc>
        <w:tc>
          <w:tcPr>
            <w:tcW w:w="27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2020</w:t>
            </w:r>
          </w:p>
        </w:tc>
        <w:tc>
          <w:tcPr>
            <w:tcW w:w="247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2019</w:t>
            </w:r>
          </w:p>
        </w:tc>
      </w:tr>
      <w:tr w:rsidR="00A33464" w:rsidRPr="00962A24">
        <w:trPr>
          <w:tblHeader/>
        </w:trPr>
        <w:tc>
          <w:tcPr>
            <w:tcW w:w="382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Asset Turnover</w:t>
            </w:r>
          </w:p>
        </w:tc>
        <w:tc>
          <w:tcPr>
            <w:tcW w:w="27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0.6920706656</w:t>
            </w:r>
          </w:p>
        </w:tc>
        <w:tc>
          <w:tcPr>
            <w:tcW w:w="247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0.6385446614</w:t>
            </w:r>
          </w:p>
        </w:tc>
      </w:tr>
    </w:tbl>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Asset Turnover = (Sales Revenue/Total Assets)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Sales Revenue (for 2020)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6738</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Sales Revenue (for 2019)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6441</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Total Assets (for 2020)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9736</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Total Assets (for 2019)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10087</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Asset Turnover Ratio (for 2020) = (6738/9736)</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0.6920706656</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Asset Turnover Ratio (for 2019) = (6441/10087)</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0.6385446614</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vi</w:t>
      </w:r>
      <w:r w:rsidRPr="00962A24">
        <w:rPr>
          <w:rFonts w:ascii="Times New Roman" w:eastAsia="Times New Roman" w:hAnsi="Times New Roman" w:cs="Times New Roman"/>
          <w:sz w:val="24"/>
          <w:szCs w:val="24"/>
          <w:lang w:val="en-GB"/>
        </w:rPr>
        <w:t xml:space="preserve">. </w:t>
      </w:r>
    </w:p>
    <w:tbl>
      <w:tblPr>
        <w:tblStyle w:val="a6"/>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95"/>
        <w:gridCol w:w="2715"/>
        <w:gridCol w:w="2505"/>
      </w:tblGrid>
      <w:tr w:rsidR="00A33464" w:rsidRPr="00962A24">
        <w:trPr>
          <w:tblHeader/>
        </w:trPr>
        <w:tc>
          <w:tcPr>
            <w:tcW w:w="379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Particulars</w:t>
            </w:r>
          </w:p>
        </w:tc>
        <w:tc>
          <w:tcPr>
            <w:tcW w:w="27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2020</w:t>
            </w:r>
          </w:p>
        </w:tc>
        <w:tc>
          <w:tcPr>
            <w:tcW w:w="250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2019</w:t>
            </w:r>
          </w:p>
        </w:tc>
      </w:tr>
      <w:tr w:rsidR="00A33464" w:rsidRPr="00962A24">
        <w:trPr>
          <w:tblHeader/>
        </w:trPr>
        <w:tc>
          <w:tcPr>
            <w:tcW w:w="379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Stock holding Days</w:t>
            </w:r>
          </w:p>
        </w:tc>
        <w:tc>
          <w:tcPr>
            <w:tcW w:w="271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80 days</w:t>
            </w:r>
          </w:p>
        </w:tc>
        <w:tc>
          <w:tcPr>
            <w:tcW w:w="250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78 days</w:t>
            </w:r>
          </w:p>
        </w:tc>
      </w:tr>
    </w:tbl>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Stock holding</w:t>
      </w:r>
      <w:r w:rsidR="00D141E6" w:rsidRPr="00962A24">
        <w:rPr>
          <w:rFonts w:ascii="Times New Roman" w:eastAsia="Times New Roman" w:hAnsi="Times New Roman" w:cs="Times New Roman"/>
          <w:sz w:val="24"/>
          <w:szCs w:val="24"/>
          <w:lang w:val="en-GB"/>
        </w:rPr>
        <w:t xml:space="preserve"> days = (Inventory/CoS</w:t>
      </w:r>
      <w:r w:rsidRPr="00962A24">
        <w:rPr>
          <w:rFonts w:ascii="Times New Roman" w:eastAsia="Times New Roman" w:hAnsi="Times New Roman" w:cs="Times New Roman"/>
          <w:sz w:val="24"/>
          <w:szCs w:val="24"/>
          <w:lang w:val="en-GB"/>
        </w:rPr>
        <w:t>) x 365 days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lastRenderedPageBreak/>
        <w:t xml:space="preserve">Inventory (for 2020)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708</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Inventory (for 2019)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659</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Cost of Sales (for 2020)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3235</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Cost of Sales (for 2019) = </w:t>
      </w:r>
      <w:r w:rsidR="00314070"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3096</w:t>
      </w:r>
      <w:r w:rsidR="00314070"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Stock holding days (for 2020) = (708/3235) x 365 days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79.88253478 days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80 days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Stock holding days (for 2019) = (659/3096) x 365 days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77.69218346 days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78 days</w:t>
      </w:r>
    </w:p>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vii</w:t>
      </w:r>
      <w:r w:rsidRPr="00962A24">
        <w:rPr>
          <w:rFonts w:ascii="Times New Roman" w:eastAsia="Times New Roman" w:hAnsi="Times New Roman" w:cs="Times New Roman"/>
          <w:sz w:val="24"/>
          <w:szCs w:val="24"/>
          <w:lang w:val="en-GB"/>
        </w:rPr>
        <w:t>.</w:t>
      </w:r>
    </w:p>
    <w:tbl>
      <w:tblPr>
        <w:tblStyle w:val="a7"/>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20"/>
        <w:gridCol w:w="2805"/>
        <w:gridCol w:w="2490"/>
      </w:tblGrid>
      <w:tr w:rsidR="00A33464" w:rsidRPr="00962A24">
        <w:trPr>
          <w:tblHeader/>
        </w:trPr>
        <w:tc>
          <w:tcPr>
            <w:tcW w:w="372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Particulars</w:t>
            </w:r>
          </w:p>
        </w:tc>
        <w:tc>
          <w:tcPr>
            <w:tcW w:w="280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2020</w:t>
            </w:r>
          </w:p>
        </w:tc>
        <w:tc>
          <w:tcPr>
            <w:tcW w:w="24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2019</w:t>
            </w:r>
          </w:p>
        </w:tc>
      </w:tr>
      <w:tr w:rsidR="00A33464" w:rsidRPr="00962A24">
        <w:trPr>
          <w:tblHeader/>
        </w:trPr>
        <w:tc>
          <w:tcPr>
            <w:tcW w:w="372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Debtors Collection Period</w:t>
            </w:r>
          </w:p>
        </w:tc>
        <w:tc>
          <w:tcPr>
            <w:tcW w:w="280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68 days</w:t>
            </w:r>
          </w:p>
        </w:tc>
        <w:tc>
          <w:tcPr>
            <w:tcW w:w="24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73 days</w:t>
            </w:r>
          </w:p>
        </w:tc>
      </w:tr>
    </w:tbl>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Debtors Collection Period = (Trade Receivables/Sales) x 365 days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Trade Receivable (for 2020)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1249</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Trade Receivables (for 2019)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1287</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Sales (for 2020)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6738</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Sales (for 2019)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6441</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Debtors Collection Period (for 2020) = (1249/6738) x 365 days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67.65880083 days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68 days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Debtors Collection Period (for 2019) = (1287/6441) x 365 days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72.93199814</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73 days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viii</w:t>
      </w:r>
      <w:r w:rsidRPr="00962A24">
        <w:rPr>
          <w:rFonts w:ascii="Times New Roman" w:eastAsia="Times New Roman" w:hAnsi="Times New Roman" w:cs="Times New Roman"/>
          <w:sz w:val="24"/>
          <w:szCs w:val="24"/>
          <w:lang w:val="en-GB"/>
        </w:rPr>
        <w:t>.</w:t>
      </w:r>
    </w:p>
    <w:tbl>
      <w:tblPr>
        <w:tblStyle w:val="a8"/>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50"/>
        <w:gridCol w:w="2835"/>
        <w:gridCol w:w="2430"/>
      </w:tblGrid>
      <w:tr w:rsidR="00A33464" w:rsidRPr="00962A24">
        <w:trPr>
          <w:tblHeader/>
        </w:trPr>
        <w:tc>
          <w:tcPr>
            <w:tcW w:w="375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Particulars</w:t>
            </w:r>
          </w:p>
        </w:tc>
        <w:tc>
          <w:tcPr>
            <w:tcW w:w="283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2020</w:t>
            </w:r>
          </w:p>
        </w:tc>
        <w:tc>
          <w:tcPr>
            <w:tcW w:w="243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2019</w:t>
            </w:r>
          </w:p>
        </w:tc>
      </w:tr>
      <w:tr w:rsidR="00A33464" w:rsidRPr="00962A24">
        <w:trPr>
          <w:tblHeader/>
        </w:trPr>
        <w:tc>
          <w:tcPr>
            <w:tcW w:w="375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Current Ratio</w:t>
            </w:r>
          </w:p>
        </w:tc>
        <w:tc>
          <w:tcPr>
            <w:tcW w:w="283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0.9171644763</w:t>
            </w:r>
          </w:p>
        </w:tc>
        <w:tc>
          <w:tcPr>
            <w:tcW w:w="243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0.7731451083</w:t>
            </w:r>
          </w:p>
        </w:tc>
      </w:tr>
    </w:tbl>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C.R = (Current Assets/Current Liabilities)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C.A (for 2020)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2303</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C.L (for 2020)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2511</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lastRenderedPageBreak/>
        <w:t xml:space="preserve">C.A (for 2019)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2355</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C.L (for 2019)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3046</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C.R (for 2020) = (2303/2511)</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0.9171644763</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C.R (for 2019) = (2355/3046)</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0.7731451083</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ix</w:t>
      </w:r>
      <w:r w:rsidRPr="00962A24">
        <w:rPr>
          <w:rFonts w:ascii="Times New Roman" w:eastAsia="Times New Roman" w:hAnsi="Times New Roman" w:cs="Times New Roman"/>
          <w:sz w:val="24"/>
          <w:szCs w:val="24"/>
          <w:lang w:val="en-GB"/>
        </w:rPr>
        <w:t>.</w:t>
      </w:r>
    </w:p>
    <w:tbl>
      <w:tblPr>
        <w:tblStyle w:val="a9"/>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855"/>
        <w:gridCol w:w="2670"/>
        <w:gridCol w:w="2490"/>
      </w:tblGrid>
      <w:tr w:rsidR="00A33464" w:rsidRPr="00962A24">
        <w:trPr>
          <w:tblHeader/>
        </w:trPr>
        <w:tc>
          <w:tcPr>
            <w:tcW w:w="385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Particulars</w:t>
            </w:r>
          </w:p>
        </w:tc>
        <w:tc>
          <w:tcPr>
            <w:tcW w:w="267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2020</w:t>
            </w:r>
          </w:p>
        </w:tc>
        <w:tc>
          <w:tcPr>
            <w:tcW w:w="24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2019</w:t>
            </w:r>
          </w:p>
        </w:tc>
      </w:tr>
      <w:tr w:rsidR="00A33464" w:rsidRPr="00962A24">
        <w:trPr>
          <w:tblHeader/>
        </w:trPr>
        <w:tc>
          <w:tcPr>
            <w:tcW w:w="385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Gearing Ratio</w:t>
            </w:r>
          </w:p>
        </w:tc>
        <w:tc>
          <w:tcPr>
            <w:tcW w:w="267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57.25951557%</w:t>
            </w:r>
          </w:p>
        </w:tc>
        <w:tc>
          <w:tcPr>
            <w:tcW w:w="24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58.64223832%</w:t>
            </w:r>
          </w:p>
        </w:tc>
      </w:tr>
    </w:tbl>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Gearing Ratio = (Total Debt/Total Debt + Total Equity)</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Total Debts (for 2020)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4137</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Total Debts (for 2019)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4129</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Total Equity (for 2020)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3088</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Total Equity (for 2019)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2912</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Gearing Ratio (for 2020) = (4137/4137+3088)</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0.5725951557</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57.25951557 %</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Gearing Ratio (for 2019) = (4129/4129+2912)</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0.5864223832</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58.64223832 %</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x</w:t>
      </w:r>
      <w:r w:rsidRPr="00962A24">
        <w:rPr>
          <w:rFonts w:ascii="Times New Roman" w:eastAsia="Times New Roman" w:hAnsi="Times New Roman" w:cs="Times New Roman"/>
          <w:sz w:val="24"/>
          <w:szCs w:val="24"/>
          <w:lang w:val="en-GB"/>
        </w:rPr>
        <w:t xml:space="preserve">. </w:t>
      </w:r>
    </w:p>
    <w:tbl>
      <w:tblPr>
        <w:tblStyle w:val="aa"/>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990"/>
        <w:gridCol w:w="2580"/>
        <w:gridCol w:w="2445"/>
      </w:tblGrid>
      <w:tr w:rsidR="00A33464" w:rsidRPr="00962A24">
        <w:trPr>
          <w:tblHeader/>
        </w:trPr>
        <w:tc>
          <w:tcPr>
            <w:tcW w:w="39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Particulars</w:t>
            </w:r>
          </w:p>
        </w:tc>
        <w:tc>
          <w:tcPr>
            <w:tcW w:w="258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2020</w:t>
            </w:r>
          </w:p>
        </w:tc>
        <w:tc>
          <w:tcPr>
            <w:tcW w:w="244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962A24">
              <w:rPr>
                <w:rFonts w:ascii="Times New Roman" w:eastAsia="Times New Roman" w:hAnsi="Times New Roman" w:cs="Times New Roman"/>
                <w:b/>
                <w:sz w:val="24"/>
                <w:szCs w:val="24"/>
                <w:lang w:val="en-GB"/>
              </w:rPr>
              <w:t>2019</w:t>
            </w:r>
          </w:p>
        </w:tc>
      </w:tr>
      <w:tr w:rsidR="00A33464" w:rsidRPr="00962A24">
        <w:trPr>
          <w:tblHeader/>
        </w:trPr>
        <w:tc>
          <w:tcPr>
            <w:tcW w:w="399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Interest Coverage Ratio</w:t>
            </w:r>
          </w:p>
        </w:tc>
        <w:tc>
          <w:tcPr>
            <w:tcW w:w="2580"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3.743362832</w:t>
            </w:r>
          </w:p>
        </w:tc>
        <w:tc>
          <w:tcPr>
            <w:tcW w:w="2445" w:type="dxa"/>
            <w:shd w:val="clear" w:color="auto" w:fill="auto"/>
            <w:tcMar>
              <w:top w:w="100" w:type="dxa"/>
              <w:left w:w="100" w:type="dxa"/>
              <w:bottom w:w="100" w:type="dxa"/>
              <w:right w:w="100" w:type="dxa"/>
            </w:tcMar>
          </w:tcPr>
          <w:p w:rsidR="0047564B" w:rsidRPr="00962A24" w:rsidRDefault="00B82031">
            <w:pPr>
              <w:pStyle w:val="normal0"/>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3.977900552</w:t>
            </w:r>
          </w:p>
        </w:tc>
      </w:tr>
    </w:tbl>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Interest Coverage Ratio = (PBIT/Interest Charges)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PBIT (for 2020)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846</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PBIT (for 2019)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720</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Interest Charges (for 2020)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226</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Interest Charges (for 2019) = </w:t>
      </w:r>
      <w:r w:rsidR="008C14E9"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181</w:t>
      </w:r>
      <w:r w:rsidR="008C14E9" w:rsidRPr="00962A24">
        <w:rPr>
          <w:rFonts w:ascii="Times New Roman" w:eastAsia="Times New Roman" w:hAnsi="Times New Roman" w:cs="Times New Roman"/>
          <w:sz w:val="24"/>
          <w:szCs w:val="24"/>
          <w:lang w:val="en-GB"/>
        </w:rPr>
        <w:t>m</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Interest Coverage Ratio (for 2020) = (846/226)</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                                                        = 3.743362832</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Interest Coverage Ratio (for 2019) = (720/181)</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lastRenderedPageBreak/>
        <w:t xml:space="preserve">                                                         = 3.977900552</w:t>
      </w:r>
    </w:p>
    <w:p w:rsidR="0047564B" w:rsidRPr="00962A24" w:rsidRDefault="0047564B">
      <w:pPr>
        <w:pStyle w:val="normal0"/>
        <w:spacing w:line="360" w:lineRule="auto"/>
        <w:jc w:val="both"/>
        <w:rPr>
          <w:rFonts w:ascii="Times New Roman" w:eastAsia="Times New Roman" w:hAnsi="Times New Roman" w:cs="Times New Roman"/>
          <w:sz w:val="24"/>
          <w:szCs w:val="24"/>
          <w:lang w:val="en-GB"/>
        </w:rPr>
      </w:pP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b</w:t>
      </w:r>
      <w:r w:rsidRPr="00962A24">
        <w:rPr>
          <w:rFonts w:ascii="Times New Roman" w:eastAsia="Times New Roman" w:hAnsi="Times New Roman" w:cs="Times New Roman"/>
          <w:sz w:val="24"/>
          <w:szCs w:val="24"/>
          <w:lang w:val="en-GB"/>
        </w:rPr>
        <w:t>. Financial Statements are needed by the board for the appropriate exhibition of administrative undertakings. The board can design adequately and lead the elements of activity and control considerably more promptly in the event that they have precise and dependable data. Singular auxiliaries or business sections can have their budget summaries, considering a more definite investigation of their outcomes</w:t>
      </w:r>
      <w:r w:rsidR="008550EB" w:rsidRPr="00962A24">
        <w:rPr>
          <w:rFonts w:ascii="Times New Roman" w:eastAsia="Times New Roman" w:hAnsi="Times New Roman" w:cs="Times New Roman"/>
          <w:sz w:val="24"/>
          <w:szCs w:val="24"/>
          <w:lang w:val="en-GB"/>
        </w:rPr>
        <w:t xml:space="preserve"> (Hasanaj and Kuqi, 2019)</w:t>
      </w:r>
      <w:r w:rsidRPr="00962A24">
        <w:rPr>
          <w:rFonts w:ascii="Times New Roman" w:eastAsia="Times New Roman" w:hAnsi="Times New Roman" w:cs="Times New Roman"/>
          <w:sz w:val="24"/>
          <w:szCs w:val="24"/>
          <w:lang w:val="en-GB"/>
        </w:rPr>
        <w:t>.</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Ratio analysis is significant for an organization's monetary position, liquidity, productivity, hazard, dissolvability, proficiency, and tasks adequacy, just as appropriate asset use. It additionally demonstrates the pattern or examination of monetary outcomes, which can be helpful for long-haul dynamics.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The calculation of several ratios of Choco Plc has been done to assess profitability, efficiency, liquidity, and present it to the management for the decision-making process. The analysis based on empirical evidence has been stated below:</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i</w:t>
      </w:r>
      <w:r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b/>
          <w:sz w:val="24"/>
          <w:szCs w:val="24"/>
          <w:lang w:val="en-GB"/>
        </w:rPr>
        <w:t>ROCE</w:t>
      </w:r>
      <w:r w:rsidRPr="00962A24">
        <w:rPr>
          <w:rFonts w:ascii="Times New Roman" w:eastAsia="Times New Roman" w:hAnsi="Times New Roman" w:cs="Times New Roman"/>
          <w:sz w:val="24"/>
          <w:szCs w:val="24"/>
          <w:lang w:val="en-GB"/>
        </w:rPr>
        <w:t>: ROCE is a monetary proportion that surveys an organization's productivity as far as the entirety of its capital</w:t>
      </w:r>
      <w:r w:rsidR="00EF703E" w:rsidRPr="00962A24">
        <w:rPr>
          <w:rFonts w:ascii="Times New Roman" w:eastAsia="Times New Roman" w:hAnsi="Times New Roman" w:cs="Times New Roman"/>
          <w:sz w:val="24"/>
          <w:szCs w:val="24"/>
          <w:lang w:val="en-GB"/>
        </w:rPr>
        <w:t>. It</w:t>
      </w:r>
      <w:r w:rsidRPr="00962A24">
        <w:rPr>
          <w:rFonts w:ascii="Times New Roman" w:eastAsia="Times New Roman" w:hAnsi="Times New Roman" w:cs="Times New Roman"/>
          <w:sz w:val="24"/>
          <w:szCs w:val="24"/>
          <w:lang w:val="en-GB"/>
        </w:rPr>
        <w:t xml:space="preserve"> is a crucial ratio since it allows investors to evaluate multiple organizations</w:t>
      </w:r>
      <w:r w:rsidR="00F54504" w:rsidRPr="00962A24">
        <w:rPr>
          <w:rFonts w:ascii="Times New Roman" w:eastAsia="Times New Roman" w:hAnsi="Times New Roman" w:cs="Times New Roman"/>
          <w:sz w:val="24"/>
          <w:szCs w:val="24"/>
          <w:lang w:val="en-GB"/>
        </w:rPr>
        <w:t xml:space="preserve"> (Maeenuddina </w:t>
      </w:r>
      <w:r w:rsidR="00F54504" w:rsidRPr="00962A24">
        <w:rPr>
          <w:rFonts w:ascii="Times New Roman" w:eastAsia="Times New Roman" w:hAnsi="Times New Roman" w:cs="Times New Roman"/>
          <w:i/>
          <w:sz w:val="24"/>
          <w:szCs w:val="24"/>
          <w:lang w:val="en-GB"/>
        </w:rPr>
        <w:t>et al</w:t>
      </w:r>
      <w:r w:rsidR="00F54504" w:rsidRPr="00962A24">
        <w:rPr>
          <w:rFonts w:ascii="Times New Roman" w:eastAsia="Times New Roman" w:hAnsi="Times New Roman" w:cs="Times New Roman"/>
          <w:sz w:val="24"/>
          <w:szCs w:val="24"/>
          <w:lang w:val="en-GB"/>
        </w:rPr>
        <w:t>. 2020)</w:t>
      </w:r>
      <w:r w:rsidRPr="00962A24">
        <w:rPr>
          <w:rFonts w:ascii="Times New Roman" w:eastAsia="Times New Roman" w:hAnsi="Times New Roman" w:cs="Times New Roman"/>
          <w:sz w:val="24"/>
          <w:szCs w:val="24"/>
          <w:lang w:val="en-GB"/>
        </w:rPr>
        <w:t>. The meaning of a decent ROCE changes by industry and area, and has advanced after some time, yet the drawn-out market normal is around 10%. In this case, the increase in ROCE of Choco Plc in 2020 from the last year reflects a much efficient utilization of capital.</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ii</w:t>
      </w:r>
      <w:r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b/>
          <w:sz w:val="24"/>
          <w:szCs w:val="24"/>
          <w:lang w:val="en-GB"/>
        </w:rPr>
        <w:t>ROE</w:t>
      </w:r>
      <w:r w:rsidR="00EF703E"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sz w:val="24"/>
          <w:szCs w:val="24"/>
          <w:lang w:val="en-GB"/>
        </w:rPr>
        <w:t>ROEs of 15–20 percent are regularly viewed as palatable. Notwithstanding other monetary boundaries, ROE is a segment in stock valuation. From the above calculation, it can be seen that there has been a rise in the ROE of Choco Plc, reflecting a better return without involving much capital.</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iii</w:t>
      </w:r>
      <w:r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b/>
          <w:sz w:val="24"/>
          <w:szCs w:val="24"/>
          <w:lang w:val="en-GB"/>
        </w:rPr>
        <w:t xml:space="preserve"> EPS</w:t>
      </w:r>
      <w:r w:rsidRPr="00962A24">
        <w:rPr>
          <w:rFonts w:ascii="Times New Roman" w:eastAsia="Times New Roman" w:hAnsi="Times New Roman" w:cs="Times New Roman"/>
          <w:sz w:val="24"/>
          <w:szCs w:val="24"/>
          <w:lang w:val="en-GB"/>
        </w:rPr>
        <w:t>: EPS stands for earnings per share, and it is determined by partitioning net profit open to normal investors by the average number of outstanding shares during a given period. The EPS has also gone high in 2020 compared to last year, reflecting an improvement in earnings.</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iv</w:t>
      </w:r>
      <w:r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b/>
          <w:sz w:val="24"/>
          <w:szCs w:val="24"/>
          <w:lang w:val="en-GB"/>
        </w:rPr>
        <w:t>Net Profit Margin</w:t>
      </w:r>
      <w:r w:rsidRPr="00962A24">
        <w:rPr>
          <w:rFonts w:ascii="Times New Roman" w:eastAsia="Times New Roman" w:hAnsi="Times New Roman" w:cs="Times New Roman"/>
          <w:sz w:val="24"/>
          <w:szCs w:val="24"/>
          <w:lang w:val="en-GB"/>
        </w:rPr>
        <w:t xml:space="preserve">: The Net Profit Margin (otherwise called "Overall revenue" or "Net Profit Margin Ratio") is a monetary proportion that is utilized to decide the extent of benefit a firm creates from its absolute income. A decent edge differs incredibly based upon the business and size of the organization, however, a 10% net revenue is respected run of the mill, a 20% edge is viewed as high (or "great"), and a 5% edge is viewed as low. Choco Plc </w:t>
      </w:r>
      <w:r w:rsidRPr="00962A24">
        <w:rPr>
          <w:rFonts w:ascii="Times New Roman" w:eastAsia="Times New Roman" w:hAnsi="Times New Roman" w:cs="Times New Roman"/>
          <w:sz w:val="24"/>
          <w:szCs w:val="24"/>
          <w:lang w:val="en-GB"/>
        </w:rPr>
        <w:lastRenderedPageBreak/>
        <w:t xml:space="preserve">has also increased its N.P Margin by more than 1 percent indicating effective cash management. </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v</w:t>
      </w:r>
      <w:r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b/>
          <w:sz w:val="24"/>
          <w:szCs w:val="24"/>
          <w:lang w:val="en-GB"/>
        </w:rPr>
        <w:t>Asset Turnover</w:t>
      </w:r>
      <w:r w:rsidRPr="00962A24">
        <w:rPr>
          <w:rFonts w:ascii="Times New Roman" w:eastAsia="Times New Roman" w:hAnsi="Times New Roman" w:cs="Times New Roman"/>
          <w:sz w:val="24"/>
          <w:szCs w:val="24"/>
          <w:lang w:val="en-GB"/>
        </w:rPr>
        <w:t>: This pointer helps financial backers in deciding how effectively organizations utilize their resources to make income</w:t>
      </w:r>
      <w:r w:rsidR="00AF4F7B" w:rsidRPr="00962A24">
        <w:rPr>
          <w:rFonts w:ascii="Times New Roman" w:eastAsia="Times New Roman" w:hAnsi="Times New Roman" w:cs="Times New Roman"/>
          <w:sz w:val="24"/>
          <w:szCs w:val="24"/>
          <w:lang w:val="en-GB"/>
        </w:rPr>
        <w:t xml:space="preserve"> (Utami and Welas, 2019)</w:t>
      </w:r>
      <w:r w:rsidRPr="00962A24">
        <w:rPr>
          <w:rFonts w:ascii="Times New Roman" w:eastAsia="Times New Roman" w:hAnsi="Times New Roman" w:cs="Times New Roman"/>
          <w:sz w:val="24"/>
          <w:szCs w:val="24"/>
          <w:lang w:val="en-GB"/>
        </w:rPr>
        <w:t xml:space="preserve">. Huge resource deals just as impressive resource buy in a given year can affect an organization's resource turnover proportion. The higher the figure, the more prominent the association's resource effectiveness. It's been seen that in the retail business, this proportion is ordinarily bigger, surpassing 2. Although Choco Plc. has improved its Asset Turnover performance, yet a lot of improvement needs to be done in this field. </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vi</w:t>
      </w:r>
      <w:r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b/>
          <w:sz w:val="24"/>
          <w:szCs w:val="24"/>
          <w:lang w:val="en-GB"/>
        </w:rPr>
        <w:t>Stock holding</w:t>
      </w:r>
      <w:r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b/>
          <w:sz w:val="24"/>
          <w:szCs w:val="24"/>
          <w:lang w:val="en-GB"/>
        </w:rPr>
        <w:t>days</w:t>
      </w:r>
      <w:r w:rsidRPr="00962A24">
        <w:rPr>
          <w:rFonts w:ascii="Times New Roman" w:eastAsia="Times New Roman" w:hAnsi="Times New Roman" w:cs="Times New Roman"/>
          <w:sz w:val="24"/>
          <w:szCs w:val="24"/>
          <w:lang w:val="en-GB"/>
        </w:rPr>
        <w:t>: The normal number of days for each item or SKU (stock keeping unit) in the stockroom is equivalent to the stock days equation. Stock days are a key stock metric that shows how long an item has been away before being sold. The lower the expense of capacity, the less time everything spends in stock. In comparison to 2019, the stock holding period in 2020 has gone high reflecting that this company has not been able to promptly transform its inventory into sales. Choco Plc needs introspection regarding this issue.</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vii</w:t>
      </w:r>
      <w:r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b/>
          <w:sz w:val="24"/>
          <w:szCs w:val="24"/>
          <w:lang w:val="en-GB"/>
        </w:rPr>
        <w:t>Debtors collection period</w:t>
      </w:r>
      <w:r w:rsidRPr="00962A24">
        <w:rPr>
          <w:rFonts w:ascii="Times New Roman" w:eastAsia="Times New Roman" w:hAnsi="Times New Roman" w:cs="Times New Roman"/>
          <w:sz w:val="24"/>
          <w:szCs w:val="24"/>
          <w:lang w:val="en-GB"/>
        </w:rPr>
        <w:t>: The time it takes to gather all exchange obligations is known as the borrower assortment period. The more limited the time it takes to recuperate these obligations, the more proficient a business seems, by all accounts, to be</w:t>
      </w:r>
      <w:r w:rsidR="00736A75" w:rsidRPr="00962A24">
        <w:rPr>
          <w:rFonts w:ascii="Times New Roman" w:eastAsia="Times New Roman" w:hAnsi="Times New Roman" w:cs="Times New Roman"/>
          <w:sz w:val="24"/>
          <w:szCs w:val="24"/>
          <w:lang w:val="en-GB"/>
        </w:rPr>
        <w:t xml:space="preserve"> (Siele and Tibbs, 2019)</w:t>
      </w:r>
      <w:r w:rsidRPr="00962A24">
        <w:rPr>
          <w:rFonts w:ascii="Times New Roman" w:eastAsia="Times New Roman" w:hAnsi="Times New Roman" w:cs="Times New Roman"/>
          <w:sz w:val="24"/>
          <w:szCs w:val="24"/>
          <w:lang w:val="en-GB"/>
        </w:rPr>
        <w:t>. A more drawn-out period recommends an issue with exchange borrowers or failure general. Thus, the normal assortment span would be 36.5 days—not awful considering most organizations gather inside 30 days. Gathering receivables in a reasonable measure of time permits the company to take care of its obligations. There has been an improvement in the Debtors Collection period reflecting a better cash management process adopted by the company.</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viii</w:t>
      </w:r>
      <w:r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b/>
          <w:sz w:val="24"/>
          <w:szCs w:val="24"/>
          <w:lang w:val="en-GB"/>
        </w:rPr>
        <w:t>Current Ratio</w:t>
      </w:r>
      <w:r w:rsidR="00EF703E" w:rsidRPr="00962A24">
        <w:rPr>
          <w:rFonts w:ascii="Times New Roman" w:eastAsia="Times New Roman" w:hAnsi="Times New Roman" w:cs="Times New Roman"/>
          <w:sz w:val="24"/>
          <w:szCs w:val="24"/>
          <w:lang w:val="en-GB"/>
        </w:rPr>
        <w:t>: This</w:t>
      </w:r>
      <w:r w:rsidRPr="00962A24">
        <w:rPr>
          <w:rFonts w:ascii="Times New Roman" w:eastAsia="Times New Roman" w:hAnsi="Times New Roman" w:cs="Times New Roman"/>
          <w:sz w:val="24"/>
          <w:szCs w:val="24"/>
          <w:lang w:val="en-GB"/>
        </w:rPr>
        <w:t xml:space="preserve"> thinks about an organization's resources that might be changed over into cash inside a year to liabilities that should be paid off inside a year. The greater the percentage, the more liquid the business</w:t>
      </w:r>
      <w:r w:rsidR="007F36F1" w:rsidRPr="00962A24">
        <w:rPr>
          <w:rFonts w:ascii="Times New Roman" w:eastAsia="Times New Roman" w:hAnsi="Times New Roman" w:cs="Times New Roman"/>
          <w:sz w:val="24"/>
          <w:szCs w:val="24"/>
          <w:lang w:val="en-GB"/>
        </w:rPr>
        <w:t xml:space="preserve"> (Nurmasari, 2017)</w:t>
      </w:r>
      <w:r w:rsidRPr="00962A24">
        <w:rPr>
          <w:rFonts w:ascii="Times New Roman" w:eastAsia="Times New Roman" w:hAnsi="Times New Roman" w:cs="Times New Roman"/>
          <w:sz w:val="24"/>
          <w:szCs w:val="24"/>
          <w:lang w:val="en-GB"/>
        </w:rPr>
        <w:t>. The most well-known satisfactory current proportion is 2, which is a decent monetary circumstance for most organizations. Current proportions that are considered worthy change per industry. For most mechanical undertakings, a current proportion of 1.5 might be suitable. Although there has been an improvement from the past year, yet it is well below satisfactory level. There’s a greater requirement for improvement in this field.</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lastRenderedPageBreak/>
        <w:t>ix</w:t>
      </w:r>
      <w:r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b/>
          <w:sz w:val="24"/>
          <w:szCs w:val="24"/>
          <w:lang w:val="en-GB"/>
        </w:rPr>
        <w:t>Gearing Ratio</w:t>
      </w:r>
      <w:r w:rsidRPr="00962A24">
        <w:rPr>
          <w:rFonts w:ascii="Times New Roman" w:eastAsia="Times New Roman" w:hAnsi="Times New Roman" w:cs="Times New Roman"/>
          <w:sz w:val="24"/>
          <w:szCs w:val="24"/>
          <w:lang w:val="en-GB"/>
        </w:rPr>
        <w:t xml:space="preserve">: </w:t>
      </w:r>
      <w:r w:rsidR="00EF703E" w:rsidRPr="00962A24">
        <w:rPr>
          <w:rFonts w:ascii="Times New Roman" w:eastAsia="Times New Roman" w:hAnsi="Times New Roman" w:cs="Times New Roman"/>
          <w:sz w:val="24"/>
          <w:szCs w:val="24"/>
          <w:lang w:val="en-GB"/>
        </w:rPr>
        <w:t>It</w:t>
      </w:r>
      <w:r w:rsidRPr="00962A24">
        <w:rPr>
          <w:rFonts w:ascii="Times New Roman" w:eastAsia="Times New Roman" w:hAnsi="Times New Roman" w:cs="Times New Roman"/>
          <w:sz w:val="24"/>
          <w:szCs w:val="24"/>
          <w:lang w:val="en-GB"/>
        </w:rPr>
        <w:t xml:space="preserve"> is a measure </w:t>
      </w:r>
      <w:r w:rsidR="00EF703E" w:rsidRPr="00962A24">
        <w:rPr>
          <w:rFonts w:ascii="Times New Roman" w:eastAsia="Times New Roman" w:hAnsi="Times New Roman" w:cs="Times New Roman"/>
          <w:sz w:val="24"/>
          <w:szCs w:val="24"/>
          <w:lang w:val="en-GB"/>
        </w:rPr>
        <w:t>of financial leverage that reflects</w:t>
      </w:r>
      <w:r w:rsidRPr="00962A24">
        <w:rPr>
          <w:rFonts w:ascii="Times New Roman" w:eastAsia="Times New Roman" w:hAnsi="Times New Roman" w:cs="Times New Roman"/>
          <w:sz w:val="24"/>
          <w:szCs w:val="24"/>
          <w:lang w:val="en-GB"/>
        </w:rPr>
        <w:t xml:space="preserve"> the number of an organization's exercises that are subsidized by value capital as opposed to obligation</w:t>
      </w:r>
      <w:r w:rsidR="00B57C64" w:rsidRPr="00962A24">
        <w:rPr>
          <w:rFonts w:ascii="Times New Roman" w:eastAsia="Times New Roman" w:hAnsi="Times New Roman" w:cs="Times New Roman"/>
          <w:sz w:val="24"/>
          <w:szCs w:val="24"/>
          <w:lang w:val="en-GB"/>
        </w:rPr>
        <w:t xml:space="preserve"> (Kariyawasam, 2019)</w:t>
      </w:r>
      <w:r w:rsidRPr="00962A24">
        <w:rPr>
          <w:rFonts w:ascii="Times New Roman" w:eastAsia="Times New Roman" w:hAnsi="Times New Roman" w:cs="Times New Roman"/>
          <w:sz w:val="24"/>
          <w:szCs w:val="24"/>
          <w:lang w:val="en-GB"/>
        </w:rPr>
        <w:t xml:space="preserve">. Financial backers and moneylenders regularly respect </w:t>
      </w:r>
      <w:r w:rsidR="006D7C43" w:rsidRPr="00962A24">
        <w:rPr>
          <w:rFonts w:ascii="Times New Roman" w:eastAsia="Times New Roman" w:hAnsi="Times New Roman" w:cs="Times New Roman"/>
          <w:sz w:val="24"/>
          <w:szCs w:val="24"/>
          <w:lang w:val="en-GB"/>
        </w:rPr>
        <w:t>and</w:t>
      </w:r>
      <w:r w:rsidRPr="00962A24">
        <w:rPr>
          <w:rFonts w:ascii="Times New Roman" w:eastAsia="Times New Roman" w:hAnsi="Times New Roman" w:cs="Times New Roman"/>
          <w:sz w:val="24"/>
          <w:szCs w:val="24"/>
          <w:lang w:val="en-GB"/>
        </w:rPr>
        <w:t xml:space="preserve"> equipping proportion of under 25% to be generally safe. For grounded organizations, an outfitting proportion of 25 to 50 percent is normally respected as magnificent or standard. Though the ratio has decreased in comparison to the past year, it lies in the standard zone.</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b/>
          <w:sz w:val="24"/>
          <w:szCs w:val="24"/>
          <w:lang w:val="en-GB"/>
        </w:rPr>
        <w:t>x</w:t>
      </w:r>
      <w:r w:rsidRPr="00962A24">
        <w:rPr>
          <w:rFonts w:ascii="Times New Roman" w:eastAsia="Times New Roman" w:hAnsi="Times New Roman" w:cs="Times New Roman"/>
          <w:sz w:val="24"/>
          <w:szCs w:val="24"/>
          <w:lang w:val="en-GB"/>
        </w:rPr>
        <w:t xml:space="preserve">. </w:t>
      </w:r>
      <w:r w:rsidRPr="00962A24">
        <w:rPr>
          <w:rFonts w:ascii="Times New Roman" w:eastAsia="Times New Roman" w:hAnsi="Times New Roman" w:cs="Times New Roman"/>
          <w:b/>
          <w:sz w:val="24"/>
          <w:szCs w:val="24"/>
          <w:lang w:val="en-GB"/>
        </w:rPr>
        <w:t>Interest Coverage Ratio</w:t>
      </w:r>
      <w:r w:rsidRPr="00962A24">
        <w:rPr>
          <w:rFonts w:ascii="Times New Roman" w:eastAsia="Times New Roman" w:hAnsi="Times New Roman" w:cs="Times New Roman"/>
          <w:sz w:val="24"/>
          <w:szCs w:val="24"/>
          <w:lang w:val="en-GB"/>
        </w:rPr>
        <w:t>: The interest inclusion proportion is an obligation to-productivity proportion that decides how promptly an enterprise can pay interest on its obligation</w:t>
      </w:r>
      <w:r w:rsidR="00EF703E" w:rsidRPr="00962A24">
        <w:rPr>
          <w:rFonts w:ascii="Times New Roman" w:eastAsia="Times New Roman" w:hAnsi="Times New Roman" w:cs="Times New Roman"/>
          <w:sz w:val="24"/>
          <w:szCs w:val="24"/>
          <w:lang w:val="en-GB"/>
        </w:rPr>
        <w:t>.</w:t>
      </w:r>
      <w:r w:rsidRPr="00962A24">
        <w:rPr>
          <w:rFonts w:ascii="Times New Roman" w:eastAsia="Times New Roman" w:hAnsi="Times New Roman" w:cs="Times New Roman"/>
          <w:sz w:val="24"/>
          <w:szCs w:val="24"/>
          <w:lang w:val="en-GB"/>
        </w:rPr>
        <w:t xml:space="preserve"> A base adequate premium inclusion proportion of 1.5 is by and large viewed as the tipping point underneath which moneylenders will probably decline to loan the organization more cash in light of the fact that the danger of default is seen to be excessively incredible</w:t>
      </w:r>
      <w:r w:rsidR="003B3438" w:rsidRPr="00962A24">
        <w:rPr>
          <w:rFonts w:ascii="Times New Roman" w:eastAsia="Times New Roman" w:hAnsi="Times New Roman" w:cs="Times New Roman"/>
          <w:sz w:val="24"/>
          <w:szCs w:val="24"/>
          <w:lang w:val="en-GB"/>
        </w:rPr>
        <w:t xml:space="preserve"> (Setiany, 2021)</w:t>
      </w:r>
      <w:r w:rsidRPr="00962A24">
        <w:rPr>
          <w:rFonts w:ascii="Times New Roman" w:eastAsia="Times New Roman" w:hAnsi="Times New Roman" w:cs="Times New Roman"/>
          <w:sz w:val="24"/>
          <w:szCs w:val="24"/>
          <w:lang w:val="en-GB"/>
        </w:rPr>
        <w:t>. The data for both years suggests that the company has maintained a standard interest coverage ratio.</w:t>
      </w:r>
    </w:p>
    <w:p w:rsidR="0047564B" w:rsidRPr="00962A24" w:rsidRDefault="00B82031">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All the above calculations and their interpretation would help the key stakeholders to understand the financial strength of Choco Plc. By and large, most of the parameters except one or two reflect that the enterprise is in a better financial shape.</w:t>
      </w:r>
    </w:p>
    <w:p w:rsidR="00F009FD" w:rsidRPr="00962A24" w:rsidRDefault="00F009FD">
      <w:pPr>
        <w:pStyle w:val="normal0"/>
        <w:spacing w:line="360" w:lineRule="auto"/>
        <w:jc w:val="both"/>
        <w:rPr>
          <w:rFonts w:ascii="Times New Roman" w:eastAsia="Times New Roman" w:hAnsi="Times New Roman" w:cs="Times New Roman"/>
          <w:sz w:val="24"/>
          <w:szCs w:val="24"/>
          <w:lang w:val="en-GB"/>
        </w:rPr>
      </w:pPr>
    </w:p>
    <w:p w:rsidR="00F009FD" w:rsidRPr="00962A24" w:rsidRDefault="00F009FD">
      <w:pPr>
        <w:pStyle w:val="normal0"/>
        <w:spacing w:line="360" w:lineRule="auto"/>
        <w:jc w:val="both"/>
        <w:rPr>
          <w:rFonts w:ascii="Times New Roman" w:eastAsia="Times New Roman" w:hAnsi="Times New Roman" w:cs="Times New Roman"/>
          <w:sz w:val="24"/>
          <w:szCs w:val="24"/>
          <w:lang w:val="en-GB"/>
        </w:rPr>
      </w:pPr>
    </w:p>
    <w:p w:rsidR="00F009FD" w:rsidRPr="00962A24" w:rsidRDefault="00F009FD">
      <w:pPr>
        <w:pStyle w:val="normal0"/>
        <w:spacing w:line="360" w:lineRule="auto"/>
        <w:jc w:val="both"/>
        <w:rPr>
          <w:rFonts w:ascii="Times New Roman" w:eastAsia="Times New Roman" w:hAnsi="Times New Roman" w:cs="Times New Roman"/>
          <w:sz w:val="24"/>
          <w:szCs w:val="24"/>
          <w:lang w:val="en-GB"/>
        </w:rPr>
      </w:pPr>
    </w:p>
    <w:p w:rsidR="00F009FD" w:rsidRPr="00962A24" w:rsidRDefault="00F009FD">
      <w:pPr>
        <w:pStyle w:val="normal0"/>
        <w:spacing w:line="360" w:lineRule="auto"/>
        <w:jc w:val="both"/>
        <w:rPr>
          <w:rFonts w:ascii="Times New Roman" w:eastAsia="Times New Roman" w:hAnsi="Times New Roman" w:cs="Times New Roman"/>
          <w:sz w:val="24"/>
          <w:szCs w:val="24"/>
          <w:lang w:val="en-GB"/>
        </w:rPr>
      </w:pPr>
    </w:p>
    <w:p w:rsidR="00F009FD" w:rsidRPr="00962A24" w:rsidRDefault="00F009FD">
      <w:pPr>
        <w:pStyle w:val="normal0"/>
        <w:spacing w:line="360" w:lineRule="auto"/>
        <w:jc w:val="both"/>
        <w:rPr>
          <w:rFonts w:ascii="Times New Roman" w:eastAsia="Times New Roman" w:hAnsi="Times New Roman" w:cs="Times New Roman"/>
          <w:sz w:val="24"/>
          <w:szCs w:val="24"/>
          <w:lang w:val="en-GB"/>
        </w:rPr>
      </w:pPr>
    </w:p>
    <w:p w:rsidR="00F009FD" w:rsidRPr="00962A24" w:rsidRDefault="00F009FD">
      <w:pPr>
        <w:rPr>
          <w:rFonts w:ascii="Times New Roman" w:eastAsia="Times New Roman" w:hAnsi="Times New Roman" w:cs="Times New Roman"/>
          <w:sz w:val="24"/>
          <w:szCs w:val="24"/>
        </w:rPr>
      </w:pPr>
      <w:r w:rsidRPr="00962A24">
        <w:rPr>
          <w:rFonts w:ascii="Times New Roman" w:eastAsia="Times New Roman" w:hAnsi="Times New Roman" w:cs="Times New Roman"/>
          <w:sz w:val="24"/>
          <w:szCs w:val="24"/>
        </w:rPr>
        <w:br w:type="page"/>
      </w:r>
    </w:p>
    <w:p w:rsidR="00F009FD" w:rsidRPr="00962A24" w:rsidRDefault="00F009FD" w:rsidP="00923E90">
      <w:pPr>
        <w:pStyle w:val="Heading1"/>
        <w:rPr>
          <w:lang w:val="en-GB"/>
        </w:rPr>
      </w:pPr>
      <w:bookmarkStart w:id="2" w:name="_Toc77613248"/>
      <w:r w:rsidRPr="00962A24">
        <w:rPr>
          <w:lang w:val="en-GB"/>
        </w:rPr>
        <w:lastRenderedPageBreak/>
        <w:t>Reference List</w:t>
      </w:r>
      <w:bookmarkEnd w:id="2"/>
    </w:p>
    <w:p w:rsidR="004043FA" w:rsidRPr="00962A24" w:rsidRDefault="004043FA">
      <w:pPr>
        <w:pStyle w:val="normal0"/>
        <w:spacing w:line="360" w:lineRule="auto"/>
        <w:jc w:val="both"/>
        <w:rPr>
          <w:rFonts w:ascii="Times New Roman" w:eastAsia="Times New Roman" w:hAnsi="Times New Roman" w:cs="Times New Roman"/>
          <w:b/>
          <w:i/>
          <w:sz w:val="24"/>
          <w:szCs w:val="24"/>
          <w:lang w:val="en-GB"/>
        </w:rPr>
      </w:pPr>
      <w:r w:rsidRPr="00962A24">
        <w:rPr>
          <w:rFonts w:ascii="Times New Roman" w:eastAsia="Times New Roman" w:hAnsi="Times New Roman" w:cs="Times New Roman"/>
          <w:b/>
          <w:i/>
          <w:sz w:val="24"/>
          <w:szCs w:val="24"/>
          <w:lang w:val="en-GB"/>
        </w:rPr>
        <w:t>Journals</w:t>
      </w:r>
    </w:p>
    <w:p w:rsidR="0007763C" w:rsidRPr="00962A24" w:rsidRDefault="0007763C">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Felber, C., Campos, V. and Sanchis, J.R., 2019. The common good balance sheet, an adequate tool to capture non-financials?. </w:t>
      </w:r>
      <w:r w:rsidRPr="00962A24">
        <w:rPr>
          <w:rFonts w:ascii="Times New Roman" w:eastAsia="Times New Roman" w:hAnsi="Times New Roman" w:cs="Times New Roman"/>
          <w:i/>
          <w:iCs/>
          <w:sz w:val="24"/>
          <w:szCs w:val="24"/>
          <w:lang w:val="en-GB"/>
        </w:rPr>
        <w:t>Sustainability</w:t>
      </w:r>
      <w:r w:rsidRPr="00962A24">
        <w:rPr>
          <w:rFonts w:ascii="Times New Roman" w:eastAsia="Times New Roman" w:hAnsi="Times New Roman" w:cs="Times New Roman"/>
          <w:sz w:val="24"/>
          <w:szCs w:val="24"/>
          <w:lang w:val="en-GB"/>
        </w:rPr>
        <w:t>, </w:t>
      </w:r>
      <w:r w:rsidRPr="00962A24">
        <w:rPr>
          <w:rFonts w:ascii="Times New Roman" w:eastAsia="Times New Roman" w:hAnsi="Times New Roman" w:cs="Times New Roman"/>
          <w:i/>
          <w:iCs/>
          <w:sz w:val="24"/>
          <w:szCs w:val="24"/>
          <w:lang w:val="en-GB"/>
        </w:rPr>
        <w:t>11</w:t>
      </w:r>
      <w:r w:rsidRPr="00962A24">
        <w:rPr>
          <w:rFonts w:ascii="Times New Roman" w:eastAsia="Times New Roman" w:hAnsi="Times New Roman" w:cs="Times New Roman"/>
          <w:sz w:val="24"/>
          <w:szCs w:val="24"/>
          <w:lang w:val="en-GB"/>
        </w:rPr>
        <w:t>(14), p.3791.</w:t>
      </w:r>
    </w:p>
    <w:p w:rsidR="0007763C" w:rsidRPr="00962A24" w:rsidRDefault="0007763C">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Hasanaj, P. and Kuqi, B., 2019. Analysis of financial statements. </w:t>
      </w:r>
      <w:r w:rsidRPr="00962A24">
        <w:rPr>
          <w:rFonts w:ascii="Times New Roman" w:eastAsia="Times New Roman" w:hAnsi="Times New Roman" w:cs="Times New Roman"/>
          <w:i/>
          <w:iCs/>
          <w:sz w:val="24"/>
          <w:szCs w:val="24"/>
          <w:lang w:val="en-GB"/>
        </w:rPr>
        <w:t>Humanities and Social Science Research</w:t>
      </w:r>
      <w:r w:rsidRPr="00962A24">
        <w:rPr>
          <w:rFonts w:ascii="Times New Roman" w:eastAsia="Times New Roman" w:hAnsi="Times New Roman" w:cs="Times New Roman"/>
          <w:sz w:val="24"/>
          <w:szCs w:val="24"/>
          <w:lang w:val="en-GB"/>
        </w:rPr>
        <w:t>, </w:t>
      </w:r>
      <w:r w:rsidRPr="00962A24">
        <w:rPr>
          <w:rFonts w:ascii="Times New Roman" w:eastAsia="Times New Roman" w:hAnsi="Times New Roman" w:cs="Times New Roman"/>
          <w:i/>
          <w:iCs/>
          <w:sz w:val="24"/>
          <w:szCs w:val="24"/>
          <w:lang w:val="en-GB"/>
        </w:rPr>
        <w:t>2</w:t>
      </w:r>
      <w:r w:rsidRPr="00962A24">
        <w:rPr>
          <w:rFonts w:ascii="Times New Roman" w:eastAsia="Times New Roman" w:hAnsi="Times New Roman" w:cs="Times New Roman"/>
          <w:sz w:val="24"/>
          <w:szCs w:val="24"/>
          <w:lang w:val="en-GB"/>
        </w:rPr>
        <w:t>(2), pp.p17-p17.</w:t>
      </w:r>
    </w:p>
    <w:p w:rsidR="0007763C" w:rsidRPr="00962A24" w:rsidRDefault="0007763C">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Kariyawasam, H.N., 2019. Analysing the Impact of Financial Ratios on a Company’s Financial Performance. </w:t>
      </w:r>
      <w:r w:rsidRPr="00962A24">
        <w:rPr>
          <w:rFonts w:ascii="Times New Roman" w:eastAsia="Times New Roman" w:hAnsi="Times New Roman" w:cs="Times New Roman"/>
          <w:i/>
          <w:iCs/>
          <w:sz w:val="24"/>
          <w:szCs w:val="24"/>
          <w:lang w:val="en-GB"/>
        </w:rPr>
        <w:t>International Journal of Management Excellence</w:t>
      </w:r>
      <w:r w:rsidRPr="00962A24">
        <w:rPr>
          <w:rFonts w:ascii="Times New Roman" w:eastAsia="Times New Roman" w:hAnsi="Times New Roman" w:cs="Times New Roman"/>
          <w:sz w:val="24"/>
          <w:szCs w:val="24"/>
          <w:lang w:val="en-GB"/>
        </w:rPr>
        <w:t>, </w:t>
      </w:r>
      <w:r w:rsidRPr="00962A24">
        <w:rPr>
          <w:rFonts w:ascii="Times New Roman" w:eastAsia="Times New Roman" w:hAnsi="Times New Roman" w:cs="Times New Roman"/>
          <w:i/>
          <w:iCs/>
          <w:sz w:val="24"/>
          <w:szCs w:val="24"/>
          <w:lang w:val="en-GB"/>
        </w:rPr>
        <w:t>13</w:t>
      </w:r>
      <w:r w:rsidRPr="00962A24">
        <w:rPr>
          <w:rFonts w:ascii="Times New Roman" w:eastAsia="Times New Roman" w:hAnsi="Times New Roman" w:cs="Times New Roman"/>
          <w:sz w:val="24"/>
          <w:szCs w:val="24"/>
          <w:lang w:val="en-GB"/>
        </w:rPr>
        <w:t>(1), pp.1898-1903.</w:t>
      </w:r>
    </w:p>
    <w:p w:rsidR="0007763C" w:rsidRPr="00962A24" w:rsidRDefault="0007763C">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Maeenuddina, R.B., Hussain, A., Hafeez, M., Khan, M. and Wahi, N., 2020. Economic Value Added Momentum &amp; Traditional Profitability Measures (ROA, ROE &amp; ROCE): A Comparative Study. </w:t>
      </w:r>
      <w:r w:rsidRPr="00962A24">
        <w:rPr>
          <w:rFonts w:ascii="Times New Roman" w:eastAsia="Times New Roman" w:hAnsi="Times New Roman" w:cs="Times New Roman"/>
          <w:i/>
          <w:iCs/>
          <w:sz w:val="24"/>
          <w:szCs w:val="24"/>
          <w:lang w:val="en-GB"/>
        </w:rPr>
        <w:t>TEST-Engineering Management</w:t>
      </w:r>
      <w:r w:rsidRPr="00962A24">
        <w:rPr>
          <w:rFonts w:ascii="Times New Roman" w:eastAsia="Times New Roman" w:hAnsi="Times New Roman" w:cs="Times New Roman"/>
          <w:sz w:val="24"/>
          <w:szCs w:val="24"/>
          <w:lang w:val="en-GB"/>
        </w:rPr>
        <w:t>, </w:t>
      </w:r>
      <w:r w:rsidRPr="00962A24">
        <w:rPr>
          <w:rFonts w:ascii="Times New Roman" w:eastAsia="Times New Roman" w:hAnsi="Times New Roman" w:cs="Times New Roman"/>
          <w:i/>
          <w:iCs/>
          <w:sz w:val="24"/>
          <w:szCs w:val="24"/>
          <w:lang w:val="en-GB"/>
        </w:rPr>
        <w:t>83</w:t>
      </w:r>
      <w:r w:rsidRPr="00962A24">
        <w:rPr>
          <w:rFonts w:ascii="Times New Roman" w:eastAsia="Times New Roman" w:hAnsi="Times New Roman" w:cs="Times New Roman"/>
          <w:sz w:val="24"/>
          <w:szCs w:val="24"/>
          <w:lang w:val="en-GB"/>
        </w:rPr>
        <w:t>, pp.13762-13774.</w:t>
      </w:r>
    </w:p>
    <w:p w:rsidR="0007763C" w:rsidRPr="00962A24" w:rsidRDefault="0007763C">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Nurmasari, I., 2017. Analysis of Current Ratio, Return on Equity, Debt to Equity Ratio and income growth affect stock returns in mining companies on the Indonesia Stock Exchange 2010-2014. </w:t>
      </w:r>
      <w:r w:rsidRPr="00962A24">
        <w:rPr>
          <w:rFonts w:ascii="Times New Roman" w:eastAsia="Times New Roman" w:hAnsi="Times New Roman" w:cs="Times New Roman"/>
          <w:i/>
          <w:iCs/>
          <w:sz w:val="24"/>
          <w:szCs w:val="24"/>
          <w:lang w:val="en-GB"/>
        </w:rPr>
        <w:t>Creative Journal</w:t>
      </w:r>
      <w:r w:rsidRPr="00962A24">
        <w:rPr>
          <w:rFonts w:ascii="Times New Roman" w:eastAsia="Times New Roman" w:hAnsi="Times New Roman" w:cs="Times New Roman"/>
          <w:sz w:val="24"/>
          <w:szCs w:val="24"/>
          <w:lang w:val="en-GB"/>
        </w:rPr>
        <w:t> , </w:t>
      </w:r>
      <w:r w:rsidRPr="00962A24">
        <w:rPr>
          <w:rFonts w:ascii="Times New Roman" w:eastAsia="Times New Roman" w:hAnsi="Times New Roman" w:cs="Times New Roman"/>
          <w:i/>
          <w:iCs/>
          <w:sz w:val="24"/>
          <w:szCs w:val="24"/>
          <w:lang w:val="en-GB"/>
        </w:rPr>
        <w:t>5</w:t>
      </w:r>
      <w:r w:rsidRPr="00962A24">
        <w:rPr>
          <w:rFonts w:ascii="Times New Roman" w:eastAsia="Times New Roman" w:hAnsi="Times New Roman" w:cs="Times New Roman"/>
          <w:sz w:val="24"/>
          <w:szCs w:val="24"/>
          <w:lang w:val="en-GB"/>
        </w:rPr>
        <w:t> (1), pp.112-131.</w:t>
      </w:r>
    </w:p>
    <w:p w:rsidR="0007763C" w:rsidRPr="00962A24" w:rsidRDefault="0007763C">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Setiany, E., 2021. The Effect of Investment, Free Cash Flow, Earnings Management, and Interest Coverage Ratio on Financial Distress. </w:t>
      </w:r>
      <w:r w:rsidRPr="00962A24">
        <w:rPr>
          <w:rFonts w:ascii="Times New Roman" w:eastAsia="Times New Roman" w:hAnsi="Times New Roman" w:cs="Times New Roman"/>
          <w:i/>
          <w:iCs/>
          <w:sz w:val="24"/>
          <w:szCs w:val="24"/>
          <w:lang w:val="en-GB"/>
        </w:rPr>
        <w:t>Journal of Social Science</w:t>
      </w:r>
      <w:r w:rsidRPr="00962A24">
        <w:rPr>
          <w:rFonts w:ascii="Times New Roman" w:eastAsia="Times New Roman" w:hAnsi="Times New Roman" w:cs="Times New Roman"/>
          <w:sz w:val="24"/>
          <w:szCs w:val="24"/>
          <w:lang w:val="en-GB"/>
        </w:rPr>
        <w:t>, </w:t>
      </w:r>
      <w:r w:rsidRPr="00962A24">
        <w:rPr>
          <w:rFonts w:ascii="Times New Roman" w:eastAsia="Times New Roman" w:hAnsi="Times New Roman" w:cs="Times New Roman"/>
          <w:i/>
          <w:iCs/>
          <w:sz w:val="24"/>
          <w:szCs w:val="24"/>
          <w:lang w:val="en-GB"/>
        </w:rPr>
        <w:t>2</w:t>
      </w:r>
      <w:r w:rsidRPr="00962A24">
        <w:rPr>
          <w:rFonts w:ascii="Times New Roman" w:eastAsia="Times New Roman" w:hAnsi="Times New Roman" w:cs="Times New Roman"/>
          <w:sz w:val="24"/>
          <w:szCs w:val="24"/>
          <w:lang w:val="en-GB"/>
        </w:rPr>
        <w:t>(1), pp.67-73.</w:t>
      </w:r>
    </w:p>
    <w:p w:rsidR="0007763C" w:rsidRPr="00962A24" w:rsidRDefault="0007763C">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Siele, K.C. and Tibbs, C.Y., 2019. Accounts receivable management and financial performance of Kericho Water and Sanitation Company Limited, Kericho, Kenya. </w:t>
      </w:r>
      <w:r w:rsidRPr="00962A24">
        <w:rPr>
          <w:rFonts w:ascii="Times New Roman" w:eastAsia="Times New Roman" w:hAnsi="Times New Roman" w:cs="Times New Roman"/>
          <w:i/>
          <w:iCs/>
          <w:sz w:val="24"/>
          <w:szCs w:val="24"/>
          <w:lang w:val="en-GB"/>
        </w:rPr>
        <w:t>International Academic Journal of Economics and Finance</w:t>
      </w:r>
      <w:r w:rsidRPr="00962A24">
        <w:rPr>
          <w:rFonts w:ascii="Times New Roman" w:eastAsia="Times New Roman" w:hAnsi="Times New Roman" w:cs="Times New Roman"/>
          <w:sz w:val="24"/>
          <w:szCs w:val="24"/>
          <w:lang w:val="en-GB"/>
        </w:rPr>
        <w:t>, </w:t>
      </w:r>
      <w:r w:rsidRPr="00962A24">
        <w:rPr>
          <w:rFonts w:ascii="Times New Roman" w:eastAsia="Times New Roman" w:hAnsi="Times New Roman" w:cs="Times New Roman"/>
          <w:i/>
          <w:iCs/>
          <w:sz w:val="24"/>
          <w:szCs w:val="24"/>
          <w:lang w:val="en-GB"/>
        </w:rPr>
        <w:t>3</w:t>
      </w:r>
      <w:r w:rsidRPr="00962A24">
        <w:rPr>
          <w:rFonts w:ascii="Times New Roman" w:eastAsia="Times New Roman" w:hAnsi="Times New Roman" w:cs="Times New Roman"/>
          <w:sz w:val="24"/>
          <w:szCs w:val="24"/>
          <w:lang w:val="en-GB"/>
        </w:rPr>
        <w:t>(3), pp.1-17.</w:t>
      </w:r>
    </w:p>
    <w:p w:rsidR="0007763C" w:rsidRPr="00962A24" w:rsidRDefault="0007763C">
      <w:pPr>
        <w:pStyle w:val="normal0"/>
        <w:spacing w:line="360" w:lineRule="auto"/>
        <w:jc w:val="both"/>
        <w:rPr>
          <w:rFonts w:ascii="Times New Roman" w:eastAsia="Times New Roman" w:hAnsi="Times New Roman" w:cs="Times New Roman"/>
          <w:sz w:val="24"/>
          <w:szCs w:val="24"/>
          <w:lang w:val="en-GB"/>
        </w:rPr>
      </w:pPr>
      <w:r w:rsidRPr="00962A24">
        <w:rPr>
          <w:rFonts w:ascii="Times New Roman" w:eastAsia="Times New Roman" w:hAnsi="Times New Roman" w:cs="Times New Roman"/>
          <w:sz w:val="24"/>
          <w:szCs w:val="24"/>
          <w:lang w:val="en-GB"/>
        </w:rPr>
        <w:t xml:space="preserve">Utami, P. and Welas, W., 2019. </w:t>
      </w:r>
      <w:r w:rsidR="008E7369" w:rsidRPr="00962A24">
        <w:rPr>
          <w:rFonts w:ascii="Times New Roman" w:eastAsia="Times New Roman" w:hAnsi="Times New Roman" w:cs="Times New Roman"/>
          <w:sz w:val="24"/>
          <w:szCs w:val="24"/>
          <w:lang w:val="en-GB"/>
        </w:rPr>
        <w:t xml:space="preserve">Effect of current ratio, return on asset, total asset turnover and debt to equity ratio on company value </w:t>
      </w:r>
      <w:r w:rsidRPr="00962A24">
        <w:rPr>
          <w:rFonts w:ascii="Times New Roman" w:eastAsia="Times New Roman" w:hAnsi="Times New Roman" w:cs="Times New Roman"/>
          <w:sz w:val="24"/>
          <w:szCs w:val="24"/>
          <w:lang w:val="en-GB"/>
        </w:rPr>
        <w:t>(Empirical Study on Property and Real Estate Sub-Sector Manufacturing Companies Listed on the Indonesia Stock Exchange Period 2015-2017). </w:t>
      </w:r>
      <w:r w:rsidRPr="00962A24">
        <w:rPr>
          <w:rFonts w:ascii="Times New Roman" w:eastAsia="Times New Roman" w:hAnsi="Times New Roman" w:cs="Times New Roman"/>
          <w:i/>
          <w:iCs/>
          <w:sz w:val="24"/>
          <w:szCs w:val="24"/>
          <w:lang w:val="en-GB"/>
        </w:rPr>
        <w:t>Journal of Accounting and Finance</w:t>
      </w:r>
      <w:r w:rsidRPr="00962A24">
        <w:rPr>
          <w:rFonts w:ascii="Times New Roman" w:eastAsia="Times New Roman" w:hAnsi="Times New Roman" w:cs="Times New Roman"/>
          <w:sz w:val="24"/>
          <w:szCs w:val="24"/>
          <w:lang w:val="en-GB"/>
        </w:rPr>
        <w:t> , </w:t>
      </w:r>
      <w:r w:rsidRPr="00962A24">
        <w:rPr>
          <w:rFonts w:ascii="Times New Roman" w:eastAsia="Times New Roman" w:hAnsi="Times New Roman" w:cs="Times New Roman"/>
          <w:i/>
          <w:iCs/>
          <w:sz w:val="24"/>
          <w:szCs w:val="24"/>
          <w:lang w:val="en-GB"/>
        </w:rPr>
        <w:t>8</w:t>
      </w:r>
      <w:r w:rsidR="0056115E">
        <w:rPr>
          <w:rFonts w:ascii="Times New Roman" w:eastAsia="Times New Roman" w:hAnsi="Times New Roman" w:cs="Times New Roman"/>
          <w:sz w:val="24"/>
          <w:szCs w:val="24"/>
          <w:lang w:val="en-GB"/>
        </w:rPr>
        <w:t> (1), pp.57-76.</w:t>
      </w:r>
    </w:p>
    <w:sectPr w:rsidR="0007763C" w:rsidRPr="00962A24" w:rsidSect="00962A24">
      <w:footerReference w:type="default" r:id="rId8"/>
      <w:pgSz w:w="11909" w:h="16834"/>
      <w:pgMar w:top="1440" w:right="1440" w:bottom="1440" w:left="1440" w:header="72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445A" w:rsidRDefault="0037445A" w:rsidP="00A33464">
      <w:pPr>
        <w:spacing w:line="240" w:lineRule="auto"/>
      </w:pPr>
      <w:r>
        <w:separator/>
      </w:r>
    </w:p>
  </w:endnote>
  <w:endnote w:type="continuationSeparator" w:id="1">
    <w:p w:rsidR="0037445A" w:rsidRDefault="0037445A" w:rsidP="00A3346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823866"/>
      <w:docPartObj>
        <w:docPartGallery w:val="Page Numbers (Bottom of Page)"/>
        <w:docPartUnique/>
      </w:docPartObj>
    </w:sdtPr>
    <w:sdtContent>
      <w:p w:rsidR="00F009FD" w:rsidRDefault="00CD463A">
        <w:pPr>
          <w:pStyle w:val="Footer"/>
          <w:jc w:val="right"/>
        </w:pPr>
        <w:fldSimple w:instr=" PAGE   \* MERGEFORMAT ">
          <w:r w:rsidR="0056115E">
            <w:rPr>
              <w:noProof/>
            </w:rPr>
            <w:t>13</w:t>
          </w:r>
        </w:fldSimple>
      </w:p>
    </w:sdtContent>
  </w:sdt>
  <w:p w:rsidR="00F009FD" w:rsidRDefault="00F009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445A" w:rsidRDefault="0037445A" w:rsidP="00A33464">
      <w:pPr>
        <w:spacing w:line="240" w:lineRule="auto"/>
      </w:pPr>
      <w:r>
        <w:separator/>
      </w:r>
    </w:p>
  </w:footnote>
  <w:footnote w:type="continuationSeparator" w:id="1">
    <w:p w:rsidR="0037445A" w:rsidRDefault="0037445A" w:rsidP="00A3346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8938CB"/>
    <w:multiLevelType w:val="multilevel"/>
    <w:tmpl w:val="ACA842B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47564B"/>
    <w:rsid w:val="0007763C"/>
    <w:rsid w:val="00314070"/>
    <w:rsid w:val="00316F48"/>
    <w:rsid w:val="0037445A"/>
    <w:rsid w:val="003B3438"/>
    <w:rsid w:val="003D7AD6"/>
    <w:rsid w:val="004043FA"/>
    <w:rsid w:val="00453B2E"/>
    <w:rsid w:val="0047564B"/>
    <w:rsid w:val="0056115E"/>
    <w:rsid w:val="006D7C43"/>
    <w:rsid w:val="00736A75"/>
    <w:rsid w:val="00763850"/>
    <w:rsid w:val="007F36F1"/>
    <w:rsid w:val="008550EB"/>
    <w:rsid w:val="008C14E9"/>
    <w:rsid w:val="008E7369"/>
    <w:rsid w:val="008F2DAE"/>
    <w:rsid w:val="00923E90"/>
    <w:rsid w:val="00962A24"/>
    <w:rsid w:val="00970041"/>
    <w:rsid w:val="00A33464"/>
    <w:rsid w:val="00AB5927"/>
    <w:rsid w:val="00AF4F7B"/>
    <w:rsid w:val="00B57C64"/>
    <w:rsid w:val="00B66C02"/>
    <w:rsid w:val="00B82031"/>
    <w:rsid w:val="00CD463A"/>
    <w:rsid w:val="00CF08B8"/>
    <w:rsid w:val="00D141E6"/>
    <w:rsid w:val="00D41B18"/>
    <w:rsid w:val="00E52829"/>
    <w:rsid w:val="00ED3C68"/>
    <w:rsid w:val="00EF703E"/>
    <w:rsid w:val="00F009FD"/>
    <w:rsid w:val="00F54504"/>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464"/>
    <w:rPr>
      <w:lang w:val="en-GB"/>
    </w:rPr>
  </w:style>
  <w:style w:type="paragraph" w:styleId="Heading1">
    <w:name w:val="heading 1"/>
    <w:basedOn w:val="normal0"/>
    <w:next w:val="normal0"/>
    <w:rsid w:val="00316F48"/>
    <w:pPr>
      <w:keepNext/>
      <w:keepLines/>
      <w:spacing w:before="400" w:after="120"/>
      <w:outlineLvl w:val="0"/>
    </w:pPr>
    <w:rPr>
      <w:rFonts w:ascii="Times New Roman" w:hAnsi="Times New Roman"/>
      <w:b/>
      <w:sz w:val="28"/>
      <w:szCs w:val="40"/>
    </w:rPr>
  </w:style>
  <w:style w:type="paragraph" w:styleId="Heading2">
    <w:name w:val="heading 2"/>
    <w:basedOn w:val="normal0"/>
    <w:next w:val="normal0"/>
    <w:rsid w:val="0047564B"/>
    <w:pPr>
      <w:keepNext/>
      <w:keepLines/>
      <w:spacing w:before="360" w:after="120"/>
      <w:outlineLvl w:val="1"/>
    </w:pPr>
    <w:rPr>
      <w:sz w:val="32"/>
      <w:szCs w:val="32"/>
    </w:rPr>
  </w:style>
  <w:style w:type="paragraph" w:styleId="Heading3">
    <w:name w:val="heading 3"/>
    <w:basedOn w:val="normal0"/>
    <w:next w:val="normal0"/>
    <w:rsid w:val="0047564B"/>
    <w:pPr>
      <w:keepNext/>
      <w:keepLines/>
      <w:spacing w:before="320" w:after="80"/>
      <w:outlineLvl w:val="2"/>
    </w:pPr>
    <w:rPr>
      <w:color w:val="434343"/>
      <w:sz w:val="28"/>
      <w:szCs w:val="28"/>
    </w:rPr>
  </w:style>
  <w:style w:type="paragraph" w:styleId="Heading4">
    <w:name w:val="heading 4"/>
    <w:basedOn w:val="normal0"/>
    <w:next w:val="normal0"/>
    <w:rsid w:val="0047564B"/>
    <w:pPr>
      <w:keepNext/>
      <w:keepLines/>
      <w:spacing w:before="280" w:after="80"/>
      <w:outlineLvl w:val="3"/>
    </w:pPr>
    <w:rPr>
      <w:color w:val="666666"/>
      <w:sz w:val="24"/>
      <w:szCs w:val="24"/>
    </w:rPr>
  </w:style>
  <w:style w:type="paragraph" w:styleId="Heading5">
    <w:name w:val="heading 5"/>
    <w:basedOn w:val="normal0"/>
    <w:next w:val="normal0"/>
    <w:rsid w:val="0047564B"/>
    <w:pPr>
      <w:keepNext/>
      <w:keepLines/>
      <w:spacing w:before="240" w:after="80"/>
      <w:outlineLvl w:val="4"/>
    </w:pPr>
    <w:rPr>
      <w:color w:val="666666"/>
    </w:rPr>
  </w:style>
  <w:style w:type="paragraph" w:styleId="Heading6">
    <w:name w:val="heading 6"/>
    <w:basedOn w:val="normal0"/>
    <w:next w:val="normal0"/>
    <w:rsid w:val="0047564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47564B"/>
  </w:style>
  <w:style w:type="paragraph" w:styleId="Title">
    <w:name w:val="Title"/>
    <w:basedOn w:val="normal0"/>
    <w:next w:val="normal0"/>
    <w:rsid w:val="0047564B"/>
    <w:pPr>
      <w:keepNext/>
      <w:keepLines/>
      <w:spacing w:after="60"/>
    </w:pPr>
    <w:rPr>
      <w:sz w:val="52"/>
      <w:szCs w:val="52"/>
    </w:rPr>
  </w:style>
  <w:style w:type="paragraph" w:styleId="Subtitle">
    <w:name w:val="Subtitle"/>
    <w:basedOn w:val="normal0"/>
    <w:next w:val="normal0"/>
    <w:rsid w:val="0047564B"/>
    <w:pPr>
      <w:keepNext/>
      <w:keepLines/>
      <w:spacing w:after="320"/>
    </w:pPr>
    <w:rPr>
      <w:color w:val="666666"/>
      <w:sz w:val="30"/>
      <w:szCs w:val="30"/>
    </w:rPr>
  </w:style>
  <w:style w:type="table" w:customStyle="1" w:styleId="a">
    <w:name w:val="a"/>
    <w:basedOn w:val="TableNormal"/>
    <w:rsid w:val="0047564B"/>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47564B"/>
    <w:tblPr>
      <w:tblStyleRowBandSize w:val="1"/>
      <w:tblStyleColBandSize w:val="1"/>
      <w:tblInd w:w="0" w:type="dxa"/>
      <w:tblCellMar>
        <w:top w:w="100" w:type="dxa"/>
        <w:left w:w="100" w:type="dxa"/>
        <w:bottom w:w="100" w:type="dxa"/>
        <w:right w:w="100" w:type="dxa"/>
      </w:tblCellMar>
    </w:tblPr>
  </w:style>
  <w:style w:type="table" w:customStyle="1" w:styleId="a1">
    <w:name w:val="a1"/>
    <w:basedOn w:val="TableNormal"/>
    <w:rsid w:val="0047564B"/>
    <w:tblPr>
      <w:tblStyleRowBandSize w:val="1"/>
      <w:tblStyleColBandSize w:val="1"/>
      <w:tblInd w:w="0" w:type="dxa"/>
      <w:tblCellMar>
        <w:top w:w="100" w:type="dxa"/>
        <w:left w:w="100" w:type="dxa"/>
        <w:bottom w:w="100" w:type="dxa"/>
        <w:right w:w="100" w:type="dxa"/>
      </w:tblCellMar>
    </w:tblPr>
  </w:style>
  <w:style w:type="table" w:customStyle="1" w:styleId="a2">
    <w:name w:val="a2"/>
    <w:basedOn w:val="TableNormal"/>
    <w:rsid w:val="0047564B"/>
    <w:tblPr>
      <w:tblStyleRowBandSize w:val="1"/>
      <w:tblStyleColBandSize w:val="1"/>
      <w:tblInd w:w="0" w:type="dxa"/>
      <w:tblCellMar>
        <w:top w:w="100" w:type="dxa"/>
        <w:left w:w="100" w:type="dxa"/>
        <w:bottom w:w="100" w:type="dxa"/>
        <w:right w:w="100" w:type="dxa"/>
      </w:tblCellMar>
    </w:tblPr>
  </w:style>
  <w:style w:type="table" w:customStyle="1" w:styleId="a3">
    <w:name w:val="a3"/>
    <w:basedOn w:val="TableNormal"/>
    <w:rsid w:val="0047564B"/>
    <w:tblPr>
      <w:tblStyleRowBandSize w:val="1"/>
      <w:tblStyleColBandSize w:val="1"/>
      <w:tblInd w:w="0" w:type="dxa"/>
      <w:tblCellMar>
        <w:top w:w="100" w:type="dxa"/>
        <w:left w:w="100" w:type="dxa"/>
        <w:bottom w:w="100" w:type="dxa"/>
        <w:right w:w="100" w:type="dxa"/>
      </w:tblCellMar>
    </w:tblPr>
  </w:style>
  <w:style w:type="table" w:customStyle="1" w:styleId="a4">
    <w:name w:val="a4"/>
    <w:basedOn w:val="TableNormal"/>
    <w:rsid w:val="0047564B"/>
    <w:tblPr>
      <w:tblStyleRowBandSize w:val="1"/>
      <w:tblStyleColBandSize w:val="1"/>
      <w:tblInd w:w="0" w:type="dxa"/>
      <w:tblCellMar>
        <w:top w:w="100" w:type="dxa"/>
        <w:left w:w="100" w:type="dxa"/>
        <w:bottom w:w="100" w:type="dxa"/>
        <w:right w:w="100" w:type="dxa"/>
      </w:tblCellMar>
    </w:tblPr>
  </w:style>
  <w:style w:type="table" w:customStyle="1" w:styleId="a5">
    <w:name w:val="a5"/>
    <w:basedOn w:val="TableNormal"/>
    <w:rsid w:val="0047564B"/>
    <w:tblPr>
      <w:tblStyleRowBandSize w:val="1"/>
      <w:tblStyleColBandSize w:val="1"/>
      <w:tblInd w:w="0" w:type="dxa"/>
      <w:tblCellMar>
        <w:top w:w="100" w:type="dxa"/>
        <w:left w:w="100" w:type="dxa"/>
        <w:bottom w:w="100" w:type="dxa"/>
        <w:right w:w="100" w:type="dxa"/>
      </w:tblCellMar>
    </w:tblPr>
  </w:style>
  <w:style w:type="table" w:customStyle="1" w:styleId="a6">
    <w:name w:val="a6"/>
    <w:basedOn w:val="TableNormal"/>
    <w:rsid w:val="0047564B"/>
    <w:tblPr>
      <w:tblStyleRowBandSize w:val="1"/>
      <w:tblStyleColBandSize w:val="1"/>
      <w:tblInd w:w="0" w:type="dxa"/>
      <w:tblCellMar>
        <w:top w:w="100" w:type="dxa"/>
        <w:left w:w="100" w:type="dxa"/>
        <w:bottom w:w="100" w:type="dxa"/>
        <w:right w:w="100" w:type="dxa"/>
      </w:tblCellMar>
    </w:tblPr>
  </w:style>
  <w:style w:type="table" w:customStyle="1" w:styleId="a7">
    <w:name w:val="a7"/>
    <w:basedOn w:val="TableNormal"/>
    <w:rsid w:val="0047564B"/>
    <w:tblPr>
      <w:tblStyleRowBandSize w:val="1"/>
      <w:tblStyleColBandSize w:val="1"/>
      <w:tblInd w:w="0" w:type="dxa"/>
      <w:tblCellMar>
        <w:top w:w="100" w:type="dxa"/>
        <w:left w:w="100" w:type="dxa"/>
        <w:bottom w:w="100" w:type="dxa"/>
        <w:right w:w="100" w:type="dxa"/>
      </w:tblCellMar>
    </w:tblPr>
  </w:style>
  <w:style w:type="table" w:customStyle="1" w:styleId="a8">
    <w:name w:val="a8"/>
    <w:basedOn w:val="TableNormal"/>
    <w:rsid w:val="0047564B"/>
    <w:tblPr>
      <w:tblStyleRowBandSize w:val="1"/>
      <w:tblStyleColBandSize w:val="1"/>
      <w:tblInd w:w="0" w:type="dxa"/>
      <w:tblCellMar>
        <w:top w:w="100" w:type="dxa"/>
        <w:left w:w="100" w:type="dxa"/>
        <w:bottom w:w="100" w:type="dxa"/>
        <w:right w:w="100" w:type="dxa"/>
      </w:tblCellMar>
    </w:tblPr>
  </w:style>
  <w:style w:type="table" w:customStyle="1" w:styleId="a9">
    <w:name w:val="a9"/>
    <w:basedOn w:val="TableNormal"/>
    <w:rsid w:val="0047564B"/>
    <w:tblPr>
      <w:tblStyleRowBandSize w:val="1"/>
      <w:tblStyleColBandSize w:val="1"/>
      <w:tblInd w:w="0" w:type="dxa"/>
      <w:tblCellMar>
        <w:top w:w="100" w:type="dxa"/>
        <w:left w:w="100" w:type="dxa"/>
        <w:bottom w:w="100" w:type="dxa"/>
        <w:right w:w="100" w:type="dxa"/>
      </w:tblCellMar>
    </w:tblPr>
  </w:style>
  <w:style w:type="table" w:customStyle="1" w:styleId="aa">
    <w:name w:val="aa"/>
    <w:basedOn w:val="TableNormal"/>
    <w:rsid w:val="0047564B"/>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316F48"/>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16F48"/>
    <w:pPr>
      <w:spacing w:after="100"/>
    </w:pPr>
  </w:style>
  <w:style w:type="character" w:styleId="Hyperlink">
    <w:name w:val="Hyperlink"/>
    <w:basedOn w:val="DefaultParagraphFont"/>
    <w:uiPriority w:val="99"/>
    <w:unhideWhenUsed/>
    <w:rsid w:val="00316F48"/>
    <w:rPr>
      <w:color w:val="0000FF" w:themeColor="hyperlink"/>
      <w:u w:val="single"/>
    </w:rPr>
  </w:style>
  <w:style w:type="paragraph" w:styleId="BalloonText">
    <w:name w:val="Balloon Text"/>
    <w:basedOn w:val="Normal"/>
    <w:link w:val="BalloonTextChar"/>
    <w:uiPriority w:val="99"/>
    <w:semiHidden/>
    <w:unhideWhenUsed/>
    <w:rsid w:val="00316F4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6F48"/>
    <w:rPr>
      <w:rFonts w:ascii="Tahoma" w:hAnsi="Tahoma" w:cs="Tahoma"/>
      <w:sz w:val="16"/>
      <w:szCs w:val="16"/>
    </w:rPr>
  </w:style>
  <w:style w:type="paragraph" w:styleId="Header">
    <w:name w:val="header"/>
    <w:basedOn w:val="Normal"/>
    <w:link w:val="HeaderChar"/>
    <w:uiPriority w:val="99"/>
    <w:semiHidden/>
    <w:unhideWhenUsed/>
    <w:rsid w:val="00F009F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009FD"/>
  </w:style>
  <w:style w:type="paragraph" w:styleId="Footer">
    <w:name w:val="footer"/>
    <w:basedOn w:val="Normal"/>
    <w:link w:val="FooterChar"/>
    <w:uiPriority w:val="99"/>
    <w:unhideWhenUsed/>
    <w:rsid w:val="00F009FD"/>
    <w:pPr>
      <w:tabs>
        <w:tab w:val="center" w:pos="4680"/>
        <w:tab w:val="right" w:pos="9360"/>
      </w:tabs>
      <w:spacing w:line="240" w:lineRule="auto"/>
    </w:pPr>
  </w:style>
  <w:style w:type="character" w:customStyle="1" w:styleId="FooterChar">
    <w:name w:val="Footer Char"/>
    <w:basedOn w:val="DefaultParagraphFont"/>
    <w:link w:val="Footer"/>
    <w:uiPriority w:val="99"/>
    <w:rsid w:val="00F009F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7C66B-F058-45EB-80C6-D0BB2EB22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13</Pages>
  <Words>2484</Words>
  <Characters>14159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dcterms:created xsi:type="dcterms:W3CDTF">2021-07-19T12:30:00Z</dcterms:created>
  <dcterms:modified xsi:type="dcterms:W3CDTF">2021-07-20T08:46:00Z</dcterms:modified>
</cp:coreProperties>
</file>