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4"/>
        <w:spacing w:before="1540" w:after="240" w:line="360" w:lineRule="auto"/>
        <w:jc w:val="center"/>
        <w:rPr>
          <w:color w:val="auto"/>
        </w:rPr>
      </w:pPr>
      <w:bookmarkStart w:id="0" w:name="_Toc28669"/>
      <w:r>
        <w:rPr>
          <w:color w:val="auto"/>
          <w:lang w:val="en-GB" w:eastAsia="en-GB"/>
        </w:rPr>
        <w:drawing>
          <wp:inline distT="0" distB="0" distL="0" distR="0">
            <wp:extent cx="1417320" cy="750570"/>
            <wp:effectExtent l="0" t="0" r="1905" b="190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auto"/>
          <w:sz w:val="72"/>
          <w:szCs w:val="72"/>
        </w:rPr>
        <w:alias w:val="Title"/>
        <w:id w:val="1735040861"/>
        <w:placeholder>
          <w:docPart w:val="{3777b222-52d6-4748-966f-7e7f2f13fa82}"/>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auto"/>
          <w:sz w:val="80"/>
          <w:szCs w:val="80"/>
        </w:rPr>
      </w:sdtEndPr>
      <w:sdtContent>
        <w:p>
          <w:pPr>
            <w:pStyle w:val="14"/>
            <w:pBdr>
              <w:top w:val="single" w:color="5B9BD5" w:themeColor="accent1" w:sz="6" w:space="6"/>
              <w:bottom w:val="single" w:color="5B9BD5" w:themeColor="accent1" w:sz="6" w:space="6"/>
            </w:pBdr>
            <w:spacing w:after="240" w:line="360" w:lineRule="auto"/>
            <w:jc w:val="center"/>
            <w:rPr>
              <w:rFonts w:asciiTheme="majorHAnsi" w:hAnsiTheme="majorHAnsi" w:eastAsiaTheme="majorEastAsia" w:cstheme="majorBidi"/>
              <w:caps/>
              <w:color w:val="auto"/>
              <w:sz w:val="80"/>
              <w:szCs w:val="80"/>
            </w:rPr>
          </w:pPr>
          <w:r>
            <w:rPr>
              <w:rFonts w:hint="eastAsia" w:asciiTheme="majorHAnsi" w:hAnsiTheme="majorHAnsi" w:eastAsiaTheme="majorEastAsia" w:cstheme="majorBidi"/>
              <w:caps/>
              <w:color w:val="auto"/>
              <w:sz w:val="72"/>
              <w:szCs w:val="72"/>
              <w:lang w:val="en-US" w:eastAsia="zh-CN"/>
            </w:rPr>
            <w:t>Project description and presentation</w:t>
          </w:r>
        </w:p>
      </w:sdtContent>
    </w:sdt>
    <w:p>
      <w:pPr>
        <w:pStyle w:val="14"/>
        <w:spacing w:line="360" w:lineRule="auto"/>
        <w:jc w:val="center"/>
        <w:rPr>
          <w:rFonts w:hint="default" w:ascii="Times New Roman" w:hAnsi="Times New Roman" w:cs="Times New Roman" w:eastAsiaTheme="minorEastAsia"/>
          <w:color w:val="auto"/>
          <w:sz w:val="28"/>
          <w:szCs w:val="28"/>
          <w:lang w:val="en-US" w:eastAsia="zh-CN"/>
        </w:rPr>
      </w:pPr>
      <w:sdt>
        <w:sdtPr>
          <w:rPr>
            <w:rFonts w:hint="default" w:ascii="Times New Roman" w:hAnsi="Times New Roman" w:cs="Times New Roman"/>
            <w:color w:val="auto"/>
            <w:sz w:val="28"/>
            <w:szCs w:val="28"/>
          </w:rPr>
          <w:alias w:val="Subtitle"/>
          <w:id w:val="328029620"/>
          <w:placeholder>
            <w:docPart w:val="{727ba996-932e-4122-8c69-980632adc894}"/>
          </w:placeholder>
          <w15:dataBinding w:prefixMappings="xmlns:ns0='http://purl.org/dc/elements/1.1/' xmlns:ns1='http://schemas.openxmlformats.org/package/2006/metadata/core-properties' " w:xpath="/ns1:coreProperties[1]/ns0:subject[1]" w:storeItemID="{6C3C8BC8-F283-45AE-878A-BAB7291924A1}"/>
          <w:text/>
        </w:sdtPr>
        <w:sdtEndPr>
          <w:rPr>
            <w:rFonts w:hint="default" w:ascii="Times New Roman" w:hAnsi="Times New Roman" w:cs="Times New Roman"/>
            <w:color w:val="auto"/>
            <w:sz w:val="28"/>
            <w:szCs w:val="28"/>
          </w:rPr>
        </w:sdtEndPr>
        <w:sdtContent>
          <w:r>
            <w:rPr>
              <w:rFonts w:hint="default" w:ascii="Times New Roman" w:hAnsi="Times New Roman" w:cs="Times New Roman"/>
              <w:color w:val="auto"/>
              <w:sz w:val="28"/>
              <w:szCs w:val="28"/>
              <w:lang w:eastAsia="zh-CN"/>
            </w:rPr>
            <w:t xml:space="preserve">Boyuan </w:t>
          </w:r>
        </w:sdtContent>
      </w:sdt>
      <w:r>
        <w:rPr>
          <w:rFonts w:hint="default" w:ascii="Times New Roman" w:hAnsi="Times New Roman" w:cs="Times New Roman" w:eastAsiaTheme="minorEastAsia"/>
          <w:color w:val="auto"/>
          <w:sz w:val="28"/>
          <w:szCs w:val="28"/>
          <w:lang w:val="en-US" w:eastAsia="zh-CN"/>
        </w:rPr>
        <w:t>Network Technology company</w:t>
      </w:r>
    </w:p>
    <w:p>
      <w:pPr>
        <w:pStyle w:val="14"/>
        <w:spacing w:line="360" w:lineRule="auto"/>
        <w:jc w:val="center"/>
        <w:rPr>
          <w:rFonts w:hint="eastAsia" w:ascii="Times New Roman" w:hAnsi="Times New Roman" w:cs="Times New Roman"/>
          <w:color w:val="auto"/>
          <w:sz w:val="28"/>
          <w:szCs w:val="28"/>
          <w:lang w:val="en-US" w:eastAsia="zh-CN"/>
        </w:rPr>
      </w:pPr>
      <w:r>
        <w:rPr>
          <w:rFonts w:hint="eastAsia" w:ascii="Times New Roman" w:hAnsi="Times New Roman" w:cs="Times New Roman"/>
          <w:color w:val="auto"/>
          <w:sz w:val="28"/>
          <w:szCs w:val="28"/>
          <w:lang w:val="en-US" w:eastAsia="zh-CN"/>
        </w:rPr>
        <w:t>Name: Fulin Zhang</w:t>
      </w:r>
    </w:p>
    <w:p>
      <w:pPr>
        <w:pStyle w:val="14"/>
        <w:spacing w:line="360" w:lineRule="auto"/>
        <w:jc w:val="center"/>
        <w:rPr>
          <w:rFonts w:hint="default" w:ascii="Times New Roman" w:hAnsi="Times New Roman" w:cs="Times New Roman"/>
          <w:color w:val="auto"/>
          <w:sz w:val="28"/>
          <w:szCs w:val="28"/>
          <w:lang w:val="en-US" w:eastAsia="zh-CN"/>
        </w:rPr>
      </w:pPr>
      <w:r>
        <w:rPr>
          <w:rFonts w:hint="eastAsia" w:ascii="Times New Roman" w:hAnsi="Times New Roman" w:cs="Times New Roman"/>
          <w:color w:val="auto"/>
          <w:sz w:val="28"/>
          <w:szCs w:val="28"/>
          <w:lang w:val="en-US" w:eastAsia="zh-CN"/>
        </w:rPr>
        <w:t>Student Number: 1801887</w:t>
      </w:r>
    </w:p>
    <w:p>
      <w:pPr>
        <w:pStyle w:val="14"/>
        <w:spacing w:before="480" w:line="360" w:lineRule="auto"/>
        <w:jc w:val="center"/>
        <w:rPr>
          <w:color w:val="auto"/>
        </w:rPr>
      </w:pPr>
      <w:r>
        <w:rPr>
          <w:color w:val="auto"/>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rPr>
                                <w:caps/>
                                <w:color w:val="auto"/>
                                <w:sz w:val="28"/>
                                <w:szCs w:val="28"/>
                              </w:rPr>
                            </w:sdtEndPr>
                            <w:sdtContent>
                              <w:p>
                                <w:pPr>
                                  <w:pStyle w:val="14"/>
                                  <w:spacing w:after="40"/>
                                  <w:jc w:val="center"/>
                                  <w:rPr>
                                    <w:caps/>
                                    <w:color w:val="auto"/>
                                    <w:sz w:val="28"/>
                                    <w:szCs w:val="28"/>
                                  </w:rPr>
                                </w:pPr>
                                <w:r>
                                  <w:rPr>
                                    <w:rFonts w:hint="eastAsia"/>
                                    <w:caps/>
                                    <w:color w:val="auto"/>
                                    <w:sz w:val="28"/>
                                    <w:szCs w:val="28"/>
                                    <w:lang w:eastAsia="zh-CN"/>
                                  </w:rPr>
                                  <w:t>0</w:t>
                                </w:r>
                                <w:r>
                                  <w:rPr>
                                    <w:rFonts w:hint="eastAsia"/>
                                    <w:caps/>
                                    <w:color w:val="auto"/>
                                    <w:sz w:val="28"/>
                                    <w:szCs w:val="28"/>
                                    <w:lang w:val="en-US" w:eastAsia="zh-CN"/>
                                  </w:rPr>
                                  <w:t>6/03/20</w:t>
                                </w:r>
                              </w:p>
                            </w:sdtContent>
                          </w:sdt>
                          <w:p>
                            <w:pPr>
                              <w:pStyle w:val="14"/>
                              <w:jc w:val="center"/>
                              <w:rPr>
                                <w:color w:val="auto"/>
                              </w:rPr>
                            </w:pPr>
                            <w:sdt>
                              <w:sdtPr>
                                <w:rPr>
                                  <w:caps/>
                                  <w:color w:val="auto"/>
                                </w:rPr>
                                <w:alias w:val="Company"/>
                                <w:id w:val="1390145197"/>
                                <w15:dataBinding w:prefixMappings="xmlns:ns0='http://schemas.openxmlformats.org/officeDocument/2006/extended-properties' " w:xpath="/ns0:Properties[1]/ns0:Company[1]" w:storeItemID="{6668398D-A668-4E3E-A5EB-62B293D839F1}"/>
                                <w:text/>
                              </w:sdtPr>
                              <w:sdtEndPr>
                                <w:rPr>
                                  <w:caps/>
                                  <w:color w:val="auto"/>
                                </w:rPr>
                              </w:sdtEndPr>
                              <w:sdtContent>
                                <w:r>
                                  <w:rPr>
                                    <w:caps/>
                                    <w:color w:val="auto"/>
                                    <w:lang w:val="en-GB"/>
                                  </w:rPr>
                                  <w:t>University of Wales Trinity Saint David</w:t>
                                </w:r>
                              </w:sdtContent>
                            </w:sdt>
                          </w:p>
                          <w:p>
                            <w:pPr>
                              <w:pStyle w:val="14"/>
                              <w:jc w:val="center"/>
                              <w:rPr>
                                <w:color w:val="auto"/>
                              </w:rPr>
                            </w:pPr>
                            <w:sdt>
                              <w:sdtPr>
                                <w:rPr>
                                  <w:color w:val="auto"/>
                                </w:rPr>
                                <w:alias w:val="Address"/>
                                <w:id w:val="-726379553"/>
                                <w:showingPlcHdr/>
                                <w15:dataBinding w:prefixMappings="xmlns:ns0='http://schemas.microsoft.com/office/2006/coverPageProps' " w:xpath="/ns0:CoverPageProperties[1]/ns0:CompanyAddress[1]" w:storeItemID="{55AF091B-3C7A-41E3-B477-F2FDAA23CFDA}"/>
                                <w:text/>
                              </w:sdtPr>
                              <w:sdtEndPr>
                                <w:rPr>
                                  <w:color w:val="auto"/>
                                </w:rPr>
                              </w:sdtEndPr>
                              <w:sdtContent>
                                <w:r>
                                  <w:rPr>
                                    <w:color w:val="auto"/>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90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rPr>
                          <w:caps/>
                          <w:color w:val="auto"/>
                          <w:sz w:val="28"/>
                          <w:szCs w:val="28"/>
                        </w:rPr>
                      </w:sdtEndPr>
                      <w:sdtContent>
                        <w:p>
                          <w:pPr>
                            <w:pStyle w:val="14"/>
                            <w:spacing w:after="40"/>
                            <w:jc w:val="center"/>
                            <w:rPr>
                              <w:caps/>
                              <w:color w:val="auto"/>
                              <w:sz w:val="28"/>
                              <w:szCs w:val="28"/>
                            </w:rPr>
                          </w:pPr>
                          <w:r>
                            <w:rPr>
                              <w:rFonts w:hint="eastAsia"/>
                              <w:caps/>
                              <w:color w:val="auto"/>
                              <w:sz w:val="28"/>
                              <w:szCs w:val="28"/>
                              <w:lang w:eastAsia="zh-CN"/>
                            </w:rPr>
                            <w:t>0</w:t>
                          </w:r>
                          <w:r>
                            <w:rPr>
                              <w:rFonts w:hint="eastAsia"/>
                              <w:caps/>
                              <w:color w:val="auto"/>
                              <w:sz w:val="28"/>
                              <w:szCs w:val="28"/>
                              <w:lang w:val="en-US" w:eastAsia="zh-CN"/>
                            </w:rPr>
                            <w:t>6/03/20</w:t>
                          </w:r>
                        </w:p>
                      </w:sdtContent>
                    </w:sdt>
                    <w:p>
                      <w:pPr>
                        <w:pStyle w:val="14"/>
                        <w:jc w:val="center"/>
                        <w:rPr>
                          <w:color w:val="auto"/>
                        </w:rPr>
                      </w:pPr>
                      <w:sdt>
                        <w:sdtPr>
                          <w:rPr>
                            <w:caps/>
                            <w:color w:val="auto"/>
                          </w:rPr>
                          <w:alias w:val="Company"/>
                          <w:id w:val="1390145197"/>
                          <w15:dataBinding w:prefixMappings="xmlns:ns0='http://schemas.openxmlformats.org/officeDocument/2006/extended-properties' " w:xpath="/ns0:Properties[1]/ns0:Company[1]" w:storeItemID="{6668398D-A668-4E3E-A5EB-62B293D839F1}"/>
                          <w:text/>
                        </w:sdtPr>
                        <w:sdtEndPr>
                          <w:rPr>
                            <w:caps/>
                            <w:color w:val="auto"/>
                          </w:rPr>
                        </w:sdtEndPr>
                        <w:sdtContent>
                          <w:r>
                            <w:rPr>
                              <w:caps/>
                              <w:color w:val="auto"/>
                              <w:lang w:val="en-GB"/>
                            </w:rPr>
                            <w:t>University of Wales Trinity Saint David</w:t>
                          </w:r>
                        </w:sdtContent>
                      </w:sdt>
                    </w:p>
                    <w:p>
                      <w:pPr>
                        <w:pStyle w:val="14"/>
                        <w:jc w:val="center"/>
                        <w:rPr>
                          <w:color w:val="auto"/>
                        </w:rPr>
                      </w:pPr>
                      <w:sdt>
                        <w:sdtPr>
                          <w:rPr>
                            <w:color w:val="auto"/>
                          </w:rPr>
                          <w:alias w:val="Address"/>
                          <w:id w:val="-726379553"/>
                          <w:showingPlcHdr/>
                          <w15:dataBinding w:prefixMappings="xmlns:ns0='http://schemas.microsoft.com/office/2006/coverPageProps' " w:xpath="/ns0:CoverPageProperties[1]/ns0:CompanyAddress[1]" w:storeItemID="{55AF091B-3C7A-41E3-B477-F2FDAA23CFDA}"/>
                          <w:text/>
                        </w:sdtPr>
                        <w:sdtEndPr>
                          <w:rPr>
                            <w:color w:val="auto"/>
                          </w:rPr>
                        </w:sdtEndPr>
                        <w:sdtContent>
                          <w:r>
                            <w:rPr>
                              <w:color w:val="auto"/>
                            </w:rPr>
                            <w:t xml:space="preserve">     </w:t>
                          </w:r>
                        </w:sdtContent>
                      </w:sdt>
                    </w:p>
                  </w:txbxContent>
                </v:textbox>
              </v:shape>
            </w:pict>
          </mc:Fallback>
        </mc:AlternateContent>
      </w:r>
      <w:r>
        <w:rPr>
          <w:color w:val="auto"/>
          <w:lang w:val="en-GB" w:eastAsia="en-GB"/>
        </w:rPr>
        <w:drawing>
          <wp:inline distT="0" distB="0" distL="0" distR="0">
            <wp:extent cx="758825" cy="478790"/>
            <wp:effectExtent l="0" t="0" r="3175" b="698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numPr>
          <w:ilvl w:val="0"/>
          <w:numId w:val="0"/>
        </w:numPr>
        <w:spacing w:line="360" w:lineRule="auto"/>
        <w:rPr>
          <w:rFonts w:hint="default" w:ascii="Times New Roman" w:hAnsi="Times New Roman" w:cs="Times New Roman" w:eastAsiaTheme="minorEastAsia"/>
          <w:color w:val="auto"/>
          <w:sz w:val="24"/>
          <w:szCs w:val="24"/>
          <w:lang w:val="en-US" w:eastAsia="zh-CN"/>
        </w:rPr>
        <w:sectPr>
          <w:pgSz w:w="11906" w:h="16838"/>
          <w:pgMar w:top="1440" w:right="1800" w:bottom="1440" w:left="1800" w:header="851" w:footer="992" w:gutter="0"/>
          <w:cols w:space="425" w:num="1"/>
          <w:docGrid w:type="lines" w:linePitch="312" w:charSpace="0"/>
        </w:sectPr>
      </w:pPr>
      <w:r>
        <w:rPr>
          <w:color w:val="auto"/>
        </w:rPr>
        <w:br w:type="page"/>
      </w:r>
    </w:p>
    <w:sdt>
      <w:sdtPr>
        <w:rPr>
          <w:rFonts w:hint="default" w:ascii="Times New Roman" w:hAnsi="Times New Roman" w:eastAsia="宋体" w:cs="Times New Roman"/>
          <w:kern w:val="2"/>
          <w:sz w:val="24"/>
          <w:szCs w:val="24"/>
          <w:lang w:val="en-US" w:eastAsia="zh-CN" w:bidi="ar-SA"/>
        </w:rPr>
        <w:id w:val="147464215"/>
        <w:docPartObj>
          <w:docPartGallery w:val="Table of Contents"/>
          <w:docPartUnique/>
        </w:docPartObj>
      </w:sdtPr>
      <w:sdtEndPr>
        <w:rPr>
          <w:rFonts w:hint="default" w:ascii="Times New Roman" w:hAnsi="Times New Roman" w:cs="Times New Roman" w:eastAsiaTheme="minorEastAsia"/>
          <w:kern w:val="2"/>
          <w:sz w:val="24"/>
          <w:szCs w:val="24"/>
          <w:lang w:val="en-US" w:eastAsia="zh-CN" w:bidi="ar-SA"/>
        </w:rPr>
      </w:sdtEndPr>
      <w:sdtContent>
        <w:p>
          <w:pPr>
            <w:spacing w:before="0" w:beforeLines="0" w:after="0" w:afterLines="0" w:line="360" w:lineRule="auto"/>
            <w:ind w:left="0" w:leftChars="0" w:right="0" w:rightChars="0" w:firstLine="0" w:firstLineChars="0"/>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Content</w:t>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TOC \o "1-3" \h \u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_Toc6262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bCs w:val="0"/>
              <w:sz w:val="24"/>
              <w:szCs w:val="24"/>
              <w:lang w:val="en-US" w:eastAsia="zh-CN"/>
            </w:rPr>
            <w:t>1. 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_Toc6262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_Toc3084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bCs w:val="0"/>
              <w:sz w:val="24"/>
              <w:szCs w:val="24"/>
              <w:lang w:val="en-US" w:eastAsia="zh-CN"/>
            </w:rPr>
            <w:t>2.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_Toc3084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_Toc6840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bCs w:val="0"/>
              <w:sz w:val="24"/>
              <w:szCs w:val="24"/>
              <w:lang w:val="en-US" w:eastAsia="zh-CN"/>
            </w:rPr>
            <w:t>3. Main Body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_Toc6840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_Toc7193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3.1 Project Justification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_Toc7193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_Toc4794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3.1.1 Project Background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_Toc4794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_Toc30138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3.1.2 Main Business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_Toc30138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_Toc4735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3.1.3 Project Objective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_Toc4735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_Toc23444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3.1.4 SMART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_Toc23444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_Toc4125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3.2 Project Approach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_Toc4125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_Toc14682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3.2.1 Potential Problem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_Toc14682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_Toc18057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3.2.2 Organizational Interest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_Toc18057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_Toc11256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3.3 Project Manager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_Toc11256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_Toc7589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3.3.1 Advantages of Manager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_Toc7589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_Toc18407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3.3.2 Disadvantages of Manager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_Toc18407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_Toc23477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3.4 Project Analysis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_Toc23477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_Toc30526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3.4.1 PESTLE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_Toc30526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_Toc13238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3.4.2 SWOT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_Toc13238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_Toc21829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4.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_Toc21829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_Toc7973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5. 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_Toc7973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numPr>
              <w:ilvl w:val="0"/>
              <w:numId w:val="0"/>
            </w:numPr>
            <w:spacing w:line="360" w:lineRule="auto"/>
            <w:rPr>
              <w:rFonts w:hint="default" w:ascii="Times New Roman" w:hAnsi="Times New Roman" w:cs="Times New Roman" w:eastAsiaTheme="minorEastAsia"/>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eastAsiaTheme="minorEastAsia"/>
              <w:sz w:val="24"/>
              <w:szCs w:val="24"/>
              <w:lang w:val="en-US" w:eastAsia="zh-CN"/>
            </w:rPr>
            <w:fldChar w:fldCharType="end"/>
          </w:r>
        </w:p>
      </w:sdtContent>
    </w:sdt>
    <w:p>
      <w:pPr>
        <w:pStyle w:val="2"/>
        <w:numPr>
          <w:ilvl w:val="0"/>
          <w:numId w:val="1"/>
        </w:numPr>
        <w:spacing w:line="360" w:lineRule="auto"/>
        <w:rPr>
          <w:rFonts w:hint="default" w:ascii="Times New Roman" w:hAnsi="Times New Roman" w:cs="Times New Roman"/>
          <w:b/>
          <w:bCs w:val="0"/>
          <w:sz w:val="24"/>
          <w:szCs w:val="24"/>
          <w:lang w:val="en-US" w:eastAsia="zh-CN"/>
        </w:rPr>
      </w:pPr>
      <w:bookmarkStart w:id="1" w:name="_Toc6262"/>
      <w:r>
        <w:rPr>
          <w:rFonts w:hint="default" w:ascii="Times New Roman" w:hAnsi="Times New Roman" w:cs="Times New Roman"/>
          <w:b/>
          <w:bCs w:val="0"/>
          <w:sz w:val="24"/>
          <w:szCs w:val="24"/>
          <w:lang w:val="en-US" w:eastAsia="zh-CN"/>
        </w:rPr>
        <w:t>Executive Summary</w:t>
      </w:r>
      <w:bookmarkEnd w:id="0"/>
      <w:bookmarkEnd w:id="1"/>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eastAsiaTheme="minorEastAsia"/>
          <w:sz w:val="24"/>
          <w:szCs w:val="24"/>
          <w:lang w:val="en-US" w:eastAsia="zh-CN"/>
        </w:rPr>
        <w:t>Beijing Boyuan Network Technology company is an internet education company</w:t>
      </w:r>
      <w:r>
        <w:rPr>
          <w:rFonts w:hint="eastAsia" w:ascii="Times New Roman" w:hAnsi="Times New Roman" w:cs="Times New Roman"/>
          <w:sz w:val="24"/>
          <w:szCs w:val="24"/>
          <w:lang w:val="en-US" w:eastAsia="zh-CN"/>
        </w:rPr>
        <w:t>, t</w:t>
      </w:r>
      <w:r>
        <w:rPr>
          <w:rFonts w:hint="default" w:ascii="Times New Roman" w:hAnsi="Times New Roman" w:cs="Times New Roman" w:eastAsiaTheme="minorEastAsia"/>
          <w:sz w:val="24"/>
          <w:szCs w:val="24"/>
          <w:lang w:val="en-US" w:eastAsia="zh-CN"/>
        </w:rPr>
        <w:t>hey have been committed to building China's first Internet learning platform</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The report shows the company's historical information, business capabilities, technical level and financial situation. The paper uses methods such as SMART analysis, PESTLE analysis, and SWOT analysis. All analyses are based on company information, internal data and financial information. </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0"/>
        </w:numPr>
        <w:spacing w:line="360" w:lineRule="auto"/>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p>
    <w:p>
      <w:pPr>
        <w:pStyle w:val="2"/>
        <w:numPr>
          <w:ilvl w:val="0"/>
          <w:numId w:val="1"/>
        </w:numPr>
        <w:spacing w:line="360" w:lineRule="auto"/>
        <w:ind w:left="0" w:leftChars="0" w:firstLine="0" w:firstLineChars="0"/>
        <w:rPr>
          <w:rFonts w:hint="default" w:ascii="Times New Roman" w:hAnsi="Times New Roman" w:cs="Times New Roman"/>
          <w:b/>
          <w:bCs w:val="0"/>
          <w:sz w:val="24"/>
          <w:szCs w:val="24"/>
          <w:lang w:val="en-US" w:eastAsia="zh-CN"/>
        </w:rPr>
      </w:pPr>
      <w:bookmarkStart w:id="2" w:name="_Toc3084"/>
      <w:r>
        <w:rPr>
          <w:rFonts w:hint="default" w:ascii="Times New Roman" w:hAnsi="Times New Roman" w:cs="Times New Roman"/>
          <w:b/>
          <w:bCs w:val="0"/>
          <w:sz w:val="24"/>
          <w:szCs w:val="24"/>
          <w:lang w:val="en-US" w:eastAsia="zh-CN"/>
        </w:rPr>
        <w:t>Introduction</w:t>
      </w:r>
      <w:bookmarkEnd w:id="2"/>
    </w:p>
    <w:p>
      <w:pPr>
        <w:numPr>
          <w:ilvl w:val="0"/>
          <w:numId w:val="0"/>
        </w:numPr>
        <w:spacing w:line="360" w:lineRule="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Beijing Boyuan Network Technology company is an internet education company for enterprise growth, education and training, project development and management consulting. They have been committed to building China's first Internet learning platform</w:t>
      </w:r>
      <w:r>
        <w:rPr>
          <w:rFonts w:hint="default" w:ascii="Times New Roman" w:hAnsi="Times New Roman" w:cs="Times New Roman"/>
          <w:sz w:val="24"/>
          <w:szCs w:val="24"/>
          <w:lang w:val="en-US" w:eastAsia="zh-CN"/>
        </w:rPr>
        <w:t xml:space="preserve">. Since the establishment of the company, there have been important problems in terms of funding. </w:t>
      </w:r>
      <w:r>
        <w:rPr>
          <w:rFonts w:hint="default" w:ascii="Times New Roman" w:hAnsi="Times New Roman" w:cs="Times New Roman" w:eastAsiaTheme="minorEastAsia"/>
          <w:sz w:val="24"/>
          <w:szCs w:val="24"/>
          <w:lang w:val="en-US" w:eastAsia="zh-CN"/>
        </w:rPr>
        <w:t>The company has a registered capital of 10 million yuan. The company's wholly-owned subsidiary Shenzhen Boyuan E-commerce Co., Ltd. has a registered capital of 5 million yuan. The company's wholly-owned subsidiary, Horgos Network Technology Co., Ltd. Registered capital of 1 million yuan; the company's holdings of 65% of the holding subsidiary Beijing Boyuan E-commerce Co., Ltd. registered capital of 50 million yuan. Since the establishment of the company, it has achieved certain business results, but the main business entities' investment is not in place, which affects the matching of business performance, which will cause investors to question or worry.</w:t>
      </w:r>
    </w:p>
    <w:p>
      <w:pPr>
        <w:numPr>
          <w:ilvl w:val="0"/>
          <w:numId w:val="0"/>
        </w:numPr>
        <w:spacing w:line="360" w:lineRule="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Qualitative and quantitative analysis can be used for the analysis of the company. In the case of accurate historical data, the analysis is based on the experience of the company in the past, and the opinions are revised. It is also possible to make judgments based on the analysis of the company's operations based on the company's financial statements as the main source of data. When collecting data, you can directly interview the company's internal personnel, so that the information obtained is the most reliable. Not only can you access the original materials, but you can also get effective information through interviews.</w:t>
      </w:r>
    </w:p>
    <w:p>
      <w:pPr>
        <w:pStyle w:val="2"/>
        <w:numPr>
          <w:ilvl w:val="0"/>
          <w:numId w:val="1"/>
        </w:numPr>
        <w:spacing w:line="360" w:lineRule="auto"/>
        <w:ind w:left="0" w:leftChars="0" w:firstLine="0" w:firstLineChars="0"/>
        <w:rPr>
          <w:rFonts w:hint="default" w:ascii="Times New Roman" w:hAnsi="Times New Roman" w:cs="Times New Roman"/>
          <w:b/>
          <w:bCs w:val="0"/>
          <w:sz w:val="24"/>
          <w:szCs w:val="24"/>
          <w:lang w:val="en-US" w:eastAsia="zh-CN"/>
        </w:rPr>
      </w:pPr>
      <w:bookmarkStart w:id="3" w:name="_Toc6840"/>
      <w:r>
        <w:rPr>
          <w:rFonts w:hint="default" w:ascii="Times New Roman" w:hAnsi="Times New Roman" w:cs="Times New Roman"/>
          <w:b/>
          <w:bCs w:val="0"/>
          <w:sz w:val="24"/>
          <w:szCs w:val="24"/>
          <w:lang w:val="en-US" w:eastAsia="zh-CN"/>
        </w:rPr>
        <w:t>Main Body</w:t>
      </w:r>
      <w:bookmarkEnd w:id="3"/>
    </w:p>
    <w:p>
      <w:pPr>
        <w:pStyle w:val="3"/>
        <w:spacing w:line="360" w:lineRule="auto"/>
        <w:rPr>
          <w:rFonts w:hint="default" w:ascii="Times New Roman" w:hAnsi="Times New Roman" w:cs="Times New Roman"/>
          <w:sz w:val="24"/>
          <w:szCs w:val="24"/>
          <w:lang w:val="en-US" w:eastAsia="zh-CN"/>
        </w:rPr>
      </w:pPr>
      <w:bookmarkStart w:id="4" w:name="_Toc7193"/>
      <w:r>
        <w:rPr>
          <w:rFonts w:hint="default" w:ascii="Times New Roman" w:hAnsi="Times New Roman" w:cs="Times New Roman"/>
          <w:sz w:val="24"/>
          <w:szCs w:val="24"/>
          <w:lang w:val="en-US" w:eastAsia="zh-CN"/>
        </w:rPr>
        <w:t>3.1 Project Justification</w:t>
      </w:r>
      <w:bookmarkEnd w:id="4"/>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Now</w:t>
      </w:r>
      <w:r>
        <w:rPr>
          <w:rFonts w:hint="eastAsia" w:ascii="Times New Roman" w:hAnsi="Times New Roman" w:cs="Times New Roman"/>
          <w:sz w:val="24"/>
          <w:szCs w:val="24"/>
          <w:lang w:val="en-US" w:eastAsia="zh-CN"/>
        </w:rPr>
        <w:t>adays, this</w:t>
      </w:r>
      <w:r>
        <w:rPr>
          <w:rFonts w:hint="default" w:ascii="Times New Roman" w:hAnsi="Times New Roman" w:cs="Times New Roman"/>
          <w:sz w:val="24"/>
          <w:szCs w:val="24"/>
          <w:lang w:val="en-US" w:eastAsia="zh-CN"/>
        </w:rPr>
        <w:t xml:space="preserve"> is the era of mobile Internet, Internet technology has promoted the development of Internet companies around the world. President of Haier Company - Yunjie Zhou,</w:t>
      </w:r>
      <w:r>
        <w:rPr>
          <w:rFonts w:hint="eastAsia" w:ascii="Times New Roman" w:hAnsi="Times New Roman" w:cs="Times New Roman"/>
          <w:sz w:val="24"/>
          <w:szCs w:val="24"/>
          <w:lang w:val="en-US" w:eastAsia="zh-CN"/>
        </w:rPr>
        <w:t xml:space="preserve"> (2016),</w:t>
      </w:r>
      <w:r>
        <w:rPr>
          <w:rFonts w:hint="default" w:ascii="Times New Roman" w:hAnsi="Times New Roman" w:cs="Times New Roman"/>
          <w:sz w:val="24"/>
          <w:szCs w:val="24"/>
          <w:lang w:val="en-US" w:eastAsia="zh-CN"/>
        </w:rPr>
        <w:t xml:space="preserve"> proposed that the Internet of Things is about the Internet of Everything, reflecting the sharing economy and the social economy. Then the combination of Internet technology and enterprise must be a very promising direction. With the proliferation of network technology companies, Beijing Boyuan Network Technology company is more challenged in its business areas. Currently,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its business scope includes not only the development, transfer and promotion of technology, but also the development of design and software in the computer field. According to the information on the Internet, the company is preparing to go public recently in order to remain competitive. The report will raise the company's problems in </w:t>
      </w:r>
      <w:r>
        <w:rPr>
          <w:rFonts w:hint="eastAsia" w:ascii="Times New Roman" w:hAnsi="Times New Roman" w:cs="Times New Roman"/>
          <w:sz w:val="24"/>
          <w:szCs w:val="24"/>
          <w:lang w:val="en-US" w:eastAsia="zh-CN"/>
        </w:rPr>
        <w:t>w</w:t>
      </w:r>
      <w:r>
        <w:rPr>
          <w:rFonts w:hint="default" w:ascii="Times New Roman" w:hAnsi="Times New Roman" w:cs="Times New Roman"/>
          <w:sz w:val="24"/>
          <w:szCs w:val="24"/>
          <w:lang w:val="en-US" w:eastAsia="zh-CN"/>
        </w:rPr>
        <w:t>hich aspect, and propose a solution direction in the following papers.</w:t>
      </w:r>
    </w:p>
    <w:p>
      <w:pPr>
        <w:pStyle w:val="4"/>
        <w:spacing w:line="360" w:lineRule="auto"/>
        <w:rPr>
          <w:rFonts w:hint="default" w:ascii="Times New Roman" w:hAnsi="Times New Roman" w:cs="Times New Roman"/>
          <w:sz w:val="24"/>
          <w:szCs w:val="24"/>
          <w:lang w:val="en-US" w:eastAsia="zh-CN"/>
        </w:rPr>
      </w:pPr>
      <w:bookmarkStart w:id="5" w:name="_Toc4794"/>
      <w:r>
        <w:rPr>
          <w:rFonts w:hint="default" w:ascii="Times New Roman" w:hAnsi="Times New Roman" w:cs="Times New Roman"/>
          <w:sz w:val="24"/>
          <w:szCs w:val="24"/>
          <w:lang w:val="en-US" w:eastAsia="zh-CN"/>
        </w:rPr>
        <w:t>3.1.1 Project Background</w:t>
      </w:r>
      <w:bookmarkEnd w:id="5"/>
    </w:p>
    <w:p>
      <w:pPr>
        <w:numPr>
          <w:ilvl w:val="0"/>
          <w:numId w:val="0"/>
        </w:numPr>
        <w:spacing w:line="360" w:lineRule="auto"/>
        <w:ind w:left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At the current stage</w:t>
      </w:r>
      <w:r>
        <w:rPr>
          <w:rFonts w:hint="default" w:ascii="Times New Roman" w:hAnsi="Times New Roman" w:cs="Times New Roman"/>
          <w:sz w:val="24"/>
          <w:szCs w:val="24"/>
          <w:lang w:val="en-US" w:eastAsia="zh-CN"/>
        </w:rPr>
        <w:t>, there are certain differences between the marketing mode of the product and the back-end data of the technical department and the confirmation of the financial department in the actual business development process. Including how to standardize the compliance of the company's business, the integrity of the back-end data, and the authenticity of financial information will be the focus of future IPO work. In 2010, the Ministry of Finance, the National Audit Office, the China Securities Regulatory Commission, and the Banking Supervision and Supervision Commission jointly issued the “Basic Standards for Internal Control of Enterprises” and its application guidelines and evaluation guidelines, and fully considered the characteristics of the business operations and the specific circumstances of the listed companies. Understanding, testing and evaluating internal controls will be the most important issue for intermediaries participating in the IPO process, as well as specific guarantees to ensure the authenticity of the company's future IPO process.</w:t>
      </w:r>
    </w:p>
    <w:p>
      <w:pPr>
        <w:pStyle w:val="4"/>
        <w:spacing w:line="360" w:lineRule="auto"/>
        <w:rPr>
          <w:rFonts w:hint="default" w:ascii="Times New Roman" w:hAnsi="Times New Roman" w:cs="Times New Roman"/>
          <w:sz w:val="24"/>
          <w:szCs w:val="24"/>
          <w:lang w:val="en-US" w:eastAsia="zh-CN"/>
        </w:rPr>
      </w:pPr>
      <w:bookmarkStart w:id="6" w:name="_Toc30138"/>
      <w:r>
        <w:rPr>
          <w:rFonts w:hint="default" w:ascii="Times New Roman" w:hAnsi="Times New Roman" w:cs="Times New Roman"/>
          <w:sz w:val="24"/>
          <w:szCs w:val="24"/>
          <w:lang w:val="en-US" w:eastAsia="zh-CN"/>
        </w:rPr>
        <w:t>3.1.</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 xml:space="preserve"> Main Business Model</w:t>
      </w:r>
      <w:bookmarkEnd w:id="6"/>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terms of development path, the company mainly relies on the user traffic and stickiness accumulated by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ompany owner’s personal brand effect. The most important thing to pay attention to is how to maintain the core competitiveness and sustainable operation ability of the platform. At the following stages,this company should improve the competitiveness of the main business and highlight the advantages of the main products to determine the road to be developed.</w:t>
      </w:r>
    </w:p>
    <w:p>
      <w:pPr>
        <w:pStyle w:val="4"/>
        <w:spacing w:line="360" w:lineRule="auto"/>
        <w:rPr>
          <w:rFonts w:hint="default" w:ascii="Times New Roman" w:hAnsi="Times New Roman" w:cs="Times New Roman"/>
          <w:sz w:val="24"/>
          <w:szCs w:val="24"/>
          <w:lang w:val="en-US" w:eastAsia="zh-CN"/>
        </w:rPr>
      </w:pPr>
      <w:bookmarkStart w:id="7" w:name="_Toc4735"/>
      <w:r>
        <w:rPr>
          <w:rFonts w:hint="default" w:ascii="Times New Roman" w:hAnsi="Times New Roman" w:cs="Times New Roman"/>
          <w:sz w:val="24"/>
          <w:szCs w:val="24"/>
          <w:lang w:val="en-US" w:eastAsia="zh-CN"/>
        </w:rPr>
        <w:t>3.1.</w:t>
      </w: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 xml:space="preserve"> Project Objective</w:t>
      </w:r>
      <w:bookmarkEnd w:id="7"/>
    </w:p>
    <w:p>
      <w:pPr>
        <w:numPr>
          <w:ilvl w:val="0"/>
          <w:numId w:val="0"/>
        </w:numPr>
        <w:spacing w:line="360" w:lineRule="auto"/>
        <w:ind w:leftChars="0"/>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This report aims to t</w:t>
      </w:r>
      <w:r>
        <w:rPr>
          <w:rFonts w:hint="default" w:ascii="Times New Roman" w:hAnsi="Times New Roman" w:cs="Times New Roman" w:eastAsiaTheme="minorEastAsia"/>
          <w:sz w:val="24"/>
          <w:szCs w:val="24"/>
          <w:lang w:val="en-US" w:eastAsia="zh-CN"/>
        </w:rPr>
        <w:t>hrough the analysis of company intelligence and data content, as well as changes in the capital market caused by international macroeconomic trends, determine the possibility of the company's future listing. Analyze the company's future direction in the paper, identify and correct errors that need improvement. In the complete paper, the matters that need to be improved will be gradually clarified, and then the road of asset securitization will be planned according to the financial content.</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company's listing can quickly obtain the funds needed for the development of the company and obtain stable long-term financing channels for the company's sustainable development. It can also be used as a public company to greatly increase its visibility. After the company goes public, it can support the company to grow at a higher speed to achieve the leading opportunity in the same industry. On the other hand, if a listed company can obtain operational security, it can also gain stronger political influence.</w:t>
      </w:r>
    </w:p>
    <w:p>
      <w:pPr>
        <w:pStyle w:val="4"/>
        <w:spacing w:line="360" w:lineRule="auto"/>
        <w:rPr>
          <w:rFonts w:hint="default" w:ascii="Times New Roman" w:hAnsi="Times New Roman" w:cs="Times New Roman"/>
          <w:sz w:val="24"/>
          <w:szCs w:val="24"/>
          <w:lang w:val="en-US" w:eastAsia="zh-CN"/>
        </w:rPr>
      </w:pPr>
      <w:bookmarkStart w:id="8" w:name="_Toc23444"/>
      <w:r>
        <w:rPr>
          <w:rFonts w:hint="default" w:ascii="Times New Roman" w:hAnsi="Times New Roman" w:cs="Times New Roman"/>
          <w:sz w:val="24"/>
          <w:szCs w:val="24"/>
          <w:lang w:val="en-US" w:eastAsia="zh-CN"/>
        </w:rPr>
        <w:t>3.1.</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 xml:space="preserve"> SMART Analysis</w:t>
      </w:r>
      <w:bookmarkEnd w:id="8"/>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Manager Dr. Peter Drucker suggested that managers must avoid Activity Trap and not forget the final main goal. Enterprise planning should involve all managers, which will be more conducive to future implementation. The company's listing can solve financial difficulties and can also benefit stakeholders. Complete information collection and intelligence analysis of the company in the past two months, and draw conclusions in the process. Taking into account the company's current business model, it is recommended to set up a group company to separate the existing main business. In the future, the listed entities will adopt online education as their main business, divesting existing businesses and making them each a new business segment. This will facilitate the business arrangement, economic management and financial accounting of the company's listing. These steps must be concluded in these two months and a solution to the relevant problem.</w:t>
      </w:r>
    </w:p>
    <w:p>
      <w:pPr>
        <w:pStyle w:val="3"/>
        <w:spacing w:line="360" w:lineRule="auto"/>
        <w:rPr>
          <w:rFonts w:hint="default" w:ascii="Times New Roman" w:hAnsi="Times New Roman" w:cs="Times New Roman"/>
          <w:sz w:val="24"/>
          <w:szCs w:val="24"/>
          <w:lang w:val="en-US" w:eastAsia="zh-CN"/>
        </w:rPr>
      </w:pPr>
      <w:bookmarkStart w:id="9" w:name="_Toc4125"/>
      <w:r>
        <w:rPr>
          <w:rFonts w:hint="default" w:ascii="Times New Roman" w:hAnsi="Times New Roman" w:cs="Times New Roman"/>
          <w:sz w:val="24"/>
          <w:szCs w:val="24"/>
          <w:lang w:val="en-US" w:eastAsia="zh-CN"/>
        </w:rPr>
        <w:t>3.2 Project Approach</w:t>
      </w:r>
      <w:bookmarkEnd w:id="9"/>
    </w:p>
    <w:p>
      <w:pPr>
        <w:spacing w:line="360" w:lineRule="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In this section, the problems that the company needs to solve, the skills of the company's stakeholders and project leaders.</w:t>
      </w:r>
    </w:p>
    <w:p>
      <w:pPr>
        <w:pStyle w:val="4"/>
        <w:spacing w:line="360" w:lineRule="auto"/>
        <w:rPr>
          <w:rFonts w:hint="default" w:ascii="Times New Roman" w:hAnsi="Times New Roman" w:cs="Times New Roman"/>
          <w:sz w:val="24"/>
          <w:szCs w:val="24"/>
          <w:lang w:val="en-US" w:eastAsia="zh-CN"/>
        </w:rPr>
      </w:pPr>
      <w:bookmarkStart w:id="10" w:name="_Toc14682"/>
      <w:r>
        <w:rPr>
          <w:rFonts w:hint="default" w:ascii="Times New Roman" w:hAnsi="Times New Roman" w:cs="Times New Roman"/>
          <w:sz w:val="24"/>
          <w:szCs w:val="24"/>
          <w:lang w:val="en-US" w:eastAsia="zh-CN"/>
        </w:rPr>
        <w:t>3.2.1 Potential Problem</w:t>
      </w:r>
      <w:bookmarkEnd w:id="10"/>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consulting service agreement signed between the company and the group purchaser customer stipulates that the customer does not have the right to refund. However, in actual implementation, the group purchaser's customer can apply for a refund at any time for the inactive member number, and handle the refund process for some group purchasers. </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On the other hand, the company's learning software membership activation rate is not high, and the refund rate has not been high since its establishment. Group purchasers currently have a large number of learning software that has not been activated, and the inactive learning software also has the right to refund at any time. However, the company's refund rate lacks authenticity and has no practical significance as a reference for the possibility of return.</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current situation, the actual controllers and their relatives of the company occupy most of the company's funds. The shareholder's share of the shares has a great negative impact on the listed companies and even the capital market. The listed companies are prohibited from occupying large shareholders.</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company needs to train or directly select the financial controller with relevant listing experience as the financial coordinator of the company's capital operation. The column of the company's products is based on the teacher's own professional and good custom content, signed a copyright-related agreement with the teacher and negotiated and divided, using the fee-sharing model to pay the fee.</w:t>
      </w:r>
    </w:p>
    <w:p>
      <w:pPr>
        <w:pStyle w:val="4"/>
        <w:spacing w:line="360" w:lineRule="auto"/>
        <w:rPr>
          <w:rFonts w:hint="default" w:ascii="Times New Roman" w:hAnsi="Times New Roman" w:cs="Times New Roman"/>
          <w:sz w:val="24"/>
          <w:szCs w:val="24"/>
          <w:lang w:val="en-US" w:eastAsia="zh-CN"/>
        </w:rPr>
      </w:pPr>
      <w:bookmarkStart w:id="11" w:name="_Toc18057"/>
      <w:r>
        <w:rPr>
          <w:rFonts w:hint="default" w:ascii="Times New Roman" w:hAnsi="Times New Roman" w:cs="Times New Roman"/>
          <w:sz w:val="24"/>
          <w:szCs w:val="24"/>
          <w:lang w:val="en-US" w:eastAsia="zh-CN"/>
        </w:rPr>
        <w:t>3.2.2 Organizational Interest</w:t>
      </w:r>
      <w:bookmarkEnd w:id="11"/>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company's listing can maximize the value of the company in a short period of time, or create as much cash flow as expected in the future. However, the forecast of future cash flows includes uncertainties and risk factors, which are calculated by discounting the cash flow based on the time value of the funds. Enterprises are required to ensure the long-term stable development of the company by adopting the best financial policy and fully considering the time value and risk of the funds.</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Considering the time to get paid, using the principle of time value to measure, we must also consider the relationship between time and risk. Put the long-term stable development and sustained profitability of the company in the first place, overcome the short-term behavior of the company in the pursuit of profit, and expect the future profit to have a significant impact on the value of the enterprise. Overcome the interference of external market factors and effectively avoid short-term behavior of enterprises.</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However, this financial management method also has problems. The value of the enterprise is too theoretical and not easy to operate. Although for stock companies, the change in stock prices reveals the change in corporate value to a certain extent, stock prices are the result of a combination of factors. Especially when the capital market is inefficient, stock prices are difficult to reflect the value of the company.</w:t>
      </w:r>
    </w:p>
    <w:p>
      <w:pPr>
        <w:pStyle w:val="3"/>
        <w:spacing w:line="360" w:lineRule="auto"/>
        <w:rPr>
          <w:rFonts w:hint="default" w:ascii="Times New Roman" w:hAnsi="Times New Roman" w:cs="Times New Roman"/>
          <w:sz w:val="24"/>
          <w:szCs w:val="24"/>
          <w:lang w:val="en-US" w:eastAsia="zh-CN"/>
        </w:rPr>
      </w:pPr>
      <w:bookmarkStart w:id="12" w:name="_Toc11256"/>
      <w:r>
        <w:rPr>
          <w:rFonts w:hint="default" w:ascii="Times New Roman" w:hAnsi="Times New Roman" w:cs="Times New Roman"/>
          <w:sz w:val="24"/>
          <w:szCs w:val="24"/>
          <w:lang w:val="en-US" w:eastAsia="zh-CN"/>
        </w:rPr>
        <w:t>3.3 Project Manager</w:t>
      </w:r>
      <w:bookmarkEnd w:id="12"/>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project manager is the leader of the project team. The main responsibility is to lead the project team to complete all project work within the budget and to satisfy the customers.</w:t>
      </w:r>
    </w:p>
    <w:p>
      <w:pPr>
        <w:pStyle w:val="4"/>
        <w:spacing w:line="360" w:lineRule="auto"/>
        <w:rPr>
          <w:rFonts w:hint="default" w:ascii="Times New Roman" w:hAnsi="Times New Roman" w:cs="Times New Roman"/>
          <w:sz w:val="24"/>
          <w:szCs w:val="24"/>
          <w:lang w:val="en-US" w:eastAsia="zh-CN"/>
        </w:rPr>
      </w:pPr>
      <w:bookmarkStart w:id="13" w:name="_Toc7589"/>
      <w:r>
        <w:rPr>
          <w:rFonts w:hint="default" w:ascii="Times New Roman" w:hAnsi="Times New Roman" w:cs="Times New Roman"/>
          <w:sz w:val="24"/>
          <w:szCs w:val="24"/>
          <w:lang w:val="en-US" w:eastAsia="zh-CN"/>
        </w:rPr>
        <w:t>3.3.1 Advantages of Manager</w:t>
      </w:r>
      <w:bookmarkEnd w:id="13"/>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technically savvy project manager has a career advantage and is very helpful for project management. There are many benefits to the work package decomposition, workload assessment, and human resource requirements. Be able to understand the actual situation and difficulties of the project team. Especially in the team where the technical staff is relatively weak, and the company's resources are lacking, the guidance can be given and the goals of the project can be determined. This includes suggestions for technical problems encountered during the actual implementation of the project.</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Project managers who understand technology are also easy to trust on the customer side. There is a certain technical assessment of the project, and when the customer proposes new requirements, the project manager can meet the customer's needs. Project management's understanding of products and architecture is sufficient to control the scope of demand and to dominate the communication with project stakeholders.</w:t>
      </w:r>
    </w:p>
    <w:p>
      <w:pPr>
        <w:pStyle w:val="4"/>
        <w:spacing w:line="360" w:lineRule="auto"/>
        <w:rPr>
          <w:rFonts w:hint="default" w:ascii="Times New Roman" w:hAnsi="Times New Roman" w:cs="Times New Roman"/>
          <w:sz w:val="24"/>
          <w:szCs w:val="24"/>
          <w:lang w:val="en-US" w:eastAsia="zh-CN"/>
        </w:rPr>
      </w:pPr>
      <w:bookmarkStart w:id="14" w:name="_Toc18407"/>
      <w:r>
        <w:rPr>
          <w:rFonts w:hint="default" w:ascii="Times New Roman" w:hAnsi="Times New Roman" w:cs="Times New Roman"/>
          <w:sz w:val="24"/>
          <w:szCs w:val="24"/>
          <w:lang w:val="en-US" w:eastAsia="zh-CN"/>
        </w:rPr>
        <w:t>3.3.2 Disadvantages of Manager</w:t>
      </w:r>
      <w:bookmarkEnd w:id="14"/>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Project managers who don't understand technology should know how to use their resources and focus more on the development and implementation of the plan, and on various communication and coordination tasks. Need very high communication skills and leadership, and the company needs to give certain rights. Ability to empathize and consider customers, sales, technical staff and managers.</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Project managers who don't understand technology need to have certain communication skills and a big picture. If you don't understand technology, you need to ensure professional competence in management and find ways to have basic technical knowledge to meet the needs of communication.</w:t>
      </w:r>
    </w:p>
    <w:p>
      <w:pPr>
        <w:pStyle w:val="3"/>
        <w:spacing w:line="360" w:lineRule="auto"/>
        <w:rPr>
          <w:rFonts w:hint="default" w:ascii="Times New Roman" w:hAnsi="Times New Roman" w:cs="Times New Roman"/>
          <w:sz w:val="24"/>
          <w:szCs w:val="24"/>
          <w:lang w:val="en-US" w:eastAsia="zh-CN"/>
        </w:rPr>
      </w:pPr>
      <w:bookmarkStart w:id="15" w:name="_Toc23477"/>
      <w:r>
        <w:rPr>
          <w:rFonts w:hint="default" w:ascii="Times New Roman" w:hAnsi="Times New Roman" w:cs="Times New Roman"/>
          <w:sz w:val="24"/>
          <w:szCs w:val="24"/>
          <w:lang w:val="en-US" w:eastAsia="zh-CN"/>
        </w:rPr>
        <w:t>3.4 Project Analysis Method</w:t>
      </w:r>
      <w:bookmarkEnd w:id="15"/>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company's listing process requires a lot of preparatory work to investigate, interview and analyze the company's history, business and financial situation. In order to complete asset securitization as soon as possible, the company needs to solve a series of problems in the development process and propose rationalization proposals. All programs are based on current regulatory policies, related regulations and the company's development status.</w:t>
      </w:r>
    </w:p>
    <w:p>
      <w:pPr>
        <w:pStyle w:val="4"/>
        <w:spacing w:line="360" w:lineRule="auto"/>
        <w:rPr>
          <w:rFonts w:hint="default" w:ascii="Times New Roman" w:hAnsi="Times New Roman" w:cs="Times New Roman"/>
          <w:sz w:val="24"/>
          <w:szCs w:val="24"/>
          <w:lang w:val="en-US" w:eastAsia="zh-CN"/>
        </w:rPr>
      </w:pPr>
      <w:bookmarkStart w:id="16" w:name="_Toc30526"/>
      <w:r>
        <w:rPr>
          <w:rFonts w:hint="default" w:ascii="Times New Roman" w:hAnsi="Times New Roman" w:cs="Times New Roman"/>
          <w:sz w:val="24"/>
          <w:szCs w:val="24"/>
          <w:lang w:val="en-US" w:eastAsia="zh-CN"/>
        </w:rPr>
        <w:t>3.4.1 PEST</w:t>
      </w:r>
      <w:r>
        <w:rPr>
          <w:rFonts w:hint="eastAsia" w:ascii="Times New Roman" w:hAnsi="Times New Roman" w:cs="Times New Roman"/>
          <w:sz w:val="24"/>
          <w:szCs w:val="24"/>
          <w:lang w:val="en-US" w:eastAsia="zh-CN"/>
        </w:rPr>
        <w:t>LE</w:t>
      </w:r>
      <w:r>
        <w:rPr>
          <w:rFonts w:hint="default" w:ascii="Times New Roman" w:hAnsi="Times New Roman" w:cs="Times New Roman"/>
          <w:sz w:val="24"/>
          <w:szCs w:val="24"/>
          <w:lang w:val="en-US" w:eastAsia="zh-CN"/>
        </w:rPr>
        <w:t xml:space="preserve"> Analysis</w:t>
      </w:r>
      <w:bookmarkEnd w:id="16"/>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the company's listing, it has a potential impact on subsequent business activities and strengthens the actual political power. All of this is based on compliance with relevant policies, laws and regulations. Listing will result in many external influences on the company, including economic structure, industrial layout, resource status, and economic trends. In the future, the company will change according to the historical development of the society, cultural traditions and other factors. The company needs to strengthen its technology, not only the inventions that cause change, but also the impact of new technologies and trends related to the future of the company. Products and services initiated by listed companies can interact with the environment, causing a series of changes.</w:t>
      </w:r>
    </w:p>
    <w:p>
      <w:pPr>
        <w:pStyle w:val="4"/>
        <w:spacing w:line="360" w:lineRule="auto"/>
        <w:rPr>
          <w:rFonts w:hint="default" w:ascii="Times New Roman" w:hAnsi="Times New Roman" w:cs="Times New Roman"/>
          <w:sz w:val="24"/>
          <w:szCs w:val="24"/>
          <w:lang w:val="en-US" w:eastAsia="zh-CN"/>
        </w:rPr>
      </w:pPr>
      <w:bookmarkStart w:id="17" w:name="_Toc13238"/>
      <w:r>
        <w:rPr>
          <w:rFonts w:hint="default" w:ascii="Times New Roman" w:hAnsi="Times New Roman" w:cs="Times New Roman"/>
          <w:sz w:val="24"/>
          <w:szCs w:val="24"/>
          <w:lang w:val="en-US" w:eastAsia="zh-CN"/>
        </w:rPr>
        <w:t>3.4.2 SWOT Analysis</w:t>
      </w:r>
      <w:bookmarkEnd w:id="17"/>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industry competition of network technology companies is intensifying, and the growth rate of such companies has slowed down. Therefore, the company's senior management conducted systematic strategic research and formulated a scientific development strategy and competitive strategy.</w:t>
      </w:r>
    </w:p>
    <w:p>
      <w:pPr>
        <w:pStyle w:val="5"/>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3.4.2.1 Company </w:t>
      </w:r>
      <w:r>
        <w:rPr>
          <w:rFonts w:hint="eastAsia" w:ascii="Times New Roman" w:hAnsi="Times New Roman" w:cs="Times New Roman"/>
          <w:sz w:val="24"/>
          <w:szCs w:val="24"/>
          <w:lang w:val="en-US" w:eastAsia="zh-CN"/>
        </w:rPr>
        <w:t>O</w:t>
      </w:r>
      <w:r>
        <w:rPr>
          <w:rFonts w:hint="default" w:ascii="Times New Roman" w:hAnsi="Times New Roman" w:cs="Times New Roman"/>
          <w:sz w:val="24"/>
          <w:szCs w:val="24"/>
          <w:lang w:val="en-US" w:eastAsia="zh-CN"/>
        </w:rPr>
        <w:t>pportunity</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Network technology is regarded as the top priority of the development of the entire information industry. There are a series of preferential measures in investment, financing, taxation, export, and intellectual property rights. The network technology industry belongs to the early industry and has the advantages of strong inheritance, low sales cost and high scale efficiency. Among the production factors required for the company's development, the main hardware supply is sufficient. The competition between existing competitors is not particularly fierce, especially the market space for dedicated products is large, and there is more room for development.</w:t>
      </w:r>
    </w:p>
    <w:p>
      <w:pPr>
        <w:pStyle w:val="5"/>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3.4.2.2 Company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hreat</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High-quality related talents are in short supply, with high turnover rate and strong bargaining power. Technology advances quickly and products are updated quickly. Some general-purpose products have a greater threat of entry and more intense competition.</w:t>
      </w:r>
    </w:p>
    <w:p>
      <w:pPr>
        <w:pStyle w:val="5"/>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3.4.2.3 Company Strength</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management of human resources, there is a fair and just competitive environment, a good incentive and restraint mechanism. Some related products have a high market position, strong demand and good growth performance. After the successful listing, the financial position is stable, and the liquidity and short-term solvency are strong. The company has a good corporate culture, the core is people-oriented, team spirit and innovative thinking.</w:t>
      </w:r>
    </w:p>
    <w:p>
      <w:pPr>
        <w:pStyle w:val="5"/>
        <w:spacing w:line="360" w:lineRule="auto"/>
        <w:rPr>
          <w:rFonts w:hint="default" w:ascii="Times New Roman" w:hAnsi="Times New Roman" w:cs="Times New Roman"/>
          <w:sz w:val="24"/>
          <w:szCs w:val="22"/>
          <w:lang w:val="en-US" w:eastAsia="zh-CN"/>
        </w:rPr>
      </w:pPr>
      <w:r>
        <w:rPr>
          <w:rFonts w:hint="default" w:ascii="Times New Roman" w:hAnsi="Times New Roman" w:cs="Times New Roman"/>
          <w:sz w:val="24"/>
          <w:szCs w:val="22"/>
          <w:lang w:val="en-US" w:eastAsia="zh-CN"/>
        </w:rPr>
        <w:t xml:space="preserve">3.4.2.4 Company </w:t>
      </w:r>
      <w:r>
        <w:rPr>
          <w:rFonts w:hint="eastAsia" w:ascii="Times New Roman" w:hAnsi="Times New Roman" w:cs="Times New Roman"/>
          <w:sz w:val="24"/>
          <w:szCs w:val="22"/>
          <w:lang w:val="en-US" w:eastAsia="zh-CN"/>
        </w:rPr>
        <w:t>W</w:t>
      </w:r>
      <w:r>
        <w:rPr>
          <w:rFonts w:hint="default" w:ascii="Times New Roman" w:hAnsi="Times New Roman" w:cs="Times New Roman"/>
          <w:sz w:val="24"/>
          <w:szCs w:val="22"/>
          <w:lang w:val="en-US" w:eastAsia="zh-CN"/>
        </w:rPr>
        <w:t>eakness</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number of marketing and customer service personnel of the company is relatively small. Therefore, despite a relatively complete marketing and service system, it still does not produce good results. The company's product quality is good, but its popularity is not high, it can only rely on the brand effect of the owner to promote. The company's profitability is lower than the industry average, because the market share and profit of some products are low.</w:t>
      </w:r>
    </w:p>
    <w:p>
      <w:pPr>
        <w:pStyle w:val="2"/>
        <w:numPr>
          <w:ilvl w:val="0"/>
          <w:numId w:val="1"/>
        </w:numPr>
        <w:spacing w:line="360" w:lineRule="auto"/>
        <w:ind w:left="0" w:leftChars="0" w:firstLine="0" w:firstLineChars="0"/>
        <w:rPr>
          <w:rFonts w:hint="default" w:ascii="Times New Roman" w:hAnsi="Times New Roman" w:cs="Times New Roman"/>
          <w:sz w:val="24"/>
          <w:szCs w:val="24"/>
          <w:lang w:val="en-US" w:eastAsia="zh-CN"/>
        </w:rPr>
      </w:pPr>
      <w:bookmarkStart w:id="18" w:name="_Toc21829"/>
      <w:r>
        <w:rPr>
          <w:rFonts w:hint="default" w:ascii="Times New Roman" w:hAnsi="Times New Roman" w:cs="Times New Roman"/>
          <w:sz w:val="24"/>
          <w:szCs w:val="24"/>
          <w:lang w:val="en-US" w:eastAsia="zh-CN"/>
        </w:rPr>
        <w:t>Conclusion</w:t>
      </w:r>
      <w:bookmarkEnd w:id="18"/>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Under the limited time and data conditions, the company's historical background, business and technical capabilities and financial situation, including books and online information, face-to-face oral interviews. In the next two months, the analysis of the company continued to improve with more investigation and understanding of the company's relevant situation.</w:t>
      </w:r>
    </w:p>
    <w:p>
      <w:pPr>
        <w:pStyle w:val="2"/>
        <w:numPr>
          <w:ilvl w:val="0"/>
          <w:numId w:val="1"/>
        </w:numPr>
        <w:spacing w:line="360" w:lineRule="auto"/>
        <w:rPr>
          <w:rFonts w:hint="default" w:ascii="Times New Roman" w:hAnsi="Times New Roman" w:cs="Times New Roman"/>
          <w:sz w:val="24"/>
          <w:szCs w:val="24"/>
          <w:lang w:val="en-US" w:eastAsia="zh-CN"/>
        </w:rPr>
      </w:pPr>
      <w:bookmarkStart w:id="19" w:name="_Toc7973"/>
      <w:r>
        <w:rPr>
          <w:rFonts w:hint="default" w:ascii="Times New Roman" w:hAnsi="Times New Roman" w:cs="Times New Roman"/>
          <w:sz w:val="24"/>
          <w:szCs w:val="24"/>
          <w:lang w:val="en-US" w:eastAsia="zh-CN"/>
        </w:rPr>
        <w:t>Reference</w:t>
      </w:r>
      <w:bookmarkEnd w:id="19"/>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Wilbert, Moore E.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1967</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Order and Change: Essays in Comparative Sociology, New York: Wiley.  </w:t>
      </w:r>
    </w:p>
    <w:p>
      <w:pPr>
        <w:numPr>
          <w:ilvl w:val="0"/>
          <w:numId w:val="2"/>
        </w:numPr>
        <w:spacing w:line="360" w:lineRule="auto"/>
        <w:ind w:leftChars="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Etzioni, The Active Society, Free Press, New York,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1968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G. Price, ‘Political frameworks for the control of technology: an assessment’ in Johnston</w:t>
      </w:r>
      <w:r>
        <w:rPr>
          <w:rFonts w:hint="eastAsia" w:ascii="Times New Roman" w:hAnsi="Times New Roman" w:cs="Times New Roman"/>
          <w:sz w:val="24"/>
          <w:szCs w:val="24"/>
          <w:lang w:val="en-US" w:eastAsia="zh-CN"/>
        </w:rPr>
        <w:t xml:space="preserve">. </w:t>
      </w: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 Shaiken, Work Transformed, Holt, Rinehart and Wilson, New York,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1984</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H. Schiller,Information and the Crisis Economy, Ablex, New Jersey,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1984</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R. Williams, Towards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2000</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Heinemann, London, 1983.</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Doutriaux, J., and Peterman, B.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1982</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Technology transfer and academic entrepreneurship at Canadian Universities, Technological Innovations Studies Program, Ottawa.</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Doutriaux, J.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1987</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Growth patterns of academic entrepreneurial firms. Journal of Business Venturing, 2(4), pp.285–297.</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Huuskonen, V.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1989</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Entrepreneurial decision as a motivation and decision process, Turku School of Economics and Business Administration, Turku, Series D 1.</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Lumme, A., Kauranen, I. Autio, E., and Kaila, M. M.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1993</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New, technology-based companies in Finland and in the United Kingdom. A comparative study, (Finnish National Fund for R&amp;D, Helsinki).</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Oakey, R. P.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1991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Innovation and the management of marketing in high technology small firms. Journal of Marketing Management, 7</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pp.</w:t>
      </w:r>
      <w:r>
        <w:rPr>
          <w:rFonts w:hint="default" w:ascii="Times New Roman" w:hAnsi="Times New Roman" w:cs="Times New Roman"/>
          <w:sz w:val="24"/>
          <w:szCs w:val="24"/>
          <w:lang w:val="en-US" w:eastAsia="zh-CN"/>
        </w:rPr>
        <w:t>343–356.</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Oakey, R. P. and Cooper, S.Y.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1989</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“High technology industry, agglomeration and the potential for peripherally sited small firms”. In Regional Studies, 23</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pp.</w:t>
      </w:r>
      <w:r>
        <w:rPr>
          <w:rFonts w:hint="default" w:ascii="Times New Roman" w:hAnsi="Times New Roman" w:cs="Times New Roman"/>
          <w:sz w:val="24"/>
          <w:szCs w:val="24"/>
          <w:lang w:val="en-US" w:eastAsia="zh-CN"/>
        </w:rPr>
        <w:t>347–360.</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Stern, P. C.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1979</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Evaluating Social Science Research, New York: Oxford University Press.</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Thurston, P.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w:t>
      </w:r>
      <w:r>
        <w:rPr>
          <w:rFonts w:hint="eastAsia" w:ascii="Times New Roman" w:hAnsi="Times New Roman" w:cs="Times New Roman"/>
          <w:sz w:val="24"/>
          <w:szCs w:val="24"/>
          <w:lang w:val="en-US" w:eastAsia="zh-CN"/>
        </w:rPr>
        <w:t>98)</w:t>
      </w:r>
      <w:r>
        <w:rPr>
          <w:rFonts w:hint="default" w:ascii="Times New Roman" w:hAnsi="Times New Roman" w:cs="Times New Roman"/>
          <w:sz w:val="24"/>
          <w:szCs w:val="24"/>
          <w:lang w:val="en-US" w:eastAsia="zh-CN"/>
        </w:rPr>
        <w:t>, The founding and growth process of new technical enterprises, unpublished MS thesis, Massachusetts Sloan School of Management.</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Wainer, H. A.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1965</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The spin-off of technology from government-sponsored research laboratories: Lincoln Laboratory, unpublished MS thesis, Massachusetts Institute of Technology. </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Anthopoulos, L. and Fitsilis, P.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2010</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“Digital cities: towards connected citizens and governance”. In Citizens and e-government, Edited by: Reddick, C. IGI-Global.</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Barca , F. ,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2009</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 An agenda for a reformed cohesion policy, April 2009 , Available from: http://ec.europa.eu/regional_policy/policy/future/barca_en.htm.</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Barca , F. and McCann , P. ,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 Outcome indicators and targets – towards a performance oriented EU cohesion policy . European Commission .</w:t>
      </w:r>
    </w:p>
    <w:p>
      <w:pPr>
        <w:numPr>
          <w:ilvl w:val="0"/>
          <w:numId w:val="0"/>
        </w:numPr>
        <w:spacing w:line="360" w:lineRule="auto"/>
        <w:ind w:leftChars="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Breschi, S. and Lissoni, F.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Knowledge spillovers and local innovation systems: a critical survey. Industrial and Corporate Change, 10(4)</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pp.</w:t>
      </w:r>
      <w:r>
        <w:rPr>
          <w:rFonts w:hint="default" w:ascii="Times New Roman" w:hAnsi="Times New Roman" w:cs="Times New Roman"/>
          <w:sz w:val="24"/>
          <w:szCs w:val="24"/>
          <w:lang w:val="en-US" w:eastAsia="zh-CN"/>
        </w:rPr>
        <w:t>975–1005.</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 xml:space="preserve">Caragliu , A. , Del Bo , C. , and Nijkamp , P. ,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 Smart cities in Europe . Journal of urban technology , 18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 </w:t>
      </w:r>
      <w:r>
        <w:rPr>
          <w:rFonts w:hint="eastAsia" w:ascii="Times New Roman" w:hAnsi="Times New Roman" w:cs="Times New Roman"/>
          <w:sz w:val="24"/>
          <w:szCs w:val="24"/>
          <w:lang w:val="en-US" w:eastAsia="zh-CN"/>
        </w:rPr>
        <w:t>pp.</w:t>
      </w:r>
      <w:r>
        <w:rPr>
          <w:rFonts w:hint="default" w:ascii="Times New Roman" w:hAnsi="Times New Roman" w:cs="Times New Roman"/>
          <w:sz w:val="24"/>
          <w:szCs w:val="24"/>
          <w:lang w:val="en-US" w:eastAsia="zh-CN"/>
        </w:rPr>
        <w:t>65</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82</w:t>
      </w:r>
      <w:r>
        <w:rPr>
          <w:rFonts w:hint="eastAsia" w:ascii="Times New Roman" w:hAnsi="Times New Roman" w:cs="Times New Roman"/>
          <w:sz w:val="24"/>
          <w:szCs w:val="24"/>
          <w:lang w:val="en-US" w:eastAsia="zh-CN"/>
        </w:rPr>
        <w:t>.</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Basu R. (2004). Tools for analysis—PESTLE analysis in implementing quality: A practical guide to tools and techniques (1st ed., pp. 98–100). London: Thomson Learning.</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Aaker, DA.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Developing business strategies, 6th, New York, NY: John Wiley and Sons.</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Hill, T and Westbrook, R.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1997</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SWOT analysis: it's time for a product recall. Long Range Planning, 30(1)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pp. </w:t>
      </w:r>
      <w:r>
        <w:rPr>
          <w:rFonts w:hint="default" w:ascii="Times New Roman" w:hAnsi="Times New Roman" w:cs="Times New Roman"/>
          <w:sz w:val="24"/>
          <w:szCs w:val="24"/>
          <w:lang w:val="en-US" w:eastAsia="zh-CN"/>
        </w:rPr>
        <w:t>46–52.</w:t>
      </w:r>
      <w:bookmarkStart w:id="20" w:name="_GoBack"/>
      <w:bookmarkEnd w:id="2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6802F74"/>
    <w:multiLevelType w:val="singleLevel"/>
    <w:tmpl w:val="96802F74"/>
    <w:lvl w:ilvl="0" w:tentative="0">
      <w:start w:val="1"/>
      <w:numFmt w:val="decimal"/>
      <w:suff w:val="space"/>
      <w:lvlText w:val="%1."/>
      <w:lvlJc w:val="left"/>
    </w:lvl>
  </w:abstractNum>
  <w:abstractNum w:abstractNumId="1">
    <w:nsid w:val="EAE1CB91"/>
    <w:multiLevelType w:val="singleLevel"/>
    <w:tmpl w:val="EAE1CB91"/>
    <w:lvl w:ilvl="0" w:tentative="0">
      <w:start w:val="1"/>
      <w:numFmt w:val="upperLetter"/>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A449D1"/>
    <w:rsid w:val="01181106"/>
    <w:rsid w:val="01584422"/>
    <w:rsid w:val="01883B94"/>
    <w:rsid w:val="02A624DD"/>
    <w:rsid w:val="02E73E53"/>
    <w:rsid w:val="0315005A"/>
    <w:rsid w:val="059A6E12"/>
    <w:rsid w:val="06E70F27"/>
    <w:rsid w:val="076852C7"/>
    <w:rsid w:val="07BB621D"/>
    <w:rsid w:val="080F64C3"/>
    <w:rsid w:val="090A161E"/>
    <w:rsid w:val="09746CC6"/>
    <w:rsid w:val="097C61AC"/>
    <w:rsid w:val="0B66171D"/>
    <w:rsid w:val="0CF56244"/>
    <w:rsid w:val="0D1303E8"/>
    <w:rsid w:val="0D2F0D02"/>
    <w:rsid w:val="0D8A6922"/>
    <w:rsid w:val="0DD3064D"/>
    <w:rsid w:val="0EE462CF"/>
    <w:rsid w:val="104C5897"/>
    <w:rsid w:val="10BD28D6"/>
    <w:rsid w:val="10CF5B88"/>
    <w:rsid w:val="11384846"/>
    <w:rsid w:val="11B15F3F"/>
    <w:rsid w:val="12167113"/>
    <w:rsid w:val="12B9099E"/>
    <w:rsid w:val="12DF73FC"/>
    <w:rsid w:val="131D033A"/>
    <w:rsid w:val="13860148"/>
    <w:rsid w:val="13C57290"/>
    <w:rsid w:val="15D54A5B"/>
    <w:rsid w:val="169F05F7"/>
    <w:rsid w:val="16B74019"/>
    <w:rsid w:val="174B11C6"/>
    <w:rsid w:val="176761FE"/>
    <w:rsid w:val="17704663"/>
    <w:rsid w:val="177E4E38"/>
    <w:rsid w:val="17A37B85"/>
    <w:rsid w:val="17D82744"/>
    <w:rsid w:val="183E4009"/>
    <w:rsid w:val="187D6BF9"/>
    <w:rsid w:val="18D54A4F"/>
    <w:rsid w:val="19582AEB"/>
    <w:rsid w:val="19D0054C"/>
    <w:rsid w:val="1AE87CE9"/>
    <w:rsid w:val="1D1352FC"/>
    <w:rsid w:val="1E5C3E11"/>
    <w:rsid w:val="1EA03446"/>
    <w:rsid w:val="1EA37CBE"/>
    <w:rsid w:val="1EF6179C"/>
    <w:rsid w:val="1EFB04A5"/>
    <w:rsid w:val="1F0A05BF"/>
    <w:rsid w:val="219310A0"/>
    <w:rsid w:val="21B83521"/>
    <w:rsid w:val="21BA3379"/>
    <w:rsid w:val="21E34188"/>
    <w:rsid w:val="22DE65E5"/>
    <w:rsid w:val="237962DA"/>
    <w:rsid w:val="241E2A74"/>
    <w:rsid w:val="2566541B"/>
    <w:rsid w:val="25B627C8"/>
    <w:rsid w:val="260506BD"/>
    <w:rsid w:val="263479D2"/>
    <w:rsid w:val="265E2372"/>
    <w:rsid w:val="26DA4E8E"/>
    <w:rsid w:val="287D0604"/>
    <w:rsid w:val="28D6205D"/>
    <w:rsid w:val="28FF49AB"/>
    <w:rsid w:val="293050C1"/>
    <w:rsid w:val="29D94368"/>
    <w:rsid w:val="2C6F0E42"/>
    <w:rsid w:val="2C7420FA"/>
    <w:rsid w:val="2CBB1369"/>
    <w:rsid w:val="2CCF64C7"/>
    <w:rsid w:val="2D561C05"/>
    <w:rsid w:val="2D984B20"/>
    <w:rsid w:val="2DF55215"/>
    <w:rsid w:val="2E8A6B6E"/>
    <w:rsid w:val="2F1073DA"/>
    <w:rsid w:val="2F1C1FD3"/>
    <w:rsid w:val="2F5B5962"/>
    <w:rsid w:val="2F711B54"/>
    <w:rsid w:val="2F8F6BC6"/>
    <w:rsid w:val="304B2938"/>
    <w:rsid w:val="30C449A7"/>
    <w:rsid w:val="31042070"/>
    <w:rsid w:val="31C16776"/>
    <w:rsid w:val="33385D66"/>
    <w:rsid w:val="33B844CD"/>
    <w:rsid w:val="34F36F54"/>
    <w:rsid w:val="355C5A4F"/>
    <w:rsid w:val="36123A57"/>
    <w:rsid w:val="368670B4"/>
    <w:rsid w:val="36C66C53"/>
    <w:rsid w:val="37E15F6C"/>
    <w:rsid w:val="380355EE"/>
    <w:rsid w:val="38825392"/>
    <w:rsid w:val="39702666"/>
    <w:rsid w:val="39FF68BD"/>
    <w:rsid w:val="3C24201D"/>
    <w:rsid w:val="3C342202"/>
    <w:rsid w:val="3C3F57F0"/>
    <w:rsid w:val="3C603B7C"/>
    <w:rsid w:val="3D3A5166"/>
    <w:rsid w:val="3D407840"/>
    <w:rsid w:val="3D5B73B8"/>
    <w:rsid w:val="3E483B09"/>
    <w:rsid w:val="3EE63952"/>
    <w:rsid w:val="3F282B08"/>
    <w:rsid w:val="40607A9F"/>
    <w:rsid w:val="422A5364"/>
    <w:rsid w:val="422B3323"/>
    <w:rsid w:val="42523DE1"/>
    <w:rsid w:val="429D2DFD"/>
    <w:rsid w:val="42A56430"/>
    <w:rsid w:val="4340394D"/>
    <w:rsid w:val="43AB630E"/>
    <w:rsid w:val="43B46869"/>
    <w:rsid w:val="448F2344"/>
    <w:rsid w:val="44FC0072"/>
    <w:rsid w:val="452C1809"/>
    <w:rsid w:val="460D2EA8"/>
    <w:rsid w:val="46C0386E"/>
    <w:rsid w:val="46C37009"/>
    <w:rsid w:val="46EA29E8"/>
    <w:rsid w:val="47EF217A"/>
    <w:rsid w:val="48513BAF"/>
    <w:rsid w:val="4865305B"/>
    <w:rsid w:val="48897FF1"/>
    <w:rsid w:val="48B94ABC"/>
    <w:rsid w:val="497A6990"/>
    <w:rsid w:val="49AC06AC"/>
    <w:rsid w:val="4A2262ED"/>
    <w:rsid w:val="4B6F75A7"/>
    <w:rsid w:val="4BDC0210"/>
    <w:rsid w:val="4CE27816"/>
    <w:rsid w:val="4D3051B7"/>
    <w:rsid w:val="4D441778"/>
    <w:rsid w:val="4D6F53CE"/>
    <w:rsid w:val="4DE97A66"/>
    <w:rsid w:val="4EDE6A6E"/>
    <w:rsid w:val="4EDF4457"/>
    <w:rsid w:val="4FBC7E42"/>
    <w:rsid w:val="523622AB"/>
    <w:rsid w:val="5302000E"/>
    <w:rsid w:val="532E34F2"/>
    <w:rsid w:val="565847D1"/>
    <w:rsid w:val="56AF32C3"/>
    <w:rsid w:val="56B67512"/>
    <w:rsid w:val="56DD59BD"/>
    <w:rsid w:val="57187115"/>
    <w:rsid w:val="577A7AF6"/>
    <w:rsid w:val="58097242"/>
    <w:rsid w:val="58995B76"/>
    <w:rsid w:val="589A1E89"/>
    <w:rsid w:val="59692185"/>
    <w:rsid w:val="596E7053"/>
    <w:rsid w:val="5A07206D"/>
    <w:rsid w:val="5A73780C"/>
    <w:rsid w:val="5AF61B95"/>
    <w:rsid w:val="5AFB7E4E"/>
    <w:rsid w:val="5B4A0549"/>
    <w:rsid w:val="5B701ACF"/>
    <w:rsid w:val="5BAE746B"/>
    <w:rsid w:val="5C6A5FE3"/>
    <w:rsid w:val="5C9E2A63"/>
    <w:rsid w:val="5CAC1A49"/>
    <w:rsid w:val="5D4D2776"/>
    <w:rsid w:val="5DE25CAA"/>
    <w:rsid w:val="5E5F2D97"/>
    <w:rsid w:val="5E8F7A1F"/>
    <w:rsid w:val="60046C84"/>
    <w:rsid w:val="60060451"/>
    <w:rsid w:val="6021300C"/>
    <w:rsid w:val="606E7024"/>
    <w:rsid w:val="608254B2"/>
    <w:rsid w:val="60CA3919"/>
    <w:rsid w:val="610D4D27"/>
    <w:rsid w:val="624B2A84"/>
    <w:rsid w:val="629A3BA5"/>
    <w:rsid w:val="62C30B21"/>
    <w:rsid w:val="63F66E97"/>
    <w:rsid w:val="649E2D8D"/>
    <w:rsid w:val="655928AD"/>
    <w:rsid w:val="65733317"/>
    <w:rsid w:val="65F77053"/>
    <w:rsid w:val="663668FD"/>
    <w:rsid w:val="67D24A34"/>
    <w:rsid w:val="67DF091E"/>
    <w:rsid w:val="68313328"/>
    <w:rsid w:val="68B95A21"/>
    <w:rsid w:val="68D50ADE"/>
    <w:rsid w:val="68D66C81"/>
    <w:rsid w:val="69106199"/>
    <w:rsid w:val="693E19ED"/>
    <w:rsid w:val="6A6D7BDF"/>
    <w:rsid w:val="6A99074B"/>
    <w:rsid w:val="6AAF0133"/>
    <w:rsid w:val="6AB441C7"/>
    <w:rsid w:val="6B706E8E"/>
    <w:rsid w:val="6BA65DF0"/>
    <w:rsid w:val="6BE72336"/>
    <w:rsid w:val="6C0E7A71"/>
    <w:rsid w:val="6C6E3FCA"/>
    <w:rsid w:val="6CD91604"/>
    <w:rsid w:val="6DB04030"/>
    <w:rsid w:val="6DC30A43"/>
    <w:rsid w:val="6DDF6BD6"/>
    <w:rsid w:val="6DF11DE6"/>
    <w:rsid w:val="6E49595A"/>
    <w:rsid w:val="6EF37305"/>
    <w:rsid w:val="6FE70773"/>
    <w:rsid w:val="70DC006B"/>
    <w:rsid w:val="71504FC8"/>
    <w:rsid w:val="71DE65E0"/>
    <w:rsid w:val="72283786"/>
    <w:rsid w:val="729A7615"/>
    <w:rsid w:val="732E52FD"/>
    <w:rsid w:val="733F7E5E"/>
    <w:rsid w:val="7357783E"/>
    <w:rsid w:val="7370378A"/>
    <w:rsid w:val="74005794"/>
    <w:rsid w:val="7454286A"/>
    <w:rsid w:val="74E22252"/>
    <w:rsid w:val="75492D43"/>
    <w:rsid w:val="768A7CFF"/>
    <w:rsid w:val="76B37832"/>
    <w:rsid w:val="7809409D"/>
    <w:rsid w:val="78734C69"/>
    <w:rsid w:val="78BB4C2E"/>
    <w:rsid w:val="790E1F03"/>
    <w:rsid w:val="7AA86ADC"/>
    <w:rsid w:val="7B0D08DE"/>
    <w:rsid w:val="7C203D7B"/>
    <w:rsid w:val="7C4906F9"/>
    <w:rsid w:val="7C8C3B73"/>
    <w:rsid w:val="7D4A75B3"/>
    <w:rsid w:val="7D8A3332"/>
    <w:rsid w:val="7E1B79E2"/>
    <w:rsid w:val="7EE95593"/>
    <w:rsid w:val="7F3303A8"/>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0">
    <w:name w:val="Default Paragraph Font"/>
    <w:semiHidden/>
    <w:uiPriority w:val="0"/>
  </w:style>
  <w:style w:type="table" w:default="1" w:styleId="12">
    <w:name w:val="Normal Table"/>
    <w:semiHidden/>
    <w:uiPriority w:val="0"/>
    <w:tblPr>
      <w:tblLayout w:type="fixed"/>
      <w:tblCellMar>
        <w:top w:w="0" w:type="dxa"/>
        <w:left w:w="108" w:type="dxa"/>
        <w:bottom w:w="0" w:type="dxa"/>
        <w:right w:w="108" w:type="dxa"/>
      </w:tblCellMar>
    </w:tblPr>
  </w:style>
  <w:style w:type="paragraph" w:styleId="6">
    <w:name w:val="annotation text"/>
    <w:basedOn w:val="1"/>
    <w:uiPriority w:val="0"/>
    <w:pPr>
      <w:jc w:val="left"/>
    </w:pPr>
  </w:style>
  <w:style w:type="paragraph" w:styleId="7">
    <w:name w:val="toc 3"/>
    <w:basedOn w:val="1"/>
    <w:next w:val="1"/>
    <w:uiPriority w:val="0"/>
    <w:pPr>
      <w:ind w:left="840" w:leftChars="400"/>
    </w:pPr>
  </w:style>
  <w:style w:type="paragraph" w:styleId="8">
    <w:name w:val="toc 1"/>
    <w:basedOn w:val="1"/>
    <w:next w:val="1"/>
    <w:uiPriority w:val="0"/>
  </w:style>
  <w:style w:type="paragraph" w:styleId="9">
    <w:name w:val="toc 2"/>
    <w:basedOn w:val="1"/>
    <w:next w:val="1"/>
    <w:uiPriority w:val="0"/>
    <w:pPr>
      <w:ind w:left="420" w:leftChars="200"/>
    </w:pPr>
  </w:style>
  <w:style w:type="character" w:styleId="11">
    <w:name w:val="Hyperlink"/>
    <w:basedOn w:val="10"/>
    <w:uiPriority w:val="0"/>
    <w:rPr>
      <w:color w:val="0000FF"/>
      <w:u w:val="single"/>
    </w:rPr>
  </w:style>
  <w:style w:type="paragraph" w:styleId="13">
    <w:name w:val="List Paragraph"/>
    <w:basedOn w:val="1"/>
    <w:qFormat/>
    <w:uiPriority w:val="34"/>
    <w:pPr>
      <w:spacing w:after="0" w:line="240" w:lineRule="auto"/>
      <w:ind w:left="720"/>
      <w:contextualSpacing/>
    </w:pPr>
    <w:rPr>
      <w:rFonts w:ascii="Times New Roman" w:hAnsi="Times New Roman" w:eastAsia="Times New Roman" w:cs="Times New Roman"/>
      <w:sz w:val="24"/>
      <w:szCs w:val="24"/>
    </w:rPr>
  </w:style>
  <w:style w:type="paragraph" w:styleId="14">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glossaryDocument" Target="glossary/document.xml"/><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3777b222-52d6-4748-966f-7e7f2f13fa82}"/>
        <w:style w:val=""/>
        <w:category>
          <w:name w:val="General"/>
          <w:gallery w:val="placeholder"/>
        </w:category>
        <w:types>
          <w:type w:val="bbPlcHdr"/>
        </w:types>
        <w:behaviors>
          <w:behavior w:val="content"/>
        </w:behaviors>
        <w:description w:val=""/>
        <w:guid w:val="{3777b222-52d6-4748-966f-7e7f2f13fa82}"/>
      </w:docPartPr>
      <w:docPartBody>
        <w:p>
          <w:pPr>
            <w:pStyle w:val="1"/>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
      <w:docPartPr>
        <w:name w:val="{727ba996-932e-4122-8c69-980632adc894}"/>
        <w:style w:val=""/>
        <w:category>
          <w:name w:val="General"/>
          <w:gallery w:val="placeholder"/>
        </w:category>
        <w:types>
          <w:type w:val="bbPlcHdr"/>
        </w:types>
        <w:behaviors>
          <w:behavior w:val="content"/>
        </w:behaviors>
        <w:description w:val=""/>
        <w:guid w:val="{727ba996-932e-4122-8c69-980632adc894}"/>
      </w:docPartPr>
      <w:docPartBody>
        <w:p>
          <w:pPr>
            <w:pStyle w:val="2"/>
          </w:pPr>
          <w:r>
            <w:rPr>
              <w:color w:val="5B9BD5"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 w:type="paragraph" w:customStyle="1" w:styleId="1">
    <w:name w:val="DCBCB7F12FD741FCBCDF0AE63ED3B4BF"/>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2">
    <w:name w:val="C05A49BEB3EC4F328035A1BA055AE16D"/>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Office_11.1.0.8214_F1E327BC-269C-435d-A152-05C5408002CA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app</dc:creator>
  <cp:lastModifiedBy>张作霖</cp:lastModifiedBy>
  <dcterms:modified xsi:type="dcterms:W3CDTF">2019-03-06T18:13:14Z</dcterms:modified>
  <dc:subject>Boyuan </dc:subject>
  <dc:title>Project description and presentation</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2052-11.1.0.8214</vt:lpwstr>
  </property>
</Properties>
</file>