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36BC43" w14:textId="70572190" w:rsidR="00AD7D53" w:rsidRDefault="00B920AC">
      <w:r>
        <w:t>2003955 – Tom Pendlebery</w:t>
      </w:r>
    </w:p>
    <w:p w14:paraId="59AF7C89" w14:textId="3C496AE9" w:rsidR="00B920AC" w:rsidRDefault="00B920AC"/>
    <w:p w14:paraId="67974FFF" w14:textId="114ACF28" w:rsidR="00B920AC" w:rsidRDefault="00B920AC">
      <w:r>
        <w:t xml:space="preserve">Link to video – </w:t>
      </w:r>
    </w:p>
    <w:p w14:paraId="390800F7" w14:textId="5B90242F" w:rsidR="002B1EE5" w:rsidRDefault="002B1EE5">
      <w:hyperlink r:id="rId4" w:history="1">
        <w:r w:rsidRPr="00573C0E">
          <w:rPr>
            <w:rStyle w:val="Hyperlink"/>
          </w:rPr>
          <w:t>https://express.adobe.com/video/ni2ws77DaBLag</w:t>
        </w:r>
      </w:hyperlink>
    </w:p>
    <w:p w14:paraId="43C906A0" w14:textId="77777777" w:rsidR="002B1EE5" w:rsidRDefault="002B1EE5"/>
    <w:p w14:paraId="7A4007F3" w14:textId="057DFE2D" w:rsidR="00B920AC" w:rsidRDefault="00B920AC"/>
    <w:p w14:paraId="4D8CB26E" w14:textId="29A5F4A3" w:rsidR="00B920AC" w:rsidRDefault="00B920AC"/>
    <w:p w14:paraId="5EA6E06A" w14:textId="2C769B1A" w:rsidR="00B920AC" w:rsidRDefault="00B920AC">
      <w:r>
        <w:t xml:space="preserve">References – </w:t>
      </w:r>
    </w:p>
    <w:p w14:paraId="6F4FD42F" w14:textId="77777777" w:rsidR="00B920AC" w:rsidRPr="00B920AC" w:rsidRDefault="00B920AC" w:rsidP="00B920AC">
      <w:pPr>
        <w:rPr>
          <w:rFonts w:cstheme="minorHAnsi"/>
          <w:sz w:val="20"/>
          <w:szCs w:val="20"/>
        </w:rPr>
      </w:pPr>
      <w:r w:rsidRPr="00B920AC">
        <w:rPr>
          <w:rFonts w:cstheme="minorHAnsi"/>
          <w:sz w:val="20"/>
          <w:szCs w:val="20"/>
        </w:rPr>
        <w:t>Camilleri, M. A. (2018). Market Segmentation, Targeting and Positioning. In Travel Marketing, Tourism Economics and the Airline Product (Chapter 4, pp. 69-83). Springer, Cham, Switzerland.</w:t>
      </w:r>
    </w:p>
    <w:p w14:paraId="648C151E" w14:textId="77777777" w:rsidR="00B920AC" w:rsidRPr="00B920AC" w:rsidRDefault="00B920AC" w:rsidP="00B920AC">
      <w:pPr>
        <w:rPr>
          <w:rFonts w:cstheme="minorHAnsi"/>
          <w:sz w:val="20"/>
          <w:szCs w:val="20"/>
        </w:rPr>
      </w:pPr>
      <w:r w:rsidRPr="00B920AC">
        <w:rPr>
          <w:rFonts w:cstheme="minorHAnsi"/>
          <w:color w:val="000000"/>
          <w:sz w:val="20"/>
          <w:szCs w:val="20"/>
        </w:rPr>
        <w:t>Dean. (2022). </w:t>
      </w:r>
      <w:r w:rsidRPr="00B920AC">
        <w:rPr>
          <w:rFonts w:cstheme="minorHAnsi"/>
          <w:i/>
          <w:iCs/>
          <w:color w:val="000000"/>
          <w:sz w:val="20"/>
          <w:szCs w:val="20"/>
        </w:rPr>
        <w:t>Amazon Prime User and Revenue Statistics.</w:t>
      </w:r>
      <w:r w:rsidRPr="00B920AC">
        <w:rPr>
          <w:rFonts w:cstheme="minorHAnsi"/>
          <w:color w:val="000000"/>
          <w:sz w:val="20"/>
          <w:szCs w:val="20"/>
        </w:rPr>
        <w:t> Available: https://backlinko.com/amazon-prime-users. Last accessed 16th March 2022.</w:t>
      </w:r>
    </w:p>
    <w:p w14:paraId="6D131E73" w14:textId="77777777" w:rsidR="00B920AC" w:rsidRPr="00B920AC" w:rsidRDefault="00B920AC" w:rsidP="00B920AC">
      <w:pPr>
        <w:rPr>
          <w:rFonts w:cstheme="minorHAnsi"/>
          <w:color w:val="000000"/>
          <w:sz w:val="20"/>
          <w:szCs w:val="20"/>
        </w:rPr>
      </w:pPr>
      <w:r w:rsidRPr="00B920AC">
        <w:rPr>
          <w:rFonts w:cstheme="minorHAnsi"/>
          <w:color w:val="000000"/>
          <w:sz w:val="20"/>
          <w:szCs w:val="20"/>
        </w:rPr>
        <w:t>Delin. (2005). Brand Tone of Voice: a linguistic analysis of brand positions. </w:t>
      </w:r>
      <w:r w:rsidRPr="00B920AC">
        <w:rPr>
          <w:rFonts w:cstheme="minorHAnsi"/>
          <w:i/>
          <w:iCs/>
          <w:color w:val="000000"/>
          <w:sz w:val="20"/>
          <w:szCs w:val="20"/>
        </w:rPr>
        <w:t>Journal of Applied Linguistics</w:t>
      </w:r>
      <w:r w:rsidRPr="00B920AC">
        <w:rPr>
          <w:rFonts w:cstheme="minorHAnsi"/>
          <w:color w:val="000000"/>
          <w:sz w:val="20"/>
          <w:szCs w:val="20"/>
        </w:rPr>
        <w:t>. 1 (1), 10.</w:t>
      </w:r>
    </w:p>
    <w:p w14:paraId="118419F7" w14:textId="77777777" w:rsidR="00B920AC" w:rsidRPr="00B920AC" w:rsidRDefault="00B920AC" w:rsidP="00B920AC">
      <w:pPr>
        <w:rPr>
          <w:rFonts w:cstheme="minorHAnsi"/>
          <w:color w:val="000000"/>
          <w:sz w:val="20"/>
          <w:szCs w:val="20"/>
        </w:rPr>
      </w:pPr>
      <w:r w:rsidRPr="00B920AC">
        <w:rPr>
          <w:rFonts w:cstheme="minorHAnsi"/>
          <w:color w:val="000000"/>
          <w:sz w:val="20"/>
          <w:szCs w:val="20"/>
        </w:rPr>
        <w:t>Frost. (2020). </w:t>
      </w:r>
      <w:r w:rsidRPr="00B920AC">
        <w:rPr>
          <w:rFonts w:cstheme="minorHAnsi"/>
          <w:i/>
          <w:iCs/>
          <w:color w:val="000000"/>
          <w:sz w:val="20"/>
          <w:szCs w:val="20"/>
        </w:rPr>
        <w:t>Do environmental documentaries actually have an impact on people’s bad habits?</w:t>
      </w:r>
      <w:r w:rsidRPr="00B920AC">
        <w:rPr>
          <w:rFonts w:cstheme="minorHAnsi"/>
          <w:color w:val="000000"/>
          <w:sz w:val="20"/>
          <w:szCs w:val="20"/>
        </w:rPr>
        <w:t> Available: https://www.euronews.com/green/2020/10/07/do-environmental-documentaries-actually-have-an-impact-on-people-s-bad-habits. Last accessed 16th March 2022.</w:t>
      </w:r>
    </w:p>
    <w:p w14:paraId="13E4D9B2" w14:textId="77777777" w:rsidR="00B920AC" w:rsidRPr="00B920AC" w:rsidRDefault="00B920AC" w:rsidP="00B920AC">
      <w:pPr>
        <w:rPr>
          <w:rFonts w:cstheme="minorHAnsi"/>
          <w:color w:val="000000"/>
          <w:sz w:val="20"/>
          <w:szCs w:val="20"/>
        </w:rPr>
      </w:pPr>
      <w:r w:rsidRPr="00B920AC">
        <w:rPr>
          <w:rFonts w:cstheme="minorHAnsi"/>
          <w:color w:val="000000"/>
          <w:sz w:val="20"/>
          <w:szCs w:val="20"/>
        </w:rPr>
        <w:t>Iqbal. (2022). </w:t>
      </w:r>
      <w:r w:rsidRPr="00B920AC">
        <w:rPr>
          <w:rFonts w:cstheme="minorHAnsi"/>
          <w:i/>
          <w:iCs/>
          <w:color w:val="000000"/>
          <w:sz w:val="20"/>
          <w:szCs w:val="20"/>
        </w:rPr>
        <w:t>Netflix Revenue and Usage Statistics.</w:t>
      </w:r>
      <w:r w:rsidRPr="00B920AC">
        <w:rPr>
          <w:rFonts w:cstheme="minorHAnsi"/>
          <w:color w:val="000000"/>
          <w:sz w:val="20"/>
          <w:szCs w:val="20"/>
        </w:rPr>
        <w:t> Available: https://www.businessofapps.com/data/netflix-statistics/#:~:text=Netflix%20key%20statistics%201%20Netflix%20generated%20%2424.9%20billion,In%202021%2C%20Netflix%20had%20209%20million%20subscribers%20wo. Last accessed 16th March 2022.</w:t>
      </w:r>
    </w:p>
    <w:p w14:paraId="4D8047A6" w14:textId="77777777" w:rsidR="00B920AC" w:rsidRPr="00B920AC" w:rsidRDefault="00B920AC" w:rsidP="00B920AC">
      <w:pPr>
        <w:rPr>
          <w:rFonts w:cstheme="minorHAnsi"/>
          <w:color w:val="000000"/>
          <w:sz w:val="20"/>
          <w:szCs w:val="20"/>
        </w:rPr>
      </w:pPr>
      <w:r w:rsidRPr="00B920AC">
        <w:rPr>
          <w:rFonts w:cstheme="minorHAnsi"/>
          <w:color w:val="000000"/>
          <w:sz w:val="20"/>
          <w:szCs w:val="20"/>
        </w:rPr>
        <w:t>Keeling, McGoldrick, Beatty. (2010). Avatars as Salespeople: Communication Style, Trust, and Intentions. </w:t>
      </w:r>
      <w:r w:rsidRPr="00B920AC">
        <w:rPr>
          <w:rFonts w:cstheme="minorHAnsi"/>
          <w:i/>
          <w:iCs/>
          <w:color w:val="000000"/>
          <w:sz w:val="20"/>
          <w:szCs w:val="20"/>
        </w:rPr>
        <w:t>Journal of Business Research</w:t>
      </w:r>
      <w:r w:rsidRPr="00B920AC">
        <w:rPr>
          <w:rFonts w:cstheme="minorHAnsi"/>
          <w:color w:val="000000"/>
          <w:sz w:val="20"/>
          <w:szCs w:val="20"/>
        </w:rPr>
        <w:t>. 63 (1), 793-800.</w:t>
      </w:r>
    </w:p>
    <w:p w14:paraId="4D4977CE" w14:textId="77777777" w:rsidR="00B920AC" w:rsidRPr="00E50C8C" w:rsidRDefault="00B920AC" w:rsidP="00B920AC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sz w:val="20"/>
          <w:szCs w:val="2"/>
          <w:lang w:eastAsia="en-GB"/>
        </w:rPr>
      </w:pPr>
      <w:r w:rsidRPr="00E50C8C">
        <w:rPr>
          <w:rFonts w:eastAsia="Times New Roman" w:cstheme="minorHAnsi"/>
          <w:color w:val="000000"/>
          <w:sz w:val="20"/>
          <w:szCs w:val="2"/>
          <w:lang w:eastAsia="en-GB"/>
        </w:rPr>
        <w:t>Kotler, P., Brown, L., Burton, S. Deans, K.R. and Armstrong, G. (2010). Marketing (8</w:t>
      </w:r>
      <w:r w:rsidRPr="00B920AC">
        <w:rPr>
          <w:rFonts w:eastAsia="Times New Roman" w:cstheme="minorHAnsi"/>
          <w:color w:val="000000"/>
          <w:sz w:val="20"/>
          <w:szCs w:val="2"/>
          <w:lang w:eastAsia="en-GB"/>
        </w:rPr>
        <w:t xml:space="preserve"> ed</w:t>
      </w:r>
      <w:r w:rsidRPr="00E50C8C">
        <w:rPr>
          <w:rFonts w:eastAsia="Times New Roman" w:cstheme="minorHAnsi"/>
          <w:color w:val="000000"/>
          <w:sz w:val="20"/>
          <w:szCs w:val="2"/>
          <w:lang w:eastAsia="en-GB"/>
        </w:rPr>
        <w:t xml:space="preserve">). Sydney: Pearson Prentice Hall </w:t>
      </w:r>
    </w:p>
    <w:p w14:paraId="2E62DD89" w14:textId="77777777" w:rsidR="00B920AC" w:rsidRDefault="00B920AC" w:rsidP="00B920AC">
      <w:pPr>
        <w:rPr>
          <w:rFonts w:cstheme="minorHAnsi"/>
          <w:color w:val="000000"/>
          <w:sz w:val="20"/>
          <w:szCs w:val="20"/>
        </w:rPr>
      </w:pPr>
    </w:p>
    <w:p w14:paraId="2E7FC763" w14:textId="58682511" w:rsidR="00B920AC" w:rsidRPr="00B920AC" w:rsidRDefault="00B920AC" w:rsidP="00B920AC">
      <w:pPr>
        <w:rPr>
          <w:rFonts w:cstheme="minorHAnsi"/>
          <w:color w:val="000000"/>
          <w:sz w:val="20"/>
          <w:szCs w:val="20"/>
        </w:rPr>
      </w:pPr>
      <w:r w:rsidRPr="00B920AC">
        <w:rPr>
          <w:rFonts w:cstheme="minorHAnsi"/>
          <w:color w:val="000000"/>
          <w:sz w:val="20"/>
          <w:szCs w:val="20"/>
        </w:rPr>
        <w:t>Lund, Sutton. (2014). </w:t>
      </w:r>
      <w:r w:rsidRPr="00B920AC">
        <w:rPr>
          <w:rFonts w:cstheme="minorHAnsi"/>
          <w:i/>
          <w:iCs/>
          <w:color w:val="000000"/>
          <w:sz w:val="20"/>
          <w:szCs w:val="20"/>
        </w:rPr>
        <w:t>Why your Brand Should Speak Human.</w:t>
      </w:r>
      <w:r w:rsidRPr="00B920AC">
        <w:rPr>
          <w:rFonts w:cstheme="minorHAnsi"/>
          <w:color w:val="000000"/>
          <w:sz w:val="20"/>
          <w:szCs w:val="20"/>
        </w:rPr>
        <w:t> Available: http://http://contentmarketinginstitute.com/2014/11/why-brand-speak-human. Last accessed 16th March 2022.</w:t>
      </w:r>
    </w:p>
    <w:p w14:paraId="7710F93A" w14:textId="77777777" w:rsidR="00B920AC" w:rsidRPr="00B920AC" w:rsidRDefault="00B920AC" w:rsidP="00B920AC">
      <w:pPr>
        <w:rPr>
          <w:rFonts w:cstheme="minorHAnsi"/>
          <w:color w:val="000000"/>
          <w:sz w:val="20"/>
          <w:szCs w:val="20"/>
        </w:rPr>
      </w:pPr>
      <w:r w:rsidRPr="00B920AC">
        <w:rPr>
          <w:rFonts w:cstheme="minorHAnsi"/>
          <w:color w:val="000000"/>
          <w:sz w:val="20"/>
          <w:szCs w:val="20"/>
        </w:rPr>
        <w:t>Singh. (2012). Marketing Mix of 4P’S for Competitive Advantage. </w:t>
      </w:r>
      <w:r w:rsidRPr="00B920AC">
        <w:rPr>
          <w:rFonts w:cstheme="minorHAnsi"/>
          <w:i/>
          <w:iCs/>
          <w:color w:val="000000"/>
          <w:sz w:val="20"/>
          <w:szCs w:val="20"/>
        </w:rPr>
        <w:t>Journal of Business and Management</w:t>
      </w:r>
      <w:r w:rsidRPr="00B920AC">
        <w:rPr>
          <w:rFonts w:cstheme="minorHAnsi"/>
          <w:color w:val="000000"/>
          <w:sz w:val="20"/>
          <w:szCs w:val="20"/>
        </w:rPr>
        <w:t>. 3 (6), 1.</w:t>
      </w:r>
    </w:p>
    <w:p w14:paraId="61362539" w14:textId="77777777" w:rsidR="00B920AC" w:rsidRPr="00B920AC" w:rsidRDefault="00B920AC" w:rsidP="00B920AC">
      <w:pPr>
        <w:rPr>
          <w:rFonts w:cstheme="minorHAnsi"/>
        </w:rPr>
      </w:pPr>
      <w:r w:rsidRPr="00B920AC">
        <w:rPr>
          <w:rFonts w:cstheme="minorHAnsi"/>
          <w:color w:val="000000"/>
          <w:sz w:val="20"/>
          <w:szCs w:val="20"/>
        </w:rPr>
        <w:t>T4. (2021). </w:t>
      </w:r>
      <w:r w:rsidRPr="00B920AC">
        <w:rPr>
          <w:rFonts w:cstheme="minorHAnsi"/>
          <w:i/>
          <w:iCs/>
          <w:color w:val="000000"/>
          <w:sz w:val="20"/>
          <w:szCs w:val="20"/>
        </w:rPr>
        <w:t>Netflix Market Share.</w:t>
      </w:r>
      <w:r w:rsidRPr="00B920AC">
        <w:rPr>
          <w:rFonts w:cstheme="minorHAnsi"/>
          <w:color w:val="000000"/>
          <w:sz w:val="20"/>
          <w:szCs w:val="20"/>
        </w:rPr>
        <w:t> Available: https://www.t4.ai/companies/netflix-market-share. Last accessed 16th March 2022.</w:t>
      </w:r>
    </w:p>
    <w:p w14:paraId="753EDEFC" w14:textId="77777777" w:rsidR="00B920AC" w:rsidRPr="00B920AC" w:rsidRDefault="00B920AC" w:rsidP="00B920AC">
      <w:pPr>
        <w:rPr>
          <w:rFonts w:cstheme="minorHAnsi"/>
          <w:color w:val="000000"/>
          <w:sz w:val="20"/>
          <w:szCs w:val="20"/>
        </w:rPr>
      </w:pPr>
      <w:r w:rsidRPr="00B920AC">
        <w:rPr>
          <w:rFonts w:cstheme="minorHAnsi"/>
          <w:color w:val="000000"/>
          <w:sz w:val="20"/>
          <w:szCs w:val="20"/>
        </w:rPr>
        <w:t>Visconti (2020). </w:t>
      </w:r>
      <w:r w:rsidRPr="00B920AC">
        <w:rPr>
          <w:rFonts w:cstheme="minorHAnsi"/>
          <w:i/>
          <w:iCs/>
          <w:color w:val="000000"/>
          <w:sz w:val="20"/>
          <w:szCs w:val="20"/>
        </w:rPr>
        <w:t>Marketing management: a cultural perspective</w:t>
      </w:r>
      <w:r w:rsidRPr="00B920AC">
        <w:rPr>
          <w:rFonts w:cstheme="minorHAnsi"/>
          <w:color w:val="000000"/>
          <w:sz w:val="20"/>
          <w:szCs w:val="20"/>
        </w:rPr>
        <w:t>. 2nd ed. Alma: Routledge. 220.</w:t>
      </w:r>
    </w:p>
    <w:p w14:paraId="07FD5D3D" w14:textId="77777777" w:rsidR="00B920AC" w:rsidRPr="00B920AC" w:rsidRDefault="00B920AC" w:rsidP="00B920AC">
      <w:pPr>
        <w:rPr>
          <w:rFonts w:cstheme="minorHAnsi"/>
          <w:color w:val="000000"/>
          <w:sz w:val="20"/>
          <w:szCs w:val="20"/>
        </w:rPr>
      </w:pPr>
      <w:r w:rsidRPr="00B920AC">
        <w:rPr>
          <w:rFonts w:cstheme="minorHAnsi"/>
          <w:color w:val="000000"/>
          <w:sz w:val="20"/>
          <w:szCs w:val="20"/>
        </w:rPr>
        <w:t>World Health Organisation. (2021). </w:t>
      </w:r>
      <w:r w:rsidRPr="00B920AC">
        <w:rPr>
          <w:rFonts w:cstheme="minorHAnsi"/>
          <w:i/>
          <w:iCs/>
          <w:color w:val="000000"/>
          <w:sz w:val="20"/>
          <w:szCs w:val="20"/>
        </w:rPr>
        <w:t>Ageing and health.</w:t>
      </w:r>
      <w:r w:rsidRPr="00B920AC">
        <w:rPr>
          <w:rFonts w:cstheme="minorHAnsi"/>
          <w:color w:val="000000"/>
          <w:sz w:val="20"/>
          <w:szCs w:val="20"/>
        </w:rPr>
        <w:t> Available: https://www.who.int/news-room/fact-sheets/detail/ageing-and-health. Last accessed 16th March 2022.</w:t>
      </w:r>
    </w:p>
    <w:p w14:paraId="1DEEB206" w14:textId="77777777" w:rsidR="00B920AC" w:rsidRPr="00B920AC" w:rsidRDefault="00B920AC" w:rsidP="00B920AC">
      <w:pPr>
        <w:rPr>
          <w:rFonts w:cstheme="minorHAnsi"/>
        </w:rPr>
      </w:pPr>
      <w:proofErr w:type="spellStart"/>
      <w:r w:rsidRPr="00B920AC">
        <w:rPr>
          <w:rFonts w:cstheme="minorHAnsi"/>
          <w:color w:val="000000"/>
          <w:sz w:val="20"/>
          <w:szCs w:val="20"/>
        </w:rPr>
        <w:t>Zamoum</w:t>
      </w:r>
      <w:proofErr w:type="spellEnd"/>
      <w:r w:rsidRPr="00B920AC">
        <w:rPr>
          <w:rFonts w:cstheme="minorHAnsi"/>
          <w:color w:val="000000"/>
          <w:sz w:val="20"/>
          <w:szCs w:val="20"/>
        </w:rPr>
        <w:t>. (2020). THE USE OF SOCIAL MARKETING CAMPAIGNS IN RAISING AWARENESS OF THALASSEMIA IN THE UAE. Communication Today. 11 (1), 186-199.</w:t>
      </w:r>
    </w:p>
    <w:p w14:paraId="44E22E2A" w14:textId="77777777" w:rsidR="00B920AC" w:rsidRDefault="00B920AC"/>
    <w:sectPr w:rsidR="00B920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7D53"/>
    <w:rsid w:val="002B1EE5"/>
    <w:rsid w:val="005046B1"/>
    <w:rsid w:val="00AD7D53"/>
    <w:rsid w:val="00B920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C5F49C"/>
  <w15:chartTrackingRefBased/>
  <w15:docId w15:val="{E17CFBE8-1A23-4D73-B681-8D4305E979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B1E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1E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express.adobe.com/video/ni2ws77DaBLa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336</Words>
  <Characters>1918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Pendlebery</dc:creator>
  <cp:keywords/>
  <dc:description/>
  <cp:lastModifiedBy>Tom Pendlebery</cp:lastModifiedBy>
  <cp:revision>2</cp:revision>
  <dcterms:created xsi:type="dcterms:W3CDTF">2022-03-18T22:03:00Z</dcterms:created>
  <dcterms:modified xsi:type="dcterms:W3CDTF">2022-03-18T22:31:00Z</dcterms:modified>
</cp:coreProperties>
</file>