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05F5D6" w14:textId="24F36FF1" w:rsidR="002B3A62" w:rsidRPr="00417FC1" w:rsidRDefault="00CA408C" w:rsidP="00417FC1">
      <w:pPr>
        <w:spacing w:line="360" w:lineRule="auto"/>
        <w:jc w:val="both"/>
        <w:rPr>
          <w:rFonts w:ascii="Arial" w:hAnsi="Arial" w:cs="Arial"/>
        </w:rPr>
      </w:pPr>
      <w:bookmarkStart w:id="0" w:name="_GoBack"/>
      <w:bookmarkEnd w:id="0"/>
      <w:r w:rsidRPr="00417FC1">
        <w:rPr>
          <w:rFonts w:ascii="Arial" w:hAnsi="Arial" w:cs="Arial"/>
        </w:rPr>
        <w:t>Focusing on</w:t>
      </w:r>
      <w:r w:rsidR="00E73C48" w:rsidRPr="00417FC1">
        <w:rPr>
          <w:rFonts w:ascii="Arial" w:hAnsi="Arial" w:cs="Arial"/>
        </w:rPr>
        <w:t xml:space="preserve"> the category of non-fatal offences, assault and</w:t>
      </w:r>
      <w:r w:rsidR="00AE25E7" w:rsidRPr="00417FC1">
        <w:rPr>
          <w:rFonts w:ascii="Arial" w:hAnsi="Arial" w:cs="Arial"/>
        </w:rPr>
        <w:t xml:space="preserve"> battery are two </w:t>
      </w:r>
      <w:r w:rsidR="001F702E" w:rsidRPr="00417FC1">
        <w:rPr>
          <w:rFonts w:ascii="Arial" w:hAnsi="Arial" w:cs="Arial"/>
        </w:rPr>
        <w:t>major elements which exist under the</w:t>
      </w:r>
      <w:r w:rsidR="00F67CD7" w:rsidRPr="00417FC1">
        <w:rPr>
          <w:rFonts w:ascii="Arial" w:hAnsi="Arial" w:cs="Arial"/>
        </w:rPr>
        <w:t xml:space="preserve"> Common Law and</w:t>
      </w:r>
      <w:r w:rsidR="00D37308" w:rsidRPr="00417FC1">
        <w:rPr>
          <w:rFonts w:ascii="Arial" w:hAnsi="Arial" w:cs="Arial"/>
        </w:rPr>
        <w:t xml:space="preserve"> s39 Criminal Justice Act 1988; making</w:t>
      </w:r>
      <w:r w:rsidR="00BF5AFC" w:rsidRPr="00417FC1">
        <w:rPr>
          <w:rFonts w:ascii="Arial" w:hAnsi="Arial" w:cs="Arial"/>
        </w:rPr>
        <w:t xml:space="preserve"> up some of the most recurren</w:t>
      </w:r>
      <w:r w:rsidR="00FF61DF">
        <w:rPr>
          <w:rFonts w:ascii="Arial" w:hAnsi="Arial" w:cs="Arial"/>
        </w:rPr>
        <w:t xml:space="preserve">tly confronted offences in </w:t>
      </w:r>
      <w:r w:rsidR="00D37308" w:rsidRPr="00417FC1">
        <w:rPr>
          <w:rFonts w:ascii="Arial" w:hAnsi="Arial" w:cs="Arial"/>
        </w:rPr>
        <w:t>Criminal L</w:t>
      </w:r>
      <w:r w:rsidR="00BF5AFC" w:rsidRPr="00417FC1">
        <w:rPr>
          <w:rFonts w:ascii="Arial" w:hAnsi="Arial" w:cs="Arial"/>
        </w:rPr>
        <w:t>aw (Tabbish:2014). According to a recent report from the Guardian (2015), 26,000 prosecutions a year are made under the Offences Against the Person Act</w:t>
      </w:r>
      <w:r w:rsidR="00D96032" w:rsidRPr="00417FC1">
        <w:rPr>
          <w:rFonts w:ascii="Arial" w:hAnsi="Arial" w:cs="Arial"/>
        </w:rPr>
        <w:t xml:space="preserve"> (OAPA)</w:t>
      </w:r>
      <w:r w:rsidR="00ED6B0C" w:rsidRPr="00417FC1">
        <w:rPr>
          <w:rFonts w:ascii="Arial" w:hAnsi="Arial" w:cs="Arial"/>
        </w:rPr>
        <w:t>, a</w:t>
      </w:r>
      <w:r w:rsidR="006F4B87" w:rsidRPr="00417FC1">
        <w:rPr>
          <w:rFonts w:ascii="Arial" w:hAnsi="Arial" w:cs="Arial"/>
        </w:rPr>
        <w:t>nd 100,000 for assault (Bowcott,</w:t>
      </w:r>
      <w:r w:rsidR="00ED6B0C" w:rsidRPr="00417FC1">
        <w:rPr>
          <w:rFonts w:ascii="Arial" w:hAnsi="Arial" w:cs="Arial"/>
        </w:rPr>
        <w:t>2015).</w:t>
      </w:r>
    </w:p>
    <w:p w14:paraId="02B52A90" w14:textId="77777777" w:rsidR="004E00BA" w:rsidRPr="00417FC1" w:rsidRDefault="004E00BA" w:rsidP="00417FC1">
      <w:pPr>
        <w:spacing w:line="360" w:lineRule="auto"/>
        <w:jc w:val="both"/>
        <w:rPr>
          <w:rFonts w:ascii="Arial" w:hAnsi="Arial" w:cs="Arial"/>
        </w:rPr>
      </w:pPr>
    </w:p>
    <w:p w14:paraId="7B79A7CB" w14:textId="72B2B454" w:rsidR="00782CAD" w:rsidRPr="00E44E02" w:rsidRDefault="00C61B11" w:rsidP="00417FC1">
      <w:pPr>
        <w:spacing w:line="360" w:lineRule="auto"/>
        <w:jc w:val="both"/>
        <w:rPr>
          <w:rFonts w:ascii="Arial" w:hAnsi="Arial" w:cs="Arial"/>
        </w:rPr>
      </w:pPr>
      <w:r w:rsidRPr="00417FC1">
        <w:rPr>
          <w:rFonts w:ascii="Arial" w:hAnsi="Arial" w:cs="Arial"/>
        </w:rPr>
        <w:t xml:space="preserve">A person who commits an assault or battery </w:t>
      </w:r>
      <w:r w:rsidR="00CA408C" w:rsidRPr="00417FC1">
        <w:rPr>
          <w:rFonts w:ascii="Arial" w:hAnsi="Arial" w:cs="Arial"/>
        </w:rPr>
        <w:t>can be convicted following</w:t>
      </w:r>
      <w:r w:rsidR="008D5217" w:rsidRPr="00417FC1">
        <w:rPr>
          <w:rFonts w:ascii="Arial" w:hAnsi="Arial" w:cs="Arial"/>
        </w:rPr>
        <w:t xml:space="preserve"> the OAPA (1861) under; s47 assault occasioning actual bodily harm (ABH); s20 unlawful and malicious wounding or inflicting grievous bodily harm (GBH) and s18 unlawful and </w:t>
      </w:r>
      <w:r w:rsidR="008D5217" w:rsidRPr="00E44E02">
        <w:rPr>
          <w:rFonts w:ascii="Arial" w:hAnsi="Arial" w:cs="Arial"/>
        </w:rPr>
        <w:t>malicious wounding or inflicting GBH with intent to cause GBH.</w:t>
      </w:r>
    </w:p>
    <w:p w14:paraId="4EB1CF87" w14:textId="27C08E3D" w:rsidR="00FD17A9" w:rsidRPr="00417FC1" w:rsidRDefault="00141999" w:rsidP="00417FC1">
      <w:pPr>
        <w:spacing w:line="360" w:lineRule="auto"/>
        <w:jc w:val="both"/>
        <w:rPr>
          <w:rFonts w:ascii="Arial" w:hAnsi="Arial" w:cs="Arial"/>
        </w:rPr>
      </w:pPr>
      <w:r w:rsidRPr="00E44E02">
        <w:rPr>
          <w:rFonts w:ascii="Arial" w:hAnsi="Arial" w:cs="Arial"/>
        </w:rPr>
        <w:t>Assault is defined as ‘when the defendant commits an assault, he intentionally or recklessly causes the victim to apprehend immedi</w:t>
      </w:r>
      <w:r w:rsidR="006C33C2" w:rsidRPr="00E44E02">
        <w:rPr>
          <w:rFonts w:ascii="Arial" w:hAnsi="Arial" w:cs="Arial"/>
        </w:rPr>
        <w:t xml:space="preserve">ate unlawful personal violence’ </w:t>
      </w:r>
      <w:r w:rsidRPr="00E44E02">
        <w:rPr>
          <w:rFonts w:ascii="Arial" w:hAnsi="Arial" w:cs="Arial"/>
        </w:rPr>
        <w:t>(</w:t>
      </w:r>
      <w:r w:rsidR="007B279B">
        <w:rPr>
          <w:rFonts w:ascii="Arial" w:hAnsi="Arial" w:cs="Arial"/>
        </w:rPr>
        <w:t>Child and</w:t>
      </w:r>
      <w:r w:rsidR="0054178D" w:rsidRPr="00E44E02">
        <w:rPr>
          <w:rFonts w:ascii="Arial" w:hAnsi="Arial" w:cs="Arial"/>
        </w:rPr>
        <w:t xml:space="preserve"> Ormerod</w:t>
      </w:r>
      <w:r w:rsidR="006F4B87" w:rsidRPr="00E44E02">
        <w:rPr>
          <w:rFonts w:ascii="Arial" w:hAnsi="Arial" w:cs="Arial"/>
        </w:rPr>
        <w:t>,</w:t>
      </w:r>
      <w:r w:rsidRPr="00E44E02">
        <w:rPr>
          <w:rFonts w:ascii="Arial" w:hAnsi="Arial" w:cs="Arial"/>
        </w:rPr>
        <w:t>2017</w:t>
      </w:r>
      <w:r w:rsidR="00E44E02" w:rsidRPr="00E44E02">
        <w:rPr>
          <w:rFonts w:ascii="Arial" w:hAnsi="Arial" w:cs="Arial"/>
        </w:rPr>
        <w:t>:217</w:t>
      </w:r>
      <w:r w:rsidRPr="00E44E02">
        <w:rPr>
          <w:rFonts w:ascii="Arial" w:hAnsi="Arial" w:cs="Arial"/>
        </w:rPr>
        <w:t>).</w:t>
      </w:r>
      <w:r w:rsidRPr="00417FC1">
        <w:rPr>
          <w:rFonts w:ascii="Arial" w:hAnsi="Arial" w:cs="Arial"/>
        </w:rPr>
        <w:t xml:space="preserve"> </w:t>
      </w:r>
      <w:r w:rsidR="00FD17A9" w:rsidRPr="00417FC1">
        <w:rPr>
          <w:rFonts w:ascii="Arial" w:hAnsi="Arial" w:cs="Arial"/>
        </w:rPr>
        <w:t>To be</w:t>
      </w:r>
      <w:r w:rsidRPr="00417FC1">
        <w:rPr>
          <w:rFonts w:ascii="Arial" w:hAnsi="Arial" w:cs="Arial"/>
        </w:rPr>
        <w:t xml:space="preserve"> guilty of assault</w:t>
      </w:r>
      <w:r w:rsidR="00FD17A9" w:rsidRPr="00417FC1">
        <w:rPr>
          <w:rFonts w:ascii="Arial" w:hAnsi="Arial" w:cs="Arial"/>
        </w:rPr>
        <w:t>, there has to be some kind of conduct on the part of the defendant</w:t>
      </w:r>
      <w:r w:rsidR="00B819A7" w:rsidRPr="00417FC1">
        <w:rPr>
          <w:rFonts w:ascii="Arial" w:hAnsi="Arial" w:cs="Arial"/>
        </w:rPr>
        <w:t xml:space="preserve"> that causes them to apprehend the assault</w:t>
      </w:r>
      <w:r w:rsidR="00FD17A9" w:rsidRPr="00417FC1">
        <w:rPr>
          <w:rFonts w:ascii="Arial" w:hAnsi="Arial" w:cs="Arial"/>
        </w:rPr>
        <w:t xml:space="preserve">. </w:t>
      </w:r>
      <w:r w:rsidR="00CE6202" w:rsidRPr="00417FC1">
        <w:rPr>
          <w:rFonts w:ascii="Arial" w:hAnsi="Arial" w:cs="Arial"/>
        </w:rPr>
        <w:t xml:space="preserve">The legal definition of assault does </w:t>
      </w:r>
      <w:r w:rsidR="00242619" w:rsidRPr="00417FC1">
        <w:rPr>
          <w:rFonts w:ascii="Arial" w:hAnsi="Arial" w:cs="Arial"/>
        </w:rPr>
        <w:t xml:space="preserve">not </w:t>
      </w:r>
      <w:r w:rsidR="00CE6202" w:rsidRPr="00417FC1">
        <w:rPr>
          <w:rFonts w:ascii="Arial" w:hAnsi="Arial" w:cs="Arial"/>
        </w:rPr>
        <w:t xml:space="preserve">require any </w:t>
      </w:r>
      <w:r w:rsidR="00D872C5" w:rsidRPr="00417FC1">
        <w:rPr>
          <w:rFonts w:ascii="Arial" w:hAnsi="Arial" w:cs="Arial"/>
        </w:rPr>
        <w:t xml:space="preserve">actual </w:t>
      </w:r>
      <w:r w:rsidR="00B33E00" w:rsidRPr="00417FC1">
        <w:rPr>
          <w:rFonts w:ascii="Arial" w:hAnsi="Arial" w:cs="Arial"/>
        </w:rPr>
        <w:t>contact</w:t>
      </w:r>
      <w:r w:rsidR="008227D6" w:rsidRPr="00417FC1">
        <w:rPr>
          <w:rFonts w:ascii="Arial" w:hAnsi="Arial" w:cs="Arial"/>
        </w:rPr>
        <w:t xml:space="preserve"> between the defendant and the victim</w:t>
      </w:r>
      <w:r w:rsidR="009E42E0" w:rsidRPr="00417FC1">
        <w:rPr>
          <w:rFonts w:ascii="Arial" w:hAnsi="Arial" w:cs="Arial"/>
        </w:rPr>
        <w:t>. C</w:t>
      </w:r>
      <w:r w:rsidR="00B12D50" w:rsidRPr="00417FC1">
        <w:rPr>
          <w:rFonts w:ascii="Arial" w:hAnsi="Arial" w:cs="Arial"/>
        </w:rPr>
        <w:t xml:space="preserve">riminal liability </w:t>
      </w:r>
      <w:r w:rsidR="00CE6202" w:rsidRPr="00417FC1">
        <w:rPr>
          <w:rFonts w:ascii="Arial" w:hAnsi="Arial" w:cs="Arial"/>
        </w:rPr>
        <w:t>is only confirmed when the defendant causes the victim to apprehe</w:t>
      </w:r>
      <w:r w:rsidR="009E42E0" w:rsidRPr="00417FC1">
        <w:rPr>
          <w:rFonts w:ascii="Arial" w:hAnsi="Arial" w:cs="Arial"/>
        </w:rPr>
        <w:t xml:space="preserve">nd </w:t>
      </w:r>
      <w:r w:rsidR="00CE6202" w:rsidRPr="00417FC1">
        <w:rPr>
          <w:rFonts w:ascii="Arial" w:hAnsi="Arial" w:cs="Arial"/>
        </w:rPr>
        <w:t>personal violence (</w:t>
      </w:r>
      <w:r w:rsidR="00D872C5" w:rsidRPr="00417FC1">
        <w:rPr>
          <w:rFonts w:ascii="Arial" w:hAnsi="Arial" w:cs="Arial"/>
        </w:rPr>
        <w:t>ibid</w:t>
      </w:r>
      <w:r w:rsidR="007D4715" w:rsidRPr="00417FC1">
        <w:rPr>
          <w:rFonts w:ascii="Arial" w:hAnsi="Arial" w:cs="Arial"/>
        </w:rPr>
        <w:t xml:space="preserve">). </w:t>
      </w:r>
      <w:r w:rsidR="00FD17A9" w:rsidRPr="00417FC1">
        <w:rPr>
          <w:rFonts w:ascii="Arial" w:hAnsi="Arial" w:cs="Arial"/>
        </w:rPr>
        <w:t>I</w:t>
      </w:r>
      <w:r w:rsidR="00E51887" w:rsidRPr="00417FC1">
        <w:rPr>
          <w:rFonts w:ascii="Arial" w:hAnsi="Arial" w:cs="Arial"/>
        </w:rPr>
        <w:t xml:space="preserve">n the case of </w:t>
      </w:r>
      <w:r w:rsidR="008E0B63" w:rsidRPr="00417FC1">
        <w:rPr>
          <w:rFonts w:ascii="Arial" w:hAnsi="Arial" w:cs="Arial"/>
        </w:rPr>
        <w:t xml:space="preserve">Constanza (1997), </w:t>
      </w:r>
      <w:r w:rsidR="00FD17A9" w:rsidRPr="00417FC1">
        <w:rPr>
          <w:rFonts w:ascii="Arial" w:hAnsi="Arial" w:cs="Arial"/>
        </w:rPr>
        <w:t>the victim</w:t>
      </w:r>
      <w:r w:rsidR="00D5721E" w:rsidRPr="00417FC1">
        <w:rPr>
          <w:rFonts w:ascii="Arial" w:hAnsi="Arial" w:cs="Arial"/>
        </w:rPr>
        <w:t xml:space="preserve"> was sent countless (immediately) threatening letters</w:t>
      </w:r>
      <w:r w:rsidR="00016E66" w:rsidRPr="00417FC1">
        <w:rPr>
          <w:rFonts w:ascii="Arial" w:hAnsi="Arial" w:cs="Arial"/>
        </w:rPr>
        <w:t xml:space="preserve"> and </w:t>
      </w:r>
      <w:r w:rsidR="007C4E5F" w:rsidRPr="00417FC1">
        <w:rPr>
          <w:rFonts w:ascii="Arial" w:hAnsi="Arial" w:cs="Arial"/>
        </w:rPr>
        <w:t xml:space="preserve">was </w:t>
      </w:r>
      <w:r w:rsidR="00016E66" w:rsidRPr="00417FC1">
        <w:rPr>
          <w:rFonts w:ascii="Arial" w:hAnsi="Arial" w:cs="Arial"/>
        </w:rPr>
        <w:t>stalke</w:t>
      </w:r>
      <w:r w:rsidR="007C4E5F" w:rsidRPr="00417FC1">
        <w:rPr>
          <w:rFonts w:ascii="Arial" w:hAnsi="Arial" w:cs="Arial"/>
        </w:rPr>
        <w:t>d</w:t>
      </w:r>
      <w:r w:rsidR="00D5721E" w:rsidRPr="00417FC1">
        <w:rPr>
          <w:rFonts w:ascii="Arial" w:hAnsi="Arial" w:cs="Arial"/>
        </w:rPr>
        <w:t xml:space="preserve"> which resulted in her developing clinical depression, and the defendant was charged with actual bodily harm (ABH</w:t>
      </w:r>
      <w:r w:rsidR="00977B6B" w:rsidRPr="00417FC1">
        <w:rPr>
          <w:rFonts w:ascii="Arial" w:hAnsi="Arial" w:cs="Arial"/>
        </w:rPr>
        <w:t>).</w:t>
      </w:r>
      <w:r w:rsidR="00FD17A9" w:rsidRPr="00417FC1">
        <w:rPr>
          <w:rFonts w:ascii="Arial" w:hAnsi="Arial" w:cs="Arial"/>
        </w:rPr>
        <w:t xml:space="preserve"> </w:t>
      </w:r>
    </w:p>
    <w:p w14:paraId="08FDCF50" w14:textId="3448187B" w:rsidR="009244D5" w:rsidRDefault="00FC2607" w:rsidP="00417FC1">
      <w:pPr>
        <w:spacing w:line="360" w:lineRule="auto"/>
        <w:jc w:val="both"/>
        <w:rPr>
          <w:rFonts w:ascii="Arial" w:hAnsi="Arial" w:cs="Arial"/>
        </w:rPr>
      </w:pPr>
      <w:r w:rsidRPr="00417FC1">
        <w:rPr>
          <w:rFonts w:ascii="Arial" w:hAnsi="Arial" w:cs="Arial"/>
        </w:rPr>
        <w:t>In contrast, battery occurs when the defendant creates ‘intentional or reckless infliction of unlawful per</w:t>
      </w:r>
      <w:r w:rsidR="00B5451B" w:rsidRPr="00417FC1">
        <w:rPr>
          <w:rFonts w:ascii="Arial" w:hAnsi="Arial" w:cs="Arial"/>
        </w:rPr>
        <w:t>sonal violence upon the victim’</w:t>
      </w:r>
      <w:r w:rsidR="00862CCA" w:rsidRPr="00417FC1">
        <w:rPr>
          <w:rFonts w:ascii="Arial" w:hAnsi="Arial" w:cs="Arial"/>
        </w:rPr>
        <w:t xml:space="preserve"> </w:t>
      </w:r>
      <w:r w:rsidR="0054178D" w:rsidRPr="00417FC1">
        <w:rPr>
          <w:rFonts w:ascii="Arial" w:hAnsi="Arial" w:cs="Arial"/>
        </w:rPr>
        <w:t>(</w:t>
      </w:r>
      <w:r w:rsidR="00B5451B" w:rsidRPr="00417FC1">
        <w:rPr>
          <w:rFonts w:ascii="Arial" w:hAnsi="Arial" w:cs="Arial"/>
        </w:rPr>
        <w:t>Child</w:t>
      </w:r>
      <w:r w:rsidR="007B279B">
        <w:rPr>
          <w:rFonts w:ascii="Arial" w:hAnsi="Arial" w:cs="Arial"/>
        </w:rPr>
        <w:t xml:space="preserve"> and </w:t>
      </w:r>
      <w:r w:rsidR="0054178D" w:rsidRPr="00417FC1">
        <w:rPr>
          <w:rFonts w:ascii="Arial" w:hAnsi="Arial" w:cs="Arial"/>
        </w:rPr>
        <w:t>Ormerod</w:t>
      </w:r>
      <w:r w:rsidR="006F4B87" w:rsidRPr="00417FC1">
        <w:rPr>
          <w:rFonts w:ascii="Arial" w:hAnsi="Arial" w:cs="Arial"/>
        </w:rPr>
        <w:t>,</w:t>
      </w:r>
      <w:r w:rsidR="00B5451B" w:rsidRPr="00417FC1">
        <w:rPr>
          <w:rFonts w:ascii="Arial" w:hAnsi="Arial" w:cs="Arial"/>
        </w:rPr>
        <w:t>2017</w:t>
      </w:r>
      <w:r w:rsidR="00E44E02">
        <w:rPr>
          <w:rFonts w:ascii="Arial" w:hAnsi="Arial" w:cs="Arial"/>
        </w:rPr>
        <w:t>:217</w:t>
      </w:r>
      <w:r w:rsidR="00B5451B" w:rsidRPr="00417FC1">
        <w:rPr>
          <w:rFonts w:ascii="Arial" w:hAnsi="Arial" w:cs="Arial"/>
        </w:rPr>
        <w:t>)</w:t>
      </w:r>
      <w:r w:rsidR="00D477F6" w:rsidRPr="00417FC1">
        <w:rPr>
          <w:rFonts w:ascii="Arial" w:hAnsi="Arial" w:cs="Arial"/>
        </w:rPr>
        <w:t>; however,</w:t>
      </w:r>
      <w:r w:rsidRPr="00417FC1">
        <w:rPr>
          <w:rFonts w:ascii="Arial" w:hAnsi="Arial" w:cs="Arial"/>
        </w:rPr>
        <w:t xml:space="preserve"> the victim does not apprehend that personal violence. </w:t>
      </w:r>
      <w:r w:rsidR="005D55E5">
        <w:rPr>
          <w:rFonts w:ascii="Arial" w:hAnsi="Arial" w:cs="Arial"/>
        </w:rPr>
        <w:t xml:space="preserve">An example of this is </w:t>
      </w:r>
      <w:r w:rsidR="00782CAD" w:rsidRPr="00417FC1">
        <w:rPr>
          <w:rFonts w:ascii="Arial" w:hAnsi="Arial" w:cs="Arial"/>
        </w:rPr>
        <w:t xml:space="preserve">the case of </w:t>
      </w:r>
      <w:r w:rsidR="003F383A">
        <w:rPr>
          <w:rFonts w:ascii="Arial" w:hAnsi="Arial" w:cs="Arial"/>
        </w:rPr>
        <w:t xml:space="preserve">DPP v </w:t>
      </w:r>
      <w:r w:rsidR="002D6364">
        <w:rPr>
          <w:rFonts w:ascii="Arial" w:hAnsi="Arial" w:cs="Arial"/>
        </w:rPr>
        <w:t>Santana-</w:t>
      </w:r>
      <w:r w:rsidR="00782CAD" w:rsidRPr="00417FC1">
        <w:rPr>
          <w:rFonts w:ascii="Arial" w:hAnsi="Arial" w:cs="Arial"/>
        </w:rPr>
        <w:t xml:space="preserve">Bermudez (2004), </w:t>
      </w:r>
      <w:r w:rsidR="005D55E5">
        <w:rPr>
          <w:rFonts w:ascii="Arial" w:hAnsi="Arial" w:cs="Arial"/>
        </w:rPr>
        <w:t xml:space="preserve">where </w:t>
      </w:r>
      <w:r w:rsidR="00782CAD" w:rsidRPr="00417FC1">
        <w:rPr>
          <w:rFonts w:ascii="Arial" w:hAnsi="Arial" w:cs="Arial"/>
        </w:rPr>
        <w:t xml:space="preserve">a </w:t>
      </w:r>
      <w:r w:rsidR="00F67CD7" w:rsidRPr="00417FC1">
        <w:rPr>
          <w:rFonts w:ascii="Arial" w:hAnsi="Arial" w:cs="Arial"/>
        </w:rPr>
        <w:t xml:space="preserve">defendant </w:t>
      </w:r>
      <w:r w:rsidR="006E77BE">
        <w:rPr>
          <w:rFonts w:ascii="Arial" w:hAnsi="Arial" w:cs="Arial"/>
        </w:rPr>
        <w:t>failed</w:t>
      </w:r>
      <w:r w:rsidR="0019127B" w:rsidRPr="00417FC1">
        <w:rPr>
          <w:rFonts w:ascii="Arial" w:hAnsi="Arial" w:cs="Arial"/>
        </w:rPr>
        <w:t xml:space="preserve"> to </w:t>
      </w:r>
      <w:r w:rsidR="0006550D" w:rsidRPr="00417FC1">
        <w:rPr>
          <w:rFonts w:ascii="Arial" w:hAnsi="Arial" w:cs="Arial"/>
        </w:rPr>
        <w:t>alert</w:t>
      </w:r>
      <w:r w:rsidR="0066617B" w:rsidRPr="00417FC1">
        <w:rPr>
          <w:rFonts w:ascii="Arial" w:hAnsi="Arial" w:cs="Arial"/>
        </w:rPr>
        <w:t xml:space="preserve"> the policewoman</w:t>
      </w:r>
      <w:r w:rsidR="00F67CD7" w:rsidRPr="00417FC1">
        <w:rPr>
          <w:rFonts w:ascii="Arial" w:hAnsi="Arial" w:cs="Arial"/>
        </w:rPr>
        <w:t xml:space="preserve"> who </w:t>
      </w:r>
      <w:r w:rsidR="003441C1">
        <w:rPr>
          <w:rFonts w:ascii="Arial" w:hAnsi="Arial" w:cs="Arial"/>
        </w:rPr>
        <w:t>was searching him of the ‘sharps’</w:t>
      </w:r>
      <w:r w:rsidR="00F67CD7" w:rsidRPr="00417FC1">
        <w:rPr>
          <w:rFonts w:ascii="Arial" w:hAnsi="Arial" w:cs="Arial"/>
        </w:rPr>
        <w:t xml:space="preserve"> in h</w:t>
      </w:r>
      <w:r w:rsidR="006F5555" w:rsidRPr="00417FC1">
        <w:rPr>
          <w:rFonts w:ascii="Arial" w:hAnsi="Arial" w:cs="Arial"/>
        </w:rPr>
        <w:t>is pocket, d</w:t>
      </w:r>
      <w:r w:rsidR="009E42E0" w:rsidRPr="00417FC1">
        <w:rPr>
          <w:rFonts w:ascii="Arial" w:hAnsi="Arial" w:cs="Arial"/>
        </w:rPr>
        <w:t xml:space="preserve">espite being asked if there were. </w:t>
      </w:r>
      <w:r w:rsidR="00C53906">
        <w:rPr>
          <w:rFonts w:ascii="Arial" w:hAnsi="Arial" w:cs="Arial"/>
        </w:rPr>
        <w:t>As a result, the policewoman did not appr</w:t>
      </w:r>
      <w:r w:rsidR="006E77BE">
        <w:rPr>
          <w:rFonts w:ascii="Arial" w:hAnsi="Arial" w:cs="Arial"/>
        </w:rPr>
        <w:t xml:space="preserve">ehend the harm that would occur and the defendant </w:t>
      </w:r>
      <w:r w:rsidR="006E77BE" w:rsidRPr="00417FC1">
        <w:rPr>
          <w:rFonts w:ascii="Arial" w:hAnsi="Arial" w:cs="Arial"/>
        </w:rPr>
        <w:t xml:space="preserve">was found </w:t>
      </w:r>
      <w:r w:rsidR="006E77BE">
        <w:rPr>
          <w:rFonts w:ascii="Arial" w:hAnsi="Arial" w:cs="Arial"/>
        </w:rPr>
        <w:t>guilty of battery by omission.</w:t>
      </w:r>
    </w:p>
    <w:p w14:paraId="0A1035FF" w14:textId="77777777" w:rsidR="00EB1AA9" w:rsidRPr="00417FC1" w:rsidRDefault="00EB1AA9" w:rsidP="00417FC1">
      <w:pPr>
        <w:spacing w:line="360" w:lineRule="auto"/>
        <w:jc w:val="both"/>
        <w:rPr>
          <w:rFonts w:ascii="Arial" w:hAnsi="Arial" w:cs="Arial"/>
        </w:rPr>
      </w:pPr>
    </w:p>
    <w:p w14:paraId="09EA8E69" w14:textId="77777777" w:rsidR="00907086" w:rsidRDefault="00907086" w:rsidP="00417FC1">
      <w:pPr>
        <w:spacing w:line="360" w:lineRule="auto"/>
        <w:jc w:val="both"/>
        <w:rPr>
          <w:rFonts w:ascii="Arial" w:hAnsi="Arial" w:cs="Arial"/>
        </w:rPr>
      </w:pPr>
    </w:p>
    <w:p w14:paraId="06660121" w14:textId="77777777" w:rsidR="00907086" w:rsidRDefault="00907086" w:rsidP="00417FC1">
      <w:pPr>
        <w:spacing w:line="360" w:lineRule="auto"/>
        <w:jc w:val="both"/>
        <w:rPr>
          <w:rFonts w:ascii="Arial" w:hAnsi="Arial" w:cs="Arial"/>
        </w:rPr>
      </w:pPr>
    </w:p>
    <w:p w14:paraId="1245FE32" w14:textId="77777777" w:rsidR="00907086" w:rsidRDefault="00907086" w:rsidP="00417FC1">
      <w:pPr>
        <w:spacing w:line="360" w:lineRule="auto"/>
        <w:jc w:val="both"/>
        <w:rPr>
          <w:rFonts w:ascii="Arial" w:hAnsi="Arial" w:cs="Arial"/>
        </w:rPr>
      </w:pPr>
    </w:p>
    <w:p w14:paraId="22358847" w14:textId="77777777" w:rsidR="00907086" w:rsidRDefault="00907086" w:rsidP="00417FC1">
      <w:pPr>
        <w:spacing w:line="360" w:lineRule="auto"/>
        <w:jc w:val="both"/>
        <w:rPr>
          <w:rFonts w:ascii="Arial" w:hAnsi="Arial" w:cs="Arial"/>
        </w:rPr>
      </w:pPr>
    </w:p>
    <w:p w14:paraId="7AB9C389" w14:textId="77777777" w:rsidR="00907086" w:rsidRDefault="00907086" w:rsidP="00417FC1">
      <w:pPr>
        <w:spacing w:line="360" w:lineRule="auto"/>
        <w:jc w:val="both"/>
        <w:rPr>
          <w:rFonts w:ascii="Arial" w:hAnsi="Arial" w:cs="Arial"/>
        </w:rPr>
      </w:pPr>
    </w:p>
    <w:p w14:paraId="570D512E" w14:textId="06BC2F50" w:rsidR="00CD3A77" w:rsidRDefault="00CA408C" w:rsidP="00417FC1">
      <w:pPr>
        <w:spacing w:line="360" w:lineRule="auto"/>
        <w:jc w:val="both"/>
        <w:rPr>
          <w:rFonts w:ascii="Arial" w:hAnsi="Arial" w:cs="Arial"/>
        </w:rPr>
      </w:pPr>
      <w:r w:rsidRPr="00417FC1">
        <w:rPr>
          <w:rFonts w:ascii="Arial" w:hAnsi="Arial" w:cs="Arial"/>
        </w:rPr>
        <w:lastRenderedPageBreak/>
        <w:t>Although t</w:t>
      </w:r>
      <w:r w:rsidR="00902A46" w:rsidRPr="00417FC1">
        <w:rPr>
          <w:rFonts w:ascii="Arial" w:hAnsi="Arial" w:cs="Arial"/>
        </w:rPr>
        <w:t xml:space="preserve">he </w:t>
      </w:r>
      <w:r w:rsidR="009E42E0" w:rsidRPr="00417FC1">
        <w:rPr>
          <w:rFonts w:ascii="Arial" w:hAnsi="Arial" w:cs="Arial"/>
        </w:rPr>
        <w:t>OAPA</w:t>
      </w:r>
      <w:r w:rsidR="00243DD5" w:rsidRPr="00417FC1">
        <w:rPr>
          <w:rFonts w:ascii="Arial" w:hAnsi="Arial" w:cs="Arial"/>
        </w:rPr>
        <w:t xml:space="preserve"> has been</w:t>
      </w:r>
      <w:r w:rsidRPr="00417FC1">
        <w:rPr>
          <w:rFonts w:ascii="Arial" w:hAnsi="Arial" w:cs="Arial"/>
        </w:rPr>
        <w:t xml:space="preserve"> used a great deal since 1861, it has </w:t>
      </w:r>
      <w:r w:rsidR="00285AC3" w:rsidRPr="00417FC1">
        <w:rPr>
          <w:rFonts w:ascii="Arial" w:hAnsi="Arial" w:cs="Arial"/>
        </w:rPr>
        <w:t>been widely criticised for b</w:t>
      </w:r>
      <w:r w:rsidRPr="00417FC1">
        <w:rPr>
          <w:rFonts w:ascii="Arial" w:hAnsi="Arial" w:cs="Arial"/>
        </w:rPr>
        <w:t>eing outdated by many</w:t>
      </w:r>
      <w:r w:rsidR="00340649" w:rsidRPr="00417FC1">
        <w:rPr>
          <w:rFonts w:ascii="Arial" w:hAnsi="Arial" w:cs="Arial"/>
        </w:rPr>
        <w:t xml:space="preserve"> sources over</w:t>
      </w:r>
      <w:r w:rsidRPr="00417FC1">
        <w:rPr>
          <w:rFonts w:ascii="Arial" w:hAnsi="Arial" w:cs="Arial"/>
        </w:rPr>
        <w:t xml:space="preserve"> time.</w:t>
      </w:r>
      <w:r w:rsidR="009E42E0" w:rsidRPr="00417FC1">
        <w:rPr>
          <w:rFonts w:ascii="Arial" w:hAnsi="Arial" w:cs="Arial"/>
        </w:rPr>
        <w:t xml:space="preserve"> </w:t>
      </w:r>
      <w:r w:rsidR="00D477F6" w:rsidRPr="00417FC1">
        <w:rPr>
          <w:rFonts w:ascii="Arial" w:hAnsi="Arial" w:cs="Arial"/>
        </w:rPr>
        <w:t xml:space="preserve">There has not been a </w:t>
      </w:r>
      <w:r w:rsidRPr="00417FC1">
        <w:rPr>
          <w:rFonts w:ascii="Arial" w:hAnsi="Arial" w:cs="Arial"/>
        </w:rPr>
        <w:t xml:space="preserve">single </w:t>
      </w:r>
      <w:r w:rsidR="00D477F6" w:rsidRPr="00417FC1">
        <w:rPr>
          <w:rFonts w:ascii="Arial" w:hAnsi="Arial" w:cs="Arial"/>
        </w:rPr>
        <w:t>reform</w:t>
      </w:r>
      <w:r w:rsidR="00127862">
        <w:rPr>
          <w:rFonts w:ascii="Arial" w:hAnsi="Arial" w:cs="Arial"/>
        </w:rPr>
        <w:t xml:space="preserve"> since 1861;</w:t>
      </w:r>
      <w:r w:rsidR="00285AC3" w:rsidRPr="00417FC1">
        <w:rPr>
          <w:rFonts w:ascii="Arial" w:hAnsi="Arial" w:cs="Arial"/>
        </w:rPr>
        <w:t xml:space="preserve"> and some scenarios are disengag</w:t>
      </w:r>
      <w:r w:rsidR="001D65C9" w:rsidRPr="00417FC1">
        <w:rPr>
          <w:rFonts w:ascii="Arial" w:hAnsi="Arial" w:cs="Arial"/>
        </w:rPr>
        <w:t>ed wi</w:t>
      </w:r>
      <w:r w:rsidR="009E42E0" w:rsidRPr="00417FC1">
        <w:rPr>
          <w:rFonts w:ascii="Arial" w:hAnsi="Arial" w:cs="Arial"/>
        </w:rPr>
        <w:t>th th</w:t>
      </w:r>
      <w:r w:rsidR="006F4B87" w:rsidRPr="00417FC1">
        <w:rPr>
          <w:rFonts w:ascii="Arial" w:hAnsi="Arial" w:cs="Arial"/>
        </w:rPr>
        <w:t>e contemporary world (Eugenicos,</w:t>
      </w:r>
      <w:r w:rsidR="009E42E0" w:rsidRPr="00417FC1">
        <w:rPr>
          <w:rFonts w:ascii="Arial" w:hAnsi="Arial" w:cs="Arial"/>
        </w:rPr>
        <w:t>2017)</w:t>
      </w:r>
      <w:r w:rsidR="001D65C9" w:rsidRPr="00417FC1">
        <w:rPr>
          <w:rFonts w:ascii="Arial" w:hAnsi="Arial" w:cs="Arial"/>
        </w:rPr>
        <w:t xml:space="preserve">. </w:t>
      </w:r>
      <w:r w:rsidR="009E42E0" w:rsidRPr="00417FC1">
        <w:rPr>
          <w:rFonts w:ascii="Arial" w:hAnsi="Arial" w:cs="Arial"/>
        </w:rPr>
        <w:t>In addition</w:t>
      </w:r>
      <w:r w:rsidR="00ED0260" w:rsidRPr="00417FC1">
        <w:rPr>
          <w:rFonts w:ascii="Arial" w:hAnsi="Arial" w:cs="Arial"/>
        </w:rPr>
        <w:t>,</w:t>
      </w:r>
      <w:r w:rsidR="00F44064" w:rsidRPr="00417FC1">
        <w:rPr>
          <w:rFonts w:ascii="Arial" w:hAnsi="Arial" w:cs="Arial"/>
        </w:rPr>
        <w:t xml:space="preserve"> there are a number of </w:t>
      </w:r>
      <w:r w:rsidR="001E27B5" w:rsidRPr="00417FC1">
        <w:rPr>
          <w:rFonts w:ascii="Arial" w:hAnsi="Arial" w:cs="Arial"/>
        </w:rPr>
        <w:t xml:space="preserve">sparsely used </w:t>
      </w:r>
      <w:r w:rsidR="002A7F0D" w:rsidRPr="00417FC1">
        <w:rPr>
          <w:rFonts w:ascii="Arial" w:hAnsi="Arial" w:cs="Arial"/>
        </w:rPr>
        <w:t>offences</w:t>
      </w:r>
      <w:r w:rsidR="00D85696">
        <w:rPr>
          <w:rFonts w:ascii="Arial" w:hAnsi="Arial" w:cs="Arial"/>
        </w:rPr>
        <w:t>,</w:t>
      </w:r>
      <w:r w:rsidR="00127862">
        <w:rPr>
          <w:rFonts w:ascii="Arial" w:hAnsi="Arial" w:cs="Arial"/>
        </w:rPr>
        <w:t xml:space="preserve"> </w:t>
      </w:r>
      <w:r w:rsidR="009E42E0" w:rsidRPr="00417FC1">
        <w:rPr>
          <w:rFonts w:ascii="Arial" w:hAnsi="Arial" w:cs="Arial"/>
        </w:rPr>
        <w:t xml:space="preserve">for </w:t>
      </w:r>
      <w:r w:rsidR="00127862">
        <w:rPr>
          <w:rFonts w:ascii="Arial" w:hAnsi="Arial" w:cs="Arial"/>
        </w:rPr>
        <w:t>instance; s17 of the OAPA;</w:t>
      </w:r>
      <w:r w:rsidR="00400A2F" w:rsidRPr="00417FC1">
        <w:rPr>
          <w:rFonts w:ascii="Arial" w:hAnsi="Arial" w:cs="Arial"/>
        </w:rPr>
        <w:t xml:space="preserve"> a defendant can be found guilty for preventing escape from a shipwreck</w:t>
      </w:r>
      <w:r w:rsidR="00127862">
        <w:rPr>
          <w:rFonts w:ascii="Arial" w:hAnsi="Arial" w:cs="Arial"/>
        </w:rPr>
        <w:t xml:space="preserve"> (Law Commission, 2015).</w:t>
      </w:r>
      <w:r w:rsidR="00496DDC" w:rsidRPr="00417FC1">
        <w:rPr>
          <w:rFonts w:ascii="Arial" w:hAnsi="Arial" w:cs="Arial"/>
        </w:rPr>
        <w:t xml:space="preserve"> </w:t>
      </w:r>
      <w:r w:rsidR="00127862">
        <w:rPr>
          <w:rFonts w:ascii="Arial" w:hAnsi="Arial" w:cs="Arial"/>
        </w:rPr>
        <w:t>The punishment for this offence holds the maximum sentence of life</w:t>
      </w:r>
      <w:r w:rsidR="00376C5A">
        <w:rPr>
          <w:rFonts w:ascii="Arial" w:hAnsi="Arial" w:cs="Arial"/>
        </w:rPr>
        <w:t xml:space="preserve"> imprisonment</w:t>
      </w:r>
      <w:r w:rsidR="00127862">
        <w:rPr>
          <w:rFonts w:ascii="Arial" w:hAnsi="Arial" w:cs="Arial"/>
        </w:rPr>
        <w:t xml:space="preserve">, although there is no record of anyone ever being prosecuted. </w:t>
      </w:r>
      <w:r w:rsidR="0028551B" w:rsidRPr="00417FC1">
        <w:rPr>
          <w:rFonts w:ascii="Arial" w:hAnsi="Arial" w:cs="Arial"/>
        </w:rPr>
        <w:t xml:space="preserve">This suggests that </w:t>
      </w:r>
      <w:r w:rsidR="00227020" w:rsidRPr="00417FC1">
        <w:rPr>
          <w:rFonts w:ascii="Arial" w:hAnsi="Arial" w:cs="Arial"/>
        </w:rPr>
        <w:t xml:space="preserve">a number of offences may need to be removed in order to bring the OAPA </w:t>
      </w:r>
      <w:r w:rsidR="006E5B76" w:rsidRPr="00417FC1">
        <w:rPr>
          <w:rFonts w:ascii="Arial" w:hAnsi="Arial" w:cs="Arial"/>
        </w:rPr>
        <w:t xml:space="preserve">up to date with modern society. </w:t>
      </w:r>
    </w:p>
    <w:p w14:paraId="28EAA563" w14:textId="77777777" w:rsidR="00E633F6" w:rsidRDefault="00E633F6" w:rsidP="00417FC1">
      <w:pPr>
        <w:spacing w:line="360" w:lineRule="auto"/>
        <w:jc w:val="both"/>
        <w:rPr>
          <w:rFonts w:ascii="Arial" w:hAnsi="Arial" w:cs="Arial"/>
        </w:rPr>
      </w:pPr>
    </w:p>
    <w:p w14:paraId="68E784AA" w14:textId="77777777" w:rsidR="009F335E" w:rsidRDefault="00321396" w:rsidP="00D42A49">
      <w:pPr>
        <w:spacing w:line="360" w:lineRule="auto"/>
        <w:jc w:val="both"/>
        <w:rPr>
          <w:rFonts w:ascii="Arial" w:hAnsi="Arial" w:cs="Arial"/>
        </w:rPr>
      </w:pPr>
      <w:r>
        <w:rPr>
          <w:rFonts w:ascii="Arial" w:hAnsi="Arial" w:cs="Arial"/>
        </w:rPr>
        <w:t xml:space="preserve">An obvious issue requiring a reform is the archaic vocabulary used in the current law. </w:t>
      </w:r>
      <w:r w:rsidR="00D42A49">
        <w:rPr>
          <w:rFonts w:ascii="Arial" w:hAnsi="Arial" w:cs="Arial"/>
        </w:rPr>
        <w:t xml:space="preserve">The </w:t>
      </w:r>
      <w:r w:rsidR="001E36A1">
        <w:rPr>
          <w:rFonts w:ascii="Arial" w:hAnsi="Arial" w:cs="Arial"/>
        </w:rPr>
        <w:t>‘</w:t>
      </w:r>
      <w:r w:rsidR="00D42A49">
        <w:rPr>
          <w:rFonts w:ascii="Arial" w:hAnsi="Arial" w:cs="Arial"/>
        </w:rPr>
        <w:t>actus reus</w:t>
      </w:r>
      <w:r w:rsidR="001E36A1">
        <w:rPr>
          <w:rFonts w:ascii="Arial" w:hAnsi="Arial" w:cs="Arial"/>
        </w:rPr>
        <w:t>’</w:t>
      </w:r>
      <w:r w:rsidR="00D42A49">
        <w:rPr>
          <w:rFonts w:ascii="Arial" w:hAnsi="Arial" w:cs="Arial"/>
        </w:rPr>
        <w:t xml:space="preserve"> of a crime refers to the act by the defendant </w:t>
      </w:r>
      <w:r w:rsidR="001E36A1">
        <w:rPr>
          <w:rFonts w:ascii="Arial" w:hAnsi="Arial" w:cs="Arial"/>
        </w:rPr>
        <w:t xml:space="preserve">whereas </w:t>
      </w:r>
      <w:r w:rsidR="00D42A49">
        <w:rPr>
          <w:rFonts w:ascii="Arial" w:hAnsi="Arial" w:cs="Arial"/>
        </w:rPr>
        <w:t xml:space="preserve">the </w:t>
      </w:r>
      <w:r w:rsidR="001E36A1">
        <w:rPr>
          <w:rFonts w:ascii="Arial" w:hAnsi="Arial" w:cs="Arial"/>
        </w:rPr>
        <w:t>‘</w:t>
      </w:r>
      <w:r w:rsidR="00D42A49">
        <w:rPr>
          <w:rFonts w:ascii="Arial" w:hAnsi="Arial" w:cs="Arial"/>
        </w:rPr>
        <w:t>mens rea</w:t>
      </w:r>
      <w:r w:rsidR="001E36A1">
        <w:rPr>
          <w:rFonts w:ascii="Arial" w:hAnsi="Arial" w:cs="Arial"/>
        </w:rPr>
        <w:t>’</w:t>
      </w:r>
      <w:r w:rsidR="00D42A49">
        <w:rPr>
          <w:rFonts w:ascii="Arial" w:hAnsi="Arial" w:cs="Arial"/>
        </w:rPr>
        <w:t xml:space="preserve"> </w:t>
      </w:r>
      <w:r w:rsidR="001E36A1">
        <w:rPr>
          <w:rFonts w:ascii="Arial" w:hAnsi="Arial" w:cs="Arial"/>
        </w:rPr>
        <w:t xml:space="preserve">describes the mental state of the defendant. </w:t>
      </w:r>
      <w:r w:rsidR="00CA3055">
        <w:rPr>
          <w:rFonts w:ascii="Arial" w:hAnsi="Arial" w:cs="Arial"/>
        </w:rPr>
        <w:t xml:space="preserve">Regarding assault and battery, </w:t>
      </w:r>
      <w:r w:rsidR="00CA3055" w:rsidRPr="00910861">
        <w:rPr>
          <w:rFonts w:ascii="Arial" w:hAnsi="Arial" w:cs="Arial"/>
          <w:highlight w:val="yellow"/>
        </w:rPr>
        <w:t>Demetrious (2016)</w:t>
      </w:r>
      <w:r w:rsidR="00CA3055">
        <w:rPr>
          <w:rFonts w:ascii="Arial" w:hAnsi="Arial" w:cs="Arial"/>
        </w:rPr>
        <w:t xml:space="preserve"> </w:t>
      </w:r>
      <w:r>
        <w:rPr>
          <w:rFonts w:ascii="Arial" w:hAnsi="Arial" w:cs="Arial"/>
        </w:rPr>
        <w:t xml:space="preserve">claims that although there is an evident contrast between </w:t>
      </w:r>
      <w:r w:rsidR="00431906">
        <w:rPr>
          <w:rFonts w:ascii="Arial" w:hAnsi="Arial" w:cs="Arial"/>
        </w:rPr>
        <w:t xml:space="preserve">assault and battery regarding the different </w:t>
      </w:r>
      <w:r w:rsidR="001E36A1">
        <w:rPr>
          <w:rFonts w:ascii="Arial" w:hAnsi="Arial" w:cs="Arial"/>
        </w:rPr>
        <w:t xml:space="preserve">actus reus </w:t>
      </w:r>
      <w:r w:rsidR="00431906">
        <w:rPr>
          <w:rFonts w:ascii="Arial" w:hAnsi="Arial" w:cs="Arial"/>
        </w:rPr>
        <w:t>required, the terms ‘assault’ and ‘common assault’</w:t>
      </w:r>
      <w:r w:rsidR="001E36A1">
        <w:rPr>
          <w:rFonts w:ascii="Arial" w:hAnsi="Arial" w:cs="Arial"/>
        </w:rPr>
        <w:t xml:space="preserve"> are both used which causes c</w:t>
      </w:r>
      <w:r w:rsidR="00431906">
        <w:rPr>
          <w:rFonts w:ascii="Arial" w:hAnsi="Arial" w:cs="Arial"/>
        </w:rPr>
        <w:t xml:space="preserve">onfusion as to their actual meaning. </w:t>
      </w:r>
    </w:p>
    <w:p w14:paraId="605BFA14" w14:textId="77777777" w:rsidR="009F335E" w:rsidRDefault="009F335E" w:rsidP="00D42A49">
      <w:pPr>
        <w:spacing w:line="360" w:lineRule="auto"/>
        <w:jc w:val="both"/>
        <w:rPr>
          <w:rFonts w:ascii="Arial" w:hAnsi="Arial" w:cs="Arial"/>
        </w:rPr>
      </w:pPr>
    </w:p>
    <w:p w14:paraId="5B257F7F" w14:textId="14D96246" w:rsidR="00CA3055" w:rsidRPr="00417FC1" w:rsidRDefault="00431906" w:rsidP="00D42A49">
      <w:pPr>
        <w:spacing w:line="360" w:lineRule="auto"/>
        <w:jc w:val="both"/>
        <w:rPr>
          <w:rFonts w:ascii="Arial" w:hAnsi="Arial" w:cs="Arial"/>
        </w:rPr>
      </w:pPr>
      <w:r>
        <w:rPr>
          <w:rFonts w:ascii="Arial" w:hAnsi="Arial" w:cs="Arial"/>
        </w:rPr>
        <w:t>Similarly, battery is sparsely used in today’s society</w:t>
      </w:r>
      <w:r w:rsidR="004B7F1B">
        <w:rPr>
          <w:rFonts w:ascii="Arial" w:hAnsi="Arial" w:cs="Arial"/>
        </w:rPr>
        <w:t>,</w:t>
      </w:r>
      <w:r>
        <w:rPr>
          <w:rFonts w:ascii="Arial" w:hAnsi="Arial" w:cs="Arial"/>
        </w:rPr>
        <w:t xml:space="preserve"> therefore its use in the current law is often misleading. Due to this, the Law Commission proposes two new amendments to the labels of offences. Battery would be labelled as ‘physical assault’</w:t>
      </w:r>
      <w:r w:rsidR="00CB55F0">
        <w:rPr>
          <w:rFonts w:ascii="Arial" w:hAnsi="Arial" w:cs="Arial"/>
        </w:rPr>
        <w:t>,</w:t>
      </w:r>
      <w:r>
        <w:rPr>
          <w:rFonts w:ascii="Arial" w:hAnsi="Arial" w:cs="Arial"/>
        </w:rPr>
        <w:t xml:space="preserve"> and assault as ‘threatened assault’ in order to provide a clearer conception of the defendant’s actions and blameworthiness, as well as assigning a fair label to the offences (ibid). </w:t>
      </w:r>
    </w:p>
    <w:p w14:paraId="2A5DCEB4" w14:textId="445AAFEE" w:rsidR="00CA408C" w:rsidRPr="00417FC1" w:rsidRDefault="00D477F6" w:rsidP="00417FC1">
      <w:pPr>
        <w:spacing w:line="360" w:lineRule="auto"/>
        <w:jc w:val="both"/>
        <w:rPr>
          <w:rFonts w:ascii="Arial" w:hAnsi="Arial" w:cs="Arial"/>
        </w:rPr>
      </w:pPr>
      <w:r w:rsidRPr="00417FC1">
        <w:rPr>
          <w:rFonts w:ascii="Arial" w:hAnsi="Arial" w:cs="Arial"/>
        </w:rPr>
        <w:t>The principal issue which</w:t>
      </w:r>
      <w:r w:rsidR="001E2E7F" w:rsidRPr="00417FC1">
        <w:rPr>
          <w:rFonts w:ascii="Arial" w:hAnsi="Arial" w:cs="Arial"/>
        </w:rPr>
        <w:t xml:space="preserve"> has influenced the need for reform is the unsatisfactory structure or hierarchy of offences. </w:t>
      </w:r>
      <w:r w:rsidR="008F4308" w:rsidRPr="00417FC1">
        <w:rPr>
          <w:rFonts w:ascii="Arial" w:hAnsi="Arial" w:cs="Arial"/>
        </w:rPr>
        <w:t>S20 and s47 both have a maximum sentence of five years if the defendant is convicted, however s20 is supposed to be ‘more serious’ in the structured hie</w:t>
      </w:r>
      <w:r w:rsidR="00CA408C" w:rsidRPr="00417FC1">
        <w:rPr>
          <w:rFonts w:ascii="Arial" w:hAnsi="Arial" w:cs="Arial"/>
        </w:rPr>
        <w:t xml:space="preserve">rarchy of </w:t>
      </w:r>
      <w:r w:rsidR="006F4B87" w:rsidRPr="00417FC1">
        <w:rPr>
          <w:rFonts w:ascii="Arial" w:hAnsi="Arial" w:cs="Arial"/>
        </w:rPr>
        <w:t>offences of the OAPA (Eugenicos,</w:t>
      </w:r>
      <w:r w:rsidR="00CA408C" w:rsidRPr="00417FC1">
        <w:rPr>
          <w:rFonts w:ascii="Arial" w:hAnsi="Arial" w:cs="Arial"/>
        </w:rPr>
        <w:t xml:space="preserve">2017). </w:t>
      </w:r>
      <w:r w:rsidR="006246C0" w:rsidRPr="00417FC1">
        <w:rPr>
          <w:rFonts w:ascii="Arial" w:hAnsi="Arial" w:cs="Arial"/>
        </w:rPr>
        <w:t>This may cause co</w:t>
      </w:r>
      <w:r w:rsidR="007F3080" w:rsidRPr="00417FC1">
        <w:rPr>
          <w:rFonts w:ascii="Arial" w:hAnsi="Arial" w:cs="Arial"/>
        </w:rPr>
        <w:t>nfusion for both prosec</w:t>
      </w:r>
      <w:r w:rsidR="00336C08" w:rsidRPr="00417FC1">
        <w:rPr>
          <w:rFonts w:ascii="Arial" w:hAnsi="Arial" w:cs="Arial"/>
        </w:rPr>
        <w:t>utors and defenders in debating a</w:t>
      </w:r>
      <w:r w:rsidR="007F3080" w:rsidRPr="00417FC1">
        <w:rPr>
          <w:rFonts w:ascii="Arial" w:hAnsi="Arial" w:cs="Arial"/>
        </w:rPr>
        <w:t xml:space="preserve"> suitable sentence for the degree of the crime committed.</w:t>
      </w:r>
    </w:p>
    <w:p w14:paraId="4395B1D9" w14:textId="77777777" w:rsidR="009F335E" w:rsidRDefault="009F335E" w:rsidP="00417FC1">
      <w:pPr>
        <w:spacing w:line="360" w:lineRule="auto"/>
        <w:jc w:val="both"/>
        <w:rPr>
          <w:rFonts w:ascii="Arial" w:hAnsi="Arial" w:cs="Arial"/>
        </w:rPr>
      </w:pPr>
    </w:p>
    <w:p w14:paraId="60D4B0D7" w14:textId="77777777" w:rsidR="009F335E" w:rsidRDefault="009F335E" w:rsidP="00417FC1">
      <w:pPr>
        <w:spacing w:line="360" w:lineRule="auto"/>
        <w:jc w:val="both"/>
        <w:rPr>
          <w:rFonts w:ascii="Arial" w:hAnsi="Arial" w:cs="Arial"/>
        </w:rPr>
      </w:pPr>
    </w:p>
    <w:p w14:paraId="5A910E3B" w14:textId="77777777" w:rsidR="009F335E" w:rsidRDefault="009F335E" w:rsidP="00417FC1">
      <w:pPr>
        <w:spacing w:line="360" w:lineRule="auto"/>
        <w:jc w:val="both"/>
        <w:rPr>
          <w:rFonts w:ascii="Arial" w:hAnsi="Arial" w:cs="Arial"/>
        </w:rPr>
      </w:pPr>
    </w:p>
    <w:p w14:paraId="09DBDD61" w14:textId="77777777" w:rsidR="009F335E" w:rsidRDefault="009F335E" w:rsidP="00417FC1">
      <w:pPr>
        <w:spacing w:line="360" w:lineRule="auto"/>
        <w:jc w:val="both"/>
        <w:rPr>
          <w:rFonts w:ascii="Arial" w:hAnsi="Arial" w:cs="Arial"/>
        </w:rPr>
      </w:pPr>
    </w:p>
    <w:p w14:paraId="59BCA27A" w14:textId="10EE449E" w:rsidR="001E2E7F" w:rsidRPr="00417FC1" w:rsidRDefault="00E94C25" w:rsidP="00417FC1">
      <w:pPr>
        <w:spacing w:line="360" w:lineRule="auto"/>
        <w:jc w:val="both"/>
        <w:rPr>
          <w:rFonts w:ascii="Arial" w:hAnsi="Arial" w:cs="Arial"/>
        </w:rPr>
      </w:pPr>
      <w:r w:rsidRPr="00417FC1">
        <w:rPr>
          <w:rFonts w:ascii="Arial" w:hAnsi="Arial" w:cs="Arial"/>
        </w:rPr>
        <w:t xml:space="preserve">Similarly, there are broadening </w:t>
      </w:r>
      <w:r w:rsidR="00DD2519" w:rsidRPr="00417FC1">
        <w:rPr>
          <w:rFonts w:ascii="Arial" w:hAnsi="Arial" w:cs="Arial"/>
        </w:rPr>
        <w:t xml:space="preserve">gaps </w:t>
      </w:r>
      <w:r w:rsidR="009C1BEF" w:rsidRPr="00417FC1">
        <w:rPr>
          <w:rFonts w:ascii="Arial" w:hAnsi="Arial" w:cs="Arial"/>
        </w:rPr>
        <w:t>between low-level offenc</w:t>
      </w:r>
      <w:r w:rsidR="00D901F6" w:rsidRPr="00417FC1">
        <w:rPr>
          <w:rFonts w:ascii="Arial" w:hAnsi="Arial" w:cs="Arial"/>
        </w:rPr>
        <w:t>es. For instance, assault holds a maximum sentence of six months, whereas ABH holds a much longer</w:t>
      </w:r>
      <w:r w:rsidR="00C121BD" w:rsidRPr="00417FC1">
        <w:rPr>
          <w:rFonts w:ascii="Arial" w:hAnsi="Arial" w:cs="Arial"/>
        </w:rPr>
        <w:t xml:space="preserve"> maximum se</w:t>
      </w:r>
      <w:r w:rsidR="00EA3B08" w:rsidRPr="00417FC1">
        <w:rPr>
          <w:rFonts w:ascii="Arial" w:hAnsi="Arial" w:cs="Arial"/>
        </w:rPr>
        <w:t>nt</w:t>
      </w:r>
      <w:r w:rsidR="00FC72ED" w:rsidRPr="00417FC1">
        <w:rPr>
          <w:rFonts w:ascii="Arial" w:hAnsi="Arial" w:cs="Arial"/>
        </w:rPr>
        <w:t>ence of five years (</w:t>
      </w:r>
      <w:r w:rsidR="006F4B87" w:rsidRPr="00417FC1">
        <w:rPr>
          <w:rFonts w:ascii="Arial" w:hAnsi="Arial" w:cs="Arial"/>
        </w:rPr>
        <w:t>Horder,</w:t>
      </w:r>
      <w:r w:rsidR="006E6BB1" w:rsidRPr="00417FC1">
        <w:rPr>
          <w:rFonts w:ascii="Arial" w:hAnsi="Arial" w:cs="Arial"/>
        </w:rPr>
        <w:t>1994</w:t>
      </w:r>
      <w:r w:rsidR="00D477F6" w:rsidRPr="00417FC1">
        <w:rPr>
          <w:rFonts w:ascii="Arial" w:hAnsi="Arial" w:cs="Arial"/>
        </w:rPr>
        <w:t xml:space="preserve">). </w:t>
      </w:r>
      <w:r w:rsidR="00EA3B08" w:rsidRPr="00417FC1">
        <w:rPr>
          <w:rFonts w:ascii="Arial" w:hAnsi="Arial" w:cs="Arial"/>
        </w:rPr>
        <w:t>As a result, confusion arises among prosecutors whereby they must come to a decision by taking into account the level of injury to charge for a l</w:t>
      </w:r>
      <w:r w:rsidR="00E36984" w:rsidRPr="00417FC1">
        <w:rPr>
          <w:rFonts w:ascii="Arial" w:hAnsi="Arial" w:cs="Arial"/>
        </w:rPr>
        <w:t xml:space="preserve">esser offence. This risks a </w:t>
      </w:r>
      <w:r w:rsidR="00707181" w:rsidRPr="00417FC1">
        <w:rPr>
          <w:rFonts w:ascii="Arial" w:hAnsi="Arial" w:cs="Arial"/>
        </w:rPr>
        <w:t xml:space="preserve">Crown Court trial if </w:t>
      </w:r>
      <w:r w:rsidR="00EA3B08" w:rsidRPr="00417FC1">
        <w:rPr>
          <w:rFonts w:ascii="Arial" w:hAnsi="Arial" w:cs="Arial"/>
        </w:rPr>
        <w:t>the offence caused actual inj</w:t>
      </w:r>
      <w:r w:rsidR="00D66AD3" w:rsidRPr="00417FC1">
        <w:rPr>
          <w:rFonts w:ascii="Arial" w:hAnsi="Arial" w:cs="Arial"/>
        </w:rPr>
        <w:t>ury, which is unnecessary</w:t>
      </w:r>
      <w:r w:rsidR="00E36984" w:rsidRPr="00417FC1">
        <w:rPr>
          <w:rFonts w:ascii="Arial" w:hAnsi="Arial" w:cs="Arial"/>
        </w:rPr>
        <w:t xml:space="preserve"> and more expensive</w:t>
      </w:r>
      <w:r w:rsidR="00D66AD3" w:rsidRPr="00417FC1">
        <w:rPr>
          <w:rFonts w:ascii="Arial" w:hAnsi="Arial" w:cs="Arial"/>
        </w:rPr>
        <w:t xml:space="preserve"> (</w:t>
      </w:r>
      <w:r w:rsidR="006F4B87" w:rsidRPr="00417FC1">
        <w:rPr>
          <w:rFonts w:ascii="Arial" w:hAnsi="Arial" w:cs="Arial"/>
        </w:rPr>
        <w:t>Eugenicos,</w:t>
      </w:r>
      <w:r w:rsidR="008304D2" w:rsidRPr="00417FC1">
        <w:rPr>
          <w:rFonts w:ascii="Arial" w:hAnsi="Arial" w:cs="Arial"/>
        </w:rPr>
        <w:t>2017)</w:t>
      </w:r>
      <w:r w:rsidR="00EA3B08" w:rsidRPr="00417FC1">
        <w:rPr>
          <w:rFonts w:ascii="Arial" w:hAnsi="Arial" w:cs="Arial"/>
        </w:rPr>
        <w:t>.</w:t>
      </w:r>
    </w:p>
    <w:p w14:paraId="5BCFF6FC" w14:textId="77777777" w:rsidR="00616426" w:rsidRDefault="00616426" w:rsidP="00417FC1">
      <w:pPr>
        <w:spacing w:line="360" w:lineRule="auto"/>
        <w:jc w:val="both"/>
        <w:rPr>
          <w:rFonts w:ascii="Arial" w:hAnsi="Arial" w:cs="Arial"/>
        </w:rPr>
      </w:pPr>
    </w:p>
    <w:p w14:paraId="47A09071" w14:textId="2C627262" w:rsidR="006378C1" w:rsidRDefault="00966370" w:rsidP="00417FC1">
      <w:pPr>
        <w:spacing w:line="360" w:lineRule="auto"/>
        <w:jc w:val="both"/>
        <w:rPr>
          <w:rFonts w:ascii="Arial" w:hAnsi="Arial" w:cs="Arial"/>
        </w:rPr>
      </w:pPr>
      <w:r w:rsidRPr="00417FC1">
        <w:rPr>
          <w:rFonts w:ascii="Arial" w:hAnsi="Arial" w:cs="Arial"/>
        </w:rPr>
        <w:t xml:space="preserve">In addition, there is </w:t>
      </w:r>
      <w:r w:rsidR="00234C7C" w:rsidRPr="00417FC1">
        <w:rPr>
          <w:rFonts w:ascii="Arial" w:hAnsi="Arial" w:cs="Arial"/>
        </w:rPr>
        <w:t xml:space="preserve">a need for a clear hierarchy </w:t>
      </w:r>
      <w:r w:rsidR="00256D54" w:rsidRPr="00417FC1">
        <w:rPr>
          <w:rFonts w:ascii="Arial" w:hAnsi="Arial" w:cs="Arial"/>
        </w:rPr>
        <w:t xml:space="preserve">in injury. For example, wounding would be classed as grievous bodily harm (GBH). </w:t>
      </w:r>
      <w:r w:rsidR="00FE3F96" w:rsidRPr="00417FC1">
        <w:rPr>
          <w:rFonts w:ascii="Arial" w:hAnsi="Arial" w:cs="Arial"/>
        </w:rPr>
        <w:t xml:space="preserve">In the case of </w:t>
      </w:r>
      <w:r w:rsidR="00256D54" w:rsidRPr="00417FC1">
        <w:rPr>
          <w:rFonts w:ascii="Arial" w:hAnsi="Arial" w:cs="Arial"/>
        </w:rPr>
        <w:t>Moriarty and Brooks (1834),</w:t>
      </w:r>
      <w:r w:rsidR="001F2315" w:rsidRPr="00417FC1">
        <w:rPr>
          <w:rFonts w:ascii="Arial" w:hAnsi="Arial" w:cs="Arial"/>
        </w:rPr>
        <w:t xml:space="preserve"> Lord Lyndhurst claims</w:t>
      </w:r>
      <w:r w:rsidR="00633363" w:rsidRPr="00417FC1">
        <w:rPr>
          <w:rFonts w:ascii="Arial" w:hAnsi="Arial" w:cs="Arial"/>
        </w:rPr>
        <w:t xml:space="preserve"> that</w:t>
      </w:r>
      <w:r w:rsidR="00256D54" w:rsidRPr="00417FC1">
        <w:rPr>
          <w:rFonts w:ascii="Arial" w:hAnsi="Arial" w:cs="Arial"/>
        </w:rPr>
        <w:t xml:space="preserve"> both layers of skin have to be broken</w:t>
      </w:r>
      <w:r w:rsidR="00302FC4" w:rsidRPr="00417FC1">
        <w:rPr>
          <w:rFonts w:ascii="Arial" w:hAnsi="Arial" w:cs="Arial"/>
        </w:rPr>
        <w:t xml:space="preserve"> </w:t>
      </w:r>
      <w:r w:rsidR="00256D54" w:rsidRPr="00417FC1">
        <w:rPr>
          <w:rFonts w:ascii="Arial" w:hAnsi="Arial" w:cs="Arial"/>
        </w:rPr>
        <w:t>to class as a wound, and therefore classed as GBH. However, even a small prick would cause ‘wo</w:t>
      </w:r>
      <w:r w:rsidR="001F2315" w:rsidRPr="00417FC1">
        <w:rPr>
          <w:rFonts w:ascii="Arial" w:hAnsi="Arial" w:cs="Arial"/>
        </w:rPr>
        <w:t>unding’ (Moriarty and Brooks, 1834, cited in Bingham (1834)</w:t>
      </w:r>
      <w:r w:rsidR="00EF58CA">
        <w:rPr>
          <w:rFonts w:ascii="Arial" w:hAnsi="Arial" w:cs="Arial"/>
        </w:rPr>
        <w:t>)</w:t>
      </w:r>
      <w:r w:rsidR="001F2315" w:rsidRPr="00417FC1">
        <w:rPr>
          <w:rFonts w:ascii="Arial" w:hAnsi="Arial" w:cs="Arial"/>
        </w:rPr>
        <w:t>.</w:t>
      </w:r>
      <w:r w:rsidR="00585D0D" w:rsidRPr="00417FC1">
        <w:rPr>
          <w:rFonts w:ascii="Arial" w:hAnsi="Arial" w:cs="Arial"/>
        </w:rPr>
        <w:t xml:space="preserve"> In 1861 when</w:t>
      </w:r>
      <w:r w:rsidR="00256D54" w:rsidRPr="00417FC1">
        <w:rPr>
          <w:rFonts w:ascii="Arial" w:hAnsi="Arial" w:cs="Arial"/>
        </w:rPr>
        <w:t xml:space="preserve"> the OAPA was founded, being convicted of inflicting GBH would be understandable, as it was around a time where there was little medical knowledge and simple infections could amount to death. In this sense, the OAPA is outdated, and there is a need for adjustments with the hierarchy of injury</w:t>
      </w:r>
      <w:r w:rsidR="001C09EB" w:rsidRPr="00417FC1">
        <w:rPr>
          <w:rFonts w:ascii="Arial" w:hAnsi="Arial" w:cs="Arial"/>
        </w:rPr>
        <w:t xml:space="preserve"> (Eugenic</w:t>
      </w:r>
      <w:r w:rsidR="006F4B87" w:rsidRPr="00417FC1">
        <w:rPr>
          <w:rFonts w:ascii="Arial" w:hAnsi="Arial" w:cs="Arial"/>
        </w:rPr>
        <w:t>os,</w:t>
      </w:r>
      <w:r w:rsidR="001C09EB" w:rsidRPr="00417FC1">
        <w:rPr>
          <w:rFonts w:ascii="Arial" w:hAnsi="Arial" w:cs="Arial"/>
        </w:rPr>
        <w:t>2017)</w:t>
      </w:r>
      <w:r w:rsidR="00EF58CA">
        <w:rPr>
          <w:rFonts w:ascii="Arial" w:hAnsi="Arial" w:cs="Arial"/>
        </w:rPr>
        <w:t>.</w:t>
      </w:r>
    </w:p>
    <w:p w14:paraId="75D20CC0" w14:textId="77777777" w:rsidR="006378C1" w:rsidRDefault="006378C1" w:rsidP="00417FC1">
      <w:pPr>
        <w:spacing w:line="360" w:lineRule="auto"/>
        <w:jc w:val="both"/>
        <w:rPr>
          <w:rFonts w:ascii="Arial" w:hAnsi="Arial" w:cs="Arial"/>
        </w:rPr>
      </w:pPr>
    </w:p>
    <w:p w14:paraId="56A54F1B" w14:textId="77777777" w:rsidR="000A1533" w:rsidRDefault="000A1533" w:rsidP="00417FC1">
      <w:pPr>
        <w:spacing w:line="360" w:lineRule="auto"/>
        <w:jc w:val="both"/>
        <w:rPr>
          <w:rFonts w:ascii="Arial" w:hAnsi="Arial" w:cs="Arial"/>
        </w:rPr>
      </w:pPr>
    </w:p>
    <w:p w14:paraId="2AB3BBE2" w14:textId="5A0A2EF6" w:rsidR="00082CAD" w:rsidRPr="00417FC1" w:rsidRDefault="00F9466D" w:rsidP="00417FC1">
      <w:pPr>
        <w:spacing w:line="360" w:lineRule="auto"/>
        <w:jc w:val="both"/>
        <w:rPr>
          <w:rFonts w:ascii="Arial" w:hAnsi="Arial" w:cs="Arial"/>
        </w:rPr>
      </w:pPr>
      <w:r>
        <w:rPr>
          <w:rFonts w:ascii="Arial" w:hAnsi="Arial" w:cs="Arial"/>
        </w:rPr>
        <w:t>In order to connect offences concerning</w:t>
      </w:r>
      <w:r w:rsidR="00166C6A" w:rsidRPr="00417FC1">
        <w:rPr>
          <w:rFonts w:ascii="Arial" w:hAnsi="Arial" w:cs="Arial"/>
        </w:rPr>
        <w:t xml:space="preserve"> common assault and the more serious ABH</w:t>
      </w:r>
      <w:r w:rsidR="00CC6511" w:rsidRPr="00417FC1">
        <w:rPr>
          <w:rFonts w:ascii="Arial" w:hAnsi="Arial" w:cs="Arial"/>
        </w:rPr>
        <w:t>; such as between s20 and s47;</w:t>
      </w:r>
      <w:r w:rsidR="00585D0D" w:rsidRPr="00417FC1">
        <w:rPr>
          <w:rFonts w:ascii="Arial" w:hAnsi="Arial" w:cs="Arial"/>
        </w:rPr>
        <w:t xml:space="preserve"> the Law Commission </w:t>
      </w:r>
      <w:r w:rsidR="00166C6A" w:rsidRPr="00417FC1">
        <w:rPr>
          <w:rFonts w:ascii="Arial" w:hAnsi="Arial" w:cs="Arial"/>
        </w:rPr>
        <w:t>suggest a new labelled crime</w:t>
      </w:r>
      <w:r w:rsidR="009B357A">
        <w:rPr>
          <w:rFonts w:ascii="Arial" w:hAnsi="Arial" w:cs="Arial"/>
        </w:rPr>
        <w:t xml:space="preserve"> known as</w:t>
      </w:r>
      <w:r w:rsidR="00166C6A" w:rsidRPr="00417FC1">
        <w:rPr>
          <w:rFonts w:ascii="Arial" w:hAnsi="Arial" w:cs="Arial"/>
        </w:rPr>
        <w:t xml:space="preserve"> ‘aggravated assa</w:t>
      </w:r>
      <w:r w:rsidR="00166C6A" w:rsidRPr="000A1533">
        <w:rPr>
          <w:rFonts w:ascii="Arial" w:hAnsi="Arial" w:cs="Arial"/>
        </w:rPr>
        <w:t>ult’ (</w:t>
      </w:r>
      <w:r w:rsidR="006F4B87" w:rsidRPr="000A1533">
        <w:rPr>
          <w:rFonts w:ascii="Arial" w:hAnsi="Arial" w:cs="Arial"/>
        </w:rPr>
        <w:t>Bowcott,</w:t>
      </w:r>
      <w:r w:rsidR="00053347" w:rsidRPr="000A1533">
        <w:rPr>
          <w:rFonts w:ascii="Arial" w:hAnsi="Arial" w:cs="Arial"/>
        </w:rPr>
        <w:t xml:space="preserve">2015). </w:t>
      </w:r>
      <w:r w:rsidR="00076CC6" w:rsidRPr="000A1533">
        <w:rPr>
          <w:rFonts w:ascii="Arial" w:hAnsi="Arial" w:cs="Arial"/>
        </w:rPr>
        <w:t xml:space="preserve">This offence would </w:t>
      </w:r>
      <w:r w:rsidR="009B357A" w:rsidRPr="000A1533">
        <w:rPr>
          <w:rFonts w:ascii="Arial" w:hAnsi="Arial" w:cs="Arial"/>
        </w:rPr>
        <w:t xml:space="preserve">only be reviewed in the Magistrate’s court and would only </w:t>
      </w:r>
      <w:r w:rsidR="00076CC6" w:rsidRPr="000A1533">
        <w:rPr>
          <w:rFonts w:ascii="Arial" w:hAnsi="Arial" w:cs="Arial"/>
        </w:rPr>
        <w:t>serve the defe</w:t>
      </w:r>
      <w:r w:rsidR="001C7E30" w:rsidRPr="000A1533">
        <w:rPr>
          <w:rFonts w:ascii="Arial" w:hAnsi="Arial" w:cs="Arial"/>
        </w:rPr>
        <w:t>ndant a ma</w:t>
      </w:r>
      <w:r w:rsidR="001C5572" w:rsidRPr="000A1533">
        <w:rPr>
          <w:rFonts w:ascii="Arial" w:hAnsi="Arial" w:cs="Arial"/>
        </w:rPr>
        <w:t>ximum 12-mo</w:t>
      </w:r>
      <w:r w:rsidR="00CC6511" w:rsidRPr="000A1533">
        <w:rPr>
          <w:rFonts w:ascii="Arial" w:hAnsi="Arial" w:cs="Arial"/>
        </w:rPr>
        <w:t>nth charge</w:t>
      </w:r>
      <w:r w:rsidR="005A4BE8" w:rsidRPr="000A1533">
        <w:rPr>
          <w:rFonts w:ascii="Arial" w:hAnsi="Arial" w:cs="Arial"/>
        </w:rPr>
        <w:t xml:space="preserve">. </w:t>
      </w:r>
      <w:r w:rsidR="00480ADB" w:rsidRPr="000A1533">
        <w:rPr>
          <w:rFonts w:ascii="Arial" w:hAnsi="Arial" w:cs="Arial"/>
        </w:rPr>
        <w:t>T</w:t>
      </w:r>
      <w:r w:rsidR="001C5572" w:rsidRPr="000A1533">
        <w:rPr>
          <w:rFonts w:ascii="Arial" w:hAnsi="Arial" w:cs="Arial"/>
        </w:rPr>
        <w:t>his would save</w:t>
      </w:r>
      <w:r w:rsidR="0010538C" w:rsidRPr="000A1533">
        <w:rPr>
          <w:rFonts w:ascii="Arial" w:hAnsi="Arial" w:cs="Arial"/>
        </w:rPr>
        <w:t xml:space="preserve"> </w:t>
      </w:r>
      <w:r w:rsidR="000870A3" w:rsidRPr="000A1533">
        <w:rPr>
          <w:rFonts w:ascii="Arial" w:hAnsi="Arial" w:cs="Arial"/>
        </w:rPr>
        <w:t xml:space="preserve">the expensive </w:t>
      </w:r>
      <w:r w:rsidR="001C5572" w:rsidRPr="000A1533">
        <w:rPr>
          <w:rFonts w:ascii="Arial" w:hAnsi="Arial" w:cs="Arial"/>
        </w:rPr>
        <w:t>legal process</w:t>
      </w:r>
      <w:r w:rsidR="00633705" w:rsidRPr="000A1533">
        <w:rPr>
          <w:rFonts w:ascii="Arial" w:hAnsi="Arial" w:cs="Arial"/>
        </w:rPr>
        <w:t xml:space="preserve"> through the Crown c</w:t>
      </w:r>
      <w:r w:rsidR="006B5A0D" w:rsidRPr="000A1533">
        <w:rPr>
          <w:rFonts w:ascii="Arial" w:hAnsi="Arial" w:cs="Arial"/>
        </w:rPr>
        <w:t>ourt</w:t>
      </w:r>
      <w:r w:rsidR="000A1533" w:rsidRPr="000A1533">
        <w:rPr>
          <w:rFonts w:ascii="Arial" w:hAnsi="Arial" w:cs="Arial"/>
        </w:rPr>
        <w:t>,</w:t>
      </w:r>
      <w:r w:rsidR="00B278C1" w:rsidRPr="000A1533">
        <w:rPr>
          <w:rFonts w:ascii="Arial" w:hAnsi="Arial" w:cs="Arial"/>
        </w:rPr>
        <w:t xml:space="preserve"> </w:t>
      </w:r>
      <w:r w:rsidR="00016361">
        <w:rPr>
          <w:rFonts w:ascii="Arial" w:hAnsi="Arial" w:cs="Arial"/>
        </w:rPr>
        <w:t xml:space="preserve">also </w:t>
      </w:r>
      <w:r w:rsidR="000A1533" w:rsidRPr="000A1533">
        <w:rPr>
          <w:rFonts w:ascii="Arial" w:hAnsi="Arial" w:cs="Arial"/>
        </w:rPr>
        <w:t xml:space="preserve">saving valuable time </w:t>
      </w:r>
      <w:r w:rsidR="006378C1">
        <w:rPr>
          <w:rFonts w:ascii="Arial" w:hAnsi="Arial" w:cs="Arial"/>
        </w:rPr>
        <w:t>and taking into account victims;</w:t>
      </w:r>
      <w:r w:rsidR="000A1533" w:rsidRPr="000A1533">
        <w:rPr>
          <w:rFonts w:ascii="Arial" w:hAnsi="Arial" w:cs="Arial"/>
        </w:rPr>
        <w:t xml:space="preserve"> giving them </w:t>
      </w:r>
      <w:r w:rsidR="00B278C1" w:rsidRPr="000A1533">
        <w:rPr>
          <w:rFonts w:ascii="Arial" w:hAnsi="Arial" w:cs="Arial"/>
        </w:rPr>
        <w:t xml:space="preserve">a </w:t>
      </w:r>
      <w:r w:rsidR="000A1533" w:rsidRPr="000A1533">
        <w:rPr>
          <w:rFonts w:ascii="Arial" w:hAnsi="Arial" w:cs="Arial"/>
        </w:rPr>
        <w:t>swifter justice as explained</w:t>
      </w:r>
      <w:r w:rsidR="0096121B" w:rsidRPr="000A1533">
        <w:rPr>
          <w:rFonts w:ascii="Arial" w:hAnsi="Arial" w:cs="Arial"/>
        </w:rPr>
        <w:t xml:space="preserve"> by Richard Monkhouse,</w:t>
      </w:r>
      <w:r w:rsidR="001638E4" w:rsidRPr="000A1533">
        <w:rPr>
          <w:rFonts w:ascii="Arial" w:hAnsi="Arial" w:cs="Arial"/>
        </w:rPr>
        <w:t xml:space="preserve"> National Chairman of Magistrate’s Association in England and Wales</w:t>
      </w:r>
      <w:r w:rsidR="00C4610B" w:rsidRPr="000A1533">
        <w:rPr>
          <w:rFonts w:ascii="Arial" w:hAnsi="Arial" w:cs="Arial"/>
        </w:rPr>
        <w:t xml:space="preserve"> (ibid).</w:t>
      </w:r>
      <w:r w:rsidR="00D62535">
        <w:rPr>
          <w:rFonts w:ascii="Arial" w:hAnsi="Arial" w:cs="Arial"/>
        </w:rPr>
        <w:t xml:space="preserve"> </w:t>
      </w:r>
      <w:r w:rsidR="00B00FD3">
        <w:rPr>
          <w:rFonts w:ascii="Arial" w:hAnsi="Arial" w:cs="Arial"/>
        </w:rPr>
        <w:t xml:space="preserve">According to Bowcott (2015) the Crown court serve sentences of 12 months or less to over 70 per cent of ABH cases, therefore the suggested aggravated assault would provide a solution to this issue. </w:t>
      </w:r>
    </w:p>
    <w:p w14:paraId="1CF37F4A" w14:textId="77777777" w:rsidR="00407FD0" w:rsidRPr="00417FC1" w:rsidRDefault="00407FD0" w:rsidP="00417FC1">
      <w:pPr>
        <w:spacing w:line="360" w:lineRule="auto"/>
        <w:jc w:val="both"/>
        <w:rPr>
          <w:rFonts w:ascii="Arial" w:hAnsi="Arial" w:cs="Arial"/>
        </w:rPr>
      </w:pPr>
    </w:p>
    <w:p w14:paraId="52C893F3" w14:textId="77777777" w:rsidR="009F335E" w:rsidRDefault="009F335E" w:rsidP="00417FC1">
      <w:pPr>
        <w:spacing w:line="360" w:lineRule="auto"/>
        <w:jc w:val="both"/>
        <w:rPr>
          <w:rFonts w:ascii="Arial" w:hAnsi="Arial" w:cs="Arial"/>
        </w:rPr>
      </w:pPr>
    </w:p>
    <w:p w14:paraId="73E0B694" w14:textId="77777777" w:rsidR="009F335E" w:rsidRDefault="009F335E" w:rsidP="00417FC1">
      <w:pPr>
        <w:spacing w:line="360" w:lineRule="auto"/>
        <w:jc w:val="both"/>
        <w:rPr>
          <w:rFonts w:ascii="Arial" w:hAnsi="Arial" w:cs="Arial"/>
        </w:rPr>
      </w:pPr>
    </w:p>
    <w:p w14:paraId="0EC93BC9" w14:textId="77777777" w:rsidR="009F335E" w:rsidRDefault="009F335E" w:rsidP="00417FC1">
      <w:pPr>
        <w:spacing w:line="360" w:lineRule="auto"/>
        <w:jc w:val="both"/>
        <w:rPr>
          <w:rFonts w:ascii="Arial" w:hAnsi="Arial" w:cs="Arial"/>
        </w:rPr>
      </w:pPr>
    </w:p>
    <w:p w14:paraId="590756C6" w14:textId="77777777" w:rsidR="009F335E" w:rsidRDefault="009F335E" w:rsidP="00417FC1">
      <w:pPr>
        <w:spacing w:line="360" w:lineRule="auto"/>
        <w:jc w:val="both"/>
        <w:rPr>
          <w:rFonts w:ascii="Arial" w:hAnsi="Arial" w:cs="Arial"/>
        </w:rPr>
      </w:pPr>
    </w:p>
    <w:p w14:paraId="449C1095" w14:textId="77777777" w:rsidR="006F2EDB" w:rsidRPr="00417FC1" w:rsidRDefault="00076CC6" w:rsidP="006F2EDB">
      <w:pPr>
        <w:spacing w:line="360" w:lineRule="auto"/>
        <w:jc w:val="both"/>
        <w:rPr>
          <w:rFonts w:ascii="Arial" w:hAnsi="Arial" w:cs="Arial"/>
        </w:rPr>
      </w:pPr>
      <w:r w:rsidRPr="00417FC1">
        <w:rPr>
          <w:rFonts w:ascii="Arial" w:hAnsi="Arial" w:cs="Arial"/>
        </w:rPr>
        <w:t>In a report carried out at Bangor University, Professor David Ormerod states</w:t>
      </w:r>
      <w:r w:rsidR="008259D5">
        <w:rPr>
          <w:rFonts w:ascii="Arial" w:hAnsi="Arial" w:cs="Arial"/>
        </w:rPr>
        <w:t xml:space="preserve"> that 200,000 cases of violent behaviour are sentenced annually, but the outdated law is often confusing for those involved including the court of law, defendants and victims </w:t>
      </w:r>
      <w:r w:rsidR="006F2EDB" w:rsidRPr="00417FC1">
        <w:rPr>
          <w:rFonts w:ascii="Arial" w:hAnsi="Arial" w:cs="Arial"/>
        </w:rPr>
        <w:t xml:space="preserve">Although there has been much support for a reform of the current legislation, there has also been conflict whereby disagreements have arisen regarding the proposed amendments. According to the Bar Council and the Criminal Bar Association, the limited offences that exist such as s17 could be eradicated and some amendments could be made to the structure of offences, although there is no need for widespread reform (Law Commission,2015). </w:t>
      </w:r>
    </w:p>
    <w:p w14:paraId="3234FB9C" w14:textId="77777777" w:rsidR="006F2EDB" w:rsidRPr="00417FC1" w:rsidRDefault="006F2EDB" w:rsidP="006F2EDB">
      <w:pPr>
        <w:spacing w:line="360" w:lineRule="auto"/>
        <w:jc w:val="both"/>
        <w:rPr>
          <w:rFonts w:ascii="Arial" w:hAnsi="Arial" w:cs="Arial"/>
        </w:rPr>
      </w:pPr>
    </w:p>
    <w:p w14:paraId="35A558CE" w14:textId="77777777" w:rsidR="006F2EDB" w:rsidRDefault="006F2EDB" w:rsidP="006F2EDB">
      <w:pPr>
        <w:spacing w:line="360" w:lineRule="auto"/>
        <w:jc w:val="both"/>
        <w:rPr>
          <w:rFonts w:ascii="Arial" w:hAnsi="Arial" w:cs="Arial"/>
        </w:rPr>
      </w:pPr>
      <w:r w:rsidRPr="00417FC1">
        <w:rPr>
          <w:rFonts w:ascii="Arial" w:hAnsi="Arial" w:cs="Arial"/>
        </w:rPr>
        <w:t>Regarding the language used, the London Criminal Court’s Solicitors’ Association admit that some careful amendments are needed, although most of the language is already ‘’well understood’’. They claim that removing some of the rarely used offences will have little effect compared to the new proposed offences that may even be hardly ever prosecuted.  Similarly, John Spencer warns that the attempts to improve the law can have an adverse effect, although he does admit that the degree of offences of assaults and injury could be reduced (Law Commission,</w:t>
      </w:r>
      <w:r>
        <w:rPr>
          <w:rFonts w:ascii="Arial" w:hAnsi="Arial" w:cs="Arial"/>
        </w:rPr>
        <w:t>2015).</w:t>
      </w:r>
    </w:p>
    <w:p w14:paraId="08BFC9AB" w14:textId="234C951A" w:rsidR="009F335E" w:rsidRDefault="006F2EDB" w:rsidP="006F2EDB">
      <w:pPr>
        <w:spacing w:line="360" w:lineRule="auto"/>
        <w:jc w:val="both"/>
        <w:rPr>
          <w:rFonts w:ascii="Arial" w:hAnsi="Arial" w:cs="Arial"/>
        </w:rPr>
      </w:pPr>
      <w:r w:rsidRPr="00417FC1">
        <w:rPr>
          <w:rFonts w:ascii="Arial" w:hAnsi="Arial" w:cs="Arial"/>
        </w:rPr>
        <w:t xml:space="preserve"> </w:t>
      </w:r>
      <w:r w:rsidR="006F4B87" w:rsidRPr="00417FC1">
        <w:rPr>
          <w:rFonts w:ascii="Arial" w:hAnsi="Arial" w:cs="Arial"/>
        </w:rPr>
        <w:t>(Bowcott,</w:t>
      </w:r>
      <w:r w:rsidR="00585D0D" w:rsidRPr="00417FC1">
        <w:rPr>
          <w:rFonts w:ascii="Arial" w:hAnsi="Arial" w:cs="Arial"/>
        </w:rPr>
        <w:t>2015).</w:t>
      </w:r>
      <w:r w:rsidR="008259D5">
        <w:rPr>
          <w:rFonts w:ascii="Arial" w:hAnsi="Arial" w:cs="Arial"/>
        </w:rPr>
        <w:t xml:space="preserve"> He also claims that in order to e</w:t>
      </w:r>
      <w:r w:rsidR="00D42608">
        <w:rPr>
          <w:rFonts w:ascii="Arial" w:hAnsi="Arial" w:cs="Arial"/>
        </w:rPr>
        <w:t>nsure that the legal process is sped up and made more efficient, a more clearly organised hierarchy of defined offences is necessary</w:t>
      </w:r>
      <w:r w:rsidR="00585D0D" w:rsidRPr="00417FC1">
        <w:rPr>
          <w:rFonts w:ascii="Arial" w:hAnsi="Arial" w:cs="Arial"/>
        </w:rPr>
        <w:t xml:space="preserve"> (ibid</w:t>
      </w:r>
      <w:r w:rsidR="00BB2630" w:rsidRPr="00417FC1">
        <w:rPr>
          <w:rFonts w:ascii="Arial" w:hAnsi="Arial" w:cs="Arial"/>
        </w:rPr>
        <w:t>)</w:t>
      </w:r>
      <w:r w:rsidR="003E365C" w:rsidRPr="00417FC1">
        <w:rPr>
          <w:rFonts w:ascii="Arial" w:hAnsi="Arial" w:cs="Arial"/>
        </w:rPr>
        <w:t>.</w:t>
      </w:r>
      <w:r w:rsidR="00902A46" w:rsidRPr="00417FC1">
        <w:rPr>
          <w:rFonts w:ascii="Arial" w:hAnsi="Arial" w:cs="Arial"/>
        </w:rPr>
        <w:t xml:space="preserve"> </w:t>
      </w:r>
      <w:r w:rsidR="005A4BE8" w:rsidRPr="00417FC1">
        <w:rPr>
          <w:rFonts w:ascii="Arial" w:hAnsi="Arial" w:cs="Arial"/>
        </w:rPr>
        <w:t>The Crown courts convicted around 7% to 12% of defendants accused of ABH between 2003 and 2013, served with sentences of 6 months or less. These cases could have been dealt with by the Magistrate’s court which would have saved val</w:t>
      </w:r>
      <w:r w:rsidR="006F4B87" w:rsidRPr="00417FC1">
        <w:rPr>
          <w:rFonts w:ascii="Arial" w:hAnsi="Arial" w:cs="Arial"/>
        </w:rPr>
        <w:t>uable resources (Law Commission,</w:t>
      </w:r>
      <w:r w:rsidR="005A4BE8" w:rsidRPr="00417FC1">
        <w:rPr>
          <w:rFonts w:ascii="Arial" w:hAnsi="Arial" w:cs="Arial"/>
        </w:rPr>
        <w:t>2015).</w:t>
      </w:r>
      <w:r w:rsidR="00376473" w:rsidRPr="00417FC1">
        <w:rPr>
          <w:rFonts w:ascii="Arial" w:hAnsi="Arial" w:cs="Arial"/>
        </w:rPr>
        <w:t xml:space="preserve"> </w:t>
      </w:r>
    </w:p>
    <w:p w14:paraId="40A853BA" w14:textId="77777777" w:rsidR="009F335E" w:rsidRDefault="009F335E" w:rsidP="002F1251">
      <w:pPr>
        <w:spacing w:line="360" w:lineRule="auto"/>
        <w:jc w:val="both"/>
        <w:rPr>
          <w:rFonts w:ascii="Arial" w:hAnsi="Arial" w:cs="Arial"/>
        </w:rPr>
      </w:pPr>
    </w:p>
    <w:p w14:paraId="0E7FDB98" w14:textId="77777777" w:rsidR="002F1251" w:rsidRPr="00417FC1" w:rsidRDefault="002F1251" w:rsidP="002F1251">
      <w:pPr>
        <w:spacing w:line="360" w:lineRule="auto"/>
        <w:jc w:val="both"/>
        <w:rPr>
          <w:rFonts w:ascii="Arial" w:hAnsi="Arial" w:cs="Arial"/>
        </w:rPr>
      </w:pPr>
      <w:r w:rsidRPr="00417FC1">
        <w:rPr>
          <w:rFonts w:ascii="Arial" w:hAnsi="Arial" w:cs="Arial"/>
        </w:rPr>
        <w:t>There have been numerous endeavours of reform concerning the OAPA (186</w:t>
      </w:r>
      <w:r>
        <w:rPr>
          <w:rFonts w:ascii="Arial" w:hAnsi="Arial" w:cs="Arial"/>
        </w:rPr>
        <w:t xml:space="preserve">1), even dating back to the </w:t>
      </w:r>
      <w:r w:rsidRPr="00417FC1">
        <w:rPr>
          <w:rFonts w:ascii="Arial" w:hAnsi="Arial" w:cs="Arial"/>
        </w:rPr>
        <w:t>1985 and 1989 Draft Criminal Codes (Eugenicos,2017).  In 2011, the Ministry of Justice requested that the Law Commission produce a scoping study, investigating the law of offences against the person; their 11</w:t>
      </w:r>
      <w:r w:rsidRPr="00417FC1">
        <w:rPr>
          <w:rFonts w:ascii="Arial" w:hAnsi="Arial" w:cs="Arial"/>
          <w:vertAlign w:val="superscript"/>
        </w:rPr>
        <w:t>th</w:t>
      </w:r>
      <w:r w:rsidRPr="00417FC1">
        <w:rPr>
          <w:rFonts w:ascii="Arial" w:hAnsi="Arial" w:cs="Arial"/>
        </w:rPr>
        <w:t xml:space="preserve"> p</w:t>
      </w:r>
      <w:r>
        <w:rPr>
          <w:rFonts w:ascii="Arial" w:hAnsi="Arial" w:cs="Arial"/>
        </w:rPr>
        <w:t>rogramme of reform (Jackson and</w:t>
      </w:r>
      <w:r w:rsidRPr="00417FC1">
        <w:rPr>
          <w:rFonts w:ascii="Arial" w:hAnsi="Arial" w:cs="Arial"/>
        </w:rPr>
        <w:t xml:space="preserve"> Storey,2015). For over a decade, the Law Commission and the Home Office have made attempts to refo</w:t>
      </w:r>
      <w:r>
        <w:rPr>
          <w:rFonts w:ascii="Arial" w:hAnsi="Arial" w:cs="Arial"/>
        </w:rPr>
        <w:t>rm the current OAPA legislation with concerns regarding it being obsolete.</w:t>
      </w:r>
      <w:r w:rsidRPr="00417FC1">
        <w:rPr>
          <w:rFonts w:ascii="Arial" w:hAnsi="Arial" w:cs="Arial"/>
        </w:rPr>
        <w:t xml:space="preserve"> There have been six attempts in</w:t>
      </w:r>
      <w:r>
        <w:rPr>
          <w:rFonts w:ascii="Arial" w:hAnsi="Arial" w:cs="Arial"/>
        </w:rPr>
        <w:t xml:space="preserve"> total at present for a reform by the government</w:t>
      </w:r>
      <w:r w:rsidRPr="00417FC1">
        <w:rPr>
          <w:rFonts w:ascii="Arial" w:hAnsi="Arial" w:cs="Arial"/>
        </w:rPr>
        <w:t xml:space="preserve">, including the Draft Bill (1998); providing </w:t>
      </w:r>
      <w:r>
        <w:rPr>
          <w:rFonts w:ascii="Arial" w:hAnsi="Arial" w:cs="Arial"/>
        </w:rPr>
        <w:t xml:space="preserve">the basis for </w:t>
      </w:r>
      <w:r w:rsidRPr="00417FC1">
        <w:rPr>
          <w:rFonts w:ascii="Arial" w:hAnsi="Arial" w:cs="Arial"/>
        </w:rPr>
        <w:t>current proposed reforms; and the Scoping Consultation Paper (2015) (Eugenicos,2017).</w:t>
      </w:r>
    </w:p>
    <w:p w14:paraId="5A18086B" w14:textId="77777777" w:rsidR="002F1251" w:rsidRPr="00417FC1" w:rsidRDefault="002F1251" w:rsidP="002F1251">
      <w:pPr>
        <w:spacing w:line="360" w:lineRule="auto"/>
        <w:jc w:val="both"/>
        <w:rPr>
          <w:rFonts w:ascii="Arial" w:hAnsi="Arial" w:cs="Arial"/>
        </w:rPr>
      </w:pPr>
    </w:p>
    <w:p w14:paraId="6707E588" w14:textId="77777777" w:rsidR="002F1251" w:rsidRDefault="002F1251" w:rsidP="002F1251">
      <w:pPr>
        <w:spacing w:line="360" w:lineRule="auto"/>
        <w:jc w:val="both"/>
        <w:rPr>
          <w:rFonts w:ascii="Arial" w:hAnsi="Arial" w:cs="Arial"/>
        </w:rPr>
      </w:pPr>
      <w:r w:rsidRPr="00417FC1">
        <w:rPr>
          <w:rFonts w:ascii="Arial" w:hAnsi="Arial" w:cs="Arial"/>
        </w:rPr>
        <w:t>The recommended reform by the Law Commission has been greatly influenced by the Home Office Draft Bill of 1998. It was pursu</w:t>
      </w:r>
      <w:r>
        <w:rPr>
          <w:rFonts w:ascii="Arial" w:hAnsi="Arial" w:cs="Arial"/>
        </w:rPr>
        <w:t>ed in order to introduce</w:t>
      </w:r>
      <w:r w:rsidRPr="00417FC1">
        <w:rPr>
          <w:rFonts w:ascii="Arial" w:hAnsi="Arial" w:cs="Arial"/>
        </w:rPr>
        <w:t xml:space="preserve"> key amendments within this region of law (Eugenicos,2017). The Council of District Judges commented</w:t>
      </w:r>
      <w:r>
        <w:rPr>
          <w:rFonts w:ascii="Arial" w:hAnsi="Arial" w:cs="Arial"/>
        </w:rPr>
        <w:t xml:space="preserve"> that although the Draft Bill is more current than the original suggestion of reform, the draft was produced 17 years ago and needs to be reviewed in order to make it relevant to the modern-day </w:t>
      </w:r>
      <w:r w:rsidRPr="00417FC1">
        <w:rPr>
          <w:rFonts w:ascii="Arial" w:hAnsi="Arial" w:cs="Arial"/>
        </w:rPr>
        <w:t xml:space="preserve">(Law Commission,2015). The Law Commission recognises this and advises modifications within the Scoping Report, with the attempt to create a more relevant and contemporary legislation (ibid).  </w:t>
      </w:r>
    </w:p>
    <w:p w14:paraId="65C17EE8" w14:textId="77777777" w:rsidR="009F335E" w:rsidRDefault="009F335E" w:rsidP="002F1251">
      <w:pPr>
        <w:spacing w:line="360" w:lineRule="auto"/>
        <w:jc w:val="both"/>
        <w:rPr>
          <w:rFonts w:ascii="Arial" w:hAnsi="Arial" w:cs="Arial"/>
        </w:rPr>
      </w:pPr>
    </w:p>
    <w:p w14:paraId="5133635C" w14:textId="2C8138F0" w:rsidR="009F335E" w:rsidRPr="00417FC1" w:rsidRDefault="009F335E" w:rsidP="009F335E">
      <w:pPr>
        <w:spacing w:line="360" w:lineRule="auto"/>
        <w:jc w:val="both"/>
        <w:rPr>
          <w:rFonts w:ascii="Arial" w:hAnsi="Arial" w:cs="Arial"/>
        </w:rPr>
      </w:pPr>
      <w:r w:rsidRPr="00417FC1">
        <w:rPr>
          <w:rFonts w:ascii="Arial" w:hAnsi="Arial" w:cs="Arial"/>
        </w:rPr>
        <w:t>Although there has been much support for a reform of the current legislation, there has also been conflict whereby disagreements have arisen regarding the proposed amendments. According to the Bar Council and the Criminal Bar Association, the limited offences that exist such as s17 could be eradicated and some amendments could be made to the structure of offences, although there is no need for widespread reform (</w:t>
      </w:r>
      <w:r w:rsidR="00857689">
        <w:rPr>
          <w:rFonts w:ascii="Arial" w:hAnsi="Arial" w:cs="Arial"/>
        </w:rPr>
        <w:t>cited</w:t>
      </w:r>
      <w:r>
        <w:rPr>
          <w:rFonts w:ascii="Arial" w:hAnsi="Arial" w:cs="Arial"/>
        </w:rPr>
        <w:t xml:space="preserve"> in </w:t>
      </w:r>
      <w:r w:rsidRPr="00417FC1">
        <w:rPr>
          <w:rFonts w:ascii="Arial" w:hAnsi="Arial" w:cs="Arial"/>
        </w:rPr>
        <w:t>Law Commission,2015</w:t>
      </w:r>
      <w:r w:rsidR="008012AF">
        <w:rPr>
          <w:rFonts w:ascii="Arial" w:hAnsi="Arial" w:cs="Arial"/>
        </w:rPr>
        <w:t>, p</w:t>
      </w:r>
      <w:r w:rsidR="00747E32">
        <w:rPr>
          <w:rFonts w:ascii="Arial" w:hAnsi="Arial" w:cs="Arial"/>
        </w:rPr>
        <w:t xml:space="preserve"> 38</w:t>
      </w:r>
      <w:r w:rsidRPr="00417FC1">
        <w:rPr>
          <w:rFonts w:ascii="Arial" w:hAnsi="Arial" w:cs="Arial"/>
        </w:rPr>
        <w:t xml:space="preserve">). </w:t>
      </w:r>
    </w:p>
    <w:p w14:paraId="3B779EC2" w14:textId="77777777" w:rsidR="009F335E" w:rsidRPr="00417FC1" w:rsidRDefault="009F335E" w:rsidP="009F335E">
      <w:pPr>
        <w:spacing w:line="360" w:lineRule="auto"/>
        <w:jc w:val="both"/>
        <w:rPr>
          <w:rFonts w:ascii="Arial" w:hAnsi="Arial" w:cs="Arial"/>
        </w:rPr>
      </w:pPr>
    </w:p>
    <w:p w14:paraId="77124640" w14:textId="368CEA02" w:rsidR="009F335E" w:rsidRDefault="009F335E" w:rsidP="009F335E">
      <w:pPr>
        <w:spacing w:line="360" w:lineRule="auto"/>
        <w:jc w:val="both"/>
        <w:rPr>
          <w:rFonts w:ascii="Arial" w:hAnsi="Arial" w:cs="Arial"/>
        </w:rPr>
      </w:pPr>
      <w:r w:rsidRPr="00417FC1">
        <w:rPr>
          <w:rFonts w:ascii="Arial" w:hAnsi="Arial" w:cs="Arial"/>
        </w:rPr>
        <w:t>Regarding the language used, the London Criminal Court’s Solicitors’ Association admit that some careful amendments are needed, although m</w:t>
      </w:r>
      <w:r w:rsidR="00F6089F">
        <w:rPr>
          <w:rFonts w:ascii="Arial" w:hAnsi="Arial" w:cs="Arial"/>
        </w:rPr>
        <w:t xml:space="preserve">ost of the language </w:t>
      </w:r>
      <w:r w:rsidR="00AC487A">
        <w:rPr>
          <w:rFonts w:ascii="Arial" w:hAnsi="Arial" w:cs="Arial"/>
        </w:rPr>
        <w:t>should have no difficulty in understanding</w:t>
      </w:r>
      <w:r w:rsidRPr="00417FC1">
        <w:rPr>
          <w:rFonts w:ascii="Arial" w:hAnsi="Arial" w:cs="Arial"/>
        </w:rPr>
        <w:t>. They claim that removing some of the rarely used offences will have little effect compared to the new proposed offences that may even be hardly ever prosecuted</w:t>
      </w:r>
      <w:r w:rsidR="00857689">
        <w:rPr>
          <w:rFonts w:ascii="Arial" w:hAnsi="Arial" w:cs="Arial"/>
        </w:rPr>
        <w:t xml:space="preserve"> (cited in Law Commission, 2015, p 39)</w:t>
      </w:r>
      <w:r w:rsidRPr="00417FC1">
        <w:rPr>
          <w:rFonts w:ascii="Arial" w:hAnsi="Arial" w:cs="Arial"/>
        </w:rPr>
        <w:t>.  Similarly, John Spencer warns that the attempts to improve the law can have an adverse effect, although he does admit that the degree of offences of assaults and injury could be reduced (</w:t>
      </w:r>
      <w:r w:rsidR="00857689">
        <w:rPr>
          <w:rFonts w:ascii="Arial" w:hAnsi="Arial" w:cs="Arial"/>
        </w:rPr>
        <w:t>cited in Law Commission, 2015, p 39</w:t>
      </w:r>
      <w:r>
        <w:rPr>
          <w:rFonts w:ascii="Arial" w:hAnsi="Arial" w:cs="Arial"/>
        </w:rPr>
        <w:t>).</w:t>
      </w:r>
    </w:p>
    <w:p w14:paraId="4B2E7B0C" w14:textId="77777777" w:rsidR="009F335E" w:rsidRDefault="009F335E" w:rsidP="002F1251">
      <w:pPr>
        <w:spacing w:line="360" w:lineRule="auto"/>
        <w:jc w:val="both"/>
        <w:rPr>
          <w:rFonts w:ascii="Arial" w:hAnsi="Arial" w:cs="Arial"/>
        </w:rPr>
      </w:pPr>
    </w:p>
    <w:p w14:paraId="326602A2" w14:textId="77777777" w:rsidR="002F1251" w:rsidRDefault="002F1251" w:rsidP="00417FC1">
      <w:pPr>
        <w:spacing w:line="360" w:lineRule="auto"/>
        <w:jc w:val="both"/>
        <w:rPr>
          <w:rFonts w:ascii="Arial" w:hAnsi="Arial" w:cs="Arial"/>
        </w:rPr>
      </w:pPr>
    </w:p>
    <w:p w14:paraId="206E536C" w14:textId="77777777" w:rsidR="00E44719" w:rsidRDefault="00E44719" w:rsidP="00417FC1">
      <w:pPr>
        <w:spacing w:line="360" w:lineRule="auto"/>
        <w:jc w:val="both"/>
        <w:rPr>
          <w:rFonts w:ascii="Arial" w:hAnsi="Arial" w:cs="Arial"/>
          <w:u w:val="single"/>
        </w:rPr>
      </w:pPr>
    </w:p>
    <w:p w14:paraId="438311A7" w14:textId="77777777" w:rsidR="00E44719" w:rsidRDefault="00E44719" w:rsidP="00417FC1">
      <w:pPr>
        <w:spacing w:line="360" w:lineRule="auto"/>
        <w:jc w:val="both"/>
        <w:rPr>
          <w:rFonts w:ascii="Arial" w:hAnsi="Arial" w:cs="Arial"/>
          <w:u w:val="single"/>
        </w:rPr>
      </w:pPr>
    </w:p>
    <w:p w14:paraId="16490F15" w14:textId="77777777" w:rsidR="00E44719" w:rsidRDefault="00E44719" w:rsidP="00417FC1">
      <w:pPr>
        <w:spacing w:line="360" w:lineRule="auto"/>
        <w:jc w:val="both"/>
        <w:rPr>
          <w:rFonts w:ascii="Arial" w:hAnsi="Arial" w:cs="Arial"/>
          <w:u w:val="single"/>
        </w:rPr>
      </w:pPr>
    </w:p>
    <w:p w14:paraId="0BD46330" w14:textId="77777777" w:rsidR="00E44719" w:rsidRDefault="00E44719" w:rsidP="00417FC1">
      <w:pPr>
        <w:spacing w:line="360" w:lineRule="auto"/>
        <w:jc w:val="both"/>
        <w:rPr>
          <w:rFonts w:ascii="Arial" w:hAnsi="Arial" w:cs="Arial"/>
          <w:u w:val="single"/>
        </w:rPr>
      </w:pPr>
    </w:p>
    <w:p w14:paraId="6DEDD1A5" w14:textId="77777777" w:rsidR="00E44719" w:rsidRDefault="00E44719" w:rsidP="00417FC1">
      <w:pPr>
        <w:spacing w:line="360" w:lineRule="auto"/>
        <w:jc w:val="both"/>
        <w:rPr>
          <w:rFonts w:ascii="Arial" w:hAnsi="Arial" w:cs="Arial"/>
          <w:u w:val="single"/>
        </w:rPr>
      </w:pPr>
    </w:p>
    <w:p w14:paraId="5790A365" w14:textId="77777777" w:rsidR="00E44719" w:rsidRDefault="00E44719" w:rsidP="00417FC1">
      <w:pPr>
        <w:spacing w:line="360" w:lineRule="auto"/>
        <w:jc w:val="both"/>
        <w:rPr>
          <w:rFonts w:ascii="Arial" w:hAnsi="Arial" w:cs="Arial"/>
          <w:u w:val="single"/>
        </w:rPr>
      </w:pPr>
    </w:p>
    <w:p w14:paraId="62D94EA7" w14:textId="77777777" w:rsidR="00E44719" w:rsidRDefault="00E44719" w:rsidP="00417FC1">
      <w:pPr>
        <w:spacing w:line="360" w:lineRule="auto"/>
        <w:jc w:val="both"/>
        <w:rPr>
          <w:rFonts w:ascii="Arial" w:hAnsi="Arial" w:cs="Arial"/>
          <w:u w:val="single"/>
        </w:rPr>
      </w:pPr>
    </w:p>
    <w:p w14:paraId="5A71455F" w14:textId="5BB54271" w:rsidR="005554BE" w:rsidRPr="007B279B" w:rsidRDefault="005554BE" w:rsidP="00417FC1">
      <w:pPr>
        <w:spacing w:line="360" w:lineRule="auto"/>
        <w:jc w:val="both"/>
        <w:rPr>
          <w:rFonts w:ascii="Arial" w:hAnsi="Arial" w:cs="Arial"/>
        </w:rPr>
      </w:pPr>
      <w:r w:rsidRPr="00417FC1">
        <w:rPr>
          <w:rFonts w:ascii="Arial" w:hAnsi="Arial" w:cs="Arial"/>
          <w:u w:val="single"/>
        </w:rPr>
        <w:t>References:</w:t>
      </w:r>
    </w:p>
    <w:p w14:paraId="5BE723EB" w14:textId="77777777" w:rsidR="002D1F79" w:rsidRPr="00417FC1" w:rsidRDefault="002D1F79" w:rsidP="00417FC1">
      <w:pPr>
        <w:spacing w:line="360" w:lineRule="auto"/>
        <w:jc w:val="both"/>
        <w:rPr>
          <w:rFonts w:ascii="Arial" w:hAnsi="Arial" w:cs="Arial"/>
          <w:u w:val="single"/>
        </w:rPr>
      </w:pPr>
    </w:p>
    <w:p w14:paraId="4DB7622A" w14:textId="77777777" w:rsidR="005554BE" w:rsidRPr="00417FC1" w:rsidRDefault="005554BE" w:rsidP="00417FC1">
      <w:pPr>
        <w:spacing w:line="360" w:lineRule="auto"/>
        <w:jc w:val="both"/>
        <w:rPr>
          <w:rFonts w:ascii="Arial" w:hAnsi="Arial" w:cs="Arial"/>
        </w:rPr>
      </w:pPr>
    </w:p>
    <w:p w14:paraId="4F2F2FE0" w14:textId="5C4EF558" w:rsidR="005554BE" w:rsidRPr="00417FC1" w:rsidRDefault="005554BE" w:rsidP="00417FC1">
      <w:pPr>
        <w:spacing w:line="360" w:lineRule="auto"/>
        <w:jc w:val="both"/>
        <w:rPr>
          <w:rFonts w:ascii="Arial" w:hAnsi="Arial" w:cs="Arial"/>
        </w:rPr>
      </w:pPr>
      <w:r w:rsidRPr="00417FC1">
        <w:rPr>
          <w:rFonts w:ascii="Arial" w:hAnsi="Arial" w:cs="Arial"/>
        </w:rPr>
        <w:t xml:space="preserve">Bowcott, O. (2015) Let Magistrates Deal with More Assault Cases (online). Available at </w:t>
      </w:r>
      <w:hyperlink r:id="rId6" w:history="1">
        <w:r w:rsidR="00925D55" w:rsidRPr="00417FC1">
          <w:rPr>
            <w:rStyle w:val="Hyperlink"/>
            <w:rFonts w:ascii="Arial" w:hAnsi="Arial" w:cs="Arial"/>
          </w:rPr>
          <w:t>https://www.theguardian.com/law/2015/nov/03/let-magistrates-deal-more-assault-cases-law-reform-body</w:t>
        </w:r>
      </w:hyperlink>
      <w:r w:rsidR="00925D55" w:rsidRPr="00417FC1">
        <w:rPr>
          <w:rFonts w:ascii="Arial" w:hAnsi="Arial" w:cs="Arial"/>
        </w:rPr>
        <w:t xml:space="preserve"> </w:t>
      </w:r>
      <w:r w:rsidRPr="00417FC1">
        <w:rPr>
          <w:rFonts w:ascii="Arial" w:hAnsi="Arial" w:cs="Arial"/>
        </w:rPr>
        <w:t xml:space="preserve">Accessed on 20th October 2017. </w:t>
      </w:r>
    </w:p>
    <w:p w14:paraId="2B552651" w14:textId="77777777" w:rsidR="005554BE" w:rsidRPr="00417FC1" w:rsidRDefault="005554BE" w:rsidP="00417FC1">
      <w:pPr>
        <w:spacing w:line="360" w:lineRule="auto"/>
        <w:jc w:val="both"/>
        <w:rPr>
          <w:rFonts w:ascii="Arial" w:hAnsi="Arial" w:cs="Arial"/>
        </w:rPr>
      </w:pPr>
    </w:p>
    <w:p w14:paraId="65495D5A" w14:textId="18B76456" w:rsidR="005554BE" w:rsidRDefault="005554BE" w:rsidP="00417FC1">
      <w:pPr>
        <w:spacing w:line="360" w:lineRule="auto"/>
        <w:jc w:val="both"/>
        <w:rPr>
          <w:rFonts w:ascii="Arial" w:hAnsi="Arial" w:cs="Arial"/>
        </w:rPr>
      </w:pPr>
      <w:r w:rsidRPr="00417FC1">
        <w:rPr>
          <w:rFonts w:ascii="Arial" w:hAnsi="Arial" w:cs="Arial"/>
        </w:rPr>
        <w:t xml:space="preserve">Child, J and Ormerod, D. (2017) </w:t>
      </w:r>
      <w:r w:rsidRPr="00417FC1">
        <w:rPr>
          <w:rFonts w:ascii="Arial" w:hAnsi="Arial" w:cs="Arial"/>
          <w:u w:val="single"/>
        </w:rPr>
        <w:t>Essentials of Criminal Law</w:t>
      </w:r>
      <w:r w:rsidRPr="00417FC1">
        <w:rPr>
          <w:rFonts w:ascii="Arial" w:hAnsi="Arial" w:cs="Arial"/>
        </w:rPr>
        <w:t>, 2</w:t>
      </w:r>
      <w:r w:rsidRPr="00417FC1">
        <w:rPr>
          <w:rFonts w:ascii="Arial" w:hAnsi="Arial" w:cs="Arial"/>
          <w:vertAlign w:val="superscript"/>
        </w:rPr>
        <w:t>nd</w:t>
      </w:r>
      <w:r w:rsidRPr="00417FC1">
        <w:rPr>
          <w:rFonts w:ascii="Arial" w:hAnsi="Arial" w:cs="Arial"/>
        </w:rPr>
        <w:t xml:space="preserve"> Ed. Oxford University Press:  New York, USA.</w:t>
      </w:r>
    </w:p>
    <w:p w14:paraId="33EEA47E" w14:textId="77777777" w:rsidR="008837D5" w:rsidRDefault="008837D5" w:rsidP="00417FC1">
      <w:pPr>
        <w:spacing w:line="360" w:lineRule="auto"/>
        <w:jc w:val="both"/>
        <w:rPr>
          <w:rFonts w:ascii="Arial" w:hAnsi="Arial" w:cs="Arial"/>
        </w:rPr>
      </w:pPr>
    </w:p>
    <w:p w14:paraId="6529390F" w14:textId="278C5545" w:rsidR="008837D5" w:rsidRPr="008C079E" w:rsidRDefault="008837D5" w:rsidP="00417FC1">
      <w:pPr>
        <w:spacing w:line="360" w:lineRule="auto"/>
        <w:jc w:val="both"/>
        <w:rPr>
          <w:rFonts w:ascii="Arial" w:hAnsi="Arial" w:cs="Arial"/>
        </w:rPr>
      </w:pPr>
      <w:r>
        <w:rPr>
          <w:rFonts w:ascii="Arial" w:hAnsi="Arial" w:cs="Arial"/>
        </w:rPr>
        <w:t xml:space="preserve">Demetrious, S. (2016) </w:t>
      </w:r>
      <w:r w:rsidRPr="008C079E">
        <w:rPr>
          <w:rFonts w:ascii="Arial" w:hAnsi="Arial" w:cs="Arial"/>
        </w:rPr>
        <w:t>Not Giving Up the Fight: A Review of the Law Commission’</w:t>
      </w:r>
      <w:r w:rsidR="008C079E" w:rsidRPr="008C079E">
        <w:rPr>
          <w:rFonts w:ascii="Arial" w:hAnsi="Arial" w:cs="Arial"/>
        </w:rPr>
        <w:t>s Scoping Report on Non-F</w:t>
      </w:r>
      <w:r w:rsidRPr="008C079E">
        <w:rPr>
          <w:rFonts w:ascii="Arial" w:hAnsi="Arial" w:cs="Arial"/>
        </w:rPr>
        <w:t>atal Offences Against the Person</w:t>
      </w:r>
      <w:r w:rsidR="008C079E">
        <w:rPr>
          <w:rFonts w:ascii="Arial" w:hAnsi="Arial" w:cs="Arial"/>
        </w:rPr>
        <w:t xml:space="preserve">, </w:t>
      </w:r>
      <w:r w:rsidR="008C079E" w:rsidRPr="008C079E">
        <w:rPr>
          <w:rFonts w:ascii="Arial" w:hAnsi="Arial" w:cs="Arial"/>
          <w:u w:val="single"/>
        </w:rPr>
        <w:t>The Journal of Criminal Law</w:t>
      </w:r>
      <w:r w:rsidR="008C079E">
        <w:rPr>
          <w:rFonts w:ascii="Arial" w:hAnsi="Arial" w:cs="Arial"/>
        </w:rPr>
        <w:t xml:space="preserve"> </w:t>
      </w:r>
      <w:r w:rsidR="008C079E" w:rsidRPr="008C079E">
        <w:rPr>
          <w:rFonts w:ascii="Arial" w:hAnsi="Arial" w:cs="Arial"/>
        </w:rPr>
        <w:t>Vol 80,</w:t>
      </w:r>
      <w:r w:rsidR="008C079E">
        <w:rPr>
          <w:rFonts w:ascii="Arial" w:hAnsi="Arial" w:cs="Arial"/>
        </w:rPr>
        <w:t xml:space="preserve"> Part 3, pp. 188-200.</w:t>
      </w:r>
    </w:p>
    <w:p w14:paraId="7CABAE1D" w14:textId="77777777" w:rsidR="005554BE" w:rsidRPr="00417FC1" w:rsidRDefault="005554BE" w:rsidP="00417FC1">
      <w:pPr>
        <w:spacing w:line="360" w:lineRule="auto"/>
        <w:jc w:val="both"/>
        <w:rPr>
          <w:rFonts w:ascii="Arial" w:hAnsi="Arial" w:cs="Arial"/>
        </w:rPr>
      </w:pPr>
    </w:p>
    <w:p w14:paraId="614393AE" w14:textId="745B9D97" w:rsidR="005554BE" w:rsidRPr="00417FC1" w:rsidRDefault="005554BE" w:rsidP="00417FC1">
      <w:pPr>
        <w:spacing w:line="360" w:lineRule="auto"/>
        <w:jc w:val="both"/>
        <w:rPr>
          <w:rFonts w:ascii="Arial" w:hAnsi="Arial" w:cs="Arial"/>
        </w:rPr>
      </w:pPr>
      <w:r w:rsidRPr="00417FC1">
        <w:rPr>
          <w:rFonts w:ascii="Arial" w:hAnsi="Arial" w:cs="Arial"/>
        </w:rPr>
        <w:t xml:space="preserve">Eugenicos, A.M (2017) </w:t>
      </w:r>
      <w:r w:rsidR="008C079E">
        <w:rPr>
          <w:rFonts w:ascii="Arial" w:hAnsi="Arial" w:cs="Arial"/>
          <w:u w:val="single"/>
        </w:rPr>
        <w:t xml:space="preserve">The Journal of Criminal </w:t>
      </w:r>
      <w:r w:rsidR="008C079E" w:rsidRPr="008C079E">
        <w:rPr>
          <w:rFonts w:ascii="Arial" w:hAnsi="Arial" w:cs="Arial"/>
          <w:u w:val="single"/>
        </w:rPr>
        <w:t>Law</w:t>
      </w:r>
      <w:r w:rsidR="008C079E">
        <w:rPr>
          <w:rFonts w:ascii="Arial" w:hAnsi="Arial" w:cs="Arial"/>
        </w:rPr>
        <w:t xml:space="preserve">, </w:t>
      </w:r>
      <w:r w:rsidRPr="008C079E">
        <w:rPr>
          <w:rFonts w:ascii="Arial" w:hAnsi="Arial" w:cs="Arial"/>
        </w:rPr>
        <w:t>Should We Reform the OAPA 1861?</w:t>
      </w:r>
      <w:r w:rsidRPr="00417FC1">
        <w:rPr>
          <w:rFonts w:ascii="Arial" w:hAnsi="Arial" w:cs="Arial"/>
        </w:rPr>
        <w:t xml:space="preserve"> Vol. 81, Issue 1</w:t>
      </w:r>
      <w:r w:rsidR="00552626" w:rsidRPr="00417FC1">
        <w:rPr>
          <w:rFonts w:ascii="Arial" w:hAnsi="Arial" w:cs="Arial"/>
        </w:rPr>
        <w:t>.</w:t>
      </w:r>
    </w:p>
    <w:p w14:paraId="38FC4497" w14:textId="77777777" w:rsidR="00951F4F" w:rsidRPr="00417FC1" w:rsidRDefault="00951F4F" w:rsidP="00417FC1">
      <w:pPr>
        <w:spacing w:line="360" w:lineRule="auto"/>
        <w:jc w:val="both"/>
        <w:rPr>
          <w:rFonts w:ascii="Arial" w:hAnsi="Arial" w:cs="Arial"/>
        </w:rPr>
      </w:pPr>
    </w:p>
    <w:p w14:paraId="40E03763" w14:textId="596C85D1" w:rsidR="00951F4F" w:rsidRPr="00417FC1" w:rsidRDefault="00951F4F" w:rsidP="00417FC1">
      <w:pPr>
        <w:spacing w:line="360" w:lineRule="auto"/>
        <w:jc w:val="both"/>
        <w:rPr>
          <w:rFonts w:ascii="Arial" w:hAnsi="Arial" w:cs="Arial"/>
        </w:rPr>
      </w:pPr>
      <w:r w:rsidRPr="00417FC1">
        <w:rPr>
          <w:rFonts w:ascii="Arial" w:hAnsi="Arial" w:cs="Arial"/>
        </w:rPr>
        <w:t xml:space="preserve">Horder, J. (1994) </w:t>
      </w:r>
      <w:r w:rsidRPr="008C079E">
        <w:rPr>
          <w:rFonts w:ascii="Arial" w:hAnsi="Arial" w:cs="Arial"/>
          <w:u w:val="single"/>
        </w:rPr>
        <w:t xml:space="preserve">Oxford Journal </w:t>
      </w:r>
      <w:r w:rsidR="00777ECD" w:rsidRPr="008C079E">
        <w:rPr>
          <w:rFonts w:ascii="Arial" w:hAnsi="Arial" w:cs="Arial"/>
          <w:u w:val="single"/>
        </w:rPr>
        <w:t>of Legal Studies</w:t>
      </w:r>
      <w:r w:rsidR="00777ECD" w:rsidRPr="00417FC1">
        <w:rPr>
          <w:rFonts w:ascii="Arial" w:hAnsi="Arial" w:cs="Arial"/>
        </w:rPr>
        <w:t xml:space="preserve">, </w:t>
      </w:r>
      <w:r w:rsidR="00777ECD" w:rsidRPr="008C079E">
        <w:rPr>
          <w:rFonts w:ascii="Arial" w:hAnsi="Arial" w:cs="Arial"/>
        </w:rPr>
        <w:t xml:space="preserve">Rethinking Non-Fatal Offences Against the Person, </w:t>
      </w:r>
      <w:r w:rsidR="00777ECD" w:rsidRPr="00417FC1">
        <w:rPr>
          <w:rFonts w:ascii="Arial" w:hAnsi="Arial" w:cs="Arial"/>
        </w:rPr>
        <w:t>Vol 14, Part 3, pp. 335-351</w:t>
      </w:r>
    </w:p>
    <w:p w14:paraId="2FAEECDE" w14:textId="77777777" w:rsidR="00552626" w:rsidRPr="00417FC1" w:rsidRDefault="00552626" w:rsidP="00417FC1">
      <w:pPr>
        <w:spacing w:line="360" w:lineRule="auto"/>
        <w:jc w:val="both"/>
        <w:rPr>
          <w:rFonts w:ascii="Arial" w:hAnsi="Arial" w:cs="Arial"/>
        </w:rPr>
      </w:pPr>
    </w:p>
    <w:p w14:paraId="4C4AE85C" w14:textId="361B49A9" w:rsidR="00951F4F" w:rsidRPr="00417FC1" w:rsidRDefault="00552626" w:rsidP="00417FC1">
      <w:pPr>
        <w:spacing w:line="360" w:lineRule="auto"/>
        <w:jc w:val="both"/>
        <w:rPr>
          <w:rFonts w:ascii="Arial" w:hAnsi="Arial" w:cs="Arial"/>
        </w:rPr>
      </w:pPr>
      <w:r w:rsidRPr="00417FC1">
        <w:rPr>
          <w:rFonts w:ascii="Arial" w:hAnsi="Arial" w:cs="Arial"/>
        </w:rPr>
        <w:t xml:space="preserve">Jackson, A and Storey, T. (2015) The Journal of Criminal Law, </w:t>
      </w:r>
      <w:r w:rsidRPr="00417FC1">
        <w:rPr>
          <w:rFonts w:ascii="Arial" w:hAnsi="Arial" w:cs="Arial"/>
          <w:u w:val="single"/>
        </w:rPr>
        <w:t xml:space="preserve">Reforming Offences Against the </w:t>
      </w:r>
      <w:r w:rsidR="00951F4F" w:rsidRPr="00417FC1">
        <w:rPr>
          <w:rFonts w:ascii="Arial" w:hAnsi="Arial" w:cs="Arial"/>
          <w:u w:val="single"/>
        </w:rPr>
        <w:t>Person: In Defence of ‘Moderate Constructivism’</w:t>
      </w:r>
      <w:r w:rsidR="00951F4F" w:rsidRPr="00417FC1">
        <w:rPr>
          <w:rFonts w:ascii="Arial" w:hAnsi="Arial" w:cs="Arial"/>
        </w:rPr>
        <w:t>, Vol 79, pp.437-447.</w:t>
      </w:r>
    </w:p>
    <w:p w14:paraId="61AFF372" w14:textId="77777777" w:rsidR="00951F4F" w:rsidRPr="00417FC1" w:rsidRDefault="00951F4F" w:rsidP="00417FC1">
      <w:pPr>
        <w:spacing w:line="360" w:lineRule="auto"/>
        <w:jc w:val="both"/>
        <w:rPr>
          <w:rFonts w:ascii="Arial" w:hAnsi="Arial" w:cs="Arial"/>
        </w:rPr>
      </w:pPr>
    </w:p>
    <w:p w14:paraId="335676C6" w14:textId="58EAE80D" w:rsidR="00777ECD" w:rsidRPr="00417FC1" w:rsidRDefault="00777ECD" w:rsidP="00417FC1">
      <w:pPr>
        <w:spacing w:line="360" w:lineRule="auto"/>
        <w:jc w:val="both"/>
        <w:rPr>
          <w:rFonts w:ascii="Arial" w:hAnsi="Arial" w:cs="Arial"/>
        </w:rPr>
      </w:pPr>
      <w:r w:rsidRPr="00417FC1">
        <w:rPr>
          <w:rFonts w:ascii="Arial" w:hAnsi="Arial" w:cs="Arial"/>
        </w:rPr>
        <w:t xml:space="preserve">Law Commission (2015), Law Commission Report (online). Available at </w:t>
      </w:r>
      <w:hyperlink r:id="rId7" w:history="1">
        <w:r w:rsidRPr="00417FC1">
          <w:rPr>
            <w:rStyle w:val="Hyperlink"/>
            <w:rFonts w:ascii="Arial" w:hAnsi="Arial" w:cs="Arial"/>
          </w:rPr>
          <w:t>http://www.s3-eu-west-2.amazonaws.com</w:t>
        </w:r>
      </w:hyperlink>
      <w:r w:rsidRPr="00417FC1">
        <w:rPr>
          <w:rFonts w:ascii="Arial" w:hAnsi="Arial" w:cs="Arial"/>
        </w:rPr>
        <w:t xml:space="preserve"> Accessed on 14</w:t>
      </w:r>
      <w:r w:rsidRPr="00417FC1">
        <w:rPr>
          <w:rFonts w:ascii="Arial" w:hAnsi="Arial" w:cs="Arial"/>
          <w:vertAlign w:val="superscript"/>
        </w:rPr>
        <w:t>th</w:t>
      </w:r>
      <w:r w:rsidRPr="00417FC1">
        <w:rPr>
          <w:rFonts w:ascii="Arial" w:hAnsi="Arial" w:cs="Arial"/>
        </w:rPr>
        <w:t xml:space="preserve"> October 2017.</w:t>
      </w:r>
    </w:p>
    <w:p w14:paraId="1FA320EA" w14:textId="77777777" w:rsidR="00DC0BD2" w:rsidRPr="00417FC1" w:rsidRDefault="00DC0BD2" w:rsidP="00417FC1">
      <w:pPr>
        <w:spacing w:line="360" w:lineRule="auto"/>
        <w:jc w:val="both"/>
        <w:rPr>
          <w:rFonts w:ascii="Arial" w:hAnsi="Arial" w:cs="Arial"/>
        </w:rPr>
      </w:pPr>
    </w:p>
    <w:p w14:paraId="5032818E" w14:textId="1A7DDD68" w:rsidR="00DC0BD2" w:rsidRPr="00417FC1" w:rsidRDefault="00DE08F9" w:rsidP="00417FC1">
      <w:pPr>
        <w:spacing w:line="360" w:lineRule="auto"/>
        <w:jc w:val="both"/>
        <w:rPr>
          <w:rFonts w:ascii="Arial" w:hAnsi="Arial" w:cs="Arial"/>
        </w:rPr>
      </w:pPr>
      <w:r w:rsidRPr="00417FC1">
        <w:rPr>
          <w:rFonts w:ascii="Arial" w:hAnsi="Arial" w:cs="Arial"/>
        </w:rPr>
        <w:t xml:space="preserve">Moriarty and </w:t>
      </w:r>
      <w:r w:rsidR="00DC0BD2" w:rsidRPr="00417FC1">
        <w:rPr>
          <w:rFonts w:ascii="Arial" w:hAnsi="Arial" w:cs="Arial"/>
        </w:rPr>
        <w:t>Brooks (1834)</w:t>
      </w:r>
      <w:r w:rsidR="00D479CF" w:rsidRPr="00417FC1">
        <w:rPr>
          <w:rFonts w:ascii="Arial" w:hAnsi="Arial" w:cs="Arial"/>
        </w:rPr>
        <w:t xml:space="preserve"> </w:t>
      </w:r>
      <w:r w:rsidRPr="00417FC1">
        <w:rPr>
          <w:rFonts w:ascii="Arial" w:hAnsi="Arial" w:cs="Arial"/>
        </w:rPr>
        <w:t xml:space="preserve">cited in </w:t>
      </w:r>
      <w:r w:rsidR="001F2315" w:rsidRPr="00417FC1">
        <w:rPr>
          <w:rFonts w:ascii="Arial" w:hAnsi="Arial" w:cs="Arial"/>
        </w:rPr>
        <w:t xml:space="preserve">Bingham, P (1834) </w:t>
      </w:r>
      <w:r w:rsidR="00D479CF" w:rsidRPr="00417FC1">
        <w:rPr>
          <w:rFonts w:ascii="Arial" w:hAnsi="Arial" w:cs="Arial"/>
        </w:rPr>
        <w:t>Reports of Cases Argued and Determined in t</w:t>
      </w:r>
      <w:r w:rsidR="00612919" w:rsidRPr="00417FC1">
        <w:rPr>
          <w:rFonts w:ascii="Arial" w:hAnsi="Arial" w:cs="Arial"/>
        </w:rPr>
        <w:t>he English Courts of Common Law (</w:t>
      </w:r>
      <w:r w:rsidR="00DC0BD2" w:rsidRPr="00417FC1">
        <w:rPr>
          <w:rFonts w:ascii="Arial" w:hAnsi="Arial" w:cs="Arial"/>
        </w:rPr>
        <w:t xml:space="preserve">online) </w:t>
      </w:r>
      <w:r w:rsidR="00612919" w:rsidRPr="00417FC1">
        <w:rPr>
          <w:rFonts w:ascii="Arial" w:hAnsi="Arial" w:cs="Arial"/>
        </w:rPr>
        <w:t xml:space="preserve">p 598. </w:t>
      </w:r>
      <w:r w:rsidR="00DC0BD2" w:rsidRPr="00417FC1">
        <w:rPr>
          <w:rFonts w:ascii="Arial" w:hAnsi="Arial" w:cs="Arial"/>
        </w:rPr>
        <w:t xml:space="preserve">Available at </w:t>
      </w:r>
      <w:hyperlink r:id="rId8" w:anchor="v=onepage&amp;q=lord%20lyndhurst%20CB%20definition%20of%20wound&amp;f=false" w:history="1">
        <w:r w:rsidR="00DC0BD2" w:rsidRPr="00417FC1">
          <w:rPr>
            <w:rStyle w:val="Hyperlink"/>
            <w:rFonts w:ascii="Arial" w:hAnsi="Arial" w:cs="Arial"/>
          </w:rPr>
          <w:t>https://books.google.co.uk/books?id=06saAQAAMAAJ&amp;pg=PA598&amp;lpg=PA598&amp;dq=lord+lyndhurst+CB+definition+of+wound&amp;source=bl&amp;ots=fEh1WJD4mG&amp;sig=G4MBH32l98S-EHwLsPuAn99RNlY&amp;hl=en&amp;sa=X&amp;ved=0ahUKEwiSyaPNxpjXAhXNb1AKHf6ABsYQ6AEILDAB#v=onepage&amp;q=lord%20lyndhurst%20CB%20definition%20of%20wound&amp;f=false</w:t>
        </w:r>
      </w:hyperlink>
      <w:r w:rsidR="00D479CF" w:rsidRPr="00417FC1">
        <w:rPr>
          <w:rFonts w:ascii="Arial" w:hAnsi="Arial" w:cs="Arial"/>
        </w:rPr>
        <w:t xml:space="preserve"> </w:t>
      </w:r>
      <w:r w:rsidR="00DC0BD2" w:rsidRPr="00417FC1">
        <w:rPr>
          <w:rFonts w:ascii="Arial" w:hAnsi="Arial" w:cs="Arial"/>
        </w:rPr>
        <w:t>Accessed on 30</w:t>
      </w:r>
      <w:r w:rsidR="00DC0BD2" w:rsidRPr="00417FC1">
        <w:rPr>
          <w:rFonts w:ascii="Arial" w:hAnsi="Arial" w:cs="Arial"/>
          <w:vertAlign w:val="superscript"/>
        </w:rPr>
        <w:t>th</w:t>
      </w:r>
      <w:r w:rsidR="00DC0BD2" w:rsidRPr="00417FC1">
        <w:rPr>
          <w:rFonts w:ascii="Arial" w:hAnsi="Arial" w:cs="Arial"/>
        </w:rPr>
        <w:t xml:space="preserve"> October 2017 </w:t>
      </w:r>
    </w:p>
    <w:p w14:paraId="1D3E9422" w14:textId="77777777" w:rsidR="00F35104" w:rsidRPr="00417FC1" w:rsidRDefault="00F35104" w:rsidP="00417FC1">
      <w:pPr>
        <w:spacing w:line="360" w:lineRule="auto"/>
        <w:jc w:val="both"/>
        <w:rPr>
          <w:rFonts w:ascii="Arial" w:hAnsi="Arial" w:cs="Arial"/>
        </w:rPr>
      </w:pPr>
    </w:p>
    <w:p w14:paraId="38B4F9C6" w14:textId="1290B12B" w:rsidR="002D1F79" w:rsidRDefault="00777ECD" w:rsidP="00417FC1">
      <w:pPr>
        <w:spacing w:line="360" w:lineRule="auto"/>
        <w:jc w:val="both"/>
        <w:rPr>
          <w:rFonts w:ascii="Arial" w:hAnsi="Arial" w:cs="Arial"/>
        </w:rPr>
      </w:pPr>
      <w:r w:rsidRPr="00417FC1">
        <w:rPr>
          <w:rFonts w:ascii="Arial" w:hAnsi="Arial" w:cs="Arial"/>
        </w:rPr>
        <w:t>Tabbish, S. (2014) Reform of Offences Against the Person (online).</w:t>
      </w:r>
      <w:r w:rsidR="002D1F79" w:rsidRPr="00417FC1">
        <w:rPr>
          <w:rFonts w:ascii="Arial" w:hAnsi="Arial" w:cs="Arial"/>
        </w:rPr>
        <w:t xml:space="preserve"> Available at </w:t>
      </w:r>
      <w:hyperlink r:id="rId9" w:history="1">
        <w:r w:rsidR="002D1F79" w:rsidRPr="00417FC1">
          <w:rPr>
            <w:rStyle w:val="Hyperlink"/>
            <w:rFonts w:ascii="Arial" w:hAnsi="Arial" w:cs="Arial"/>
          </w:rPr>
          <w:t>http://www.criminallawandjustice.co.uk/fetures/Reform-Offences-Against-Person</w:t>
        </w:r>
      </w:hyperlink>
      <w:r w:rsidR="002D1F79" w:rsidRPr="00417FC1">
        <w:rPr>
          <w:rFonts w:ascii="Arial" w:hAnsi="Arial" w:cs="Arial"/>
        </w:rPr>
        <w:t xml:space="preserve"> Accessed on 10th October 2017. </w:t>
      </w:r>
    </w:p>
    <w:p w14:paraId="3732D021" w14:textId="77777777" w:rsidR="003A5813" w:rsidRDefault="003A5813" w:rsidP="00417FC1">
      <w:pPr>
        <w:spacing w:line="360" w:lineRule="auto"/>
        <w:jc w:val="both"/>
        <w:rPr>
          <w:rFonts w:ascii="Arial" w:hAnsi="Arial" w:cs="Arial"/>
        </w:rPr>
      </w:pPr>
    </w:p>
    <w:p w14:paraId="33675F0D" w14:textId="7D278696" w:rsidR="003A5813" w:rsidRDefault="007C0F2C" w:rsidP="00417FC1">
      <w:pPr>
        <w:spacing w:line="360" w:lineRule="auto"/>
        <w:jc w:val="both"/>
        <w:rPr>
          <w:rFonts w:ascii="Arial" w:hAnsi="Arial" w:cs="Arial"/>
          <w:u w:val="single"/>
        </w:rPr>
      </w:pPr>
      <w:r>
        <w:rPr>
          <w:rFonts w:ascii="Arial" w:hAnsi="Arial" w:cs="Arial"/>
          <w:u w:val="single"/>
        </w:rPr>
        <w:t>Case List</w:t>
      </w:r>
    </w:p>
    <w:p w14:paraId="3B5CCB09" w14:textId="71E5EC7C" w:rsidR="00F84E3D" w:rsidRPr="00F84E3D" w:rsidRDefault="00F84E3D" w:rsidP="00417FC1">
      <w:pPr>
        <w:spacing w:line="360" w:lineRule="auto"/>
        <w:jc w:val="both"/>
        <w:rPr>
          <w:rFonts w:ascii="Arial" w:hAnsi="Arial" w:cs="Arial"/>
        </w:rPr>
      </w:pPr>
      <w:r>
        <w:rPr>
          <w:rFonts w:ascii="Arial" w:hAnsi="Arial" w:cs="Arial"/>
        </w:rPr>
        <w:t>DPP v Santana-Burmudez (2004) Crim. LR. 471</w:t>
      </w:r>
    </w:p>
    <w:p w14:paraId="5004CA79" w14:textId="636A4B6F" w:rsidR="00495262" w:rsidRPr="008C079E" w:rsidRDefault="008C079E" w:rsidP="007C0F2C">
      <w:pPr>
        <w:spacing w:line="360" w:lineRule="auto"/>
        <w:jc w:val="both"/>
        <w:rPr>
          <w:rFonts w:ascii="Arial" w:hAnsi="Arial" w:cs="Arial"/>
        </w:rPr>
      </w:pPr>
      <w:r>
        <w:rPr>
          <w:rFonts w:ascii="Arial" w:hAnsi="Arial" w:cs="Arial"/>
        </w:rPr>
        <w:t>R v Constanza (1997) 2 Cr. App. R. 492</w:t>
      </w:r>
    </w:p>
    <w:p w14:paraId="62D86C08" w14:textId="77777777" w:rsidR="00495262" w:rsidRPr="00417FC1" w:rsidRDefault="00495262" w:rsidP="007C0F2C">
      <w:pPr>
        <w:spacing w:line="360" w:lineRule="auto"/>
        <w:jc w:val="both"/>
        <w:rPr>
          <w:rFonts w:ascii="Arial" w:hAnsi="Arial" w:cs="Arial"/>
        </w:rPr>
      </w:pPr>
    </w:p>
    <w:p w14:paraId="7FB0B7B9" w14:textId="77777777" w:rsidR="007C0F2C" w:rsidRDefault="007C0F2C" w:rsidP="00417FC1">
      <w:pPr>
        <w:spacing w:line="360" w:lineRule="auto"/>
        <w:jc w:val="both"/>
        <w:rPr>
          <w:rFonts w:ascii="Arial" w:hAnsi="Arial" w:cs="Arial"/>
          <w:u w:val="single"/>
        </w:rPr>
      </w:pPr>
    </w:p>
    <w:p w14:paraId="70632D7D" w14:textId="77777777" w:rsidR="007C0F2C" w:rsidRPr="003A5813" w:rsidRDefault="007C0F2C" w:rsidP="00417FC1">
      <w:pPr>
        <w:spacing w:line="360" w:lineRule="auto"/>
        <w:jc w:val="both"/>
        <w:rPr>
          <w:rFonts w:ascii="Arial" w:hAnsi="Arial" w:cs="Arial"/>
          <w:u w:val="single"/>
        </w:rPr>
      </w:pPr>
    </w:p>
    <w:p w14:paraId="78A90D46" w14:textId="77777777" w:rsidR="002D1F79" w:rsidRDefault="002D1F79" w:rsidP="00130A66">
      <w:pPr>
        <w:jc w:val="both"/>
      </w:pPr>
    </w:p>
    <w:p w14:paraId="53E98521" w14:textId="77777777" w:rsidR="002D1F79" w:rsidRDefault="002D1F79" w:rsidP="00130A66">
      <w:pPr>
        <w:jc w:val="both"/>
      </w:pPr>
    </w:p>
    <w:sectPr w:rsidR="002D1F79" w:rsidSect="003562D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F901B52"/>
    <w:multiLevelType w:val="hybridMultilevel"/>
    <w:tmpl w:val="B07876F4"/>
    <w:lvl w:ilvl="0" w:tplc="04A6C93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784B"/>
    <w:rsid w:val="00013A2E"/>
    <w:rsid w:val="00016361"/>
    <w:rsid w:val="00016E66"/>
    <w:rsid w:val="00024645"/>
    <w:rsid w:val="00053347"/>
    <w:rsid w:val="0006550D"/>
    <w:rsid w:val="00076CC6"/>
    <w:rsid w:val="00082CAD"/>
    <w:rsid w:val="000870A3"/>
    <w:rsid w:val="00095D8B"/>
    <w:rsid w:val="000A1533"/>
    <w:rsid w:val="000C5537"/>
    <w:rsid w:val="000F7AF9"/>
    <w:rsid w:val="00103A17"/>
    <w:rsid w:val="0010538C"/>
    <w:rsid w:val="001257D3"/>
    <w:rsid w:val="00127862"/>
    <w:rsid w:val="00130A66"/>
    <w:rsid w:val="00141999"/>
    <w:rsid w:val="001431AF"/>
    <w:rsid w:val="001437FC"/>
    <w:rsid w:val="001638E4"/>
    <w:rsid w:val="00166C6A"/>
    <w:rsid w:val="00171CCF"/>
    <w:rsid w:val="001805FE"/>
    <w:rsid w:val="0019127B"/>
    <w:rsid w:val="00196303"/>
    <w:rsid w:val="001C01D9"/>
    <w:rsid w:val="001C09EB"/>
    <w:rsid w:val="001C5572"/>
    <w:rsid w:val="001C7E30"/>
    <w:rsid w:val="001D65C9"/>
    <w:rsid w:val="001E27B5"/>
    <w:rsid w:val="001E2E7F"/>
    <w:rsid w:val="001E36A1"/>
    <w:rsid w:val="001F1577"/>
    <w:rsid w:val="001F2315"/>
    <w:rsid w:val="001F702E"/>
    <w:rsid w:val="00214B06"/>
    <w:rsid w:val="00222FA3"/>
    <w:rsid w:val="00227020"/>
    <w:rsid w:val="00234C7C"/>
    <w:rsid w:val="00242619"/>
    <w:rsid w:val="00243DD5"/>
    <w:rsid w:val="00256D54"/>
    <w:rsid w:val="00257194"/>
    <w:rsid w:val="00275216"/>
    <w:rsid w:val="0028551B"/>
    <w:rsid w:val="00285AC3"/>
    <w:rsid w:val="0028743E"/>
    <w:rsid w:val="002A6499"/>
    <w:rsid w:val="002A7F0D"/>
    <w:rsid w:val="002B1EC8"/>
    <w:rsid w:val="002B3A62"/>
    <w:rsid w:val="002C461E"/>
    <w:rsid w:val="002C7A66"/>
    <w:rsid w:val="002D1F79"/>
    <w:rsid w:val="002D58A6"/>
    <w:rsid w:val="002D6364"/>
    <w:rsid w:val="002E4A27"/>
    <w:rsid w:val="002F1251"/>
    <w:rsid w:val="00302FC4"/>
    <w:rsid w:val="00313527"/>
    <w:rsid w:val="00317ED1"/>
    <w:rsid w:val="00321396"/>
    <w:rsid w:val="00336C08"/>
    <w:rsid w:val="00340649"/>
    <w:rsid w:val="003441C1"/>
    <w:rsid w:val="003442D4"/>
    <w:rsid w:val="003562DC"/>
    <w:rsid w:val="00365433"/>
    <w:rsid w:val="00376473"/>
    <w:rsid w:val="00376C5A"/>
    <w:rsid w:val="003868A4"/>
    <w:rsid w:val="0039131C"/>
    <w:rsid w:val="003A491E"/>
    <w:rsid w:val="003A5813"/>
    <w:rsid w:val="003C45BB"/>
    <w:rsid w:val="003E365C"/>
    <w:rsid w:val="003F357B"/>
    <w:rsid w:val="003F383A"/>
    <w:rsid w:val="003F7F57"/>
    <w:rsid w:val="00400A2F"/>
    <w:rsid w:val="00407FD0"/>
    <w:rsid w:val="00417FC1"/>
    <w:rsid w:val="00431906"/>
    <w:rsid w:val="00455E1D"/>
    <w:rsid w:val="004601F8"/>
    <w:rsid w:val="00461083"/>
    <w:rsid w:val="00480ADB"/>
    <w:rsid w:val="0048173F"/>
    <w:rsid w:val="0048782D"/>
    <w:rsid w:val="00490EFF"/>
    <w:rsid w:val="00494657"/>
    <w:rsid w:val="00495262"/>
    <w:rsid w:val="00496DDC"/>
    <w:rsid w:val="004B7F1B"/>
    <w:rsid w:val="004D64C5"/>
    <w:rsid w:val="004E00BA"/>
    <w:rsid w:val="00526142"/>
    <w:rsid w:val="00530056"/>
    <w:rsid w:val="0054178D"/>
    <w:rsid w:val="00552626"/>
    <w:rsid w:val="005554BE"/>
    <w:rsid w:val="005607E5"/>
    <w:rsid w:val="00561F93"/>
    <w:rsid w:val="005703CC"/>
    <w:rsid w:val="00585D0D"/>
    <w:rsid w:val="0059410C"/>
    <w:rsid w:val="005A4BE8"/>
    <w:rsid w:val="005A6FBC"/>
    <w:rsid w:val="005B7DB6"/>
    <w:rsid w:val="005D156D"/>
    <w:rsid w:val="005D55E5"/>
    <w:rsid w:val="005F2D91"/>
    <w:rsid w:val="00612919"/>
    <w:rsid w:val="00616426"/>
    <w:rsid w:val="006246C0"/>
    <w:rsid w:val="00625010"/>
    <w:rsid w:val="00633363"/>
    <w:rsid w:val="00633705"/>
    <w:rsid w:val="006378C1"/>
    <w:rsid w:val="0064689B"/>
    <w:rsid w:val="00651CE2"/>
    <w:rsid w:val="006555B8"/>
    <w:rsid w:val="0066617B"/>
    <w:rsid w:val="00670314"/>
    <w:rsid w:val="0069088A"/>
    <w:rsid w:val="0069406C"/>
    <w:rsid w:val="006A30C2"/>
    <w:rsid w:val="006B5A0D"/>
    <w:rsid w:val="006C33C2"/>
    <w:rsid w:val="006C58A9"/>
    <w:rsid w:val="006C66EC"/>
    <w:rsid w:val="006D2D2A"/>
    <w:rsid w:val="006E5B76"/>
    <w:rsid w:val="006E6BB1"/>
    <w:rsid w:val="006E77BE"/>
    <w:rsid w:val="006F0A16"/>
    <w:rsid w:val="006F2EDB"/>
    <w:rsid w:val="006F49DB"/>
    <w:rsid w:val="006F4B87"/>
    <w:rsid w:val="006F5555"/>
    <w:rsid w:val="0070639D"/>
    <w:rsid w:val="00707181"/>
    <w:rsid w:val="00747E32"/>
    <w:rsid w:val="00752E61"/>
    <w:rsid w:val="00766823"/>
    <w:rsid w:val="00766BCC"/>
    <w:rsid w:val="00774FB0"/>
    <w:rsid w:val="00777ECD"/>
    <w:rsid w:val="00782CAD"/>
    <w:rsid w:val="00790434"/>
    <w:rsid w:val="00796280"/>
    <w:rsid w:val="00796EC2"/>
    <w:rsid w:val="007A7011"/>
    <w:rsid w:val="007B279B"/>
    <w:rsid w:val="007C0F2C"/>
    <w:rsid w:val="007C4E5F"/>
    <w:rsid w:val="007D4715"/>
    <w:rsid w:val="007E0873"/>
    <w:rsid w:val="007E50FD"/>
    <w:rsid w:val="007F3080"/>
    <w:rsid w:val="008012AF"/>
    <w:rsid w:val="008227D6"/>
    <w:rsid w:val="008259D5"/>
    <w:rsid w:val="008277B8"/>
    <w:rsid w:val="008304D2"/>
    <w:rsid w:val="0084358D"/>
    <w:rsid w:val="00843E7B"/>
    <w:rsid w:val="00857689"/>
    <w:rsid w:val="00861EA6"/>
    <w:rsid w:val="00862CCA"/>
    <w:rsid w:val="008720C5"/>
    <w:rsid w:val="00875BD5"/>
    <w:rsid w:val="00880E35"/>
    <w:rsid w:val="008837D5"/>
    <w:rsid w:val="00895116"/>
    <w:rsid w:val="008C079E"/>
    <w:rsid w:val="008C5583"/>
    <w:rsid w:val="008D278E"/>
    <w:rsid w:val="008D5217"/>
    <w:rsid w:val="008E0B63"/>
    <w:rsid w:val="008F4308"/>
    <w:rsid w:val="00902A46"/>
    <w:rsid w:val="00907086"/>
    <w:rsid w:val="00910861"/>
    <w:rsid w:val="00912C55"/>
    <w:rsid w:val="00913D59"/>
    <w:rsid w:val="00921705"/>
    <w:rsid w:val="009244D5"/>
    <w:rsid w:val="00925D55"/>
    <w:rsid w:val="00941C34"/>
    <w:rsid w:val="009475F9"/>
    <w:rsid w:val="00950D1F"/>
    <w:rsid w:val="00951F4F"/>
    <w:rsid w:val="0096121B"/>
    <w:rsid w:val="00966370"/>
    <w:rsid w:val="009669EF"/>
    <w:rsid w:val="00977B6B"/>
    <w:rsid w:val="0098393B"/>
    <w:rsid w:val="009855D7"/>
    <w:rsid w:val="00986C2A"/>
    <w:rsid w:val="00990CFA"/>
    <w:rsid w:val="009A418A"/>
    <w:rsid w:val="009A4DE9"/>
    <w:rsid w:val="009B1033"/>
    <w:rsid w:val="009B357A"/>
    <w:rsid w:val="009C1BEF"/>
    <w:rsid w:val="009C2361"/>
    <w:rsid w:val="009D23E9"/>
    <w:rsid w:val="009E42E0"/>
    <w:rsid w:val="009E6118"/>
    <w:rsid w:val="009F335E"/>
    <w:rsid w:val="00A622FC"/>
    <w:rsid w:val="00A667CF"/>
    <w:rsid w:val="00A66F6A"/>
    <w:rsid w:val="00A93AF9"/>
    <w:rsid w:val="00AC487A"/>
    <w:rsid w:val="00AD5C14"/>
    <w:rsid w:val="00AE25E7"/>
    <w:rsid w:val="00B00FD3"/>
    <w:rsid w:val="00B05CE4"/>
    <w:rsid w:val="00B12D50"/>
    <w:rsid w:val="00B24FA0"/>
    <w:rsid w:val="00B278C1"/>
    <w:rsid w:val="00B33E00"/>
    <w:rsid w:val="00B44056"/>
    <w:rsid w:val="00B50D7F"/>
    <w:rsid w:val="00B5451B"/>
    <w:rsid w:val="00B819A7"/>
    <w:rsid w:val="00B87694"/>
    <w:rsid w:val="00B90A5B"/>
    <w:rsid w:val="00BA0B56"/>
    <w:rsid w:val="00BA1149"/>
    <w:rsid w:val="00BB094D"/>
    <w:rsid w:val="00BB2630"/>
    <w:rsid w:val="00BB74A5"/>
    <w:rsid w:val="00BD74EB"/>
    <w:rsid w:val="00BE67F5"/>
    <w:rsid w:val="00BF5AFC"/>
    <w:rsid w:val="00C02219"/>
    <w:rsid w:val="00C121BD"/>
    <w:rsid w:val="00C4610B"/>
    <w:rsid w:val="00C466AB"/>
    <w:rsid w:val="00C53906"/>
    <w:rsid w:val="00C61B11"/>
    <w:rsid w:val="00C61D6F"/>
    <w:rsid w:val="00C62BD2"/>
    <w:rsid w:val="00C847D8"/>
    <w:rsid w:val="00CA3055"/>
    <w:rsid w:val="00CA408C"/>
    <w:rsid w:val="00CA5901"/>
    <w:rsid w:val="00CA7037"/>
    <w:rsid w:val="00CB55F0"/>
    <w:rsid w:val="00CC6511"/>
    <w:rsid w:val="00CC7E17"/>
    <w:rsid w:val="00CD3A77"/>
    <w:rsid w:val="00CE4299"/>
    <w:rsid w:val="00CE6202"/>
    <w:rsid w:val="00D03736"/>
    <w:rsid w:val="00D15320"/>
    <w:rsid w:val="00D37308"/>
    <w:rsid w:val="00D42608"/>
    <w:rsid w:val="00D42A49"/>
    <w:rsid w:val="00D4566A"/>
    <w:rsid w:val="00D477F6"/>
    <w:rsid w:val="00D479CF"/>
    <w:rsid w:val="00D570EE"/>
    <w:rsid w:val="00D5721E"/>
    <w:rsid w:val="00D62535"/>
    <w:rsid w:val="00D66AD3"/>
    <w:rsid w:val="00D72771"/>
    <w:rsid w:val="00D7334A"/>
    <w:rsid w:val="00D845C1"/>
    <w:rsid w:val="00D85696"/>
    <w:rsid w:val="00D872C5"/>
    <w:rsid w:val="00D901F6"/>
    <w:rsid w:val="00D96032"/>
    <w:rsid w:val="00DA321F"/>
    <w:rsid w:val="00DC0BD2"/>
    <w:rsid w:val="00DD2519"/>
    <w:rsid w:val="00DE03A6"/>
    <w:rsid w:val="00DE08F9"/>
    <w:rsid w:val="00DF5095"/>
    <w:rsid w:val="00E15F47"/>
    <w:rsid w:val="00E36984"/>
    <w:rsid w:val="00E406E3"/>
    <w:rsid w:val="00E40BE5"/>
    <w:rsid w:val="00E44719"/>
    <w:rsid w:val="00E44E02"/>
    <w:rsid w:val="00E51887"/>
    <w:rsid w:val="00E633F6"/>
    <w:rsid w:val="00E7192F"/>
    <w:rsid w:val="00E729C1"/>
    <w:rsid w:val="00E73C48"/>
    <w:rsid w:val="00E94C25"/>
    <w:rsid w:val="00E94E4D"/>
    <w:rsid w:val="00EA3B08"/>
    <w:rsid w:val="00EB1AA9"/>
    <w:rsid w:val="00EB78AC"/>
    <w:rsid w:val="00EC3666"/>
    <w:rsid w:val="00EC470B"/>
    <w:rsid w:val="00ED0260"/>
    <w:rsid w:val="00ED6B0C"/>
    <w:rsid w:val="00EF58CA"/>
    <w:rsid w:val="00F22746"/>
    <w:rsid w:val="00F35104"/>
    <w:rsid w:val="00F44064"/>
    <w:rsid w:val="00F6089F"/>
    <w:rsid w:val="00F67CD7"/>
    <w:rsid w:val="00F728FB"/>
    <w:rsid w:val="00F84E3D"/>
    <w:rsid w:val="00F86695"/>
    <w:rsid w:val="00F87AC2"/>
    <w:rsid w:val="00F91816"/>
    <w:rsid w:val="00F9329A"/>
    <w:rsid w:val="00F9466D"/>
    <w:rsid w:val="00FC2607"/>
    <w:rsid w:val="00FC3038"/>
    <w:rsid w:val="00FC333E"/>
    <w:rsid w:val="00FC72ED"/>
    <w:rsid w:val="00FC784B"/>
    <w:rsid w:val="00FD17A9"/>
    <w:rsid w:val="00FD5DB6"/>
    <w:rsid w:val="00FE3F96"/>
    <w:rsid w:val="00FF44F9"/>
    <w:rsid w:val="00FF61DF"/>
    <w:rsid w:val="00FF6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F694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CD7"/>
    <w:pPr>
      <w:ind w:left="720"/>
      <w:contextualSpacing/>
    </w:pPr>
  </w:style>
  <w:style w:type="character" w:styleId="Hyperlink">
    <w:name w:val="Hyperlink"/>
    <w:basedOn w:val="DefaultParagraphFont"/>
    <w:uiPriority w:val="99"/>
    <w:unhideWhenUsed/>
    <w:rsid w:val="005554BE"/>
    <w:rPr>
      <w:color w:val="0563C1" w:themeColor="hyperlink"/>
      <w:u w:val="single"/>
    </w:rPr>
  </w:style>
  <w:style w:type="character" w:styleId="FollowedHyperlink">
    <w:name w:val="FollowedHyperlink"/>
    <w:basedOn w:val="DefaultParagraphFont"/>
    <w:uiPriority w:val="99"/>
    <w:semiHidden/>
    <w:unhideWhenUsed/>
    <w:rsid w:val="009B10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72359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theguardian.com/law/2015/nov/03/let-magistrates-deal-more-assault-cases-law-reform-body" TargetMode="External"/><Relationship Id="rId7" Type="http://schemas.openxmlformats.org/officeDocument/2006/relationships/hyperlink" Target="http://www.s3-eu-west-2.amazonaws.com" TargetMode="External"/><Relationship Id="rId8" Type="http://schemas.openxmlformats.org/officeDocument/2006/relationships/hyperlink" Target="https://books.google.co.uk/books?id=06saAQAAMAAJ&amp;pg=PA598&amp;lpg=PA598&amp;dq=lord+lyndhurst+CB+definition+of+wound&amp;source=bl&amp;ots=fEh1WJD4mG&amp;sig=G4MBH32l98S-EHwLsPuAn99RNlY&amp;hl=en&amp;sa=X&amp;ved=0ahUKEwiSyaPNxpjXAhXNb1AKHf6ABsYQ6AEILDAB" TargetMode="External"/><Relationship Id="rId9" Type="http://schemas.openxmlformats.org/officeDocument/2006/relationships/hyperlink" Target="http://www.criminallawandjustice.co.uk/fetures/Reform-Offences-Against-Person"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BA7E1A4-0689-B348-9573-C212C8FA4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1909</Words>
  <Characters>10884</Characters>
  <Application>Microsoft Macintosh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12768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dc:creator>
  <cp:keywords/>
  <dc:description/>
  <cp:lastModifiedBy>chloe Davies</cp:lastModifiedBy>
  <cp:revision>2</cp:revision>
  <cp:lastPrinted>2017-10-20T16:33:00Z</cp:lastPrinted>
  <dcterms:created xsi:type="dcterms:W3CDTF">2017-11-06T13:17:00Z</dcterms:created>
  <dcterms:modified xsi:type="dcterms:W3CDTF">2017-11-06T13:17:00Z</dcterms:modified>
</cp:coreProperties>
</file>